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1942D0" w:rsidR="00A76F4A" w:rsidP="00A76F4A" w:rsidRDefault="00A76F4A" w14:paraId="3530C4E8" w14:textId="77777777">
      <w:pPr>
        <w:suppressAutoHyphens/>
        <w:spacing w:after="0" w:line="240" w:lineRule="auto"/>
        <w:rPr>
          <w:rFonts w:ascii="Palatino" w:hAnsi="Palatino" w:eastAsia="Times New Roman" w:cs="Times New Roman"/>
          <w:kern w:val="0"/>
          <w:sz w:val="26"/>
          <w:szCs w:val="20"/>
          <w14:ligatures w14:val="none"/>
        </w:rPr>
      </w:pPr>
    </w:p>
    <w:p w:rsidRPr="00D64234" w:rsidR="00A76F4A" w:rsidP="00C37711" w:rsidRDefault="00A76F4A" w14:paraId="2AFEBBF1" w14:textId="732D5F84">
      <w:pPr>
        <w:tabs>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D64234">
        <w:rPr>
          <w:rFonts w:ascii="Palatino Linotype" w:hAnsi="Palatino Linotype" w:eastAsia="Times New Roman" w:cs="Times New Roman"/>
          <w:b/>
          <w:kern w:val="0"/>
          <w14:ligatures w14:val="none"/>
        </w:rPr>
        <w:t>Agenda ID #</w:t>
      </w:r>
      <w:r w:rsidRPr="0050136C" w:rsidR="0050136C">
        <w:rPr>
          <w:rFonts w:ascii="Palatino Linotype" w:hAnsi="Palatino Linotype" w:eastAsia="Times New Roman" w:cs="Times New Roman"/>
          <w:b/>
          <w:bCs/>
          <w:kern w:val="0"/>
          <w14:ligatures w14:val="none"/>
        </w:rPr>
        <w:t>24033</w:t>
      </w:r>
    </w:p>
    <w:p w:rsidRPr="00D30331" w:rsidR="00A76F4A" w:rsidP="00C37711" w:rsidRDefault="00204B1B" w14:paraId="17BEFA95" w14:textId="2DB32FBC">
      <w:pPr>
        <w:tabs>
          <w:tab w:val="right" w:pos="8820"/>
        </w:tabs>
        <w:spacing w:after="0" w:line="240" w:lineRule="auto"/>
        <w:rPr>
          <w:rFonts w:ascii="Palatino Linotype" w:hAnsi="Palatino Linotype" w:eastAsia="Palatino Linotype" w:cs="Times New Roman"/>
          <w:b/>
        </w:rPr>
      </w:pPr>
      <w:r w:rsidRPr="00D30331">
        <w:rPr>
          <w:rFonts w:ascii="Palatino Linotype" w:hAnsi="Palatino Linotype" w:eastAsia="Palatino Linotype" w:cs="Times New Roman"/>
          <w:b/>
          <w:kern w:val="0"/>
          <w14:ligatures w14:val="none"/>
        </w:rPr>
        <w:t>ENERGY DIVISION</w:t>
      </w:r>
      <w:r w:rsidRPr="00D30331" w:rsidR="00A76F4A">
        <w:rPr>
          <w:rFonts w:ascii="Palatino Linotype" w:hAnsi="Palatino Linotype" w:eastAsia="Times New Roman" w:cs="Times New Roman"/>
          <w:b/>
          <w:kern w:val="0"/>
          <w14:ligatures w14:val="none"/>
        </w:rPr>
        <w:tab/>
      </w:r>
      <w:r w:rsidRPr="00D30331" w:rsidR="00A76F4A">
        <w:rPr>
          <w:rFonts w:ascii="Palatino Linotype" w:hAnsi="Palatino Linotype" w:eastAsia="Palatino Linotype" w:cs="Times New Roman"/>
          <w:b/>
          <w:kern w:val="0"/>
          <w14:ligatures w14:val="none"/>
        </w:rPr>
        <w:t xml:space="preserve"> </w:t>
      </w:r>
      <w:r w:rsidRPr="00D30331" w:rsidR="00A76F4A">
        <w:rPr>
          <w:rFonts w:ascii="Palatino Linotype" w:hAnsi="Palatino Linotype" w:eastAsia="Palatino Linotype" w:cs="Times New Roman"/>
          <w:b/>
        </w:rPr>
        <w:t>RESOLUTION E-</w:t>
      </w:r>
      <w:r w:rsidRPr="00D30331" w:rsidR="00D30331">
        <w:rPr>
          <w:rFonts w:ascii="Palatino Linotype" w:hAnsi="Palatino Linotype" w:eastAsia="Palatino Linotype" w:cs="Times New Roman"/>
          <w:b/>
        </w:rPr>
        <w:t>5452</w:t>
      </w:r>
    </w:p>
    <w:p w:rsidRPr="001942D0" w:rsidR="00A76F4A" w:rsidP="00C37711" w:rsidRDefault="00A76F4A" w14:paraId="149FD231" w14:textId="61B6D59D">
      <w:pPr>
        <w:tabs>
          <w:tab w:val="right" w:pos="882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057DB6" w:rsidR="00057DB6">
        <w:rPr>
          <w:rFonts w:ascii="Palatino Linotype" w:hAnsi="Palatino Linotype" w:eastAsia="Times New Roman" w:cs="Times New Roman"/>
          <w:b/>
          <w:kern w:val="0"/>
          <w14:ligatures w14:val="none"/>
        </w:rPr>
        <w:t>March</w:t>
      </w:r>
      <w:r w:rsidRPr="00057DB6" w:rsidR="00074661">
        <w:rPr>
          <w:rFonts w:ascii="Palatino Linotype" w:hAnsi="Palatino Linotype" w:eastAsia="Times New Roman" w:cs="Times New Roman"/>
          <w:b/>
          <w:kern w:val="0"/>
          <w14:ligatures w14:val="none"/>
        </w:rPr>
        <w:t xml:space="preserve"> 1</w:t>
      </w:r>
      <w:r w:rsidRPr="00057DB6" w:rsidR="00057DB6">
        <w:rPr>
          <w:rFonts w:ascii="Palatino Linotype" w:hAnsi="Palatino Linotype" w:eastAsia="Times New Roman" w:cs="Times New Roman"/>
          <w:b/>
          <w:kern w:val="0"/>
          <w14:ligatures w14:val="none"/>
        </w:rPr>
        <w:t>9</w:t>
      </w:r>
      <w:r w:rsidRPr="00057DB6" w:rsidR="00C37711">
        <w:rPr>
          <w:rFonts w:ascii="Palatino Linotype" w:hAnsi="Palatino Linotype" w:eastAsia="Times New Roman" w:cs="Times New Roman"/>
          <w:b/>
          <w:kern w:val="0"/>
          <w14:ligatures w14:val="none"/>
        </w:rPr>
        <w:t>, 202</w:t>
      </w:r>
      <w:r w:rsidRPr="00057DB6" w:rsidR="00057DB6">
        <w:rPr>
          <w:rFonts w:ascii="Palatino Linotype" w:hAnsi="Palatino Linotype" w:eastAsia="Times New Roman" w:cs="Times New Roman"/>
          <w:b/>
          <w:kern w:val="0"/>
          <w14:ligatures w14:val="none"/>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1942D0" w:rsidR="00A76F4A" w:rsidP="00835E76" w:rsidRDefault="00A76F4A" w14:paraId="400F09B6" w14:textId="6544A0F9">
      <w:pPr>
        <w:spacing w:after="0" w:line="240" w:lineRule="auto"/>
        <w:ind w:left="720" w:right="720"/>
        <w:rPr>
          <w:rFonts w:ascii="Palatino Linotype" w:hAnsi="Palatino Linotype" w:eastAsia="Times New Roman" w:cs="Times New Roman"/>
          <w:kern w:val="0"/>
          <w14:ligatures w14:val="none"/>
        </w:rPr>
      </w:pPr>
      <w:r w:rsidRPr="00280707">
        <w:rPr>
          <w:rFonts w:ascii="Palatino Linotype" w:hAnsi="Palatino Linotype" w:eastAsia="Times New Roman" w:cs="Times New Roman"/>
          <w:kern w:val="0"/>
          <w14:ligatures w14:val="none"/>
        </w:rPr>
        <w:t>Resolution E-</w:t>
      </w:r>
      <w:r w:rsidRPr="00280707" w:rsidR="00280707">
        <w:rPr>
          <w:rFonts w:ascii="Palatino Linotype" w:hAnsi="Palatino Linotype" w:eastAsia="Times New Roman" w:cs="Times New Roman"/>
          <w:kern w:val="0"/>
          <w14:ligatures w14:val="none"/>
        </w:rPr>
        <w:t>5452</w:t>
      </w:r>
      <w:r w:rsidRPr="00280707">
        <w:rPr>
          <w:rFonts w:ascii="Palatino Linotype" w:hAnsi="Palatino Linotype" w:eastAsia="Times New Roman" w:cs="Times New Roman"/>
          <w:kern w:val="0"/>
          <w14:ligatures w14:val="none"/>
        </w:rPr>
        <w:t xml:space="preserve">.  </w:t>
      </w:r>
      <w:r w:rsidRPr="00280707" w:rsidR="002D719A">
        <w:rPr>
          <w:rFonts w:ascii="Palatino Linotype" w:hAnsi="Palatino Linotype" w:eastAsia="Times New Roman" w:cs="Times New Roman"/>
          <w:kern w:val="0"/>
          <w14:ligatures w14:val="none"/>
        </w:rPr>
        <w:t>Southern</w:t>
      </w:r>
      <w:r w:rsidRPr="0016764A" w:rsidR="002D719A">
        <w:rPr>
          <w:rFonts w:ascii="Palatino Linotype" w:hAnsi="Palatino Linotype" w:eastAsia="Times New Roman" w:cs="Times New Roman"/>
          <w:kern w:val="0"/>
          <w14:ligatures w14:val="none"/>
        </w:rPr>
        <w:t xml:space="preserve"> California Edison</w:t>
      </w:r>
      <w:r w:rsidRPr="0016764A">
        <w:rPr>
          <w:rFonts w:ascii="Palatino Linotype" w:hAnsi="Palatino Linotype" w:eastAsia="Times New Roman" w:cs="Times New Roman"/>
          <w:kern w:val="0"/>
          <w14:ligatures w14:val="none"/>
        </w:rPr>
        <w:t xml:space="preserve"> </w:t>
      </w:r>
      <w:r w:rsidRPr="00835E76" w:rsidR="00835E76">
        <w:rPr>
          <w:rFonts w:ascii="Palatino Linotype" w:hAnsi="Palatino Linotype" w:eastAsia="Times New Roman" w:cs="Times New Roman"/>
          <w:kern w:val="0"/>
          <w14:ligatures w14:val="none"/>
        </w:rPr>
        <w:t>Orchestrated Charging and Advanced</w:t>
      </w:r>
      <w:r w:rsidR="00835E76">
        <w:rPr>
          <w:rFonts w:ascii="Palatino Linotype" w:hAnsi="Palatino Linotype" w:eastAsia="Times New Roman" w:cs="Times New Roman"/>
          <w:kern w:val="0"/>
          <w14:ligatures w14:val="none"/>
        </w:rPr>
        <w:t xml:space="preserve"> </w:t>
      </w:r>
      <w:r w:rsidRPr="00835E76" w:rsidR="00835E76">
        <w:rPr>
          <w:rFonts w:ascii="Palatino Linotype" w:hAnsi="Palatino Linotype" w:eastAsia="Times New Roman" w:cs="Times New Roman"/>
          <w:kern w:val="0"/>
          <w14:ligatures w14:val="none"/>
        </w:rPr>
        <w:t>Resiliency for Distribution</w:t>
      </w:r>
      <w:r w:rsidR="0061150C">
        <w:rPr>
          <w:rFonts w:ascii="Palatino Linotype" w:hAnsi="Palatino Linotype" w:eastAsia="Times New Roman" w:cs="Times New Roman"/>
          <w:kern w:val="0"/>
          <w14:ligatures w14:val="none"/>
        </w:rPr>
        <w:t xml:space="preserve"> Vehicle Grid Integration</w:t>
      </w:r>
      <w:r w:rsidR="00B02E44">
        <w:rPr>
          <w:rFonts w:ascii="Palatino Linotype" w:hAnsi="Palatino Linotype" w:eastAsia="Times New Roman" w:cs="Times New Roman"/>
          <w:kern w:val="0"/>
          <w14:ligatures w14:val="none"/>
        </w:rPr>
        <w:t xml:space="preserve"> Proposal </w:t>
      </w:r>
      <w:r w:rsidR="002E2691">
        <w:rPr>
          <w:rFonts w:ascii="Palatino Linotype" w:hAnsi="Palatino Linotype" w:eastAsia="Times New Roman" w:cs="Times New Roman"/>
          <w:kern w:val="0"/>
          <w14:ligatures w14:val="none"/>
        </w:rPr>
        <w:t xml:space="preserve">Using </w:t>
      </w:r>
      <w:r w:rsidRPr="002E2691" w:rsidR="002E2691">
        <w:rPr>
          <w:rFonts w:ascii="Palatino Linotype" w:hAnsi="Palatino Linotype" w:eastAsia="Times New Roman" w:cs="Times New Roman"/>
          <w:kern w:val="0"/>
          <w14:ligatures w14:val="none"/>
        </w:rPr>
        <w:t>Low Carbon Fuel Standard Holdback Revenue</w:t>
      </w:r>
    </w:p>
    <w:p w:rsidRPr="001942D0" w:rsidR="00A76F4A" w:rsidP="00992DC4" w:rsidRDefault="00A76F4A" w14:paraId="0054523B" w14:textId="77777777">
      <w:pPr>
        <w:spacing w:after="0" w:line="240" w:lineRule="auto"/>
        <w:ind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DA0F80" w:rsidR="00E23BF0" w:rsidP="00DA0F80" w:rsidRDefault="00E153CC" w14:paraId="4AC74AF3" w14:textId="1914968B">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This Resolution </w:t>
      </w:r>
      <w:r w:rsidR="00DA0F80">
        <w:rPr>
          <w:rFonts w:ascii="Palatino Linotype" w:hAnsi="Palatino Linotype" w:eastAsia="Times New Roman" w:cs="Times New Roman"/>
          <w:kern w:val="0"/>
          <w14:ligatures w14:val="none"/>
        </w:rPr>
        <w:t xml:space="preserve">1) </w:t>
      </w:r>
      <w:r w:rsidR="007559D2">
        <w:rPr>
          <w:rFonts w:ascii="Palatino Linotype" w:hAnsi="Palatino Linotype" w:eastAsia="Times New Roman" w:cs="Times New Roman"/>
          <w:kern w:val="0"/>
          <w14:ligatures w14:val="none"/>
        </w:rPr>
        <w:t>a</w:t>
      </w:r>
      <w:r w:rsidR="00822971">
        <w:rPr>
          <w:rFonts w:ascii="Palatino Linotype" w:hAnsi="Palatino Linotype" w:eastAsia="Times New Roman" w:cs="Times New Roman"/>
          <w:kern w:val="0"/>
          <w14:ligatures w14:val="none"/>
        </w:rPr>
        <w:t xml:space="preserve">pproves with modifications Southern California Edison’s (SCE) Advice Letter 5536-E, which requests </w:t>
      </w:r>
      <w:r w:rsidR="00490530">
        <w:rPr>
          <w:rFonts w:ascii="Palatino Linotype" w:hAnsi="Palatino Linotype" w:eastAsia="Times New Roman" w:cs="Times New Roman"/>
          <w:kern w:val="0"/>
          <w14:ligatures w14:val="none"/>
        </w:rPr>
        <w:t xml:space="preserve">to </w:t>
      </w:r>
      <w:r w:rsidRPr="00B87931" w:rsidR="00490530">
        <w:rPr>
          <w:rFonts w:ascii="Palatino Linotype" w:hAnsi="Palatino Linotype" w:eastAsia="Times New Roman" w:cs="Times New Roman"/>
          <w:kern w:val="0"/>
          <w14:ligatures w14:val="none"/>
        </w:rPr>
        <w:t xml:space="preserve">update its </w:t>
      </w:r>
      <w:r w:rsidR="00490530">
        <w:rPr>
          <w:rFonts w:ascii="Palatino Linotype" w:hAnsi="Palatino Linotype" w:eastAsia="Times New Roman" w:cs="Times New Roman"/>
          <w:kern w:val="0"/>
          <w14:ligatures w14:val="none"/>
        </w:rPr>
        <w:t>Low Carbon Fuel Standard (</w:t>
      </w:r>
      <w:r w:rsidRPr="00B87931" w:rsidR="00490530">
        <w:rPr>
          <w:rFonts w:ascii="Palatino Linotype" w:hAnsi="Palatino Linotype" w:eastAsia="Times New Roman" w:cs="Times New Roman"/>
          <w:kern w:val="0"/>
          <w14:ligatures w14:val="none"/>
        </w:rPr>
        <w:t>LCFS</w:t>
      </w:r>
      <w:r w:rsidR="00490530">
        <w:rPr>
          <w:rFonts w:ascii="Palatino Linotype" w:hAnsi="Palatino Linotype" w:eastAsia="Times New Roman" w:cs="Times New Roman"/>
          <w:kern w:val="0"/>
          <w14:ligatures w14:val="none"/>
        </w:rPr>
        <w:t>)</w:t>
      </w:r>
      <w:r w:rsidRPr="00B87931" w:rsidR="00490530">
        <w:rPr>
          <w:rFonts w:ascii="Palatino Linotype" w:hAnsi="Palatino Linotype" w:eastAsia="Times New Roman" w:cs="Times New Roman"/>
          <w:kern w:val="0"/>
          <w14:ligatures w14:val="none"/>
        </w:rPr>
        <w:t xml:space="preserve"> Holdback Implementation Plan</w:t>
      </w:r>
      <w:r w:rsidR="00490530">
        <w:rPr>
          <w:rFonts w:ascii="Palatino Linotype" w:hAnsi="Palatino Linotype" w:eastAsia="Times New Roman" w:cs="Times New Roman"/>
          <w:kern w:val="0"/>
          <w14:ligatures w14:val="none"/>
        </w:rPr>
        <w:t xml:space="preserve"> by including a new vehicle-grid integration (VGI) program in its existing LCFS Implementation Plan and exempting the requirements of </w:t>
      </w:r>
      <w:r w:rsidRPr="00EA7A5F" w:rsidR="00490530">
        <w:rPr>
          <w:rFonts w:ascii="Palatino Linotype" w:hAnsi="Palatino Linotype" w:eastAsia="Times New Roman" w:cs="Times New Roman"/>
          <w:kern w:val="0"/>
          <w14:ligatures w14:val="none"/>
        </w:rPr>
        <w:t>P</w:t>
      </w:r>
      <w:r w:rsidR="00D24A55">
        <w:rPr>
          <w:rFonts w:ascii="Palatino Linotype" w:hAnsi="Palatino Linotype" w:eastAsia="Times New Roman" w:cs="Times New Roman"/>
          <w:kern w:val="0"/>
          <w14:ligatures w14:val="none"/>
        </w:rPr>
        <w:t>ublic Utilities Code (P</w:t>
      </w:r>
      <w:r w:rsidRPr="00EA7A5F" w:rsidR="00490530">
        <w:rPr>
          <w:rFonts w:ascii="Palatino Linotype" w:hAnsi="Palatino Linotype" w:eastAsia="Times New Roman" w:cs="Times New Roman"/>
          <w:kern w:val="0"/>
          <w14:ligatures w14:val="none"/>
        </w:rPr>
        <w:t>UC</w:t>
      </w:r>
      <w:r w:rsidR="00D24A55">
        <w:rPr>
          <w:rFonts w:ascii="Palatino Linotype" w:hAnsi="Palatino Linotype" w:eastAsia="Times New Roman" w:cs="Times New Roman"/>
          <w:kern w:val="0"/>
          <w14:ligatures w14:val="none"/>
        </w:rPr>
        <w:t>)</w:t>
      </w:r>
      <w:r w:rsidRPr="00EA7A5F" w:rsidR="00490530">
        <w:rPr>
          <w:rFonts w:ascii="Palatino Linotype" w:hAnsi="Palatino Linotype" w:eastAsia="Times New Roman" w:cs="Times New Roman"/>
          <w:kern w:val="0"/>
          <w14:ligatures w14:val="none"/>
        </w:rPr>
        <w:t xml:space="preserve"> </w:t>
      </w:r>
      <w:r w:rsidR="00EF379D">
        <w:rPr>
          <w:rFonts w:ascii="Palatino Linotype" w:hAnsi="Palatino Linotype" w:eastAsia="Times New Roman" w:cs="Times New Roman"/>
          <w:kern w:val="0"/>
          <w14:ligatures w14:val="none"/>
        </w:rPr>
        <w:t>Section</w:t>
      </w:r>
      <w:r w:rsidRPr="00EA7A5F" w:rsidR="00490530">
        <w:rPr>
          <w:rFonts w:ascii="Palatino Linotype" w:hAnsi="Palatino Linotype" w:eastAsia="Times New Roman" w:cs="Times New Roman"/>
          <w:kern w:val="0"/>
          <w14:ligatures w14:val="none"/>
        </w:rPr>
        <w:t xml:space="preserve"> 851 </w:t>
      </w:r>
      <w:r w:rsidR="00490530">
        <w:rPr>
          <w:rFonts w:ascii="Palatino Linotype" w:hAnsi="Palatino Linotype" w:eastAsia="Times New Roman" w:cs="Times New Roman"/>
          <w:kern w:val="0"/>
          <w14:ligatures w14:val="none"/>
        </w:rPr>
        <w:t>as it applies to the LCFS holdback credit sales</w:t>
      </w:r>
      <w:r w:rsidR="00DA0F80">
        <w:rPr>
          <w:rFonts w:ascii="Palatino Linotype" w:hAnsi="Palatino Linotype" w:eastAsia="Times New Roman" w:cs="Times New Roman"/>
          <w:kern w:val="0"/>
          <w14:ligatures w14:val="none"/>
        </w:rPr>
        <w:t xml:space="preserve">, 2) </w:t>
      </w:r>
      <w:r w:rsidRPr="00DA0F80" w:rsidR="00DA0F80">
        <w:rPr>
          <w:rFonts w:ascii="Palatino Linotype" w:hAnsi="Palatino Linotype" w:eastAsia="Times New Roman" w:cs="Times New Roman"/>
          <w:kern w:val="0"/>
          <w14:ligatures w14:val="none"/>
        </w:rPr>
        <w:t>a</w:t>
      </w:r>
      <w:r w:rsidRPr="00DA0F80" w:rsidR="00767E3E">
        <w:rPr>
          <w:rFonts w:ascii="Palatino Linotype" w:hAnsi="Palatino Linotype" w:eastAsia="Times New Roman" w:cs="Times New Roman"/>
          <w:kern w:val="0"/>
          <w14:ligatures w14:val="none"/>
        </w:rPr>
        <w:t xml:space="preserve">pproves the orchestrated load management component of </w:t>
      </w:r>
      <w:r w:rsidRPr="00DA0F80" w:rsidR="00E23BF0">
        <w:rPr>
          <w:rFonts w:ascii="Palatino Linotype" w:hAnsi="Palatino Linotype" w:eastAsia="Times New Roman" w:cs="Times New Roman"/>
          <w:kern w:val="0"/>
          <w14:ligatures w14:val="none"/>
        </w:rPr>
        <w:t>the proposal</w:t>
      </w:r>
      <w:r w:rsidRPr="00DA0F80" w:rsidR="00BA0F1F">
        <w:rPr>
          <w:rFonts w:ascii="Palatino Linotype" w:hAnsi="Palatino Linotype" w:eastAsia="Times New Roman" w:cs="Times New Roman"/>
          <w:kern w:val="0"/>
          <w14:ligatures w14:val="none"/>
        </w:rPr>
        <w:t>, including the ORCHARD participation incentives</w:t>
      </w:r>
      <w:r w:rsidR="00AD7AAB">
        <w:rPr>
          <w:rFonts w:ascii="Palatino Linotype" w:hAnsi="Palatino Linotype" w:eastAsia="Times New Roman" w:cs="Times New Roman"/>
          <w:kern w:val="0"/>
          <w14:ligatures w14:val="none"/>
        </w:rPr>
        <w:t>,</w:t>
      </w:r>
      <w:r w:rsidR="00DA0F80">
        <w:rPr>
          <w:rFonts w:ascii="Palatino Linotype" w:hAnsi="Palatino Linotype" w:eastAsia="Times New Roman" w:cs="Times New Roman"/>
          <w:kern w:val="0"/>
          <w14:ligatures w14:val="none"/>
        </w:rPr>
        <w:t xml:space="preserve"> and 3) d</w:t>
      </w:r>
      <w:r w:rsidRPr="00DA0F80" w:rsidR="00E23BF0">
        <w:rPr>
          <w:rFonts w:ascii="Palatino Linotype" w:hAnsi="Palatino Linotype" w:eastAsia="Times New Roman" w:cs="Times New Roman"/>
          <w:kern w:val="0"/>
          <w14:ligatures w14:val="none"/>
        </w:rPr>
        <w:t xml:space="preserve">enies the </w:t>
      </w:r>
      <w:r w:rsidR="00B22008">
        <w:rPr>
          <w:rFonts w:ascii="Palatino Linotype" w:hAnsi="Palatino Linotype" w:eastAsia="Times New Roman" w:cs="Times New Roman"/>
          <w:kern w:val="0"/>
          <w14:ligatures w14:val="none"/>
        </w:rPr>
        <w:t>rebates for bidirectional equipment.</w:t>
      </w:r>
      <w:r w:rsidRPr="00DA0F80" w:rsidR="00E23BF0">
        <w:rPr>
          <w:rFonts w:ascii="Palatino Linotype" w:hAnsi="Palatino Linotype" w:eastAsia="Times New Roman" w:cs="Times New Roman"/>
          <w:kern w:val="0"/>
          <w14:ligatures w14:val="none"/>
        </w:rPr>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E05EF2" w:rsidR="00A76F4A" w:rsidP="00A76F4A" w:rsidRDefault="00A76F4A" w14:paraId="23A78212" w14:textId="1FF8095C">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There are no safety considerations associated with this resolution. </w:t>
      </w:r>
    </w:p>
    <w:p w:rsidRPr="001942D0" w:rsidR="00A76F4A" w:rsidP="00A76F4A" w:rsidRDefault="00A76F4A" w14:paraId="64A6B8D1"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A76F4A" w:rsidRDefault="00A76F4A" w14:paraId="39F1C355" w14:textId="0D2D89F4">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003355C4">
        <w:rPr>
          <w:rFonts w:ascii="Palatino Linotype" w:hAnsi="Palatino Linotype" w:eastAsia="Times New Roman" w:cs="Times New Roman"/>
          <w:kern w:val="0"/>
          <w14:ligatures w14:val="none"/>
        </w:rPr>
        <w:t xml:space="preserve"> </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0ADF6FD2" w14:textId="77777777">
      <w:pPr>
        <w:spacing w:after="0" w:line="240" w:lineRule="auto"/>
        <w:ind w:left="1440" w:right="720"/>
        <w:rPr>
          <w:rFonts w:ascii="Palatino Linotype" w:hAnsi="Palatino Linotype" w:eastAsia="Times New Roman" w:cs="Times New Roman"/>
          <w:kern w:val="0"/>
          <w14:ligatures w14:val="none"/>
        </w:rPr>
      </w:pP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69DD68C8">
      <w:pPr>
        <w:spacing w:after="0" w:line="240" w:lineRule="auto"/>
        <w:ind w:left="720" w:right="720"/>
        <w:rPr>
          <w:rFonts w:ascii="Palatino Linotype" w:hAnsi="Palatino Linotype" w:eastAsia="Palatino Linotype" w:cs="Times New Roman"/>
          <w:kern w:val="0"/>
          <w14:ligatures w14:val="none"/>
        </w:rPr>
      </w:pPr>
      <w:r w:rsidRPr="0085259C">
        <w:rPr>
          <w:rFonts w:ascii="Palatino Linotype" w:hAnsi="Palatino Linotype" w:eastAsia="Palatino Linotype" w:cs="Times New Roman"/>
          <w:kern w:val="0"/>
          <w14:ligatures w14:val="none"/>
        </w:rPr>
        <w:t xml:space="preserve">By Advice Letter </w:t>
      </w:r>
      <w:r w:rsidRPr="0085259C" w:rsidR="00805398">
        <w:rPr>
          <w:rFonts w:ascii="Palatino Linotype" w:hAnsi="Palatino Linotype" w:eastAsia="Palatino Linotype" w:cs="Times New Roman"/>
          <w:kern w:val="0"/>
          <w14:ligatures w14:val="none"/>
        </w:rPr>
        <w:t>5536</w:t>
      </w:r>
      <w:r w:rsidRPr="0085259C">
        <w:rPr>
          <w:rFonts w:ascii="Palatino Linotype" w:hAnsi="Palatino Linotype" w:eastAsia="Palatino Linotype" w:cs="Times New Roman"/>
          <w:kern w:val="0"/>
          <w14:ligatures w14:val="none"/>
        </w:rPr>
        <w:t xml:space="preserve">-E, Filed on </w:t>
      </w:r>
      <w:r w:rsidRPr="0085259C" w:rsidR="00400A28">
        <w:rPr>
          <w:rFonts w:ascii="Palatino Linotype" w:hAnsi="Palatino Linotype" w:eastAsia="Palatino Linotype" w:cs="Times New Roman"/>
          <w:kern w:val="0"/>
          <w14:ligatures w14:val="none"/>
        </w:rPr>
        <w:t>April 29, 2025</w:t>
      </w:r>
      <w:r w:rsidRPr="0085259C" w:rsidR="0085259C">
        <w:rPr>
          <w:rFonts w:ascii="Palatino Linotype" w:hAnsi="Palatino Linotype" w:eastAsia="Palatino Linotype" w:cs="Times New Roman"/>
          <w:kern w:val="0"/>
          <w14:ligatures w14:val="none"/>
        </w:rPr>
        <w:t>.</w:t>
      </w:r>
      <w:r w:rsidR="0085259C">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00C15047" w:rsidRDefault="00C15047" w14:paraId="7279783F" w14:textId="2663E327">
      <w:pPr>
        <w:rPr>
          <w:rFonts w:ascii="Palatino Linotype" w:hAnsi="Palatino Linotype" w:eastAsia="Palatino Linotype" w:cs="Times New Roman"/>
          <w:b/>
          <w:kern w:val="0"/>
          <w14:ligatures w14:val="none"/>
        </w:rPr>
      </w:pPr>
      <w:r>
        <w:rPr>
          <w:rFonts w:ascii="Palatino Linotype" w:hAnsi="Palatino Linotype" w:eastAsia="Palatino Linotype" w:cs="Times New Roman"/>
          <w:b/>
          <w:kern w:val="0"/>
          <w14:ligatures w14:val="none"/>
        </w:rPr>
        <w:br w:type="page"/>
      </w:r>
    </w:p>
    <w:p w:rsidRPr="00374393" w:rsidR="001B6DC7" w:rsidP="00374393" w:rsidRDefault="00A76F4A" w14:paraId="35AFCFE0" w14:textId="54005553">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A870C2" w:rsidR="008819D1" w:rsidP="2128FA49" w:rsidRDefault="00651296" w14:paraId="21872A74" w14:textId="54B79FB3">
      <w:pPr>
        <w:spacing w:after="0" w:line="240" w:lineRule="auto"/>
        <w:rPr>
          <w:rFonts w:ascii="Palatino Linotype" w:hAnsi="Palatino Linotype" w:eastAsia="Times New Roman" w:cs="Times New Roman"/>
          <w:kern w:val="0"/>
          <w14:ligatures w14:val="none"/>
        </w:rPr>
      </w:pPr>
      <w:r w:rsidRPr="2128FA49">
        <w:rPr>
          <w:rFonts w:ascii="Palatino Linotype" w:hAnsi="Palatino Linotype" w:eastAsia="Palatino Linotype" w:cs="Times New Roman"/>
        </w:rPr>
        <w:t xml:space="preserve">This </w:t>
      </w:r>
      <w:r w:rsidR="00C15047">
        <w:rPr>
          <w:rFonts w:ascii="Palatino Linotype" w:hAnsi="Palatino Linotype" w:eastAsia="Palatino Linotype" w:cs="Times New Roman"/>
        </w:rPr>
        <w:t>R</w:t>
      </w:r>
      <w:r w:rsidRPr="2128FA49">
        <w:rPr>
          <w:rFonts w:ascii="Palatino Linotype" w:hAnsi="Palatino Linotype" w:eastAsia="Palatino Linotype" w:cs="Times New Roman"/>
        </w:rPr>
        <w:t xml:space="preserve">esolution approves, with modifications, the request from Southern California Edison </w:t>
      </w:r>
      <w:r w:rsidRPr="2128FA49" w:rsidR="00F1267E">
        <w:rPr>
          <w:rFonts w:ascii="Palatino Linotype" w:hAnsi="Palatino Linotype" w:eastAsia="Palatino Linotype" w:cs="Times New Roman"/>
        </w:rPr>
        <w:t xml:space="preserve">(SCE) to establish a new vehicle-grid integration (VGI) program within its </w:t>
      </w:r>
      <w:r w:rsidRPr="2128FA49" w:rsidR="00221740">
        <w:rPr>
          <w:rFonts w:ascii="Palatino Linotype" w:hAnsi="Palatino Linotype" w:eastAsia="Palatino Linotype" w:cs="Times New Roman"/>
        </w:rPr>
        <w:t xml:space="preserve">existing </w:t>
      </w:r>
      <w:r w:rsidRPr="2128FA49" w:rsidR="00F1267E">
        <w:rPr>
          <w:rFonts w:ascii="Palatino Linotype" w:hAnsi="Palatino Linotype" w:eastAsia="Palatino Linotype" w:cs="Times New Roman"/>
        </w:rPr>
        <w:t xml:space="preserve">Low Carbon Fuel Standard (LCFS) </w:t>
      </w:r>
      <w:r w:rsidRPr="2128FA49" w:rsidR="00221740">
        <w:rPr>
          <w:rFonts w:ascii="Palatino Linotype" w:hAnsi="Palatino Linotype" w:eastAsia="Palatino Linotype" w:cs="Times New Roman"/>
        </w:rPr>
        <w:t>Implementation Plan</w:t>
      </w:r>
      <w:r w:rsidRPr="2128FA49" w:rsidR="00F1267E">
        <w:rPr>
          <w:rFonts w:ascii="Palatino Linotype" w:hAnsi="Palatino Linotype" w:eastAsia="Palatino Linotype" w:cs="Times New Roman"/>
        </w:rPr>
        <w:t xml:space="preserve">. </w:t>
      </w:r>
      <w:r w:rsidRPr="2128FA49" w:rsidR="00072C3B">
        <w:rPr>
          <w:rFonts w:ascii="Palatino Linotype" w:hAnsi="Palatino Linotype" w:eastAsia="Palatino Linotype" w:cs="Times New Roman"/>
        </w:rPr>
        <w:t xml:space="preserve">On </w:t>
      </w:r>
      <w:r w:rsidRPr="2128FA49" w:rsidR="00F61548">
        <w:rPr>
          <w:rFonts w:ascii="Palatino Linotype" w:hAnsi="Palatino Linotype" w:eastAsia="Palatino Linotype" w:cs="Times New Roman"/>
        </w:rPr>
        <w:t xml:space="preserve">April 29, 2025, SCE filed Advice Letter (AL) 5536-E, requesting to </w:t>
      </w:r>
      <w:r w:rsidRPr="2128FA49" w:rsidR="002C0B4C">
        <w:rPr>
          <w:rFonts w:ascii="Palatino Linotype" w:hAnsi="Palatino Linotype" w:eastAsia="Palatino Linotype" w:cs="Times New Roman"/>
        </w:rPr>
        <w:t>(1) include a new VGI program in SCE’s existing LCFS Implementation Plan, and (2) exempt the requirements of P</w:t>
      </w:r>
      <w:r w:rsidR="0004420C">
        <w:rPr>
          <w:rFonts w:ascii="Palatino Linotype" w:hAnsi="Palatino Linotype" w:eastAsia="Palatino Linotype" w:cs="Times New Roman"/>
        </w:rPr>
        <w:t>ublic Utilities Code (P</w:t>
      </w:r>
      <w:r w:rsidRPr="2128FA49" w:rsidR="002C0B4C">
        <w:rPr>
          <w:rFonts w:ascii="Palatino Linotype" w:hAnsi="Palatino Linotype" w:eastAsia="Palatino Linotype" w:cs="Times New Roman"/>
        </w:rPr>
        <w:t>UC</w:t>
      </w:r>
      <w:r w:rsidR="0004420C">
        <w:rPr>
          <w:rFonts w:ascii="Palatino Linotype" w:hAnsi="Palatino Linotype" w:eastAsia="Palatino Linotype" w:cs="Times New Roman"/>
        </w:rPr>
        <w:t>)</w:t>
      </w:r>
      <w:r w:rsidR="00002BAF">
        <w:rPr>
          <w:rFonts w:ascii="Palatino Linotype" w:hAnsi="Palatino Linotype" w:eastAsia="Palatino Linotype" w:cs="Times New Roman"/>
        </w:rPr>
        <w:t xml:space="preserve"> Section</w:t>
      </w:r>
      <w:r w:rsidRPr="2128FA49" w:rsidR="002C0B4C">
        <w:rPr>
          <w:rFonts w:ascii="Palatino Linotype" w:hAnsi="Palatino Linotype" w:eastAsia="Palatino Linotype" w:cs="Times New Roman"/>
        </w:rPr>
        <w:t xml:space="preserve"> 851 as it applies to the LCFS holdback credit sales. </w:t>
      </w:r>
      <w:r w:rsidR="00F05D1C">
        <w:rPr>
          <w:rFonts w:ascii="Palatino Linotype" w:hAnsi="Palatino Linotype" w:eastAsia="Palatino Linotype" w:cs="Times New Roman"/>
        </w:rPr>
        <w:br/>
      </w:r>
      <w:r w:rsidRPr="2128FA49" w:rsidR="002C0B4C">
        <w:rPr>
          <w:rFonts w:ascii="Palatino Linotype" w:hAnsi="Palatino Linotype" w:eastAsia="Palatino Linotype" w:cs="Times New Roman"/>
        </w:rPr>
        <w:t xml:space="preserve">The </w:t>
      </w:r>
      <w:r w:rsidRPr="2128FA49" w:rsidR="003C11CA">
        <w:rPr>
          <w:rFonts w:ascii="Palatino Linotype" w:hAnsi="Palatino Linotype" w:eastAsia="Palatino Linotype" w:cs="Times New Roman"/>
        </w:rPr>
        <w:t xml:space="preserve">VGI </w:t>
      </w:r>
      <w:r w:rsidRPr="2128FA49" w:rsidR="006A2DB7">
        <w:rPr>
          <w:rFonts w:ascii="Palatino Linotype" w:hAnsi="Palatino Linotype" w:eastAsia="Palatino Linotype" w:cs="Times New Roman"/>
        </w:rPr>
        <w:t>proposal</w:t>
      </w:r>
      <w:r w:rsidRPr="2128FA49" w:rsidR="002C0B4C">
        <w:rPr>
          <w:rFonts w:ascii="Palatino Linotype" w:hAnsi="Palatino Linotype" w:eastAsia="Palatino Linotype" w:cs="Times New Roman"/>
        </w:rPr>
        <w:t xml:space="preserve"> consists of two major components.</w:t>
      </w:r>
      <w:r w:rsidRPr="00A870C2" w:rsidR="006A2DB7">
        <w:rPr>
          <w:rFonts w:ascii="Palatino Linotype" w:hAnsi="Palatino Linotype" w:eastAsia="Palatino Linotype" w:cs="Times New Roman"/>
          <w:kern w:val="0"/>
          <w14:ligatures w14:val="none"/>
        </w:rPr>
        <w:t xml:space="preserve"> </w:t>
      </w:r>
      <w:r w:rsidRPr="2128FA49" w:rsidR="004A64AB">
        <w:rPr>
          <w:rFonts w:ascii="Palatino Linotype" w:hAnsi="Palatino Linotype" w:eastAsia="Times New Roman" w:cs="Times New Roman"/>
        </w:rPr>
        <w:t>First, the proposal presents the Orchestrated Charging and Advanced Resiliency for Distribution (ORCHARD)</w:t>
      </w:r>
      <w:r w:rsidRPr="2128FA49" w:rsidR="000D0AA6">
        <w:rPr>
          <w:rFonts w:ascii="Palatino Linotype" w:hAnsi="Palatino Linotype" w:eastAsia="Times New Roman" w:cs="Times New Roman"/>
        </w:rPr>
        <w:t>, which</w:t>
      </w:r>
      <w:r w:rsidRPr="2128FA49" w:rsidR="004A64AB">
        <w:rPr>
          <w:rFonts w:ascii="Palatino Linotype" w:hAnsi="Palatino Linotype" w:eastAsia="Times New Roman" w:cs="Times New Roman"/>
        </w:rPr>
        <w:t xml:space="preserve"> would </w:t>
      </w:r>
      <w:r w:rsidR="003845AD">
        <w:rPr>
          <w:rFonts w:ascii="Palatino Linotype" w:hAnsi="Palatino Linotype" w:eastAsia="Times New Roman" w:cs="Times New Roman"/>
        </w:rPr>
        <w:t xml:space="preserve">integrate </w:t>
      </w:r>
      <w:r w:rsidR="0099105F">
        <w:rPr>
          <w:rFonts w:ascii="Palatino Linotype" w:hAnsi="Palatino Linotype" w:eastAsia="Times New Roman" w:cs="Times New Roman"/>
        </w:rPr>
        <w:t>a</w:t>
      </w:r>
      <w:r w:rsidRPr="2128FA49" w:rsidR="004A64AB">
        <w:rPr>
          <w:rFonts w:ascii="Palatino Linotype" w:hAnsi="Palatino Linotype" w:eastAsia="Times New Roman" w:cs="Times New Roman"/>
        </w:rPr>
        <w:t xml:space="preserve"> software</w:t>
      </w:r>
      <w:r w:rsidR="0099105F">
        <w:rPr>
          <w:rFonts w:ascii="Palatino Linotype" w:hAnsi="Palatino Linotype" w:eastAsia="Times New Roman" w:cs="Times New Roman"/>
        </w:rPr>
        <w:t xml:space="preserve"> layer</w:t>
      </w:r>
      <w:r w:rsidRPr="2128FA49" w:rsidR="004A64AB">
        <w:rPr>
          <w:rFonts w:ascii="Palatino Linotype" w:hAnsi="Palatino Linotype" w:eastAsia="Times New Roman" w:cs="Times New Roman"/>
        </w:rPr>
        <w:t xml:space="preserve"> in</w:t>
      </w:r>
      <w:r w:rsidR="0099105F">
        <w:rPr>
          <w:rFonts w:ascii="Palatino Linotype" w:hAnsi="Palatino Linotype" w:eastAsia="Times New Roman" w:cs="Times New Roman"/>
        </w:rPr>
        <w:t>to</w:t>
      </w:r>
      <w:r w:rsidRPr="2128FA49" w:rsidR="004A64AB">
        <w:rPr>
          <w:rFonts w:ascii="Palatino Linotype" w:hAnsi="Palatino Linotype" w:eastAsia="Times New Roman" w:cs="Times New Roman"/>
        </w:rPr>
        <w:t xml:space="preserve"> </w:t>
      </w:r>
      <w:r w:rsidRPr="2128FA49" w:rsidR="00143C1B">
        <w:rPr>
          <w:rFonts w:ascii="Palatino Linotype" w:hAnsi="Palatino Linotype" w:eastAsia="Times New Roman" w:cs="Times New Roman"/>
        </w:rPr>
        <w:t>SCE’s</w:t>
      </w:r>
      <w:r w:rsidRPr="2128FA49" w:rsidR="004A64AB">
        <w:rPr>
          <w:rFonts w:ascii="Palatino Linotype" w:hAnsi="Palatino Linotype" w:eastAsia="Times New Roman" w:cs="Times New Roman"/>
        </w:rPr>
        <w:t xml:space="preserve"> Distributed Energy Resource Management System (DERMS) that would optimize customer EV charging times.</w:t>
      </w:r>
      <w:r w:rsidRPr="2128FA49" w:rsidR="000D0AA6">
        <w:rPr>
          <w:rFonts w:ascii="Palatino Linotype" w:hAnsi="Palatino Linotype" w:eastAsia="Times New Roman" w:cs="Times New Roman"/>
        </w:rPr>
        <w:t xml:space="preserve"> </w:t>
      </w:r>
      <w:r w:rsidRPr="2128FA49" w:rsidR="00E6225B">
        <w:rPr>
          <w:rFonts w:ascii="Palatino Linotype" w:hAnsi="Palatino Linotype" w:eastAsia="Palatino Linotype" w:cs="Times New Roman"/>
        </w:rPr>
        <w:t xml:space="preserve">ORCHARD would offer </w:t>
      </w:r>
      <w:r w:rsidR="003845BC">
        <w:rPr>
          <w:rFonts w:ascii="Palatino Linotype" w:hAnsi="Palatino Linotype" w:eastAsia="Palatino Linotype" w:cs="Times New Roman"/>
        </w:rPr>
        <w:t xml:space="preserve">each </w:t>
      </w:r>
      <w:r w:rsidRPr="2128FA49" w:rsidR="00E6225B">
        <w:rPr>
          <w:rFonts w:ascii="Palatino Linotype" w:hAnsi="Palatino Linotype" w:eastAsia="Palatino Linotype" w:cs="Times New Roman"/>
        </w:rPr>
        <w:t xml:space="preserve">participant </w:t>
      </w:r>
      <w:r w:rsidR="00932357">
        <w:rPr>
          <w:rFonts w:ascii="Palatino Linotype" w:hAnsi="Palatino Linotype" w:eastAsia="Palatino Linotype" w:cs="Times New Roman"/>
        </w:rPr>
        <w:t xml:space="preserve">an annually declining </w:t>
      </w:r>
      <w:r w:rsidRPr="2128FA49" w:rsidR="00E6225B">
        <w:rPr>
          <w:rFonts w:ascii="Palatino Linotype" w:hAnsi="Palatino Linotype" w:eastAsia="Palatino Linotype" w:cs="Times New Roman"/>
        </w:rPr>
        <w:t>incentive, starting at $50</w:t>
      </w:r>
      <w:r w:rsidR="00623BBC">
        <w:rPr>
          <w:rFonts w:ascii="Palatino Linotype" w:hAnsi="Palatino Linotype" w:eastAsia="Palatino Linotype" w:cs="Times New Roman"/>
        </w:rPr>
        <w:t xml:space="preserve"> for </w:t>
      </w:r>
      <w:r w:rsidR="003845BC">
        <w:rPr>
          <w:rFonts w:ascii="Palatino Linotype" w:hAnsi="Palatino Linotype" w:eastAsia="Palatino Linotype" w:cs="Times New Roman"/>
        </w:rPr>
        <w:t xml:space="preserve">the </w:t>
      </w:r>
      <w:r w:rsidR="00531EAF">
        <w:rPr>
          <w:rFonts w:ascii="Palatino Linotype" w:hAnsi="Palatino Linotype" w:eastAsia="Palatino Linotype" w:cs="Times New Roman"/>
        </w:rPr>
        <w:t xml:space="preserve">customer’s </w:t>
      </w:r>
      <w:r w:rsidR="00623BBC">
        <w:rPr>
          <w:rFonts w:ascii="Palatino Linotype" w:hAnsi="Palatino Linotype" w:eastAsia="Palatino Linotype" w:cs="Times New Roman"/>
        </w:rPr>
        <w:t>first year of enr</w:t>
      </w:r>
      <w:r w:rsidR="00531EAF">
        <w:rPr>
          <w:rFonts w:ascii="Palatino Linotype" w:hAnsi="Palatino Linotype" w:eastAsia="Palatino Linotype" w:cs="Times New Roman"/>
        </w:rPr>
        <w:t>ollment</w:t>
      </w:r>
      <w:r w:rsidRPr="2128FA49" w:rsidR="00E6225B">
        <w:rPr>
          <w:rFonts w:ascii="Palatino Linotype" w:hAnsi="Palatino Linotype" w:eastAsia="Palatino Linotype" w:cs="Times New Roman"/>
        </w:rPr>
        <w:t xml:space="preserve"> and</w:t>
      </w:r>
      <w:r w:rsidRPr="2128FA49" w:rsidR="3D43A9D5">
        <w:rPr>
          <w:rFonts w:ascii="Palatino Linotype" w:hAnsi="Palatino Linotype" w:eastAsia="Palatino Linotype" w:cs="Times New Roman"/>
        </w:rPr>
        <w:t xml:space="preserve"> fully </w:t>
      </w:r>
      <w:r w:rsidR="00CE7F3B">
        <w:rPr>
          <w:rFonts w:ascii="Palatino Linotype" w:hAnsi="Palatino Linotype" w:eastAsia="Palatino Linotype" w:cs="Times New Roman"/>
        </w:rPr>
        <w:t>withholding</w:t>
      </w:r>
      <w:r w:rsidRPr="2128FA49" w:rsidR="00CE7F3B">
        <w:rPr>
          <w:rFonts w:ascii="Palatino Linotype" w:hAnsi="Palatino Linotype" w:eastAsia="Palatino Linotype" w:cs="Times New Roman"/>
        </w:rPr>
        <w:t xml:space="preserve"> </w:t>
      </w:r>
      <w:r w:rsidRPr="2128FA49" w:rsidR="3D43A9D5">
        <w:rPr>
          <w:rFonts w:ascii="Palatino Linotype" w:hAnsi="Palatino Linotype" w:eastAsia="Palatino Linotype" w:cs="Times New Roman"/>
        </w:rPr>
        <w:t>the incentives</w:t>
      </w:r>
      <w:r w:rsidRPr="2128FA49" w:rsidR="00E6225B">
        <w:rPr>
          <w:rFonts w:ascii="Palatino Linotype" w:hAnsi="Palatino Linotype" w:eastAsia="Palatino Linotype" w:cs="Times New Roman"/>
        </w:rPr>
        <w:t xml:space="preserve"> by the</w:t>
      </w:r>
      <w:r w:rsidR="00531EAF">
        <w:rPr>
          <w:rFonts w:ascii="Palatino Linotype" w:hAnsi="Palatino Linotype" w:eastAsia="Palatino Linotype" w:cs="Times New Roman"/>
        </w:rPr>
        <w:t xml:space="preserve"> customer’s</w:t>
      </w:r>
      <w:r w:rsidRPr="2128FA49" w:rsidR="00E6225B">
        <w:rPr>
          <w:rFonts w:ascii="Palatino Linotype" w:hAnsi="Palatino Linotype" w:eastAsia="Palatino Linotype" w:cs="Times New Roman"/>
        </w:rPr>
        <w:t xml:space="preserve"> fifth year of enrollment.</w:t>
      </w:r>
      <w:r w:rsidRPr="00A870C2" w:rsidR="008819D1">
        <w:rPr>
          <w:rFonts w:ascii="Palatino Linotype" w:hAnsi="Palatino Linotype" w:eastAsia="Palatino Linotype" w:cs="Times New Roman"/>
          <w:kern w:val="0"/>
          <w14:ligatures w14:val="none"/>
        </w:rPr>
        <w:t xml:space="preserve"> </w:t>
      </w:r>
      <w:r w:rsidR="00556F0A">
        <w:rPr>
          <w:rFonts w:ascii="Palatino Linotype" w:hAnsi="Palatino Linotype" w:eastAsia="Palatino Linotype" w:cs="Times New Roman"/>
          <w:kern w:val="0"/>
          <w14:ligatures w14:val="none"/>
        </w:rPr>
        <w:t xml:space="preserve">Second, </w:t>
      </w:r>
      <w:r w:rsidR="00147FC0">
        <w:rPr>
          <w:rFonts w:ascii="Palatino Linotype" w:hAnsi="Palatino Linotype" w:eastAsia="Palatino Linotype" w:cs="Times New Roman"/>
          <w:kern w:val="0"/>
          <w14:ligatures w14:val="none"/>
        </w:rPr>
        <w:t xml:space="preserve">the proposal </w:t>
      </w:r>
      <w:r w:rsidR="00A32424">
        <w:rPr>
          <w:rFonts w:ascii="Palatino Linotype" w:hAnsi="Palatino Linotype" w:eastAsia="Palatino Linotype" w:cs="Times New Roman"/>
          <w:kern w:val="0"/>
          <w14:ligatures w14:val="none"/>
        </w:rPr>
        <w:t xml:space="preserve">would </w:t>
      </w:r>
      <w:r w:rsidR="00E67A13">
        <w:rPr>
          <w:rFonts w:ascii="Palatino Linotype" w:hAnsi="Palatino Linotype" w:eastAsia="Palatino Linotype" w:cs="Times New Roman"/>
          <w:kern w:val="0"/>
          <w14:ligatures w14:val="none"/>
        </w:rPr>
        <w:t xml:space="preserve">offer rebates to </w:t>
      </w:r>
      <w:r w:rsidR="000B003F">
        <w:rPr>
          <w:rFonts w:ascii="Palatino Linotype" w:hAnsi="Palatino Linotype" w:eastAsia="Palatino Linotype" w:cs="Times New Roman"/>
          <w:kern w:val="0"/>
          <w14:ligatures w14:val="none"/>
        </w:rPr>
        <w:t xml:space="preserve">some participants </w:t>
      </w:r>
      <w:r w:rsidR="009E1EC0">
        <w:rPr>
          <w:rFonts w:ascii="Palatino Linotype" w:hAnsi="Palatino Linotype" w:eastAsia="Palatino Linotype" w:cs="Times New Roman"/>
          <w:kern w:val="0"/>
          <w14:ligatures w14:val="none"/>
        </w:rPr>
        <w:t xml:space="preserve">to </w:t>
      </w:r>
      <w:r w:rsidR="00310E50">
        <w:rPr>
          <w:rFonts w:ascii="Palatino Linotype" w:hAnsi="Palatino Linotype" w:eastAsia="Palatino Linotype" w:cs="Times New Roman"/>
          <w:kern w:val="0"/>
          <w14:ligatures w14:val="none"/>
        </w:rPr>
        <w:t>c</w:t>
      </w:r>
      <w:r w:rsidR="009E1EC0">
        <w:rPr>
          <w:rFonts w:ascii="Palatino Linotype" w:hAnsi="Palatino Linotype" w:eastAsia="Palatino Linotype" w:cs="Times New Roman"/>
          <w:kern w:val="0"/>
          <w14:ligatures w14:val="none"/>
        </w:rPr>
        <w:t>over the costs associated with installing bidirectional charging equipment</w:t>
      </w:r>
      <w:r w:rsidR="008157FB">
        <w:rPr>
          <w:rFonts w:ascii="Palatino Linotype" w:hAnsi="Palatino Linotype" w:eastAsia="Palatino Linotype" w:cs="Times New Roman"/>
          <w:kern w:val="0"/>
          <w14:ligatures w14:val="none"/>
        </w:rPr>
        <w:t xml:space="preserve">. </w:t>
      </w:r>
    </w:p>
    <w:p w:rsidR="006749E6" w:rsidP="006749E6" w:rsidRDefault="006749E6" w14:paraId="476A40AD" w14:textId="77777777">
      <w:pPr>
        <w:spacing w:after="0" w:line="240" w:lineRule="auto"/>
        <w:rPr>
          <w:rFonts w:ascii="Palatino Linotype" w:hAnsi="Palatino Linotype" w:eastAsia="Palatino Linotype" w:cs="Times New Roman"/>
          <w:kern w:val="0"/>
          <w14:ligatures w14:val="none"/>
        </w:rPr>
      </w:pPr>
    </w:p>
    <w:p w:rsidRPr="006749E6" w:rsidR="00143C1B" w:rsidP="006749E6" w:rsidRDefault="00A63348" w14:paraId="69FF4894" w14:textId="2FB4D453">
      <w:pPr>
        <w:spacing w:after="0" w:line="240" w:lineRule="auto"/>
        <w:rPr>
          <w:rFonts w:ascii="Palatino Linotype" w:hAnsi="Palatino Linotype" w:eastAsia="Palatino Linotype" w:cs="Times New Roman"/>
          <w:kern w:val="0"/>
          <w14:ligatures w14:val="none"/>
        </w:rPr>
      </w:pPr>
      <w:r w:rsidRPr="004B071C">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Pr>
          <w:rFonts w:ascii="Palatino Linotype" w:hAnsi="Palatino Linotype" w:eastAsia="Palatino Linotype" w:cs="Times New Roman"/>
        </w:rPr>
        <w:t>esolution relies on Decision (D.)</w:t>
      </w:r>
      <w:r w:rsidR="005B2969">
        <w:rPr>
          <w:rFonts w:ascii="Palatino Linotype" w:hAnsi="Palatino Linotype" w:eastAsia="Palatino Linotype" w:cs="Times New Roman"/>
        </w:rPr>
        <w:t xml:space="preserve"> </w:t>
      </w:r>
      <w:r w:rsidRPr="004B071C">
        <w:rPr>
          <w:rFonts w:ascii="Palatino Linotype" w:hAnsi="Palatino Linotype" w:eastAsia="Palatino Linotype" w:cs="Times New Roman"/>
        </w:rPr>
        <w:t>20-12-02</w:t>
      </w:r>
      <w:r w:rsidRPr="004B071C" w:rsidR="00081B75">
        <w:rPr>
          <w:rFonts w:ascii="Palatino Linotype" w:hAnsi="Palatino Linotype" w:eastAsia="Palatino Linotype" w:cs="Times New Roman"/>
        </w:rPr>
        <w:t>7 to assess the merits of the proposal.</w:t>
      </w:r>
      <w:r w:rsidRPr="004B071C" w:rsidR="006749E6">
        <w:rPr>
          <w:rFonts w:ascii="Palatino Linotype" w:hAnsi="Palatino Linotype" w:eastAsia="Palatino Linotype" w:cs="Times New Roman"/>
          <w:kern w:val="0"/>
          <w14:ligatures w14:val="none"/>
        </w:rPr>
        <w:t xml:space="preserve"> </w:t>
      </w:r>
      <w:r w:rsidRPr="004B071C" w:rsidR="00506B1C">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sidR="001361DD">
        <w:rPr>
          <w:rFonts w:ascii="Palatino Linotype" w:hAnsi="Palatino Linotype" w:eastAsia="Palatino Linotype" w:cs="Times New Roman"/>
        </w:rPr>
        <w:t xml:space="preserve">esolution </w:t>
      </w:r>
      <w:r w:rsidRPr="004B071C" w:rsidR="008024E1">
        <w:rPr>
          <w:rFonts w:ascii="Palatino Linotype" w:hAnsi="Palatino Linotype" w:eastAsia="Palatino Linotype" w:cs="Times New Roman"/>
        </w:rPr>
        <w:t>authorizes</w:t>
      </w:r>
      <w:r w:rsidR="00775655">
        <w:rPr>
          <w:rFonts w:ascii="Palatino Linotype" w:hAnsi="Palatino Linotype" w:eastAsia="Palatino Linotype" w:cs="Times New Roman"/>
        </w:rPr>
        <w:t xml:space="preserve"> SCE to </w:t>
      </w:r>
      <w:r w:rsidR="00743343">
        <w:rPr>
          <w:rFonts w:ascii="Palatino Linotype" w:hAnsi="Palatino Linotype" w:eastAsia="Palatino Linotype" w:cs="Times New Roman"/>
        </w:rPr>
        <w:t>allocate</w:t>
      </w:r>
      <w:r w:rsidRPr="004B071C" w:rsidR="008024E1">
        <w:rPr>
          <w:rFonts w:ascii="Palatino Linotype" w:hAnsi="Palatino Linotype" w:eastAsia="Palatino Linotype" w:cs="Times New Roman"/>
        </w:rPr>
        <w:t xml:space="preserve"> </w:t>
      </w:r>
      <w:r w:rsidRPr="004B071C" w:rsidR="00C957E0">
        <w:rPr>
          <w:rFonts w:ascii="Palatino Linotype" w:hAnsi="Palatino Linotype" w:eastAsia="Palatino Linotype" w:cs="Times New Roman"/>
        </w:rPr>
        <w:t>$</w:t>
      </w:r>
      <w:r w:rsidR="00EB555E">
        <w:rPr>
          <w:rFonts w:ascii="Palatino Linotype" w:hAnsi="Palatino Linotype" w:eastAsia="Palatino Linotype" w:cs="Times New Roman"/>
        </w:rPr>
        <w:t>11</w:t>
      </w:r>
      <w:r w:rsidRPr="004B071C" w:rsidR="00B75536">
        <w:rPr>
          <w:rFonts w:ascii="Palatino Linotype" w:hAnsi="Palatino Linotype" w:eastAsia="Palatino Linotype" w:cs="Times New Roman"/>
        </w:rPr>
        <w:t>,</w:t>
      </w:r>
      <w:r w:rsidR="00EB555E">
        <w:rPr>
          <w:rFonts w:ascii="Palatino Linotype" w:hAnsi="Palatino Linotype" w:eastAsia="Palatino Linotype" w:cs="Times New Roman"/>
        </w:rPr>
        <w:t>464</w:t>
      </w:r>
      <w:r w:rsidRPr="004B071C" w:rsidR="00B75536">
        <w:rPr>
          <w:rFonts w:ascii="Palatino Linotype" w:hAnsi="Palatino Linotype" w:eastAsia="Palatino Linotype" w:cs="Times New Roman"/>
        </w:rPr>
        <w:t>,</w:t>
      </w:r>
      <w:r w:rsidR="00C2091F">
        <w:rPr>
          <w:rFonts w:ascii="Palatino Linotype" w:hAnsi="Palatino Linotype" w:eastAsia="Palatino Linotype" w:cs="Times New Roman"/>
        </w:rPr>
        <w:t>112</w:t>
      </w:r>
      <w:r w:rsidRPr="004B071C" w:rsidR="00C957E0">
        <w:rPr>
          <w:rFonts w:ascii="Palatino Linotype" w:hAnsi="Palatino Linotype" w:eastAsia="Palatino Linotype" w:cs="Times New Roman"/>
        </w:rPr>
        <w:t xml:space="preserve"> </w:t>
      </w:r>
      <w:r w:rsidR="00743343">
        <w:rPr>
          <w:rFonts w:ascii="Palatino Linotype" w:hAnsi="Palatino Linotype" w:eastAsia="Palatino Linotype" w:cs="Times New Roman"/>
        </w:rPr>
        <w:t xml:space="preserve">of its LCFS holdback </w:t>
      </w:r>
      <w:r w:rsidR="00014305">
        <w:rPr>
          <w:rFonts w:ascii="Palatino Linotype" w:hAnsi="Palatino Linotype" w:eastAsia="Palatino Linotype" w:cs="Times New Roman"/>
        </w:rPr>
        <w:t xml:space="preserve">credits </w:t>
      </w:r>
      <w:r w:rsidR="00743343">
        <w:rPr>
          <w:rFonts w:ascii="Palatino Linotype" w:hAnsi="Palatino Linotype" w:eastAsia="Palatino Linotype" w:cs="Times New Roman"/>
        </w:rPr>
        <w:t xml:space="preserve">toward </w:t>
      </w:r>
      <w:r w:rsidRPr="004B071C" w:rsidR="008024E1">
        <w:rPr>
          <w:rFonts w:ascii="Palatino Linotype" w:hAnsi="Palatino Linotype" w:eastAsia="Palatino Linotype" w:cs="Times New Roman"/>
        </w:rPr>
        <w:t xml:space="preserve">the </w:t>
      </w:r>
      <w:r w:rsidRPr="004B071C" w:rsidR="008E3B94">
        <w:rPr>
          <w:rFonts w:ascii="Palatino Linotype" w:hAnsi="Palatino Linotype" w:eastAsia="Palatino Linotype" w:cs="Times New Roman"/>
        </w:rPr>
        <w:t xml:space="preserve">orchestrated load management </w:t>
      </w:r>
      <w:r w:rsidRPr="004B071C" w:rsidR="008024E1">
        <w:rPr>
          <w:rFonts w:ascii="Palatino Linotype" w:hAnsi="Palatino Linotype" w:eastAsia="Palatino Linotype" w:cs="Times New Roman"/>
        </w:rPr>
        <w:t>component of SCE’s proposal</w:t>
      </w:r>
      <w:r w:rsidRPr="004B071C" w:rsidR="006479E3">
        <w:rPr>
          <w:rFonts w:ascii="Palatino Linotype" w:hAnsi="Palatino Linotype" w:eastAsia="Palatino Linotype" w:cs="Times New Roman"/>
        </w:rPr>
        <w:t xml:space="preserve"> as well as the participation incentives. </w:t>
      </w:r>
      <w:r w:rsidRPr="004B071C" w:rsidR="005215D8">
        <w:rPr>
          <w:rFonts w:ascii="Palatino Linotype" w:hAnsi="Palatino Linotype" w:eastAsia="Palatino Linotype" w:cs="Times New Roman"/>
        </w:rPr>
        <w:t xml:space="preserve">This </w:t>
      </w:r>
      <w:r w:rsidRPr="004B071C" w:rsidR="00A645BF">
        <w:rPr>
          <w:rFonts w:ascii="Palatino Linotype" w:hAnsi="Palatino Linotype" w:eastAsia="Palatino Linotype" w:cs="Times New Roman"/>
        </w:rPr>
        <w:t>R</w:t>
      </w:r>
      <w:r w:rsidRPr="004B071C" w:rsidR="005215D8">
        <w:rPr>
          <w:rFonts w:ascii="Palatino Linotype" w:hAnsi="Palatino Linotype" w:eastAsia="Palatino Linotype" w:cs="Times New Roman"/>
        </w:rPr>
        <w:t xml:space="preserve">esolution </w:t>
      </w:r>
      <w:r w:rsidRPr="004B071C" w:rsidR="009A22E1">
        <w:rPr>
          <w:rFonts w:ascii="Palatino Linotype" w:hAnsi="Palatino Linotype" w:eastAsia="Palatino Linotype" w:cs="Times New Roman"/>
        </w:rPr>
        <w:t>denies</w:t>
      </w:r>
      <w:r w:rsidRPr="004B071C" w:rsidR="005215D8">
        <w:rPr>
          <w:rFonts w:ascii="Palatino Linotype" w:hAnsi="Palatino Linotype" w:eastAsia="Palatino Linotype" w:cs="Times New Roman"/>
        </w:rPr>
        <w:t xml:space="preserve"> the </w:t>
      </w:r>
      <w:r w:rsidR="00A90C62">
        <w:rPr>
          <w:rFonts w:ascii="Palatino Linotype" w:hAnsi="Palatino Linotype" w:eastAsia="Palatino Linotype" w:cs="Times New Roman"/>
        </w:rPr>
        <w:t xml:space="preserve">rebates </w:t>
      </w:r>
      <w:r w:rsidR="008B2AE0">
        <w:rPr>
          <w:rFonts w:ascii="Palatino Linotype" w:hAnsi="Palatino Linotype" w:eastAsia="Palatino Linotype" w:cs="Times New Roman"/>
        </w:rPr>
        <w:t>for bidirectional charging equipment</w:t>
      </w:r>
      <w:r w:rsidRPr="004B071C" w:rsidR="009A22E1">
        <w:rPr>
          <w:rFonts w:ascii="Palatino Linotype" w:hAnsi="Palatino Linotype" w:eastAsia="Palatino Linotype" w:cs="Times New Roman"/>
        </w:rPr>
        <w:t xml:space="preserve"> </w:t>
      </w:r>
      <w:r w:rsidR="002A050F">
        <w:rPr>
          <w:rFonts w:ascii="Palatino Linotype" w:hAnsi="Palatino Linotype" w:eastAsia="Palatino Linotype" w:cs="Times New Roman"/>
        </w:rPr>
        <w:t>as</w:t>
      </w:r>
      <w:r w:rsidR="00BE35E2">
        <w:rPr>
          <w:rFonts w:ascii="Palatino Linotype" w:hAnsi="Palatino Linotype" w:eastAsia="Palatino Linotype" w:cs="Times New Roman"/>
        </w:rPr>
        <w:t xml:space="preserve"> unreasonable. </w:t>
      </w:r>
    </w:p>
    <w:p w:rsidRPr="001942D0" w:rsidR="00A76F4A" w:rsidP="00A76F4A" w:rsidRDefault="00A76F4A" w14:paraId="0A92918B" w14:textId="40983B61">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374393" w:rsidP="00A76F4A" w:rsidRDefault="00374393" w14:paraId="1C611AC3" w14:textId="4F73FE07">
      <w:pPr>
        <w:spacing w:after="0" w:line="240" w:lineRule="auto"/>
        <w:rPr>
          <w:rFonts w:ascii="Palatino Linotype" w:hAnsi="Palatino Linotype" w:eastAsia="Times New Roman" w:cs="Times New Roman"/>
          <w:kern w:val="0"/>
          <w14:ligatures w14:val="none"/>
        </w:rPr>
      </w:pPr>
      <w:r w:rsidRPr="007D02B1">
        <w:rPr>
          <w:rFonts w:ascii="Palatino Linotype" w:hAnsi="Palatino Linotype" w:eastAsia="Times New Roman" w:cs="Times New Roman"/>
          <w:kern w:val="0"/>
          <w14:ligatures w14:val="none"/>
        </w:rPr>
        <w:t>This Resolution</w:t>
      </w:r>
      <w:r>
        <w:rPr>
          <w:rFonts w:ascii="Palatino Linotype" w:hAnsi="Palatino Linotype" w:eastAsia="Times New Roman" w:cs="Times New Roman"/>
          <w:kern w:val="0"/>
          <w14:ligatures w14:val="none"/>
        </w:rPr>
        <w:t xml:space="preserve"> addresses SCE AL 5536-E, filed pursuant to Decision (D.)20-12-027.</w:t>
      </w:r>
      <w:r w:rsidRPr="007D02B1">
        <w:rPr>
          <w:rFonts w:ascii="Palatino Linotype" w:hAnsi="Palatino Linotype" w:eastAsia="Times New Roman" w:cs="Times New Roman"/>
          <w:kern w:val="0"/>
          <w14:ligatures w14:val="none"/>
        </w:rPr>
        <w:t xml:space="preserve"> </w:t>
      </w:r>
    </w:p>
    <w:p w:rsidR="005347A3" w:rsidP="00A76F4A" w:rsidRDefault="005347A3" w14:paraId="28C399BB" w14:textId="77777777">
      <w:pPr>
        <w:spacing w:after="0" w:line="240" w:lineRule="auto"/>
        <w:rPr>
          <w:rFonts w:ascii="Palatino Linotype" w:hAnsi="Palatino Linotype" w:eastAsia="Times New Roman" w:cs="Times New Roman"/>
          <w:kern w:val="0"/>
          <w14:ligatures w14:val="none"/>
        </w:rPr>
      </w:pPr>
    </w:p>
    <w:p w:rsidR="00AA608B" w:rsidP="004F059F" w:rsidRDefault="008C02F1" w14:paraId="3A25E7BD" w14:textId="17A1FEA6">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In 2009, the California Air Resources Board (CARB) </w:t>
      </w:r>
      <w:r w:rsidR="00935D24">
        <w:rPr>
          <w:rFonts w:ascii="Palatino Linotype" w:hAnsi="Palatino Linotype" w:eastAsia="Times New Roman" w:cs="Times New Roman"/>
          <w:kern w:val="0"/>
          <w14:ligatures w14:val="none"/>
        </w:rPr>
        <w:t xml:space="preserve">adopted the Low Carbon Fuel Standard </w:t>
      </w:r>
      <w:r w:rsidR="00BE73DF">
        <w:rPr>
          <w:rFonts w:ascii="Palatino Linotype" w:hAnsi="Palatino Linotype" w:eastAsia="Times New Roman" w:cs="Times New Roman"/>
          <w:kern w:val="0"/>
          <w14:ligatures w14:val="none"/>
        </w:rPr>
        <w:t xml:space="preserve">(LCFS) </w:t>
      </w:r>
      <w:r w:rsidR="00C313D6">
        <w:rPr>
          <w:rFonts w:ascii="Palatino Linotype" w:hAnsi="Palatino Linotype" w:eastAsia="Times New Roman" w:cs="Times New Roman"/>
          <w:kern w:val="0"/>
          <w14:ligatures w14:val="none"/>
        </w:rPr>
        <w:t xml:space="preserve">and began </w:t>
      </w:r>
      <w:r w:rsidR="00D262C3">
        <w:rPr>
          <w:rFonts w:ascii="Palatino Linotype" w:hAnsi="Palatino Linotype" w:eastAsia="Times New Roman" w:cs="Times New Roman"/>
          <w:kern w:val="0"/>
          <w14:ligatures w14:val="none"/>
        </w:rPr>
        <w:t xml:space="preserve">implementing the regulation in 2011. </w:t>
      </w:r>
      <w:r w:rsidR="00BE73DF">
        <w:rPr>
          <w:rFonts w:ascii="Palatino Linotype" w:hAnsi="Palatino Linotype" w:eastAsia="Times New Roman" w:cs="Times New Roman"/>
          <w:kern w:val="0"/>
          <w14:ligatures w14:val="none"/>
        </w:rPr>
        <w:t xml:space="preserve">LCFS </w:t>
      </w:r>
      <w:r w:rsidRPr="00BE73DF" w:rsidR="00BE73DF">
        <w:rPr>
          <w:rFonts w:ascii="Palatino Linotype" w:hAnsi="Palatino Linotype" w:eastAsia="Times New Roman" w:cs="Times New Roman"/>
          <w:kern w:val="0"/>
          <w14:ligatures w14:val="none"/>
        </w:rPr>
        <w:t xml:space="preserve">encourages the use and production of low-carbon transportation fuels to reduce </w:t>
      </w:r>
      <w:r w:rsidR="002442B6">
        <w:rPr>
          <w:rFonts w:ascii="Palatino Linotype" w:hAnsi="Palatino Linotype" w:eastAsia="Times New Roman" w:cs="Times New Roman"/>
          <w:kern w:val="0"/>
          <w14:ligatures w14:val="none"/>
        </w:rPr>
        <w:t>greenhouse gas (</w:t>
      </w:r>
      <w:r w:rsidRPr="00BE73DF" w:rsidR="00BE73DF">
        <w:rPr>
          <w:rFonts w:ascii="Palatino Linotype" w:hAnsi="Palatino Linotype" w:eastAsia="Times New Roman" w:cs="Times New Roman"/>
          <w:kern w:val="0"/>
          <w14:ligatures w14:val="none"/>
        </w:rPr>
        <w:t>GHG</w:t>
      </w:r>
      <w:r w:rsidR="002442B6">
        <w:rPr>
          <w:rFonts w:ascii="Palatino Linotype" w:hAnsi="Palatino Linotype" w:eastAsia="Times New Roman" w:cs="Times New Roman"/>
          <w:kern w:val="0"/>
          <w14:ligatures w14:val="none"/>
        </w:rPr>
        <w:t>)</w:t>
      </w:r>
      <w:r w:rsidRPr="00BE73DF" w:rsidR="00BE73DF">
        <w:rPr>
          <w:rFonts w:ascii="Palatino Linotype" w:hAnsi="Palatino Linotype" w:eastAsia="Times New Roman" w:cs="Times New Roman"/>
          <w:kern w:val="0"/>
          <w14:ligatures w14:val="none"/>
        </w:rPr>
        <w:t xml:space="preserve"> emissions and petroleum reliance</w:t>
      </w:r>
      <w:r w:rsidR="00364523">
        <w:rPr>
          <w:rFonts w:ascii="Palatino Linotype" w:hAnsi="Palatino Linotype" w:eastAsia="Times New Roman" w:cs="Times New Roman"/>
          <w:kern w:val="0"/>
          <w14:ligatures w14:val="none"/>
        </w:rPr>
        <w:t xml:space="preserve">. </w:t>
      </w:r>
      <w:r w:rsidRPr="009861EB" w:rsidR="009861EB">
        <w:rPr>
          <w:rFonts w:ascii="Palatino Linotype" w:hAnsi="Palatino Linotype" w:eastAsia="Times New Roman" w:cs="Times New Roman"/>
          <w:kern w:val="0"/>
          <w14:ligatures w14:val="none"/>
        </w:rPr>
        <w:t>Low-carbon fuel providers</w:t>
      </w:r>
      <w:r w:rsidR="00E35E04">
        <w:rPr>
          <w:rFonts w:ascii="Palatino Linotype" w:hAnsi="Palatino Linotype" w:eastAsia="Times New Roman" w:cs="Times New Roman"/>
          <w:kern w:val="0"/>
          <w14:ligatures w14:val="none"/>
        </w:rPr>
        <w:t xml:space="preserve">, </w:t>
      </w:r>
      <w:r w:rsidRPr="00364523" w:rsidR="009861EB">
        <w:rPr>
          <w:rFonts w:ascii="Palatino Linotype" w:hAnsi="Palatino Linotype" w:eastAsia="Times New Roman" w:cs="Times New Roman"/>
          <w:kern w:val="0"/>
          <w14:ligatures w14:val="none"/>
        </w:rPr>
        <w:t>incl</w:t>
      </w:r>
      <w:r w:rsidR="00364523">
        <w:rPr>
          <w:rFonts w:ascii="Palatino Linotype" w:hAnsi="Palatino Linotype" w:eastAsia="Times New Roman" w:cs="Times New Roman"/>
          <w:kern w:val="0"/>
          <w14:ligatures w14:val="none"/>
        </w:rPr>
        <w:t>uding</w:t>
      </w:r>
      <w:r w:rsidRPr="00364523" w:rsidR="009861EB">
        <w:rPr>
          <w:rFonts w:ascii="Palatino Linotype" w:hAnsi="Palatino Linotype" w:eastAsia="Times New Roman" w:cs="Times New Roman"/>
          <w:kern w:val="0"/>
          <w14:ligatures w14:val="none"/>
        </w:rPr>
        <w:t xml:space="preserve"> electric</w:t>
      </w:r>
      <w:r w:rsidR="004F10F1">
        <w:rPr>
          <w:rFonts w:ascii="Palatino Linotype" w:hAnsi="Palatino Linotype" w:eastAsia="Times New Roman" w:cs="Times New Roman"/>
          <w:kern w:val="0"/>
          <w14:ligatures w14:val="none"/>
        </w:rPr>
        <w:t>al distribution utilities (EDUs)</w:t>
      </w:r>
      <w:r w:rsidR="00E35E04">
        <w:rPr>
          <w:rFonts w:ascii="Palatino Linotype" w:hAnsi="Palatino Linotype" w:eastAsia="Times New Roman" w:cs="Times New Roman"/>
          <w:kern w:val="0"/>
          <w14:ligatures w14:val="none"/>
        </w:rPr>
        <w:t>,</w:t>
      </w:r>
      <w:r w:rsidR="000C2F4F">
        <w:rPr>
          <w:rStyle w:val="FootnoteReference"/>
          <w:rFonts w:ascii="Palatino Linotype" w:hAnsi="Palatino Linotype" w:eastAsia="Times New Roman" w:cs="Times New Roman"/>
          <w:kern w:val="0"/>
          <w14:ligatures w14:val="none"/>
        </w:rPr>
        <w:footnoteReference w:id="2"/>
      </w:r>
      <w:r w:rsidRPr="009861EB" w:rsidR="009861EB">
        <w:rPr>
          <w:rFonts w:ascii="Palatino Linotype" w:hAnsi="Palatino Linotype" w:eastAsia="Times New Roman" w:cs="Times New Roman"/>
          <w:kern w:val="0"/>
          <w14:ligatures w14:val="none"/>
        </w:rPr>
        <w:t xml:space="preserve"> generate </w:t>
      </w:r>
      <w:r w:rsidR="009E3166">
        <w:rPr>
          <w:rFonts w:ascii="Palatino Linotype" w:hAnsi="Palatino Linotype" w:eastAsia="Times New Roman" w:cs="Times New Roman"/>
          <w:kern w:val="0"/>
          <w14:ligatures w14:val="none"/>
        </w:rPr>
        <w:t xml:space="preserve">LCFS </w:t>
      </w:r>
      <w:r w:rsidRPr="009861EB" w:rsidR="009861EB">
        <w:rPr>
          <w:rFonts w:ascii="Palatino Linotype" w:hAnsi="Palatino Linotype" w:eastAsia="Times New Roman" w:cs="Times New Roman"/>
          <w:kern w:val="0"/>
          <w14:ligatures w14:val="none"/>
        </w:rPr>
        <w:t xml:space="preserve">credits by obtaining </w:t>
      </w:r>
      <w:r w:rsidR="000C181C">
        <w:rPr>
          <w:rFonts w:ascii="Palatino Linotype" w:hAnsi="Palatino Linotype" w:eastAsia="Times New Roman" w:cs="Times New Roman"/>
          <w:kern w:val="0"/>
          <w14:ligatures w14:val="none"/>
        </w:rPr>
        <w:t xml:space="preserve">carbon intensity </w:t>
      </w:r>
      <w:r w:rsidRPr="00364523" w:rsidR="009861EB">
        <w:rPr>
          <w:rFonts w:ascii="Palatino Linotype" w:hAnsi="Palatino Linotype" w:eastAsia="Times New Roman" w:cs="Times New Roman"/>
          <w:kern w:val="0"/>
          <w14:ligatures w14:val="none"/>
        </w:rPr>
        <w:t>certifi</w:t>
      </w:r>
      <w:r w:rsidR="000C181C">
        <w:rPr>
          <w:rFonts w:ascii="Palatino Linotype" w:hAnsi="Palatino Linotype" w:eastAsia="Times New Roman" w:cs="Times New Roman"/>
          <w:kern w:val="0"/>
          <w14:ligatures w14:val="none"/>
        </w:rPr>
        <w:t>cation</w:t>
      </w:r>
      <w:r w:rsidRPr="009861EB" w:rsidR="009861EB">
        <w:rPr>
          <w:rFonts w:ascii="Palatino Linotype" w:hAnsi="Palatino Linotype" w:eastAsia="Times New Roman" w:cs="Times New Roman"/>
          <w:kern w:val="0"/>
          <w14:ligatures w14:val="none"/>
        </w:rPr>
        <w:t xml:space="preserve"> by CARB and reporting transaction quantities quarterly</w:t>
      </w:r>
      <w:r w:rsidR="000C181C">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 xml:space="preserve">EDUs generate </w:t>
      </w:r>
      <w:r w:rsidR="00A53192">
        <w:rPr>
          <w:rFonts w:ascii="Palatino Linotype" w:hAnsi="Palatino Linotype" w:eastAsia="Times New Roman" w:cs="Times New Roman"/>
          <w:kern w:val="0"/>
          <w14:ligatures w14:val="none"/>
        </w:rPr>
        <w:t>base</w:t>
      </w:r>
      <w:r w:rsidRPr="001A1EF5" w:rsidR="00AA608B">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 xml:space="preserve">credits for </w:t>
      </w:r>
      <w:r w:rsidR="001F1950">
        <w:rPr>
          <w:rFonts w:ascii="Palatino Linotype" w:hAnsi="Palatino Linotype" w:eastAsia="Times New Roman" w:cs="Times New Roman"/>
          <w:kern w:val="0"/>
          <w14:ligatures w14:val="none"/>
        </w:rPr>
        <w:t xml:space="preserve">supplying </w:t>
      </w:r>
      <w:r w:rsidR="00AA608B">
        <w:rPr>
          <w:rFonts w:ascii="Palatino Linotype" w:hAnsi="Palatino Linotype" w:eastAsia="Times New Roman" w:cs="Times New Roman"/>
          <w:kern w:val="0"/>
          <w14:ligatures w14:val="none"/>
        </w:rPr>
        <w:t xml:space="preserve">electricity </w:t>
      </w:r>
      <w:r w:rsidR="001F1950">
        <w:rPr>
          <w:rFonts w:ascii="Palatino Linotype" w:hAnsi="Palatino Linotype" w:eastAsia="Times New Roman" w:cs="Times New Roman"/>
          <w:kern w:val="0"/>
          <w14:ligatures w14:val="none"/>
        </w:rPr>
        <w:t xml:space="preserve">to </w:t>
      </w:r>
      <w:r w:rsidR="00061C09">
        <w:rPr>
          <w:rFonts w:ascii="Palatino Linotype" w:hAnsi="Palatino Linotype" w:eastAsia="Times New Roman" w:cs="Times New Roman"/>
          <w:kern w:val="0"/>
          <w14:ligatures w14:val="none"/>
        </w:rPr>
        <w:t>customers for EV charging</w:t>
      </w:r>
      <w:r w:rsidR="001A1EF5">
        <w:rPr>
          <w:rFonts w:ascii="Palatino Linotype" w:hAnsi="Palatino Linotype" w:eastAsia="Times New Roman" w:cs="Times New Roman"/>
          <w:kern w:val="0"/>
          <w14:ligatures w14:val="none"/>
        </w:rPr>
        <w:t>.</w:t>
      </w:r>
      <w:r w:rsidR="001A1EF5">
        <w:rPr>
          <w:rStyle w:val="FootnoteReference"/>
          <w:rFonts w:ascii="Palatino Linotype" w:hAnsi="Palatino Linotype" w:eastAsia="Times New Roman" w:cs="Times New Roman"/>
          <w:kern w:val="0"/>
          <w14:ligatures w14:val="none"/>
        </w:rPr>
        <w:footnoteReference w:id="3"/>
      </w:r>
      <w:r w:rsidRPr="001A1EF5" w:rsidR="00AA608B">
        <w:rPr>
          <w:rFonts w:ascii="Palatino Linotype" w:hAnsi="Palatino Linotype" w:eastAsia="Times New Roman" w:cs="Times New Roman"/>
          <w:kern w:val="0"/>
          <w14:ligatures w14:val="none"/>
        </w:rPr>
        <w:t xml:space="preserve"> </w:t>
      </w:r>
      <w:r w:rsidR="00AA608B">
        <w:rPr>
          <w:rFonts w:ascii="Palatino Linotype" w:hAnsi="Palatino Linotype" w:eastAsia="Times New Roman" w:cs="Times New Roman"/>
          <w:kern w:val="0"/>
          <w14:ligatures w14:val="none"/>
        </w:rPr>
        <w:t>A portion of these base credits go</w:t>
      </w:r>
      <w:r w:rsidR="00314487">
        <w:rPr>
          <w:rFonts w:ascii="Palatino Linotype" w:hAnsi="Palatino Linotype" w:eastAsia="Times New Roman" w:cs="Times New Roman"/>
          <w:kern w:val="0"/>
          <w14:ligatures w14:val="none"/>
        </w:rPr>
        <w:t>es</w:t>
      </w:r>
      <w:r w:rsidR="00AA608B">
        <w:rPr>
          <w:rFonts w:ascii="Palatino Linotype" w:hAnsi="Palatino Linotype" w:eastAsia="Times New Roman" w:cs="Times New Roman"/>
          <w:kern w:val="0"/>
          <w14:ligatures w14:val="none"/>
        </w:rPr>
        <w:t xml:space="preserve"> toward the </w:t>
      </w:r>
      <w:r w:rsidR="006C0D51">
        <w:rPr>
          <w:rFonts w:ascii="Palatino Linotype" w:hAnsi="Palatino Linotype" w:eastAsia="Times New Roman" w:cs="Times New Roman"/>
          <w:kern w:val="0"/>
          <w14:ligatures w14:val="none"/>
        </w:rPr>
        <w:t xml:space="preserve">California </w:t>
      </w:r>
      <w:r w:rsidR="00AA608B">
        <w:rPr>
          <w:rFonts w:ascii="Palatino Linotype" w:hAnsi="Palatino Linotype" w:eastAsia="Times New Roman" w:cs="Times New Roman"/>
          <w:kern w:val="0"/>
          <w14:ligatures w14:val="none"/>
        </w:rPr>
        <w:t xml:space="preserve">Clean Fuel Reward </w:t>
      </w:r>
      <w:r w:rsidR="006C0D51">
        <w:rPr>
          <w:rFonts w:ascii="Palatino Linotype" w:hAnsi="Palatino Linotype" w:eastAsia="Times New Roman" w:cs="Times New Roman"/>
          <w:kern w:val="0"/>
          <w14:ligatures w14:val="none"/>
        </w:rPr>
        <w:t>p</w:t>
      </w:r>
      <w:r w:rsidRPr="004F059F" w:rsidR="00AA608B">
        <w:rPr>
          <w:rFonts w:ascii="Palatino Linotype" w:hAnsi="Palatino Linotype" w:eastAsia="Times New Roman" w:cs="Times New Roman"/>
          <w:kern w:val="0"/>
          <w14:ligatures w14:val="none"/>
        </w:rPr>
        <w:t>rogram</w:t>
      </w:r>
      <w:r w:rsidR="00AA608B">
        <w:rPr>
          <w:rFonts w:ascii="Palatino Linotype" w:hAnsi="Palatino Linotype" w:eastAsia="Times New Roman" w:cs="Times New Roman"/>
          <w:kern w:val="0"/>
          <w14:ligatures w14:val="none"/>
        </w:rPr>
        <w:t xml:space="preserve"> while the </w:t>
      </w:r>
      <w:r w:rsidR="00AA608B">
        <w:rPr>
          <w:rFonts w:ascii="Palatino Linotype" w:hAnsi="Palatino Linotype" w:eastAsia="Times New Roman" w:cs="Times New Roman"/>
          <w:kern w:val="0"/>
          <w14:ligatures w14:val="none"/>
        </w:rPr>
        <w:lastRenderedPageBreak/>
        <w:t xml:space="preserve">remaining base credits (also called “holdback credits”) may be allocated toward </w:t>
      </w:r>
      <w:r w:rsidR="00B967FA">
        <w:rPr>
          <w:rFonts w:ascii="Palatino Linotype" w:hAnsi="Palatino Linotype" w:eastAsia="Times New Roman" w:cs="Times New Roman"/>
          <w:kern w:val="0"/>
          <w14:ligatures w14:val="none"/>
        </w:rPr>
        <w:t xml:space="preserve">programs led by </w:t>
      </w:r>
      <w:r w:rsidR="004F54EE">
        <w:rPr>
          <w:rFonts w:ascii="Palatino Linotype" w:hAnsi="Palatino Linotype" w:eastAsia="Times New Roman" w:cs="Times New Roman"/>
          <w:kern w:val="0"/>
          <w14:ligatures w14:val="none"/>
        </w:rPr>
        <w:t>investor-owned utilit</w:t>
      </w:r>
      <w:r w:rsidR="00B967FA">
        <w:rPr>
          <w:rFonts w:ascii="Palatino Linotype" w:hAnsi="Palatino Linotype" w:eastAsia="Times New Roman" w:cs="Times New Roman"/>
          <w:kern w:val="0"/>
          <w14:ligatures w14:val="none"/>
        </w:rPr>
        <w:t>ies</w:t>
      </w:r>
      <w:r w:rsidR="004F54EE">
        <w:rPr>
          <w:rFonts w:ascii="Palatino Linotype" w:hAnsi="Palatino Linotype" w:eastAsia="Times New Roman" w:cs="Times New Roman"/>
          <w:kern w:val="0"/>
          <w14:ligatures w14:val="none"/>
        </w:rPr>
        <w:t xml:space="preserve"> (</w:t>
      </w:r>
      <w:r w:rsidR="00766186">
        <w:rPr>
          <w:rFonts w:ascii="Palatino Linotype" w:hAnsi="Palatino Linotype" w:eastAsia="Times New Roman" w:cs="Times New Roman"/>
          <w:kern w:val="0"/>
          <w14:ligatures w14:val="none"/>
        </w:rPr>
        <w:t>IOU</w:t>
      </w:r>
      <w:r w:rsidR="00B967FA">
        <w:rPr>
          <w:rFonts w:ascii="Palatino Linotype" w:hAnsi="Palatino Linotype" w:eastAsia="Times New Roman" w:cs="Times New Roman"/>
          <w:kern w:val="0"/>
          <w14:ligatures w14:val="none"/>
        </w:rPr>
        <w:t>s</w:t>
      </w:r>
      <w:r w:rsidR="004F54EE">
        <w:rPr>
          <w:rFonts w:ascii="Palatino Linotype" w:hAnsi="Palatino Linotype" w:eastAsia="Times New Roman" w:cs="Times New Roman"/>
          <w:kern w:val="0"/>
          <w14:ligatures w14:val="none"/>
        </w:rPr>
        <w:t>)</w:t>
      </w:r>
      <w:r w:rsidR="004F059F">
        <w:rPr>
          <w:rFonts w:ascii="Palatino Linotype" w:hAnsi="Palatino Linotype" w:eastAsia="Times New Roman" w:cs="Times New Roman"/>
          <w:kern w:val="0"/>
          <w14:ligatures w14:val="none"/>
        </w:rPr>
        <w:t>.</w:t>
      </w:r>
      <w:r w:rsidR="00766186">
        <w:rPr>
          <w:rFonts w:ascii="Palatino Linotype" w:hAnsi="Palatino Linotype" w:eastAsia="Times New Roman" w:cs="Times New Roman"/>
          <w:kern w:val="0"/>
          <w14:ligatures w14:val="none"/>
        </w:rPr>
        <w:t xml:space="preserve"> </w:t>
      </w:r>
    </w:p>
    <w:p w:rsidR="003765D3" w:rsidP="003765D3" w:rsidRDefault="003765D3" w14:paraId="19BD9297" w14:textId="77777777">
      <w:pPr>
        <w:spacing w:after="0" w:line="240" w:lineRule="auto"/>
        <w:rPr>
          <w:rFonts w:ascii="Palatino Linotype" w:hAnsi="Palatino Linotype" w:eastAsia="Times New Roman" w:cs="Times New Roman"/>
          <w:kern w:val="0"/>
          <w14:ligatures w14:val="none"/>
        </w:rPr>
      </w:pPr>
    </w:p>
    <w:p w:rsidR="004B5B21" w:rsidP="003365A9" w:rsidRDefault="001E3927" w14:paraId="30A9FAEF" w14:textId="77777777">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December 21, 2020, </w:t>
      </w:r>
      <w:r w:rsidRPr="005D4D8F">
        <w:rPr>
          <w:rFonts w:ascii="Palatino Linotype" w:hAnsi="Palatino Linotype" w:eastAsia="Times New Roman" w:cs="Times New Roman"/>
          <w:kern w:val="0"/>
          <w14:ligatures w14:val="none"/>
        </w:rPr>
        <w:t xml:space="preserve">CPUC issued </w:t>
      </w:r>
      <w:r w:rsidRPr="005D4D8F" w:rsidR="008B1427">
        <w:rPr>
          <w:rFonts w:ascii="Palatino Linotype" w:hAnsi="Palatino Linotype" w:eastAsia="Times New Roman" w:cs="Times New Roman"/>
          <w:kern w:val="0"/>
          <w14:ligatures w14:val="none"/>
        </w:rPr>
        <w:t>D.20-12-02</w:t>
      </w:r>
      <w:r w:rsidRPr="005D4D8F" w:rsidR="002E4975">
        <w:rPr>
          <w:rFonts w:ascii="Palatino Linotype" w:hAnsi="Palatino Linotype" w:eastAsia="Times New Roman" w:cs="Times New Roman"/>
          <w:kern w:val="0"/>
          <w14:ligatures w14:val="none"/>
        </w:rPr>
        <w:t xml:space="preserve">7, concerning the utilization of Low Carbon Fuel Standard </w:t>
      </w:r>
      <w:r w:rsidRPr="005D4D8F" w:rsidR="00B37A4D">
        <w:rPr>
          <w:rFonts w:ascii="Palatino Linotype" w:hAnsi="Palatino Linotype" w:eastAsia="Times New Roman" w:cs="Times New Roman"/>
          <w:kern w:val="0"/>
          <w14:ligatures w14:val="none"/>
        </w:rPr>
        <w:t xml:space="preserve">holdback revenue. </w:t>
      </w:r>
      <w:r w:rsidRPr="005D4D8F" w:rsidR="00E37544">
        <w:rPr>
          <w:rFonts w:ascii="Palatino Linotype" w:hAnsi="Palatino Linotype" w:eastAsia="Times New Roman" w:cs="Times New Roman"/>
          <w:kern w:val="0"/>
          <w14:ligatures w14:val="none"/>
        </w:rPr>
        <w:t>The Decision require</w:t>
      </w:r>
      <w:r w:rsidRPr="005D4D8F" w:rsidR="00EE6CEF">
        <w:rPr>
          <w:rFonts w:ascii="Palatino Linotype" w:hAnsi="Palatino Linotype" w:eastAsia="Times New Roman" w:cs="Times New Roman"/>
          <w:kern w:val="0"/>
          <w14:ligatures w14:val="none"/>
        </w:rPr>
        <w:t>s</w:t>
      </w:r>
      <w:r w:rsidRPr="005D4D8F" w:rsidR="00850BA8">
        <w:rPr>
          <w:rFonts w:ascii="Palatino Linotype" w:hAnsi="Palatino Linotype" w:eastAsia="Times New Roman" w:cs="Times New Roman"/>
          <w:kern w:val="0"/>
          <w14:ligatures w14:val="none"/>
        </w:rPr>
        <w:t xml:space="preserve"> </w:t>
      </w:r>
      <w:r w:rsidRPr="005D4D8F" w:rsidR="00E37544">
        <w:rPr>
          <w:rFonts w:ascii="Palatino Linotype" w:hAnsi="Palatino Linotype" w:eastAsia="Times New Roman" w:cs="Times New Roman"/>
          <w:kern w:val="0"/>
          <w14:ligatures w14:val="none"/>
        </w:rPr>
        <w:t xml:space="preserve">the </w:t>
      </w:r>
      <w:r w:rsidRPr="005D4D8F" w:rsidR="004554CF">
        <w:rPr>
          <w:rFonts w:ascii="Palatino Linotype" w:hAnsi="Palatino Linotype" w:eastAsia="Times New Roman" w:cs="Times New Roman"/>
          <w:kern w:val="0"/>
          <w14:ligatures w14:val="none"/>
        </w:rPr>
        <w:t>large</w:t>
      </w:r>
      <w:r w:rsidRPr="005D4D8F" w:rsidR="00E37544">
        <w:rPr>
          <w:rFonts w:ascii="Palatino Linotype" w:hAnsi="Palatino Linotype" w:eastAsia="Times New Roman" w:cs="Times New Roman"/>
          <w:kern w:val="0"/>
          <w14:ligatures w14:val="none"/>
        </w:rPr>
        <w:t xml:space="preserve"> </w:t>
      </w:r>
      <w:r w:rsidRPr="005D4D8F" w:rsidR="00EE6CEF">
        <w:rPr>
          <w:rFonts w:ascii="Palatino Linotype" w:hAnsi="Palatino Linotype" w:eastAsia="Times New Roman" w:cs="Times New Roman"/>
          <w:kern w:val="0"/>
          <w14:ligatures w14:val="none"/>
        </w:rPr>
        <w:t>IOUs</w:t>
      </w:r>
      <w:r w:rsidRPr="005D4D8F" w:rsidR="003A05A8">
        <w:rPr>
          <w:rStyle w:val="FootnoteReference"/>
          <w:rFonts w:ascii="Palatino Linotype" w:hAnsi="Palatino Linotype" w:eastAsia="Times New Roman" w:cs="Times New Roman"/>
          <w:kern w:val="0"/>
          <w14:ligatures w14:val="none"/>
        </w:rPr>
        <w:footnoteReference w:id="4"/>
      </w:r>
      <w:r w:rsidRPr="005D4D8F" w:rsidR="00FB3C90">
        <w:rPr>
          <w:rFonts w:ascii="Palatino Linotype" w:hAnsi="Palatino Linotype" w:eastAsia="Times New Roman" w:cs="Times New Roman"/>
          <w:kern w:val="0"/>
          <w14:ligatures w14:val="none"/>
        </w:rPr>
        <w:t xml:space="preserve"> </w:t>
      </w:r>
      <w:r w:rsidRPr="005D4D8F" w:rsidR="00E37544">
        <w:rPr>
          <w:rFonts w:ascii="Palatino Linotype" w:hAnsi="Palatino Linotype" w:eastAsia="Times New Roman" w:cs="Times New Roman"/>
          <w:kern w:val="0"/>
          <w14:ligatures w14:val="none"/>
        </w:rPr>
        <w:t xml:space="preserve">to file </w:t>
      </w:r>
    </w:p>
    <w:p w:rsidR="00E37544" w:rsidP="003365A9" w:rsidRDefault="00E37544" w14:paraId="283E6676" w14:textId="6B8A3897">
      <w:pPr>
        <w:spacing w:after="0" w:line="240" w:lineRule="auto"/>
        <w:rPr>
          <w:rFonts w:ascii="Palatino Linotype" w:hAnsi="Palatino Linotype" w:eastAsia="Times New Roman" w:cs="Times New Roman"/>
          <w:kern w:val="0"/>
          <w14:ligatures w14:val="none"/>
        </w:rPr>
      </w:pPr>
      <w:r w:rsidRPr="005D4D8F">
        <w:rPr>
          <w:rFonts w:ascii="Palatino Linotype" w:hAnsi="Palatino Linotype" w:eastAsia="Times New Roman" w:cs="Times New Roman"/>
          <w:kern w:val="0"/>
          <w14:ligatures w14:val="none"/>
        </w:rPr>
        <w:t>LCFS Holdback revenue return</w:t>
      </w:r>
      <w:r w:rsidR="00A86D0D">
        <w:rPr>
          <w:rStyle w:val="FootnoteReference"/>
          <w:rFonts w:ascii="Palatino Linotype" w:hAnsi="Palatino Linotype" w:eastAsia="Times New Roman" w:cs="Times New Roman"/>
          <w:kern w:val="0"/>
          <w14:ligatures w14:val="none"/>
        </w:rPr>
        <w:footnoteReference w:id="5"/>
      </w:r>
      <w:r w:rsidRPr="00E37544">
        <w:rPr>
          <w:rFonts w:ascii="Palatino Linotype" w:hAnsi="Palatino Linotype" w:eastAsia="Times New Roman" w:cs="Times New Roman"/>
          <w:kern w:val="0"/>
          <w14:ligatures w14:val="none"/>
        </w:rPr>
        <w:t xml:space="preserve"> Implementation Plans to qualify for an exemption from the requirements of PUC </w:t>
      </w:r>
      <w:r w:rsidR="00713B7E">
        <w:rPr>
          <w:rFonts w:ascii="Palatino Linotype" w:hAnsi="Palatino Linotype" w:eastAsia="Times New Roman" w:cs="Times New Roman"/>
          <w:kern w:val="0"/>
          <w14:ligatures w14:val="none"/>
        </w:rPr>
        <w:t>Section</w:t>
      </w:r>
      <w:r w:rsidR="008E61AE">
        <w:rPr>
          <w:rFonts w:ascii="Palatino Linotype" w:hAnsi="Palatino Linotype" w:eastAsia="Times New Roman" w:cs="Times New Roman"/>
          <w:b/>
          <w:bCs/>
          <w:kern w:val="0"/>
          <w14:ligatures w14:val="none"/>
        </w:rPr>
        <w:t xml:space="preserve"> </w:t>
      </w:r>
      <w:r w:rsidRPr="00E37544">
        <w:rPr>
          <w:rFonts w:ascii="Palatino Linotype" w:hAnsi="Palatino Linotype" w:eastAsia="Times New Roman" w:cs="Times New Roman"/>
          <w:kern w:val="0"/>
          <w14:ligatures w14:val="none"/>
        </w:rPr>
        <w:t xml:space="preserve">851 pursuant to PUC </w:t>
      </w:r>
      <w:r w:rsidR="00713B7E">
        <w:rPr>
          <w:rFonts w:ascii="Palatino Linotype" w:hAnsi="Palatino Linotype" w:eastAsia="Times New Roman" w:cs="Times New Roman"/>
          <w:kern w:val="0"/>
          <w14:ligatures w14:val="none"/>
        </w:rPr>
        <w:t>Section</w:t>
      </w:r>
      <w:r w:rsidR="008E61AE">
        <w:rPr>
          <w:rFonts w:ascii="Palatino Linotype" w:hAnsi="Palatino Linotype" w:eastAsia="Times New Roman" w:cs="Times New Roman"/>
          <w:b/>
          <w:bCs/>
          <w:kern w:val="0"/>
          <w14:ligatures w14:val="none"/>
        </w:rPr>
        <w:t xml:space="preserve"> </w:t>
      </w:r>
      <w:r w:rsidRPr="00E37544">
        <w:rPr>
          <w:rFonts w:ascii="Palatino Linotype" w:hAnsi="Palatino Linotype" w:eastAsia="Times New Roman" w:cs="Times New Roman"/>
          <w:kern w:val="0"/>
          <w14:ligatures w14:val="none"/>
        </w:rPr>
        <w:t>853(b).</w:t>
      </w:r>
      <w:r w:rsidR="003F546E">
        <w:rPr>
          <w:rFonts w:ascii="Palatino Linotype" w:hAnsi="Palatino Linotype" w:eastAsia="Times New Roman" w:cs="Times New Roman"/>
          <w:kern w:val="0"/>
          <w14:ligatures w14:val="none"/>
        </w:rPr>
        <w:t xml:space="preserve"> </w:t>
      </w:r>
      <w:r w:rsidR="000C7D48">
        <w:rPr>
          <w:rFonts w:ascii="Palatino Linotype" w:hAnsi="Palatino Linotype" w:eastAsia="Times New Roman" w:cs="Times New Roman"/>
          <w:kern w:val="0"/>
          <w14:ligatures w14:val="none"/>
        </w:rPr>
        <w:t>PUC Section 8</w:t>
      </w:r>
      <w:r w:rsidR="006E131B">
        <w:rPr>
          <w:rFonts w:ascii="Palatino Linotype" w:hAnsi="Palatino Linotype" w:eastAsia="Times New Roman" w:cs="Times New Roman"/>
          <w:kern w:val="0"/>
          <w14:ligatures w14:val="none"/>
        </w:rPr>
        <w:t>5</w:t>
      </w:r>
      <w:r w:rsidR="000C7D48">
        <w:rPr>
          <w:rFonts w:ascii="Palatino Linotype" w:hAnsi="Palatino Linotype" w:eastAsia="Times New Roman" w:cs="Times New Roman"/>
          <w:kern w:val="0"/>
          <w14:ligatures w14:val="none"/>
        </w:rPr>
        <w:t xml:space="preserve">1 </w:t>
      </w:r>
      <w:r w:rsidR="00C4532C">
        <w:rPr>
          <w:rFonts w:ascii="Palatino Linotype" w:hAnsi="Palatino Linotype" w:eastAsia="Times New Roman" w:cs="Times New Roman"/>
          <w:kern w:val="0"/>
          <w14:ligatures w14:val="none"/>
        </w:rPr>
        <w:t xml:space="preserve">prohibits </w:t>
      </w:r>
      <w:r w:rsidR="009212EA">
        <w:rPr>
          <w:rFonts w:ascii="Palatino Linotype" w:hAnsi="Palatino Linotype" w:eastAsia="Times New Roman" w:cs="Times New Roman"/>
          <w:kern w:val="0"/>
          <w14:ligatures w14:val="none"/>
        </w:rPr>
        <w:t xml:space="preserve">IOUs from selling </w:t>
      </w:r>
      <w:r w:rsidR="00B91597">
        <w:rPr>
          <w:rFonts w:ascii="Palatino Linotype" w:hAnsi="Palatino Linotype" w:eastAsia="Times New Roman" w:cs="Times New Roman"/>
          <w:kern w:val="0"/>
          <w14:ligatures w14:val="none"/>
        </w:rPr>
        <w:t>utility</w:t>
      </w:r>
      <w:r w:rsidR="009212EA">
        <w:rPr>
          <w:rFonts w:ascii="Palatino Linotype" w:hAnsi="Palatino Linotype" w:eastAsia="Times New Roman" w:cs="Times New Roman"/>
          <w:kern w:val="0"/>
          <w14:ligatures w14:val="none"/>
        </w:rPr>
        <w:t xml:space="preserve"> assets</w:t>
      </w:r>
      <w:r w:rsidR="009C07CA">
        <w:rPr>
          <w:rFonts w:ascii="Palatino Linotype" w:hAnsi="Palatino Linotype" w:eastAsia="Times New Roman" w:cs="Times New Roman"/>
          <w:kern w:val="0"/>
          <w14:ligatures w14:val="none"/>
        </w:rPr>
        <w:t>—including LCFS credits</w:t>
      </w:r>
      <w:r w:rsidR="00B91597">
        <w:rPr>
          <w:rFonts w:ascii="Palatino Linotype" w:hAnsi="Palatino Linotype" w:eastAsia="Times New Roman" w:cs="Times New Roman"/>
          <w:kern w:val="0"/>
          <w14:ligatures w14:val="none"/>
        </w:rPr>
        <w:t>,</w:t>
      </w:r>
      <w:r w:rsidR="00BD7CE3">
        <w:rPr>
          <w:rFonts w:ascii="Palatino Linotype" w:hAnsi="Palatino Linotype" w:eastAsia="Times New Roman" w:cs="Times New Roman"/>
          <w:kern w:val="0"/>
          <w14:ligatures w14:val="none"/>
        </w:rPr>
        <w:t xml:space="preserve"> per D.</w:t>
      </w:r>
      <w:r w:rsidR="0076468C">
        <w:rPr>
          <w:rFonts w:ascii="Palatino Linotype" w:hAnsi="Palatino Linotype" w:eastAsia="Times New Roman" w:cs="Times New Roman"/>
          <w:kern w:val="0"/>
          <w14:ligatures w14:val="none"/>
        </w:rPr>
        <w:t>14-05-021</w:t>
      </w:r>
      <w:r w:rsidR="00752762">
        <w:rPr>
          <w:rFonts w:ascii="Palatino Linotype" w:hAnsi="Palatino Linotype" w:eastAsia="Times New Roman" w:cs="Times New Roman"/>
          <w:kern w:val="0"/>
          <w14:ligatures w14:val="none"/>
        </w:rPr>
        <w:t>—</w:t>
      </w:r>
      <w:r w:rsidR="009212EA">
        <w:rPr>
          <w:rFonts w:ascii="Palatino Linotype" w:hAnsi="Palatino Linotype" w:eastAsia="Times New Roman" w:cs="Times New Roman"/>
          <w:kern w:val="0"/>
          <w14:ligatures w14:val="none"/>
        </w:rPr>
        <w:t xml:space="preserve">without </w:t>
      </w:r>
      <w:r w:rsidR="009C07CA">
        <w:rPr>
          <w:rFonts w:ascii="Palatino Linotype" w:hAnsi="Palatino Linotype" w:eastAsia="Times New Roman" w:cs="Times New Roman"/>
          <w:kern w:val="0"/>
          <w14:ligatures w14:val="none"/>
        </w:rPr>
        <w:t xml:space="preserve">CPUC </w:t>
      </w:r>
      <w:r w:rsidR="004E41FE">
        <w:rPr>
          <w:rFonts w:ascii="Palatino Linotype" w:hAnsi="Palatino Linotype" w:eastAsia="Times New Roman" w:cs="Times New Roman"/>
          <w:kern w:val="0"/>
          <w14:ligatures w14:val="none"/>
        </w:rPr>
        <w:t>authorization</w:t>
      </w:r>
      <w:r w:rsidR="009C07CA">
        <w:rPr>
          <w:rFonts w:ascii="Palatino Linotype" w:hAnsi="Palatino Linotype" w:eastAsia="Times New Roman" w:cs="Times New Roman"/>
          <w:kern w:val="0"/>
          <w14:ligatures w14:val="none"/>
        </w:rPr>
        <w:t xml:space="preserve">. </w:t>
      </w:r>
      <w:r w:rsidR="00D71E77">
        <w:rPr>
          <w:rFonts w:ascii="Palatino Linotype" w:hAnsi="Palatino Linotype" w:eastAsia="Times New Roman" w:cs="Times New Roman"/>
          <w:kern w:val="0"/>
          <w14:ligatures w14:val="none"/>
        </w:rPr>
        <w:t xml:space="preserve">PUC 853(b) </w:t>
      </w:r>
      <w:r w:rsidR="0078531A">
        <w:rPr>
          <w:rFonts w:ascii="Palatino Linotype" w:hAnsi="Palatino Linotype" w:eastAsia="Times New Roman" w:cs="Times New Roman"/>
          <w:kern w:val="0"/>
          <w14:ligatures w14:val="none"/>
        </w:rPr>
        <w:t xml:space="preserve">exempts </w:t>
      </w:r>
      <w:r w:rsidR="00626716">
        <w:rPr>
          <w:rFonts w:ascii="Palatino Linotype" w:hAnsi="Palatino Linotype" w:eastAsia="Times New Roman" w:cs="Times New Roman"/>
          <w:kern w:val="0"/>
          <w14:ligatures w14:val="none"/>
        </w:rPr>
        <w:t>IOUs from th</w:t>
      </w:r>
      <w:r w:rsidR="00120C01">
        <w:rPr>
          <w:rFonts w:ascii="Palatino Linotype" w:hAnsi="Palatino Linotype" w:eastAsia="Times New Roman" w:cs="Times New Roman"/>
          <w:kern w:val="0"/>
          <w14:ligatures w14:val="none"/>
        </w:rPr>
        <w:t>is requirement</w:t>
      </w:r>
      <w:r w:rsidR="00660E1F">
        <w:rPr>
          <w:rFonts w:ascii="Palatino Linotype" w:hAnsi="Palatino Linotype" w:eastAsia="Times New Roman" w:cs="Times New Roman"/>
          <w:kern w:val="0"/>
          <w14:ligatures w14:val="none"/>
        </w:rPr>
        <w:t xml:space="preserve">, but the CPUC </w:t>
      </w:r>
      <w:r w:rsidR="007B5D75">
        <w:rPr>
          <w:rFonts w:ascii="Palatino Linotype" w:hAnsi="Palatino Linotype" w:eastAsia="Times New Roman" w:cs="Times New Roman"/>
          <w:kern w:val="0"/>
          <w14:ligatures w14:val="none"/>
        </w:rPr>
        <w:t xml:space="preserve">may </w:t>
      </w:r>
      <w:r w:rsidR="003E26C0">
        <w:rPr>
          <w:rFonts w:ascii="Palatino Linotype" w:hAnsi="Palatino Linotype" w:eastAsia="Times New Roman" w:cs="Times New Roman"/>
          <w:kern w:val="0"/>
          <w14:ligatures w14:val="none"/>
        </w:rPr>
        <w:t>still</w:t>
      </w:r>
      <w:r w:rsidR="00F7089E">
        <w:rPr>
          <w:rFonts w:ascii="Palatino Linotype" w:hAnsi="Palatino Linotype" w:eastAsia="Times New Roman" w:cs="Times New Roman"/>
          <w:kern w:val="0"/>
          <w14:ligatures w14:val="none"/>
        </w:rPr>
        <w:t xml:space="preserve"> impose requirements </w:t>
      </w:r>
      <w:r w:rsidR="00001C3D">
        <w:rPr>
          <w:rFonts w:ascii="Palatino Linotype" w:hAnsi="Palatino Linotype" w:eastAsia="Times New Roman" w:cs="Times New Roman"/>
          <w:kern w:val="0"/>
          <w14:ligatures w14:val="none"/>
        </w:rPr>
        <w:t xml:space="preserve">to protect </w:t>
      </w:r>
      <w:r w:rsidR="005C0F5A">
        <w:rPr>
          <w:rFonts w:ascii="Palatino Linotype" w:hAnsi="Palatino Linotype" w:eastAsia="Times New Roman" w:cs="Times New Roman"/>
          <w:kern w:val="0"/>
          <w14:ligatures w14:val="none"/>
        </w:rPr>
        <w:t xml:space="preserve">IOU customers. </w:t>
      </w:r>
      <w:r w:rsidR="00D205CF">
        <w:rPr>
          <w:rFonts w:ascii="Palatino Linotype" w:hAnsi="Palatino Linotype" w:eastAsia="Times New Roman" w:cs="Times New Roman"/>
          <w:kern w:val="0"/>
          <w14:ligatures w14:val="none"/>
        </w:rPr>
        <w:t xml:space="preserve">The large IOUs’ </w:t>
      </w:r>
      <w:r w:rsidRPr="00E37544">
        <w:rPr>
          <w:rFonts w:ascii="Palatino Linotype" w:hAnsi="Palatino Linotype" w:eastAsia="Times New Roman" w:cs="Times New Roman"/>
          <w:kern w:val="0"/>
          <w14:ligatures w14:val="none"/>
        </w:rPr>
        <w:t>Implementation Plan</w:t>
      </w:r>
      <w:r w:rsidR="00A25E64">
        <w:rPr>
          <w:rFonts w:ascii="Palatino Linotype" w:hAnsi="Palatino Linotype" w:eastAsia="Times New Roman" w:cs="Times New Roman"/>
          <w:kern w:val="0"/>
          <w14:ligatures w14:val="none"/>
        </w:rPr>
        <w:t>s must</w:t>
      </w:r>
      <w:r w:rsidRPr="00E37544">
        <w:rPr>
          <w:rFonts w:ascii="Palatino Linotype" w:hAnsi="Palatino Linotype" w:eastAsia="Times New Roman" w:cs="Times New Roman"/>
          <w:kern w:val="0"/>
          <w14:ligatures w14:val="none"/>
        </w:rPr>
        <w:t xml:space="preserve"> include a </w:t>
      </w:r>
      <w:r w:rsidR="000E0E27">
        <w:rPr>
          <w:rFonts w:ascii="Palatino Linotype" w:hAnsi="Palatino Linotype" w:eastAsia="Times New Roman" w:cs="Times New Roman"/>
          <w:kern w:val="0"/>
          <w14:ligatures w14:val="none"/>
        </w:rPr>
        <w:t xml:space="preserve">program </w:t>
      </w:r>
      <w:r w:rsidRPr="00E37544">
        <w:rPr>
          <w:rFonts w:ascii="Palatino Linotype" w:hAnsi="Palatino Linotype" w:eastAsia="Times New Roman" w:cs="Times New Roman"/>
          <w:kern w:val="0"/>
          <w14:ligatures w14:val="none"/>
        </w:rPr>
        <w:t xml:space="preserve">proposal and a description </w:t>
      </w:r>
      <w:r w:rsidR="00C14C9A">
        <w:rPr>
          <w:rFonts w:ascii="Palatino Linotype" w:hAnsi="Palatino Linotype" w:eastAsia="Times New Roman" w:cs="Times New Roman"/>
          <w:kern w:val="0"/>
          <w14:ligatures w14:val="none"/>
        </w:rPr>
        <w:t>of</w:t>
      </w:r>
      <w:r w:rsidRPr="00E37544">
        <w:rPr>
          <w:rFonts w:ascii="Palatino Linotype" w:hAnsi="Palatino Linotype" w:eastAsia="Times New Roman" w:cs="Times New Roman"/>
          <w:kern w:val="0"/>
          <w14:ligatures w14:val="none"/>
        </w:rPr>
        <w:t xml:space="preserve"> how the large IOU plans to spend the funds</w:t>
      </w:r>
      <w:r w:rsidR="00C134E8">
        <w:rPr>
          <w:rFonts w:ascii="Palatino Linotype" w:hAnsi="Palatino Linotype" w:eastAsia="Times New Roman" w:cs="Times New Roman"/>
          <w:kern w:val="0"/>
          <w14:ligatures w14:val="none"/>
        </w:rPr>
        <w:t>.</w:t>
      </w:r>
      <w:r w:rsidRPr="00E37544">
        <w:rPr>
          <w:rFonts w:ascii="Palatino Linotype" w:hAnsi="Palatino Linotype" w:eastAsia="Times New Roman" w:cs="Times New Roman"/>
          <w:kern w:val="0"/>
          <w14:ligatures w14:val="none"/>
        </w:rPr>
        <w:t xml:space="preserve"> </w:t>
      </w:r>
      <w:r w:rsidR="00C134E8">
        <w:rPr>
          <w:rFonts w:ascii="Palatino Linotype" w:hAnsi="Palatino Linotype" w:eastAsia="Times New Roman" w:cs="Times New Roman"/>
          <w:kern w:val="0"/>
          <w14:ligatures w14:val="none"/>
        </w:rPr>
        <w:t xml:space="preserve">This description must </w:t>
      </w:r>
      <w:r w:rsidRPr="00E37544">
        <w:rPr>
          <w:rFonts w:ascii="Palatino Linotype" w:hAnsi="Palatino Linotype" w:eastAsia="Times New Roman" w:cs="Times New Roman"/>
          <w:kern w:val="0"/>
          <w14:ligatures w14:val="none"/>
        </w:rPr>
        <w:t>include the status of the development of the program(s), an implementation timeline, and the approximate budget</w:t>
      </w:r>
      <w:r w:rsidR="00A63C8D">
        <w:rPr>
          <w:rFonts w:ascii="Palatino Linotype" w:hAnsi="Palatino Linotype" w:eastAsia="Times New Roman" w:cs="Times New Roman"/>
          <w:kern w:val="0"/>
          <w14:ligatures w14:val="none"/>
        </w:rPr>
        <w:t>.</w:t>
      </w:r>
      <w:r w:rsidR="00A63C8D">
        <w:rPr>
          <w:rStyle w:val="FootnoteReference"/>
          <w:rFonts w:ascii="Palatino Linotype" w:hAnsi="Palatino Linotype" w:eastAsia="Times New Roman" w:cs="Times New Roman"/>
          <w:kern w:val="0"/>
          <w14:ligatures w14:val="none"/>
        </w:rPr>
        <w:footnoteReference w:id="6"/>
      </w:r>
      <w:r w:rsidRPr="00A63C8D" w:rsidR="00A93372">
        <w:rPr>
          <w:rFonts w:ascii="Palatino Linotype" w:hAnsi="Palatino Linotype" w:eastAsia="Times New Roman" w:cs="Times New Roman"/>
          <w:kern w:val="0"/>
          <w14:ligatures w14:val="none"/>
        </w:rPr>
        <w:t xml:space="preserve"> </w:t>
      </w:r>
      <w:r w:rsidR="003545CF">
        <w:rPr>
          <w:rFonts w:ascii="Palatino Linotype" w:hAnsi="Palatino Linotype" w:eastAsia="Times New Roman" w:cs="Times New Roman"/>
          <w:kern w:val="0"/>
          <w14:ligatures w14:val="none"/>
        </w:rPr>
        <w:t>Additionally</w:t>
      </w:r>
      <w:r w:rsidRPr="00E37544">
        <w:rPr>
          <w:rFonts w:ascii="Palatino Linotype" w:hAnsi="Palatino Linotype" w:eastAsia="Times New Roman" w:cs="Times New Roman"/>
          <w:kern w:val="0"/>
          <w14:ligatures w14:val="none"/>
        </w:rPr>
        <w:t xml:space="preserve">, the Implementation Plans must </w:t>
      </w:r>
      <w:r w:rsidR="00CC518F">
        <w:rPr>
          <w:rFonts w:ascii="Palatino Linotype" w:hAnsi="Palatino Linotype" w:eastAsia="Times New Roman" w:cs="Times New Roman"/>
          <w:kern w:val="0"/>
          <w14:ligatures w14:val="none"/>
        </w:rPr>
        <w:t>describe</w:t>
      </w:r>
      <w:r w:rsidR="00623B28">
        <w:rPr>
          <w:rFonts w:ascii="Palatino Linotype" w:hAnsi="Palatino Linotype" w:eastAsia="Times New Roman" w:cs="Times New Roman"/>
          <w:kern w:val="0"/>
          <w14:ligatures w14:val="none"/>
        </w:rPr>
        <w:t xml:space="preserve"> how</w:t>
      </w:r>
      <w:r w:rsidRPr="00E37544">
        <w:rPr>
          <w:rFonts w:ascii="Palatino Linotype" w:hAnsi="Palatino Linotype" w:eastAsia="Times New Roman" w:cs="Times New Roman"/>
          <w:kern w:val="0"/>
          <w14:ligatures w14:val="none"/>
        </w:rPr>
        <w:t>: </w:t>
      </w:r>
    </w:p>
    <w:p w:rsidR="005D3C58" w:rsidP="00897A9F" w:rsidRDefault="00623B28" w14:paraId="5282E321" w14:textId="7C6C716F">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5C3DD8">
        <w:rPr>
          <w:rFonts w:ascii="Palatino Linotype" w:hAnsi="Palatino Linotype" w:eastAsia="Times New Roman" w:cs="Times New Roman"/>
          <w:kern w:val="0"/>
          <w14:ligatures w14:val="none"/>
        </w:rPr>
        <w:t>he</w:t>
      </w:r>
      <w:r w:rsidR="003A2262">
        <w:rPr>
          <w:rFonts w:ascii="Palatino Linotype" w:hAnsi="Palatino Linotype" w:eastAsia="Times New Roman" w:cs="Times New Roman"/>
          <w:kern w:val="0"/>
          <w14:ligatures w14:val="none"/>
        </w:rPr>
        <w:t xml:space="preserve"> holdback expenditures are dedicated to equity or resiliency projects, if applicable and as defined by D.20-12-027</w:t>
      </w:r>
      <w:r w:rsidR="000202C7">
        <w:rPr>
          <w:rFonts w:ascii="Palatino Linotype" w:hAnsi="Palatino Linotype" w:eastAsia="Times New Roman" w:cs="Times New Roman"/>
          <w:kern w:val="0"/>
          <w14:ligatures w14:val="none"/>
        </w:rPr>
        <w:t>.</w:t>
      </w:r>
    </w:p>
    <w:p w:rsidR="0031263E" w:rsidP="00897A9F" w:rsidRDefault="00623B28" w14:paraId="04277378" w14:textId="1AED7072">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31263E">
        <w:rPr>
          <w:rFonts w:ascii="Palatino Linotype" w:hAnsi="Palatino Linotype" w:eastAsia="Times New Roman" w:cs="Times New Roman"/>
          <w:kern w:val="0"/>
          <w14:ligatures w14:val="none"/>
        </w:rPr>
        <w:t>he holdback expenditures and planned investments benefit current or future EV drivers in California</w:t>
      </w:r>
      <w:r w:rsidR="000202C7">
        <w:rPr>
          <w:rFonts w:ascii="Palatino Linotype" w:hAnsi="Palatino Linotype" w:eastAsia="Times New Roman" w:cs="Times New Roman"/>
          <w:kern w:val="0"/>
          <w14:ligatures w14:val="none"/>
        </w:rPr>
        <w:t>.</w:t>
      </w:r>
      <w:r w:rsidR="0031263E">
        <w:rPr>
          <w:rFonts w:ascii="Palatino Linotype" w:hAnsi="Palatino Linotype" w:eastAsia="Times New Roman" w:cs="Times New Roman"/>
          <w:kern w:val="0"/>
          <w14:ligatures w14:val="none"/>
        </w:rPr>
        <w:t xml:space="preserve"> </w:t>
      </w:r>
    </w:p>
    <w:p w:rsidR="0031263E" w:rsidP="00897A9F" w:rsidRDefault="00623B28" w14:paraId="47BD4621" w14:textId="63CA9436">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31263E">
        <w:rPr>
          <w:rFonts w:ascii="Palatino Linotype" w:hAnsi="Palatino Linotype" w:eastAsia="Times New Roman" w:cs="Times New Roman"/>
          <w:kern w:val="0"/>
          <w14:ligatures w14:val="none"/>
        </w:rPr>
        <w:t xml:space="preserve">he holdback expenditures comply with all other CARB regulations </w:t>
      </w:r>
      <w:r w:rsidR="00D04745">
        <w:rPr>
          <w:rFonts w:ascii="Palatino Linotype" w:hAnsi="Palatino Linotype" w:eastAsia="Times New Roman" w:cs="Times New Roman"/>
          <w:kern w:val="0"/>
          <w14:ligatures w14:val="none"/>
        </w:rPr>
        <w:t>regarding the use of holdback funds</w:t>
      </w:r>
      <w:r w:rsidR="000202C7">
        <w:rPr>
          <w:rFonts w:ascii="Palatino Linotype" w:hAnsi="Palatino Linotype" w:eastAsia="Times New Roman" w:cs="Times New Roman"/>
          <w:kern w:val="0"/>
          <w14:ligatures w14:val="none"/>
        </w:rPr>
        <w:t>.</w:t>
      </w:r>
      <w:r w:rsidR="00D04745">
        <w:rPr>
          <w:rFonts w:ascii="Palatino Linotype" w:hAnsi="Palatino Linotype" w:eastAsia="Times New Roman" w:cs="Times New Roman"/>
          <w:kern w:val="0"/>
          <w14:ligatures w14:val="none"/>
        </w:rPr>
        <w:t xml:space="preserve"> </w:t>
      </w:r>
    </w:p>
    <w:p w:rsidR="00D04745" w:rsidP="00897A9F" w:rsidRDefault="00623B28" w14:paraId="69CD0C5E" w14:textId="13BC7904">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w:t>
      </w:r>
      <w:r w:rsidR="00D04745">
        <w:rPr>
          <w:rFonts w:ascii="Palatino Linotype" w:hAnsi="Palatino Linotype" w:eastAsia="Times New Roman" w:cs="Times New Roman"/>
          <w:kern w:val="0"/>
          <w14:ligatures w14:val="none"/>
        </w:rPr>
        <w:t xml:space="preserve">he proposal: </w:t>
      </w:r>
    </w:p>
    <w:p w:rsidRPr="00E26D80" w:rsidR="00E26D80" w:rsidP="00897A9F" w:rsidRDefault="00E26D80" w14:paraId="08E0A229" w14:textId="551126DD">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Demonstrates input from environmental justice groups and/or community-based organizations</w:t>
      </w:r>
      <w:r w:rsidR="00DD61B6">
        <w:rPr>
          <w:rFonts w:ascii="Palatino Linotype" w:hAnsi="Palatino Linotype" w:eastAsia="Times New Roman" w:cs="Times New Roman"/>
          <w:kern w:val="0"/>
          <w14:ligatures w14:val="none"/>
        </w:rPr>
        <w:t xml:space="preserve">, </w:t>
      </w:r>
    </w:p>
    <w:p w:rsidRPr="00E26D80" w:rsidR="00E26D80" w:rsidP="00897A9F" w:rsidRDefault="00DD61B6" w14:paraId="69254D64" w14:textId="0F37053F">
      <w:pPr>
        <w:pStyle w:val="ListParagraph"/>
        <w:numPr>
          <w:ilvl w:val="1"/>
          <w:numId w:val="18"/>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Pr="00E26D80" w:rsidR="00E26D80">
        <w:rPr>
          <w:rFonts w:ascii="Palatino Linotype" w:hAnsi="Palatino Linotype" w:eastAsia="Times New Roman" w:cs="Times New Roman"/>
          <w:kern w:val="0"/>
          <w14:ligatures w14:val="none"/>
        </w:rPr>
        <w:t>ddress</w:t>
      </w:r>
      <w:r>
        <w:rPr>
          <w:rFonts w:ascii="Palatino Linotype" w:hAnsi="Palatino Linotype" w:eastAsia="Times New Roman" w:cs="Times New Roman"/>
          <w:kern w:val="0"/>
          <w14:ligatures w14:val="none"/>
        </w:rPr>
        <w:t>es</w:t>
      </w:r>
      <w:r w:rsidRPr="00E26D80" w:rsidR="00E26D80">
        <w:rPr>
          <w:rFonts w:ascii="Palatino Linotype" w:hAnsi="Palatino Linotype" w:eastAsia="Times New Roman" w:cs="Times New Roman"/>
          <w:kern w:val="0"/>
          <w14:ligatures w14:val="none"/>
        </w:rPr>
        <w:t xml:space="preserve"> gaps in program design not already addressed through </w:t>
      </w:r>
      <w:r w:rsidR="0033533A">
        <w:rPr>
          <w:rFonts w:ascii="Palatino Linotype" w:hAnsi="Palatino Linotype" w:eastAsia="Times New Roman" w:cs="Times New Roman"/>
          <w:kern w:val="0"/>
          <w14:ligatures w14:val="none"/>
        </w:rPr>
        <w:t>the IOU’s</w:t>
      </w:r>
      <w:r w:rsidRPr="00E26D80" w:rsidR="00E26D80">
        <w:rPr>
          <w:rFonts w:ascii="Palatino Linotype" w:hAnsi="Palatino Linotype" w:eastAsia="Times New Roman" w:cs="Times New Roman"/>
          <w:kern w:val="0"/>
          <w14:ligatures w14:val="none"/>
        </w:rPr>
        <w:t xml:space="preserve"> </w:t>
      </w:r>
      <w:r w:rsidR="004128FB">
        <w:rPr>
          <w:rFonts w:ascii="Palatino Linotype" w:hAnsi="Palatino Linotype" w:eastAsia="Times New Roman" w:cs="Times New Roman"/>
          <w:kern w:val="0"/>
          <w14:ligatures w14:val="none"/>
        </w:rPr>
        <w:t>transportation electrification (</w:t>
      </w:r>
      <w:r w:rsidRPr="00E26D80" w:rsidR="00E26D80">
        <w:rPr>
          <w:rFonts w:ascii="Palatino Linotype" w:hAnsi="Palatino Linotype" w:eastAsia="Times New Roman" w:cs="Times New Roman"/>
          <w:kern w:val="0"/>
          <w14:ligatures w14:val="none"/>
        </w:rPr>
        <w:t>TE</w:t>
      </w:r>
      <w:r w:rsidR="004128FB">
        <w:rPr>
          <w:rFonts w:ascii="Palatino Linotype" w:hAnsi="Palatino Linotype" w:eastAsia="Times New Roman" w:cs="Times New Roman"/>
          <w:kern w:val="0"/>
          <w14:ligatures w14:val="none"/>
        </w:rPr>
        <w:t>)</w:t>
      </w:r>
      <w:r w:rsidRPr="00E26D80" w:rsidR="00E26D80">
        <w:rPr>
          <w:rFonts w:ascii="Palatino Linotype" w:hAnsi="Palatino Linotype" w:eastAsia="Times New Roman" w:cs="Times New Roman"/>
          <w:kern w:val="0"/>
          <w14:ligatures w14:val="none"/>
        </w:rPr>
        <w:t xml:space="preserve"> expenditures or other publicly funded program, or in the alternative how the proposed expenditure will reduce costs to ratepayers</w:t>
      </w:r>
      <w:r w:rsidR="0033533A">
        <w:rPr>
          <w:rFonts w:ascii="Palatino Linotype" w:hAnsi="Palatino Linotype" w:eastAsia="Times New Roman" w:cs="Times New Roman"/>
          <w:kern w:val="0"/>
          <w14:ligatures w14:val="none"/>
        </w:rPr>
        <w:t xml:space="preserve">, </w:t>
      </w:r>
    </w:p>
    <w:p w:rsidRPr="00E26D80" w:rsidR="00E26D80" w:rsidP="00897A9F" w:rsidRDefault="00E26D80" w14:paraId="24918E34" w14:textId="7AD25DA9">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Will address a barrier to TE, equity, and/or resiliency</w:t>
      </w:r>
      <w:r w:rsidR="0033533A">
        <w:rPr>
          <w:rFonts w:ascii="Palatino Linotype" w:hAnsi="Palatino Linotype" w:eastAsia="Times New Roman" w:cs="Times New Roman"/>
          <w:kern w:val="0"/>
          <w14:ligatures w14:val="none"/>
        </w:rPr>
        <w:t xml:space="preserve">, and </w:t>
      </w:r>
    </w:p>
    <w:p w:rsidR="00D04745" w:rsidP="00897A9F" w:rsidRDefault="00E26D80" w14:paraId="0229E9C8" w14:textId="4C02F81F">
      <w:pPr>
        <w:pStyle w:val="ListParagraph"/>
        <w:numPr>
          <w:ilvl w:val="1"/>
          <w:numId w:val="18"/>
        </w:numPr>
        <w:spacing w:after="0" w:line="240" w:lineRule="auto"/>
        <w:rPr>
          <w:rFonts w:ascii="Palatino Linotype" w:hAnsi="Palatino Linotype" w:eastAsia="Times New Roman" w:cs="Times New Roman"/>
          <w:kern w:val="0"/>
          <w14:ligatures w14:val="none"/>
        </w:rPr>
      </w:pPr>
      <w:r w:rsidRPr="00E26D80">
        <w:rPr>
          <w:rFonts w:ascii="Palatino Linotype" w:hAnsi="Palatino Linotype" w:eastAsia="Times New Roman" w:cs="Times New Roman"/>
          <w:kern w:val="0"/>
          <w14:ligatures w14:val="none"/>
        </w:rPr>
        <w:t>Includes data collection requirements that allow for an evaluation of the effectiveness of the proposal in addressing TE, equity, and/or resiliency barriers.</w:t>
      </w:r>
      <w:r w:rsidR="00F05670">
        <w:rPr>
          <w:rFonts w:ascii="Palatino Linotype" w:hAnsi="Palatino Linotype" w:eastAsia="Times New Roman" w:cs="Times New Roman"/>
          <w:kern w:val="0"/>
          <w14:ligatures w14:val="none"/>
        </w:rPr>
        <w:t xml:space="preserve"> </w:t>
      </w:r>
    </w:p>
    <w:p w:rsidR="00F05670" w:rsidP="00897A9F" w:rsidRDefault="00623B28" w14:paraId="6FC6B0A9" w14:textId="25E56137">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00B870D3">
        <w:rPr>
          <w:rFonts w:ascii="Palatino Linotype" w:hAnsi="Palatino Linotype" w:eastAsia="Times New Roman" w:cs="Times New Roman"/>
          <w:kern w:val="0"/>
          <w14:ligatures w14:val="none"/>
        </w:rPr>
        <w:t xml:space="preserve">ny proposal for an </w:t>
      </w:r>
      <w:r w:rsidR="00964F5E">
        <w:rPr>
          <w:rFonts w:ascii="Palatino Linotype" w:hAnsi="Palatino Linotype" w:eastAsia="Times New Roman" w:cs="Times New Roman"/>
          <w:kern w:val="0"/>
          <w14:ligatures w14:val="none"/>
        </w:rPr>
        <w:t xml:space="preserve">equity project primarily benefits or serves communities </w:t>
      </w:r>
      <w:r w:rsidR="00B13A54">
        <w:rPr>
          <w:rFonts w:ascii="Palatino Linotype" w:hAnsi="Palatino Linotype" w:eastAsia="Times New Roman" w:cs="Times New Roman"/>
          <w:kern w:val="0"/>
          <w14:ligatures w14:val="none"/>
        </w:rPr>
        <w:t>eligible for equity project expenditures</w:t>
      </w:r>
      <w:r w:rsidR="000202C7">
        <w:rPr>
          <w:rFonts w:ascii="Palatino Linotype" w:hAnsi="Palatino Linotype" w:eastAsia="Times New Roman" w:cs="Times New Roman"/>
          <w:kern w:val="0"/>
          <w14:ligatures w14:val="none"/>
        </w:rPr>
        <w:t>.</w:t>
      </w:r>
      <w:r w:rsidR="00B13A54">
        <w:rPr>
          <w:rFonts w:ascii="Palatino Linotype" w:hAnsi="Palatino Linotype" w:eastAsia="Times New Roman" w:cs="Times New Roman"/>
          <w:kern w:val="0"/>
          <w14:ligatures w14:val="none"/>
        </w:rPr>
        <w:t xml:space="preserve"> </w:t>
      </w:r>
    </w:p>
    <w:p w:rsidR="00B13A54" w:rsidP="00897A9F" w:rsidRDefault="00623B28" w14:paraId="29497185" w14:textId="13CFB36E">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lastRenderedPageBreak/>
        <w:t>A</w:t>
      </w:r>
      <w:r w:rsidR="00B6561B">
        <w:rPr>
          <w:rFonts w:ascii="Palatino Linotype" w:hAnsi="Palatino Linotype" w:eastAsia="Times New Roman" w:cs="Times New Roman"/>
          <w:kern w:val="0"/>
          <w14:ligatures w14:val="none"/>
        </w:rPr>
        <w:t xml:space="preserve">ny proposal for a resiliency project </w:t>
      </w:r>
      <w:r w:rsidR="00125585">
        <w:rPr>
          <w:rFonts w:ascii="Palatino Linotype" w:hAnsi="Palatino Linotype" w:eastAsia="Times New Roman" w:cs="Times New Roman"/>
          <w:kern w:val="0"/>
          <w14:ligatures w14:val="none"/>
        </w:rPr>
        <w:t>aligns with other TE-related IOU resiliency efforts, such as Public Safety Power Shutoff (PSPS)</w:t>
      </w:r>
      <w:r w:rsidR="00F440EF">
        <w:rPr>
          <w:rFonts w:ascii="Palatino Linotype" w:hAnsi="Palatino Linotype" w:eastAsia="Times New Roman" w:cs="Times New Roman"/>
          <w:kern w:val="0"/>
          <w14:ligatures w14:val="none"/>
        </w:rPr>
        <w:t xml:space="preserve"> or Wildfire Mitigation Plans, and </w:t>
      </w:r>
      <w:r w:rsidR="001E1957">
        <w:rPr>
          <w:rFonts w:ascii="Palatino Linotype" w:hAnsi="Palatino Linotype" w:eastAsia="Times New Roman" w:cs="Times New Roman"/>
          <w:kern w:val="0"/>
          <w14:ligatures w14:val="none"/>
        </w:rPr>
        <w:t>reflects consultation with EV service providers where appropriate</w:t>
      </w:r>
      <w:r w:rsidR="000202C7">
        <w:rPr>
          <w:rFonts w:ascii="Palatino Linotype" w:hAnsi="Palatino Linotype" w:eastAsia="Times New Roman" w:cs="Times New Roman"/>
          <w:kern w:val="0"/>
          <w14:ligatures w14:val="none"/>
        </w:rPr>
        <w:t>.</w:t>
      </w:r>
      <w:r w:rsidR="001E1957">
        <w:rPr>
          <w:rFonts w:ascii="Palatino Linotype" w:hAnsi="Palatino Linotype" w:eastAsia="Times New Roman" w:cs="Times New Roman"/>
          <w:kern w:val="0"/>
          <w14:ligatures w14:val="none"/>
        </w:rPr>
        <w:t xml:space="preserve"> </w:t>
      </w:r>
    </w:p>
    <w:p w:rsidRPr="00E26D80" w:rsidR="001E1957" w:rsidP="00897A9F" w:rsidRDefault="00623B28" w14:paraId="730F45FA" w14:textId="2EE6444F">
      <w:pPr>
        <w:pStyle w:val="ListParagraph"/>
        <w:numPr>
          <w:ilvl w:val="0"/>
          <w:numId w:val="7"/>
        </w:num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A</w:t>
      </w:r>
      <w:r w:rsidR="001E1957">
        <w:rPr>
          <w:rFonts w:ascii="Palatino Linotype" w:hAnsi="Palatino Linotype" w:eastAsia="Times New Roman" w:cs="Times New Roman"/>
          <w:kern w:val="0"/>
          <w14:ligatures w14:val="none"/>
        </w:rPr>
        <w:t>ny proposal for a resiliency project aligns with CPUC VGI policy</w:t>
      </w:r>
      <w:r w:rsidR="000202C7">
        <w:rPr>
          <w:rFonts w:ascii="Palatino Linotype" w:hAnsi="Palatino Linotype" w:eastAsia="Times New Roman" w:cs="Times New Roman"/>
          <w:kern w:val="0"/>
          <w14:ligatures w14:val="none"/>
        </w:rPr>
        <w:t>.</w:t>
      </w:r>
      <w:r w:rsidR="001E1957">
        <w:rPr>
          <w:rFonts w:ascii="Palatino Linotype" w:hAnsi="Palatino Linotype" w:eastAsia="Times New Roman" w:cs="Times New Roman"/>
          <w:kern w:val="0"/>
          <w14:ligatures w14:val="none"/>
        </w:rPr>
        <w:t xml:space="preserve"> </w:t>
      </w:r>
    </w:p>
    <w:p w:rsidRPr="00010696" w:rsidR="000B5DB5" w:rsidP="00010696" w:rsidRDefault="000B5DB5" w14:paraId="618397AD" w14:textId="2B2D4729">
      <w:pPr>
        <w:spacing w:after="0" w:line="240" w:lineRule="auto"/>
        <w:rPr>
          <w:rFonts w:ascii="Palatino Linotype" w:hAnsi="Palatino Linotype" w:eastAsia="Times New Roman" w:cs="Times New Roman"/>
          <w:kern w:val="0"/>
          <w14:ligatures w14:val="none"/>
        </w:rPr>
      </w:pPr>
    </w:p>
    <w:p w:rsidR="00247C11" w:rsidP="00B86C24" w:rsidRDefault="00FB7EBF" w14:paraId="105392EC" w14:textId="4D4C192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P</w:t>
      </w:r>
      <w:r w:rsidRPr="00433E18" w:rsidR="00433E18">
        <w:rPr>
          <w:rFonts w:ascii="Palatino Linotype" w:hAnsi="Palatino Linotype" w:eastAsia="Times New Roman" w:cs="Times New Roman"/>
          <w:kern w:val="0"/>
          <w14:ligatures w14:val="none"/>
        </w:rPr>
        <w:t xml:space="preserve">ursuant to </w:t>
      </w:r>
      <w:r w:rsidR="006A5CA6">
        <w:rPr>
          <w:rFonts w:ascii="Palatino Linotype" w:hAnsi="Palatino Linotype" w:eastAsia="Times New Roman" w:cs="Times New Roman"/>
          <w:kern w:val="0"/>
          <w14:ligatures w14:val="none"/>
        </w:rPr>
        <w:t>Ordering Paragraph (</w:t>
      </w:r>
      <w:r w:rsidRPr="00433E18" w:rsidR="00433E18">
        <w:rPr>
          <w:rFonts w:ascii="Palatino Linotype" w:hAnsi="Palatino Linotype" w:eastAsia="Times New Roman" w:cs="Times New Roman"/>
          <w:kern w:val="0"/>
          <w14:ligatures w14:val="none"/>
        </w:rPr>
        <w:t>OP</w:t>
      </w:r>
      <w:r w:rsidR="006A5CA6">
        <w:rPr>
          <w:rFonts w:ascii="Palatino Linotype" w:hAnsi="Palatino Linotype" w:eastAsia="Times New Roman" w:cs="Times New Roman"/>
          <w:kern w:val="0"/>
          <w14:ligatures w14:val="none"/>
        </w:rPr>
        <w:t>)</w:t>
      </w:r>
      <w:r w:rsidRPr="00433E18" w:rsidR="00433E18">
        <w:rPr>
          <w:rFonts w:ascii="Palatino Linotype" w:hAnsi="Palatino Linotype" w:eastAsia="Times New Roman" w:cs="Times New Roman"/>
          <w:kern w:val="0"/>
          <w14:ligatures w14:val="none"/>
        </w:rPr>
        <w:t xml:space="preserve"> 1 of </w:t>
      </w:r>
      <w:r>
        <w:rPr>
          <w:rFonts w:ascii="Palatino Linotype" w:hAnsi="Palatino Linotype" w:eastAsia="Times New Roman" w:cs="Times New Roman"/>
          <w:kern w:val="0"/>
          <w14:ligatures w14:val="none"/>
        </w:rPr>
        <w:t>D.20-12-027</w:t>
      </w:r>
      <w:r w:rsidRPr="00433E18" w:rsidR="00433E18">
        <w:rPr>
          <w:rFonts w:ascii="Palatino Linotype" w:hAnsi="Palatino Linotype" w:eastAsia="Times New Roman" w:cs="Times New Roman"/>
          <w:kern w:val="0"/>
          <w14:ligatures w14:val="none"/>
        </w:rPr>
        <w:t xml:space="preserve">, the Implementation Plans </w:t>
      </w:r>
      <w:r>
        <w:rPr>
          <w:rFonts w:ascii="Palatino Linotype" w:hAnsi="Palatino Linotype" w:eastAsia="Times New Roman" w:cs="Times New Roman"/>
          <w:kern w:val="0"/>
          <w14:ligatures w14:val="none"/>
        </w:rPr>
        <w:t>must</w:t>
      </w:r>
      <w:r w:rsidRPr="00433E18" w:rsidR="00433E18">
        <w:rPr>
          <w:rFonts w:ascii="Palatino Linotype" w:hAnsi="Palatino Linotype" w:eastAsia="Times New Roman" w:cs="Times New Roman"/>
          <w:kern w:val="0"/>
          <w14:ligatures w14:val="none"/>
        </w:rPr>
        <w:t xml:space="preserve"> demonstrate that </w:t>
      </w:r>
      <w:r w:rsidR="00640879">
        <w:rPr>
          <w:rFonts w:ascii="Palatino Linotype" w:hAnsi="Palatino Linotype" w:eastAsia="Times New Roman" w:cs="Times New Roman"/>
          <w:kern w:val="0"/>
          <w14:ligatures w14:val="none"/>
        </w:rPr>
        <w:t>portions</w:t>
      </w:r>
      <w:r w:rsidRPr="00433E18" w:rsidR="00433E18">
        <w:rPr>
          <w:rFonts w:ascii="Palatino Linotype" w:hAnsi="Palatino Linotype" w:eastAsia="Times New Roman" w:cs="Times New Roman"/>
          <w:kern w:val="0"/>
          <w14:ligatures w14:val="none"/>
        </w:rPr>
        <w:t xml:space="preserve"> of the holdback revenues </w:t>
      </w:r>
      <w:r w:rsidR="00640879">
        <w:rPr>
          <w:rFonts w:ascii="Palatino Linotype" w:hAnsi="Palatino Linotype" w:eastAsia="Times New Roman" w:cs="Times New Roman"/>
          <w:kern w:val="0"/>
          <w14:ligatures w14:val="none"/>
        </w:rPr>
        <w:t>are allocated toward</w:t>
      </w:r>
      <w:r w:rsidRPr="00433E18" w:rsidR="00433E18">
        <w:rPr>
          <w:rFonts w:ascii="Palatino Linotype" w:hAnsi="Palatino Linotype" w:eastAsia="Times New Roman" w:cs="Times New Roman"/>
          <w:kern w:val="0"/>
          <w14:ligatures w14:val="none"/>
        </w:rPr>
        <w:t xml:space="preserve"> equity and resiliency projects. </w:t>
      </w:r>
      <w:r w:rsidR="002A1C45">
        <w:rPr>
          <w:rFonts w:ascii="Palatino Linotype" w:hAnsi="Palatino Linotype" w:eastAsia="Times New Roman" w:cs="Times New Roman"/>
          <w:kern w:val="0"/>
          <w14:ligatures w14:val="none"/>
        </w:rPr>
        <w:t>T</w:t>
      </w:r>
      <w:r w:rsidRPr="00433E18" w:rsidR="00433E18">
        <w:rPr>
          <w:rFonts w:ascii="Palatino Linotype" w:hAnsi="Palatino Linotype" w:eastAsia="Times New Roman" w:cs="Times New Roman"/>
          <w:kern w:val="0"/>
          <w14:ligatures w14:val="none"/>
        </w:rPr>
        <w:t xml:space="preserve">he </w:t>
      </w:r>
      <w:r w:rsidR="00F52B25">
        <w:rPr>
          <w:rFonts w:ascii="Palatino Linotype" w:hAnsi="Palatino Linotype" w:eastAsia="Times New Roman" w:cs="Times New Roman"/>
          <w:kern w:val="0"/>
          <w14:ligatures w14:val="none"/>
        </w:rPr>
        <w:t>large</w:t>
      </w:r>
      <w:r w:rsidRPr="005349D5" w:rsidR="00433E18">
        <w:rPr>
          <w:rFonts w:ascii="Palatino Linotype" w:hAnsi="Palatino Linotype" w:eastAsia="Times New Roman" w:cs="Times New Roman"/>
          <w:kern w:val="0"/>
          <w14:ligatures w14:val="none"/>
        </w:rPr>
        <w:t xml:space="preserve"> </w:t>
      </w:r>
      <w:r w:rsidRPr="00433E18" w:rsidR="00433E18">
        <w:rPr>
          <w:rFonts w:ascii="Palatino Linotype" w:hAnsi="Palatino Linotype" w:eastAsia="Times New Roman" w:cs="Times New Roman"/>
          <w:kern w:val="0"/>
          <w14:ligatures w14:val="none"/>
        </w:rPr>
        <w:t xml:space="preserve">IOUs </w:t>
      </w:r>
      <w:r w:rsidR="00B55343">
        <w:rPr>
          <w:rFonts w:ascii="Palatino Linotype" w:hAnsi="Palatino Linotype" w:eastAsia="Times New Roman" w:cs="Times New Roman"/>
          <w:kern w:val="0"/>
          <w14:ligatures w14:val="none"/>
        </w:rPr>
        <w:t>must allocate</w:t>
      </w:r>
      <w:r w:rsidRPr="00433E18" w:rsidR="00433E18">
        <w:rPr>
          <w:rFonts w:ascii="Palatino Linotype" w:hAnsi="Palatino Linotype" w:eastAsia="Times New Roman" w:cs="Times New Roman"/>
          <w:kern w:val="0"/>
          <w14:ligatures w14:val="none"/>
        </w:rPr>
        <w:t xml:space="preserve"> at least </w:t>
      </w:r>
      <w:r w:rsidR="0072083F">
        <w:rPr>
          <w:rFonts w:ascii="Palatino Linotype" w:hAnsi="Palatino Linotype" w:eastAsia="Times New Roman" w:cs="Times New Roman"/>
          <w:kern w:val="0"/>
          <w14:ligatures w14:val="none"/>
        </w:rPr>
        <w:t>75</w:t>
      </w:r>
      <w:r w:rsidRPr="005349D5" w:rsidR="00433E18">
        <w:rPr>
          <w:rFonts w:ascii="Palatino Linotype" w:hAnsi="Palatino Linotype" w:eastAsia="Times New Roman" w:cs="Times New Roman"/>
          <w:kern w:val="0"/>
          <w14:ligatures w14:val="none"/>
        </w:rPr>
        <w:t xml:space="preserve"> </w:t>
      </w:r>
      <w:r w:rsidRPr="00433E18" w:rsidR="00433E18">
        <w:rPr>
          <w:rFonts w:ascii="Palatino Linotype" w:hAnsi="Palatino Linotype" w:eastAsia="Times New Roman" w:cs="Times New Roman"/>
          <w:kern w:val="0"/>
          <w14:ligatures w14:val="none"/>
        </w:rPr>
        <w:t xml:space="preserve">percent of </w:t>
      </w:r>
      <w:r w:rsidR="005349D5">
        <w:rPr>
          <w:rFonts w:ascii="Palatino Linotype" w:hAnsi="Palatino Linotype" w:eastAsia="Times New Roman" w:cs="Times New Roman"/>
          <w:kern w:val="0"/>
          <w14:ligatures w14:val="none"/>
        </w:rPr>
        <w:t>their</w:t>
      </w:r>
      <w:r w:rsidRPr="00433E18" w:rsidR="00433E18">
        <w:rPr>
          <w:rFonts w:ascii="Palatino Linotype" w:hAnsi="Palatino Linotype" w:eastAsia="Times New Roman" w:cs="Times New Roman"/>
          <w:kern w:val="0"/>
          <w14:ligatures w14:val="none"/>
        </w:rPr>
        <w:t xml:space="preserve"> LCFS holdback expenditures </w:t>
      </w:r>
      <w:r w:rsidR="008D0568">
        <w:rPr>
          <w:rFonts w:ascii="Palatino Linotype" w:hAnsi="Palatino Linotype" w:eastAsia="Times New Roman" w:cs="Times New Roman"/>
          <w:kern w:val="0"/>
          <w14:ligatures w14:val="none"/>
        </w:rPr>
        <w:t>toward t</w:t>
      </w:r>
      <w:r w:rsidRPr="00433E18" w:rsidR="00433E18">
        <w:rPr>
          <w:rFonts w:ascii="Palatino Linotype" w:hAnsi="Palatino Linotype" w:eastAsia="Times New Roman" w:cs="Times New Roman"/>
          <w:kern w:val="0"/>
          <w14:ligatures w14:val="none"/>
        </w:rPr>
        <w:t xml:space="preserve">he equity project requirement of CARB’s LCFS regulations, as harmonized with AB 841 through D.20-12-027. Additionally, the IOUs </w:t>
      </w:r>
      <w:r w:rsidR="002A1C45">
        <w:rPr>
          <w:rFonts w:ascii="Palatino Linotype" w:hAnsi="Palatino Linotype" w:eastAsia="Times New Roman" w:cs="Times New Roman"/>
          <w:kern w:val="0"/>
          <w14:ligatures w14:val="none"/>
        </w:rPr>
        <w:t>must</w:t>
      </w:r>
      <w:r w:rsidRPr="00433E18" w:rsidR="00433E18">
        <w:rPr>
          <w:rFonts w:ascii="Palatino Linotype" w:hAnsi="Palatino Linotype" w:eastAsia="Times New Roman" w:cs="Times New Roman"/>
          <w:kern w:val="0"/>
          <w14:ligatures w14:val="none"/>
        </w:rPr>
        <w:t xml:space="preserve"> spend up to 20 percent of the LCFS holdback expenditures not spent on equity projects on resiliency projects. If the IOU</w:t>
      </w:r>
      <w:r w:rsidR="006208FE">
        <w:rPr>
          <w:rFonts w:ascii="Palatino Linotype" w:hAnsi="Palatino Linotype" w:eastAsia="Times New Roman" w:cs="Times New Roman"/>
          <w:kern w:val="0"/>
          <w14:ligatures w14:val="none"/>
        </w:rPr>
        <w:t xml:space="preserve"> is</w:t>
      </w:r>
      <w:r w:rsidRPr="00433E18" w:rsidR="00433E18">
        <w:rPr>
          <w:rFonts w:ascii="Palatino Linotype" w:hAnsi="Palatino Linotype" w:eastAsia="Times New Roman" w:cs="Times New Roman"/>
          <w:kern w:val="0"/>
          <w14:ligatures w14:val="none"/>
        </w:rPr>
        <w:t xml:space="preserve"> unable to meet the 20 percent target, the IOU </w:t>
      </w:r>
      <w:r w:rsidR="006208FE">
        <w:rPr>
          <w:rFonts w:ascii="Palatino Linotype" w:hAnsi="Palatino Linotype" w:eastAsia="Times New Roman" w:cs="Times New Roman"/>
          <w:kern w:val="0"/>
          <w14:ligatures w14:val="none"/>
        </w:rPr>
        <w:t>may</w:t>
      </w:r>
      <w:r w:rsidRPr="00433E18" w:rsidR="00433E18">
        <w:rPr>
          <w:rFonts w:ascii="Palatino Linotype" w:hAnsi="Palatino Linotype" w:eastAsia="Times New Roman" w:cs="Times New Roman"/>
          <w:kern w:val="0"/>
          <w14:ligatures w14:val="none"/>
        </w:rPr>
        <w:t xml:space="preserve"> identify why it is unable to meet the target in its Implementation Plan and any measures taken. </w:t>
      </w:r>
    </w:p>
    <w:p w:rsidR="00B86C24" w:rsidP="00B86C24" w:rsidRDefault="00B86C24" w14:paraId="3E5A643F" w14:textId="77777777">
      <w:pPr>
        <w:spacing w:after="0" w:line="240" w:lineRule="auto"/>
        <w:rPr>
          <w:rFonts w:ascii="Palatino Linotype" w:hAnsi="Palatino Linotype" w:eastAsia="Times New Roman" w:cs="Times New Roman"/>
          <w:kern w:val="0"/>
          <w14:ligatures w14:val="none"/>
        </w:rPr>
      </w:pPr>
    </w:p>
    <w:p w:rsidR="00B94AA1" w:rsidP="00B86C24" w:rsidRDefault="009B07E4" w14:paraId="5A836278" w14:textId="6FCFB5C8">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On November 21, 2022, CPUC issued D.22-11-040, </w:t>
      </w:r>
      <w:r w:rsidR="00694F0A">
        <w:rPr>
          <w:rFonts w:ascii="Palatino Linotype" w:hAnsi="Palatino Linotype" w:eastAsia="Times New Roman" w:cs="Times New Roman"/>
          <w:kern w:val="0"/>
          <w14:ligatures w14:val="none"/>
        </w:rPr>
        <w:t>concerning T</w:t>
      </w:r>
      <w:r w:rsidR="00461CD3">
        <w:rPr>
          <w:rFonts w:ascii="Palatino Linotype" w:hAnsi="Palatino Linotype" w:eastAsia="Times New Roman" w:cs="Times New Roman"/>
          <w:kern w:val="0"/>
          <w14:ligatures w14:val="none"/>
        </w:rPr>
        <w:t xml:space="preserve">ransportation </w:t>
      </w:r>
      <w:r w:rsidR="00694F0A">
        <w:rPr>
          <w:rFonts w:ascii="Palatino Linotype" w:hAnsi="Palatino Linotype" w:eastAsia="Times New Roman" w:cs="Times New Roman"/>
          <w:kern w:val="0"/>
          <w14:ligatures w14:val="none"/>
        </w:rPr>
        <w:t>E</w:t>
      </w:r>
      <w:r w:rsidR="00461CD3">
        <w:rPr>
          <w:rFonts w:ascii="Palatino Linotype" w:hAnsi="Palatino Linotype" w:eastAsia="Times New Roman" w:cs="Times New Roman"/>
          <w:kern w:val="0"/>
          <w14:ligatures w14:val="none"/>
        </w:rPr>
        <w:t>lectrification</w:t>
      </w:r>
      <w:r w:rsidR="00694F0A">
        <w:rPr>
          <w:rFonts w:ascii="Palatino Linotype" w:hAnsi="Palatino Linotype" w:eastAsia="Times New Roman" w:cs="Times New Roman"/>
          <w:kern w:val="0"/>
          <w14:ligatures w14:val="none"/>
        </w:rPr>
        <w:t xml:space="preserve"> </w:t>
      </w:r>
      <w:r w:rsidR="00461CD3">
        <w:rPr>
          <w:rFonts w:ascii="Palatino Linotype" w:hAnsi="Palatino Linotype" w:eastAsia="Times New Roman" w:cs="Times New Roman"/>
          <w:kern w:val="0"/>
          <w14:ligatures w14:val="none"/>
        </w:rPr>
        <w:t>P</w:t>
      </w:r>
      <w:r w:rsidR="00694F0A">
        <w:rPr>
          <w:rFonts w:ascii="Palatino Linotype" w:hAnsi="Palatino Linotype" w:eastAsia="Times New Roman" w:cs="Times New Roman"/>
          <w:kern w:val="0"/>
          <w14:ligatures w14:val="none"/>
        </w:rPr>
        <w:t xml:space="preserve">olicy and </w:t>
      </w:r>
      <w:r w:rsidR="00461CD3">
        <w:rPr>
          <w:rFonts w:ascii="Palatino Linotype" w:hAnsi="Palatino Linotype" w:eastAsia="Times New Roman" w:cs="Times New Roman"/>
          <w:kern w:val="0"/>
          <w14:ligatures w14:val="none"/>
        </w:rPr>
        <w:t>I</w:t>
      </w:r>
      <w:r w:rsidR="00694F0A">
        <w:rPr>
          <w:rFonts w:ascii="Palatino Linotype" w:hAnsi="Palatino Linotype" w:eastAsia="Times New Roman" w:cs="Times New Roman"/>
          <w:kern w:val="0"/>
          <w14:ligatures w14:val="none"/>
        </w:rPr>
        <w:t xml:space="preserve">nvestment. D.22-11-040 </w:t>
      </w:r>
      <w:r w:rsidR="004D76B8">
        <w:rPr>
          <w:rFonts w:ascii="Palatino Linotype" w:hAnsi="Palatino Linotype" w:eastAsia="Times New Roman" w:cs="Times New Roman"/>
          <w:kern w:val="0"/>
          <w14:ligatures w14:val="none"/>
        </w:rPr>
        <w:t>established three strategic focus areas for VGI, including (1) rates and demand flexibility programs, (2) technology enablement, and (3) grid planning.</w:t>
      </w:r>
      <w:r w:rsidR="00831889">
        <w:rPr>
          <w:rStyle w:val="FootnoteReference"/>
          <w:rFonts w:ascii="Palatino Linotype" w:hAnsi="Palatino Linotype" w:eastAsia="Times New Roman" w:cs="Times New Roman"/>
          <w:kern w:val="0"/>
          <w14:ligatures w14:val="none"/>
        </w:rPr>
        <w:footnoteReference w:id="7"/>
      </w:r>
      <w:r w:rsidR="00E87DB3">
        <w:rPr>
          <w:rFonts w:ascii="Palatino Linotype" w:hAnsi="Palatino Linotype" w:eastAsia="Times New Roman" w:cs="Times New Roman"/>
          <w:kern w:val="0"/>
          <w14:ligatures w14:val="none"/>
        </w:rPr>
        <w:t xml:space="preserve"> D.22-11-040 </w:t>
      </w:r>
      <w:r w:rsidR="0044202C">
        <w:rPr>
          <w:rFonts w:ascii="Palatino Linotype" w:hAnsi="Palatino Linotype" w:eastAsia="Times New Roman" w:cs="Times New Roman"/>
          <w:kern w:val="0"/>
          <w14:ligatures w14:val="none"/>
        </w:rPr>
        <w:t xml:space="preserve">asserts that customer participation in VGI will </w:t>
      </w:r>
      <w:r w:rsidR="00B13D83">
        <w:rPr>
          <w:rFonts w:ascii="Palatino Linotype" w:hAnsi="Palatino Linotype" w:eastAsia="Times New Roman" w:cs="Times New Roman"/>
          <w:kern w:val="0"/>
          <w14:ligatures w14:val="none"/>
        </w:rPr>
        <w:t xml:space="preserve">be driven </w:t>
      </w:r>
      <w:r w:rsidR="0044202C">
        <w:rPr>
          <w:rFonts w:ascii="Palatino Linotype" w:hAnsi="Palatino Linotype" w:eastAsia="Times New Roman" w:cs="Times New Roman"/>
          <w:kern w:val="0"/>
          <w14:ligatures w14:val="none"/>
        </w:rPr>
        <w:t xml:space="preserve">primarily </w:t>
      </w:r>
      <w:r w:rsidR="00B87ADB">
        <w:rPr>
          <w:rFonts w:ascii="Palatino Linotype" w:hAnsi="Palatino Linotype" w:eastAsia="Times New Roman" w:cs="Times New Roman"/>
          <w:kern w:val="0"/>
          <w14:ligatures w14:val="none"/>
        </w:rPr>
        <w:t>by rates and demand flexibility programs</w:t>
      </w:r>
      <w:r w:rsidR="001B6151">
        <w:rPr>
          <w:rFonts w:ascii="Palatino Linotype" w:hAnsi="Palatino Linotype" w:eastAsia="Times New Roman" w:cs="Times New Roman"/>
          <w:kern w:val="0"/>
          <w14:ligatures w14:val="none"/>
        </w:rPr>
        <w:t xml:space="preserve">. Technology enablement </w:t>
      </w:r>
      <w:r w:rsidR="00920D49">
        <w:rPr>
          <w:rFonts w:ascii="Palatino Linotype" w:hAnsi="Palatino Linotype" w:eastAsia="Times New Roman" w:cs="Times New Roman"/>
          <w:kern w:val="0"/>
          <w14:ligatures w14:val="none"/>
        </w:rPr>
        <w:t xml:space="preserve">includes various areas of focus such as interconnection standards </w:t>
      </w:r>
      <w:r w:rsidR="001677B0">
        <w:rPr>
          <w:rFonts w:ascii="Palatino Linotype" w:hAnsi="Palatino Linotype" w:eastAsia="Times New Roman" w:cs="Times New Roman"/>
          <w:kern w:val="0"/>
          <w14:ligatures w14:val="none"/>
        </w:rPr>
        <w:t xml:space="preserve">and </w:t>
      </w:r>
      <w:r w:rsidR="00E25C93">
        <w:rPr>
          <w:rFonts w:ascii="Palatino Linotype" w:hAnsi="Palatino Linotype" w:eastAsia="Times New Roman" w:cs="Times New Roman"/>
          <w:kern w:val="0"/>
          <w14:ligatures w14:val="none"/>
        </w:rPr>
        <w:t>electric vehicle supply equipment (</w:t>
      </w:r>
      <w:r w:rsidR="001677B0">
        <w:rPr>
          <w:rFonts w:ascii="Palatino Linotype" w:hAnsi="Palatino Linotype" w:eastAsia="Times New Roman" w:cs="Times New Roman"/>
          <w:kern w:val="0"/>
          <w14:ligatures w14:val="none"/>
        </w:rPr>
        <w:t>EVSE</w:t>
      </w:r>
      <w:r w:rsidR="00E25C93">
        <w:rPr>
          <w:rFonts w:ascii="Palatino Linotype" w:hAnsi="Palatino Linotype" w:eastAsia="Times New Roman" w:cs="Times New Roman"/>
          <w:kern w:val="0"/>
          <w14:ligatures w14:val="none"/>
        </w:rPr>
        <w:t>)</w:t>
      </w:r>
      <w:r w:rsidR="001677B0">
        <w:rPr>
          <w:rFonts w:ascii="Palatino Linotype" w:hAnsi="Palatino Linotype" w:eastAsia="Times New Roman" w:cs="Times New Roman"/>
          <w:kern w:val="0"/>
          <w14:ligatures w14:val="none"/>
        </w:rPr>
        <w:t xml:space="preserve"> performance requirements. </w:t>
      </w:r>
      <w:r w:rsidR="00125996">
        <w:rPr>
          <w:rFonts w:ascii="Palatino Linotype" w:hAnsi="Palatino Linotype" w:eastAsia="Times New Roman" w:cs="Times New Roman"/>
          <w:kern w:val="0"/>
          <w14:ligatures w14:val="none"/>
        </w:rPr>
        <w:t xml:space="preserve">Lastly, </w:t>
      </w:r>
      <w:r w:rsidR="00B70B39">
        <w:rPr>
          <w:rFonts w:ascii="Palatino Linotype" w:hAnsi="Palatino Linotype" w:eastAsia="Times New Roman" w:cs="Times New Roman"/>
          <w:kern w:val="0"/>
          <w14:ligatures w14:val="none"/>
        </w:rPr>
        <w:t xml:space="preserve">grid planning will require collaboration across various CPUC proceedings and processes </w:t>
      </w:r>
      <w:r w:rsidR="00B0774F">
        <w:rPr>
          <w:rFonts w:ascii="Palatino Linotype" w:hAnsi="Palatino Linotype" w:eastAsia="Times New Roman" w:cs="Times New Roman"/>
          <w:kern w:val="0"/>
          <w14:ligatures w14:val="none"/>
        </w:rPr>
        <w:t>to ensure</w:t>
      </w:r>
      <w:r w:rsidR="00831889">
        <w:rPr>
          <w:rFonts w:ascii="Palatino Linotype" w:hAnsi="Palatino Linotype" w:eastAsia="Times New Roman" w:cs="Times New Roman"/>
          <w:kern w:val="0"/>
          <w14:ligatures w14:val="none"/>
        </w:rPr>
        <w:t xml:space="preserve"> VGI potential is addressed via </w:t>
      </w:r>
      <w:r w:rsidR="00A95D7C">
        <w:rPr>
          <w:rFonts w:ascii="Palatino Linotype" w:hAnsi="Palatino Linotype" w:eastAsia="Times New Roman" w:cs="Times New Roman"/>
          <w:kern w:val="0"/>
          <w14:ligatures w14:val="none"/>
        </w:rPr>
        <w:t>distribution, generation, and transmission</w:t>
      </w:r>
      <w:r w:rsidR="00831889">
        <w:rPr>
          <w:rFonts w:ascii="Palatino Linotype" w:hAnsi="Palatino Linotype" w:eastAsia="Times New Roman" w:cs="Times New Roman"/>
          <w:kern w:val="0"/>
          <w14:ligatures w14:val="none"/>
        </w:rPr>
        <w:t xml:space="preserve"> planning</w:t>
      </w:r>
      <w:r w:rsidR="00A95D7C">
        <w:rPr>
          <w:rFonts w:ascii="Palatino Linotype" w:hAnsi="Palatino Linotype" w:eastAsia="Times New Roman" w:cs="Times New Roman"/>
          <w:kern w:val="0"/>
          <w14:ligatures w14:val="none"/>
        </w:rPr>
        <w:t xml:space="preserve">. </w:t>
      </w:r>
    </w:p>
    <w:p w:rsidRPr="00B86C24" w:rsidR="00694F0A" w:rsidP="00B86C24" w:rsidRDefault="00694F0A" w14:paraId="517C50EB" w14:textId="77777777">
      <w:pPr>
        <w:spacing w:after="0" w:line="240" w:lineRule="auto"/>
        <w:rPr>
          <w:rFonts w:ascii="Palatino Linotype" w:hAnsi="Palatino Linotype" w:eastAsia="Times New Roman" w:cs="Times New Roman"/>
          <w:kern w:val="0"/>
          <w14:ligatures w14:val="none"/>
        </w:rPr>
      </w:pPr>
    </w:p>
    <w:p w:rsidR="0091274F" w:rsidP="00281B80" w:rsidRDefault="00433E18" w14:paraId="10429E18" w14:textId="594B2BD6">
      <w:pPr>
        <w:spacing w:after="0" w:line="240" w:lineRule="auto"/>
        <w:rPr>
          <w:rFonts w:ascii="Palatino Linotype" w:hAnsi="Palatino Linotype" w:eastAsia="Times New Roman" w:cs="Times New Roman"/>
          <w:kern w:val="0"/>
          <w14:ligatures w14:val="none"/>
        </w:rPr>
      </w:pPr>
      <w:r w:rsidRPr="00433E18">
        <w:rPr>
          <w:rFonts w:ascii="Palatino Linotype" w:hAnsi="Palatino Linotype" w:eastAsia="Times New Roman" w:cs="Times New Roman"/>
          <w:kern w:val="0"/>
          <w14:ligatures w14:val="none"/>
        </w:rPr>
        <w:t>Pursuant to OP 3 of D</w:t>
      </w:r>
      <w:r w:rsidR="004B70F1">
        <w:rPr>
          <w:rFonts w:ascii="Palatino Linotype" w:hAnsi="Palatino Linotype" w:eastAsia="Times New Roman" w:cs="Times New Roman"/>
          <w:kern w:val="0"/>
          <w14:ligatures w14:val="none"/>
        </w:rPr>
        <w:t>.20-12-027</w:t>
      </w:r>
      <w:r w:rsidRPr="00433E18">
        <w:rPr>
          <w:rFonts w:ascii="Palatino Linotype" w:hAnsi="Palatino Linotype" w:eastAsia="Times New Roman" w:cs="Times New Roman"/>
          <w:kern w:val="0"/>
          <w14:ligatures w14:val="none"/>
        </w:rPr>
        <w:t xml:space="preserve">, </w:t>
      </w:r>
      <w:r>
        <w:rPr>
          <w:rFonts w:ascii="Palatino Linotype" w:hAnsi="Palatino Linotype" w:eastAsia="Times New Roman" w:cs="Times New Roman"/>
          <w:kern w:val="0"/>
          <w14:ligatures w14:val="none"/>
        </w:rPr>
        <w:t>SCE</w:t>
      </w:r>
      <w:r w:rsidRPr="00433E18">
        <w:rPr>
          <w:rFonts w:ascii="Palatino Linotype" w:hAnsi="Palatino Linotype" w:eastAsia="Times New Roman" w:cs="Times New Roman"/>
          <w:kern w:val="0"/>
          <w14:ligatures w14:val="none"/>
        </w:rPr>
        <w:t xml:space="preserve"> submitted</w:t>
      </w:r>
      <w:r w:rsidR="00164CA8">
        <w:rPr>
          <w:rFonts w:ascii="Palatino Linotype" w:hAnsi="Palatino Linotype" w:eastAsia="Times New Roman" w:cs="Times New Roman"/>
          <w:kern w:val="0"/>
          <w14:ligatures w14:val="none"/>
        </w:rPr>
        <w:t xml:space="preserve"> </w:t>
      </w:r>
      <w:r w:rsidR="004B70F1">
        <w:rPr>
          <w:rFonts w:ascii="Palatino Linotype" w:hAnsi="Palatino Linotype" w:eastAsia="Times New Roman" w:cs="Times New Roman"/>
          <w:kern w:val="0"/>
          <w14:ligatures w14:val="none"/>
        </w:rPr>
        <w:t xml:space="preserve">AL 5536-E </w:t>
      </w:r>
      <w:r w:rsidR="003A3D85">
        <w:rPr>
          <w:rFonts w:ascii="Palatino Linotype" w:hAnsi="Palatino Linotype" w:eastAsia="Times New Roman" w:cs="Times New Roman"/>
          <w:kern w:val="0"/>
          <w14:ligatures w14:val="none"/>
        </w:rPr>
        <w:t>on April 29, 2025</w:t>
      </w:r>
      <w:r w:rsidR="00507575">
        <w:rPr>
          <w:rFonts w:ascii="Palatino Linotype" w:hAnsi="Palatino Linotype" w:eastAsia="Times New Roman" w:cs="Times New Roman"/>
          <w:kern w:val="0"/>
          <w14:ligatures w14:val="none"/>
        </w:rPr>
        <w:t>,</w:t>
      </w:r>
      <w:r w:rsidR="003A3D85">
        <w:rPr>
          <w:rFonts w:ascii="Palatino Linotype" w:hAnsi="Palatino Linotype" w:eastAsia="Times New Roman" w:cs="Times New Roman"/>
          <w:kern w:val="0"/>
          <w14:ligatures w14:val="none"/>
        </w:rPr>
        <w:t xml:space="preserve"> </w:t>
      </w:r>
      <w:r w:rsidR="00164CA8">
        <w:rPr>
          <w:rFonts w:ascii="Palatino Linotype" w:hAnsi="Palatino Linotype" w:eastAsia="Times New Roman" w:cs="Times New Roman"/>
          <w:kern w:val="0"/>
          <w14:ligatures w14:val="none"/>
        </w:rPr>
        <w:t xml:space="preserve">to </w:t>
      </w:r>
      <w:r w:rsidR="004B70F1">
        <w:rPr>
          <w:rFonts w:ascii="Palatino Linotype" w:hAnsi="Palatino Linotype" w:eastAsia="Times New Roman" w:cs="Times New Roman"/>
          <w:kern w:val="0"/>
          <w14:ligatures w14:val="none"/>
        </w:rPr>
        <w:t xml:space="preserve">propose </w:t>
      </w:r>
      <w:r w:rsidR="00164CA8">
        <w:rPr>
          <w:rFonts w:ascii="Palatino Linotype" w:hAnsi="Palatino Linotype" w:eastAsia="Times New Roman" w:cs="Times New Roman"/>
          <w:kern w:val="0"/>
          <w14:ligatures w14:val="none"/>
        </w:rPr>
        <w:t>update</w:t>
      </w:r>
      <w:r w:rsidR="004B70F1">
        <w:rPr>
          <w:rFonts w:ascii="Palatino Linotype" w:hAnsi="Palatino Linotype" w:eastAsia="Times New Roman" w:cs="Times New Roman"/>
          <w:kern w:val="0"/>
          <w14:ligatures w14:val="none"/>
        </w:rPr>
        <w:t>s</w:t>
      </w:r>
      <w:r w:rsidRPr="00433E18">
        <w:rPr>
          <w:rFonts w:ascii="Palatino Linotype" w:hAnsi="Palatino Linotype" w:eastAsia="Times New Roman" w:cs="Times New Roman"/>
          <w:kern w:val="0"/>
          <w14:ligatures w14:val="none"/>
        </w:rPr>
        <w:t xml:space="preserve"> </w:t>
      </w:r>
      <w:r w:rsidR="004B70F1">
        <w:rPr>
          <w:rFonts w:ascii="Palatino Linotype" w:hAnsi="Palatino Linotype" w:eastAsia="Times New Roman" w:cs="Times New Roman"/>
          <w:kern w:val="0"/>
          <w14:ligatures w14:val="none"/>
        </w:rPr>
        <w:t xml:space="preserve">to </w:t>
      </w:r>
      <w:r w:rsidRPr="00433E18">
        <w:rPr>
          <w:rFonts w:ascii="Palatino Linotype" w:hAnsi="Palatino Linotype" w:eastAsia="Times New Roman" w:cs="Times New Roman"/>
          <w:kern w:val="0"/>
          <w14:ligatures w14:val="none"/>
        </w:rPr>
        <w:t>its LCFS Holdback Implementation Plan. </w:t>
      </w:r>
      <w:r w:rsidR="00AB19B9">
        <w:rPr>
          <w:rFonts w:ascii="Palatino Linotype" w:hAnsi="Palatino Linotype" w:eastAsia="Times New Roman" w:cs="Times New Roman"/>
          <w:kern w:val="0"/>
          <w14:ligatures w14:val="none"/>
        </w:rPr>
        <w:t>AL 5536-E requests</w:t>
      </w:r>
      <w:r w:rsidR="003A3D85">
        <w:rPr>
          <w:rFonts w:ascii="Palatino Linotype" w:hAnsi="Palatino Linotype" w:eastAsia="Times New Roman" w:cs="Times New Roman"/>
          <w:kern w:val="0"/>
          <w14:ligatures w14:val="none"/>
        </w:rPr>
        <w:t xml:space="preserve"> the</w:t>
      </w:r>
      <w:r w:rsidR="00D8140A">
        <w:rPr>
          <w:rFonts w:ascii="Palatino Linotype" w:hAnsi="Palatino Linotype" w:eastAsia="Times New Roman" w:cs="Times New Roman"/>
          <w:kern w:val="0"/>
          <w14:ligatures w14:val="none"/>
        </w:rPr>
        <w:t xml:space="preserve"> C</w:t>
      </w:r>
      <w:r w:rsidR="005D27CB">
        <w:rPr>
          <w:rFonts w:ascii="Palatino Linotype" w:hAnsi="Palatino Linotype" w:eastAsia="Times New Roman" w:cs="Times New Roman"/>
          <w:kern w:val="0"/>
          <w14:ligatures w14:val="none"/>
        </w:rPr>
        <w:t>PUC’s</w:t>
      </w:r>
      <w:r w:rsidR="00D8140A">
        <w:rPr>
          <w:rFonts w:ascii="Palatino Linotype" w:hAnsi="Palatino Linotype" w:eastAsia="Times New Roman" w:cs="Times New Roman"/>
          <w:kern w:val="0"/>
          <w14:ligatures w14:val="none"/>
        </w:rPr>
        <w:t xml:space="preserve"> approval to</w:t>
      </w:r>
      <w:r w:rsidR="00AB19B9">
        <w:rPr>
          <w:rFonts w:ascii="Palatino Linotype" w:hAnsi="Palatino Linotype" w:eastAsia="Times New Roman" w:cs="Times New Roman"/>
          <w:kern w:val="0"/>
          <w14:ligatures w14:val="none"/>
        </w:rPr>
        <w:t xml:space="preserve">: </w:t>
      </w:r>
      <w:r w:rsidR="00A87B74">
        <w:rPr>
          <w:rFonts w:ascii="Palatino Linotype" w:hAnsi="Palatino Linotype" w:eastAsia="Times New Roman" w:cs="Times New Roman"/>
          <w:kern w:val="0"/>
          <w14:ligatures w14:val="none"/>
        </w:rPr>
        <w:t>(1)</w:t>
      </w:r>
      <w:r w:rsidR="00D8140A">
        <w:rPr>
          <w:rFonts w:ascii="Palatino Linotype" w:hAnsi="Palatino Linotype" w:eastAsia="Times New Roman" w:cs="Times New Roman"/>
          <w:kern w:val="0"/>
          <w14:ligatures w14:val="none"/>
        </w:rPr>
        <w:t xml:space="preserve"> include a</w:t>
      </w:r>
      <w:r w:rsidR="00A87B74">
        <w:rPr>
          <w:rFonts w:ascii="Palatino Linotype" w:hAnsi="Palatino Linotype" w:eastAsia="Times New Roman" w:cs="Times New Roman"/>
          <w:kern w:val="0"/>
          <w14:ligatures w14:val="none"/>
        </w:rPr>
        <w:t xml:space="preserve"> new VGI program in SCE’s existing LCFS Implementation Plan, and </w:t>
      </w:r>
      <w:r w:rsidRPr="00DB421C" w:rsidR="00A87B74">
        <w:rPr>
          <w:rFonts w:ascii="Palatino Linotype" w:hAnsi="Palatino Linotype" w:eastAsia="Times New Roman" w:cs="Times New Roman"/>
          <w:kern w:val="0"/>
          <w14:ligatures w14:val="none"/>
        </w:rPr>
        <w:t xml:space="preserve">(2) </w:t>
      </w:r>
      <w:r w:rsidRPr="00DB421C" w:rsidR="00DB421C">
        <w:rPr>
          <w:rFonts w:ascii="Palatino Linotype" w:hAnsi="Palatino Linotype" w:eastAsia="Times New Roman" w:cs="Times New Roman"/>
          <w:kern w:val="0"/>
          <w14:ligatures w14:val="none"/>
        </w:rPr>
        <w:t xml:space="preserve">exempt </w:t>
      </w:r>
      <w:r w:rsidR="003F7CA1">
        <w:rPr>
          <w:rFonts w:ascii="Palatino Linotype" w:hAnsi="Palatino Linotype" w:eastAsia="Times New Roman" w:cs="Times New Roman"/>
          <w:kern w:val="0"/>
          <w14:ligatures w14:val="none"/>
        </w:rPr>
        <w:t xml:space="preserve">SCE from </w:t>
      </w:r>
      <w:r w:rsidRPr="00DB421C" w:rsidR="00DB421C">
        <w:rPr>
          <w:rFonts w:ascii="Palatino Linotype" w:hAnsi="Palatino Linotype" w:eastAsia="Times New Roman" w:cs="Times New Roman"/>
          <w:kern w:val="0"/>
          <w14:ligatures w14:val="none"/>
        </w:rPr>
        <w:t xml:space="preserve">the requirements of PUC </w:t>
      </w:r>
      <w:r w:rsidR="00EA1F4E">
        <w:rPr>
          <w:rFonts w:ascii="Palatino Linotype" w:hAnsi="Palatino Linotype" w:eastAsia="Times New Roman" w:cs="Times New Roman"/>
          <w:kern w:val="0"/>
          <w14:ligatures w14:val="none"/>
        </w:rPr>
        <w:t>Section</w:t>
      </w:r>
      <w:r w:rsidRPr="00DB421C" w:rsidR="00DB421C">
        <w:rPr>
          <w:rFonts w:ascii="Palatino Linotype" w:hAnsi="Palatino Linotype" w:eastAsia="Times New Roman" w:cs="Times New Roman"/>
          <w:kern w:val="0"/>
          <w14:ligatures w14:val="none"/>
        </w:rPr>
        <w:t xml:space="preserve"> 851</w:t>
      </w:r>
      <w:r w:rsidR="0091274F">
        <w:rPr>
          <w:rFonts w:ascii="Palatino Linotype" w:hAnsi="Palatino Linotype" w:eastAsia="Times New Roman" w:cs="Times New Roman"/>
          <w:kern w:val="0"/>
          <w14:ligatures w14:val="none"/>
        </w:rPr>
        <w:t xml:space="preserve"> as it applies to the LCFS holdback credit sales</w:t>
      </w:r>
      <w:r w:rsidRPr="00EA7A5F" w:rsidR="00B66310">
        <w:rPr>
          <w:rFonts w:ascii="Palatino Linotype" w:hAnsi="Palatino Linotype" w:eastAsia="Times New Roman" w:cs="Times New Roman"/>
          <w:kern w:val="0"/>
          <w14:ligatures w14:val="none"/>
        </w:rPr>
        <w:t>.</w:t>
      </w:r>
      <w:r w:rsidRPr="00EA7A5F" w:rsidR="0091274F">
        <w:rPr>
          <w:rFonts w:ascii="Palatino Linotype" w:hAnsi="Palatino Linotype" w:eastAsia="Times New Roman" w:cs="Times New Roman"/>
          <w:kern w:val="0"/>
          <w14:ligatures w14:val="none"/>
        </w:rPr>
        <w:t xml:space="preserve"> </w:t>
      </w:r>
      <w:r w:rsidRPr="00281B80" w:rsidR="00EA7A5F">
        <w:rPr>
          <w:rFonts w:ascii="Palatino Linotype" w:hAnsi="Palatino Linotype" w:eastAsia="Times New Roman" w:cs="Times New Roman"/>
          <w:kern w:val="0"/>
          <w14:ligatures w14:val="none"/>
        </w:rPr>
        <w:t>The proposed</w:t>
      </w:r>
      <w:r w:rsidR="0063106B">
        <w:rPr>
          <w:rFonts w:ascii="Palatino Linotype" w:hAnsi="Palatino Linotype" w:eastAsia="Times New Roman" w:cs="Times New Roman"/>
          <w:kern w:val="0"/>
          <w14:ligatures w14:val="none"/>
        </w:rPr>
        <w:t xml:space="preserve"> program consists of </w:t>
      </w:r>
      <w:r w:rsidRPr="00281B80" w:rsidR="00EA7A5F">
        <w:rPr>
          <w:rFonts w:ascii="Palatino Linotype" w:hAnsi="Palatino Linotype" w:eastAsia="Times New Roman" w:cs="Times New Roman"/>
          <w:kern w:val="0"/>
          <w14:ligatures w14:val="none"/>
        </w:rPr>
        <w:t xml:space="preserve">two </w:t>
      </w:r>
      <w:r w:rsidRPr="00281B80" w:rsidR="00281B80">
        <w:rPr>
          <w:rFonts w:ascii="Palatino Linotype" w:hAnsi="Palatino Linotype" w:eastAsia="Times New Roman" w:cs="Times New Roman"/>
          <w:kern w:val="0"/>
          <w14:ligatures w14:val="none"/>
        </w:rPr>
        <w:t>major</w:t>
      </w:r>
      <w:r w:rsidR="0063106B">
        <w:rPr>
          <w:rFonts w:ascii="Palatino Linotype" w:hAnsi="Palatino Linotype" w:eastAsia="Times New Roman" w:cs="Times New Roman"/>
          <w:kern w:val="0"/>
          <w14:ligatures w14:val="none"/>
        </w:rPr>
        <w:t xml:space="preserve"> components</w:t>
      </w:r>
      <w:r w:rsidR="00730BE3">
        <w:rPr>
          <w:rFonts w:ascii="Palatino Linotype" w:hAnsi="Palatino Linotype" w:eastAsia="Times New Roman" w:cs="Times New Roman"/>
          <w:kern w:val="0"/>
          <w14:ligatures w14:val="none"/>
        </w:rPr>
        <w:t xml:space="preserve">: </w:t>
      </w:r>
      <w:r w:rsidR="00F67F82">
        <w:rPr>
          <w:rFonts w:ascii="Palatino Linotype" w:hAnsi="Palatino Linotype" w:eastAsia="Times New Roman" w:cs="Times New Roman"/>
          <w:kern w:val="0"/>
          <w14:ligatures w14:val="none"/>
        </w:rPr>
        <w:t xml:space="preserve">orchestrated load management </w:t>
      </w:r>
      <w:r w:rsidR="00212672">
        <w:rPr>
          <w:rFonts w:ascii="Palatino Linotype" w:hAnsi="Palatino Linotype" w:eastAsia="Times New Roman" w:cs="Times New Roman"/>
          <w:kern w:val="0"/>
          <w14:ligatures w14:val="none"/>
        </w:rPr>
        <w:t>and bidirectional rebate incentives</w:t>
      </w:r>
      <w:r w:rsidRPr="00281B80" w:rsidR="002C3339">
        <w:rPr>
          <w:rFonts w:ascii="Palatino Linotype" w:hAnsi="Palatino Linotype" w:eastAsia="Times New Roman" w:cs="Times New Roman"/>
          <w:kern w:val="0"/>
          <w14:ligatures w14:val="none"/>
        </w:rPr>
        <w:t>.</w:t>
      </w:r>
      <w:r w:rsidR="0063106B">
        <w:rPr>
          <w:rFonts w:ascii="Palatino Linotype" w:hAnsi="Palatino Linotype" w:eastAsia="Times New Roman" w:cs="Times New Roman"/>
          <w:kern w:val="0"/>
          <w14:ligatures w14:val="none"/>
        </w:rPr>
        <w:t xml:space="preserve"> </w:t>
      </w:r>
    </w:p>
    <w:p w:rsidRPr="00281B80" w:rsidR="00281B80" w:rsidP="00281B80" w:rsidRDefault="00281B80" w14:paraId="564B4435" w14:textId="77777777">
      <w:pPr>
        <w:spacing w:after="0" w:line="240" w:lineRule="auto"/>
        <w:rPr>
          <w:rFonts w:ascii="Palatino Linotype" w:hAnsi="Palatino Linotype" w:eastAsia="Times New Roman" w:cs="Times New Roman"/>
          <w:kern w:val="0"/>
          <w14:ligatures w14:val="none"/>
        </w:rPr>
      </w:pPr>
    </w:p>
    <w:p w:rsidRPr="007955D8" w:rsidR="00D11810" w:rsidP="000F3CD9" w:rsidRDefault="00D11810" w14:paraId="1C8522E0" w14:textId="77777777">
      <w:pPr>
        <w:pStyle w:val="Heading3"/>
        <w:numPr>
          <w:ilvl w:val="0"/>
          <w:numId w:val="22"/>
        </w:numPr>
        <w:spacing w:before="0" w:after="0" w:line="240" w:lineRule="auto"/>
        <w:rPr>
          <w:rFonts w:ascii="Palatino Linotype" w:hAnsi="Palatino Linotype"/>
          <w:sz w:val="24"/>
          <w:szCs w:val="24"/>
        </w:rPr>
      </w:pPr>
      <w:r w:rsidRPr="007955D8">
        <w:rPr>
          <w:rFonts w:ascii="Palatino Linotype" w:hAnsi="Palatino Linotype"/>
          <w:sz w:val="24"/>
          <w:szCs w:val="24"/>
        </w:rPr>
        <w:t xml:space="preserve">Orchestrated Load Management </w:t>
      </w:r>
    </w:p>
    <w:p w:rsidR="00BE47D8" w:rsidP="0046680B" w:rsidRDefault="0079531B" w14:paraId="1AD2A368" w14:textId="4275A9EF">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f</w:t>
      </w:r>
      <w:r w:rsidRPr="00BE3DDD" w:rsidR="002C3339">
        <w:rPr>
          <w:rFonts w:ascii="Palatino Linotype" w:hAnsi="Palatino Linotype" w:eastAsia="Times New Roman" w:cs="Times New Roman"/>
          <w:kern w:val="0"/>
          <w14:ligatures w14:val="none"/>
        </w:rPr>
        <w:t>irst</w:t>
      </w:r>
      <w:r>
        <w:rPr>
          <w:rFonts w:ascii="Palatino Linotype" w:hAnsi="Palatino Linotype" w:eastAsia="Times New Roman" w:cs="Times New Roman"/>
          <w:kern w:val="0"/>
          <w14:ligatures w14:val="none"/>
        </w:rPr>
        <w:t xml:space="preserve"> component of </w:t>
      </w:r>
      <w:r w:rsidRPr="00BE3DDD" w:rsidR="00DA7BAB">
        <w:rPr>
          <w:rFonts w:ascii="Palatino Linotype" w:hAnsi="Palatino Linotype" w:eastAsia="Times New Roman" w:cs="Times New Roman"/>
          <w:kern w:val="0"/>
          <w14:ligatures w14:val="none"/>
        </w:rPr>
        <w:t xml:space="preserve">the proposal </w:t>
      </w:r>
      <w:r w:rsidRPr="00BE3DDD" w:rsidR="003B50AA">
        <w:rPr>
          <w:rFonts w:ascii="Palatino Linotype" w:hAnsi="Palatino Linotype" w:eastAsia="Times New Roman" w:cs="Times New Roman"/>
          <w:kern w:val="0"/>
          <w14:ligatures w14:val="none"/>
        </w:rPr>
        <w:t xml:space="preserve">presents the </w:t>
      </w:r>
      <w:r w:rsidRPr="00BE3DDD" w:rsidR="0070585C">
        <w:rPr>
          <w:rFonts w:ascii="Palatino Linotype" w:hAnsi="Palatino Linotype" w:eastAsia="Times New Roman" w:cs="Times New Roman"/>
          <w:kern w:val="0"/>
          <w14:ligatures w14:val="none"/>
        </w:rPr>
        <w:t>Orchestrated Charging and Advanced Resiliency for Distribution (ORCHARD)</w:t>
      </w:r>
      <w:r w:rsidR="009F0205">
        <w:rPr>
          <w:rFonts w:ascii="Palatino Linotype" w:hAnsi="Palatino Linotype" w:eastAsia="Times New Roman" w:cs="Times New Roman"/>
          <w:kern w:val="0"/>
          <w14:ligatures w14:val="none"/>
        </w:rPr>
        <w:t xml:space="preserve"> program</w:t>
      </w:r>
      <w:r w:rsidRPr="00BE3DDD" w:rsidR="008D6DA3">
        <w:rPr>
          <w:rFonts w:ascii="Palatino Linotype" w:hAnsi="Palatino Linotype" w:eastAsia="Times New Roman" w:cs="Times New Roman"/>
          <w:kern w:val="0"/>
          <w14:ligatures w14:val="none"/>
        </w:rPr>
        <w:t xml:space="preserve">. </w:t>
      </w:r>
      <w:r w:rsidRPr="2128FA49" w:rsidR="00646AC4">
        <w:rPr>
          <w:rFonts w:ascii="Palatino Linotype" w:hAnsi="Palatino Linotype" w:eastAsia="Times New Roman" w:cs="Times New Roman"/>
        </w:rPr>
        <w:t xml:space="preserve">The </w:t>
      </w:r>
      <w:r w:rsidRPr="2128FA49" w:rsidR="00FD7FCE">
        <w:rPr>
          <w:rFonts w:ascii="Palatino Linotype" w:hAnsi="Palatino Linotype" w:eastAsia="Times New Roman" w:cs="Times New Roman"/>
        </w:rPr>
        <w:t>program</w:t>
      </w:r>
      <w:r w:rsidRPr="2128FA49" w:rsidR="00646AC4">
        <w:rPr>
          <w:rFonts w:ascii="Palatino Linotype" w:hAnsi="Palatino Linotype" w:eastAsia="Times New Roman" w:cs="Times New Roman"/>
        </w:rPr>
        <w:t xml:space="preserve"> </w:t>
      </w:r>
      <w:r w:rsidRPr="2128FA49" w:rsidR="000458B0">
        <w:rPr>
          <w:rFonts w:ascii="Palatino Linotype" w:hAnsi="Palatino Linotype" w:eastAsia="Times New Roman" w:cs="Times New Roman"/>
        </w:rPr>
        <w:t xml:space="preserve">would </w:t>
      </w:r>
      <w:r w:rsidR="007F23B8">
        <w:rPr>
          <w:rFonts w:ascii="Palatino Linotype" w:hAnsi="Palatino Linotype" w:eastAsia="Times New Roman" w:cs="Times New Roman"/>
        </w:rPr>
        <w:t>integrate a</w:t>
      </w:r>
      <w:r w:rsidRPr="2128FA49" w:rsidR="007F23B8">
        <w:rPr>
          <w:rFonts w:ascii="Palatino Linotype" w:hAnsi="Palatino Linotype" w:eastAsia="Times New Roman" w:cs="Times New Roman"/>
        </w:rPr>
        <w:t xml:space="preserve"> </w:t>
      </w:r>
      <w:r w:rsidRPr="2128FA49" w:rsidR="00646AC4">
        <w:rPr>
          <w:rFonts w:ascii="Palatino Linotype" w:hAnsi="Palatino Linotype" w:eastAsia="Times New Roman" w:cs="Times New Roman"/>
        </w:rPr>
        <w:t>software</w:t>
      </w:r>
      <w:r w:rsidR="00F24DCB">
        <w:rPr>
          <w:rFonts w:ascii="Palatino Linotype" w:hAnsi="Palatino Linotype" w:eastAsia="Times New Roman" w:cs="Times New Roman"/>
        </w:rPr>
        <w:t xml:space="preserve"> layer</w:t>
      </w:r>
      <w:r w:rsidRPr="2128FA49" w:rsidR="000458B0">
        <w:rPr>
          <w:rFonts w:ascii="Palatino Linotype" w:hAnsi="Palatino Linotype" w:eastAsia="Times New Roman" w:cs="Times New Roman"/>
        </w:rPr>
        <w:t xml:space="preserve"> in</w:t>
      </w:r>
      <w:r w:rsidR="00F24DCB">
        <w:rPr>
          <w:rFonts w:ascii="Palatino Linotype" w:hAnsi="Palatino Linotype" w:eastAsia="Times New Roman" w:cs="Times New Roman"/>
        </w:rPr>
        <w:t>to</w:t>
      </w:r>
      <w:r w:rsidRPr="2128FA49" w:rsidR="000458B0">
        <w:rPr>
          <w:rFonts w:ascii="Palatino Linotype" w:hAnsi="Palatino Linotype" w:eastAsia="Times New Roman" w:cs="Times New Roman"/>
        </w:rPr>
        <w:t xml:space="preserve"> the utility’s </w:t>
      </w:r>
      <w:r w:rsidRPr="2128FA49" w:rsidR="004D2674">
        <w:rPr>
          <w:rFonts w:ascii="Palatino Linotype" w:hAnsi="Palatino Linotype" w:eastAsia="Times New Roman" w:cs="Times New Roman"/>
        </w:rPr>
        <w:t>D</w:t>
      </w:r>
      <w:r w:rsidRPr="2128FA49" w:rsidR="00ED79C3">
        <w:rPr>
          <w:rFonts w:ascii="Palatino Linotype" w:hAnsi="Palatino Linotype" w:eastAsia="Times New Roman" w:cs="Times New Roman"/>
        </w:rPr>
        <w:t xml:space="preserve">istributed </w:t>
      </w:r>
      <w:r w:rsidRPr="2128FA49" w:rsidR="004D2674">
        <w:rPr>
          <w:rFonts w:ascii="Palatino Linotype" w:hAnsi="Palatino Linotype" w:eastAsia="Times New Roman" w:cs="Times New Roman"/>
        </w:rPr>
        <w:t>E</w:t>
      </w:r>
      <w:r w:rsidRPr="2128FA49" w:rsidR="00ED79C3">
        <w:rPr>
          <w:rFonts w:ascii="Palatino Linotype" w:hAnsi="Palatino Linotype" w:eastAsia="Times New Roman" w:cs="Times New Roman"/>
        </w:rPr>
        <w:t xml:space="preserve">nergy </w:t>
      </w:r>
      <w:r w:rsidRPr="2128FA49" w:rsidR="004D2674">
        <w:rPr>
          <w:rFonts w:ascii="Palatino Linotype" w:hAnsi="Palatino Linotype" w:eastAsia="Times New Roman" w:cs="Times New Roman"/>
        </w:rPr>
        <w:t>R</w:t>
      </w:r>
      <w:r w:rsidRPr="2128FA49" w:rsidR="00FD7FCE">
        <w:rPr>
          <w:rFonts w:ascii="Palatino Linotype" w:hAnsi="Palatino Linotype" w:eastAsia="Times New Roman" w:cs="Times New Roman"/>
        </w:rPr>
        <w:t xml:space="preserve">esource </w:t>
      </w:r>
      <w:r w:rsidRPr="2128FA49" w:rsidR="004D2674">
        <w:rPr>
          <w:rFonts w:ascii="Palatino Linotype" w:hAnsi="Palatino Linotype" w:eastAsia="Times New Roman" w:cs="Times New Roman"/>
        </w:rPr>
        <w:t>M</w:t>
      </w:r>
      <w:r w:rsidRPr="2128FA49" w:rsidR="00FD7FCE">
        <w:rPr>
          <w:rFonts w:ascii="Palatino Linotype" w:hAnsi="Palatino Linotype" w:eastAsia="Times New Roman" w:cs="Times New Roman"/>
        </w:rPr>
        <w:t xml:space="preserve">anagement </w:t>
      </w:r>
      <w:r w:rsidRPr="2128FA49" w:rsidR="004D2674">
        <w:rPr>
          <w:rFonts w:ascii="Palatino Linotype" w:hAnsi="Palatino Linotype" w:eastAsia="Times New Roman" w:cs="Times New Roman"/>
        </w:rPr>
        <w:t>S</w:t>
      </w:r>
      <w:r w:rsidRPr="2128FA49" w:rsidR="00FD7FCE">
        <w:rPr>
          <w:rFonts w:ascii="Palatino Linotype" w:hAnsi="Palatino Linotype" w:eastAsia="Times New Roman" w:cs="Times New Roman"/>
        </w:rPr>
        <w:t xml:space="preserve">ystem </w:t>
      </w:r>
      <w:r w:rsidRPr="2128FA49" w:rsidR="00FD7FCE">
        <w:rPr>
          <w:rFonts w:ascii="Palatino Linotype" w:hAnsi="Palatino Linotype" w:eastAsia="Times New Roman" w:cs="Times New Roman"/>
        </w:rPr>
        <w:lastRenderedPageBreak/>
        <w:t>(DERMS)</w:t>
      </w:r>
      <w:r w:rsidRPr="2128FA49" w:rsidR="00646AC4">
        <w:rPr>
          <w:rFonts w:ascii="Palatino Linotype" w:hAnsi="Palatino Linotype" w:eastAsia="Times New Roman" w:cs="Times New Roman"/>
        </w:rPr>
        <w:t xml:space="preserve"> t</w:t>
      </w:r>
      <w:r w:rsidRPr="2128FA49" w:rsidR="006C7814">
        <w:rPr>
          <w:rFonts w:ascii="Palatino Linotype" w:hAnsi="Palatino Linotype" w:eastAsia="Times New Roman" w:cs="Times New Roman"/>
        </w:rPr>
        <w:t>hat would</w:t>
      </w:r>
      <w:r w:rsidRPr="2128FA49" w:rsidR="00646AC4">
        <w:rPr>
          <w:rFonts w:ascii="Palatino Linotype" w:hAnsi="Palatino Linotype" w:eastAsia="Times New Roman" w:cs="Times New Roman"/>
        </w:rPr>
        <w:t xml:space="preserve"> optimize </w:t>
      </w:r>
      <w:r w:rsidRPr="2128FA49" w:rsidR="004D2674">
        <w:rPr>
          <w:rFonts w:ascii="Palatino Linotype" w:hAnsi="Palatino Linotype" w:eastAsia="Times New Roman" w:cs="Times New Roman"/>
        </w:rPr>
        <w:t xml:space="preserve">customer </w:t>
      </w:r>
      <w:r w:rsidRPr="2128FA49" w:rsidR="00646AC4">
        <w:rPr>
          <w:rFonts w:ascii="Palatino Linotype" w:hAnsi="Palatino Linotype" w:eastAsia="Times New Roman" w:cs="Times New Roman"/>
        </w:rPr>
        <w:t>EV charging times</w:t>
      </w:r>
      <w:r w:rsidR="00667A48">
        <w:rPr>
          <w:rFonts w:ascii="Palatino Linotype" w:hAnsi="Palatino Linotype" w:eastAsia="Times New Roman" w:cs="Times New Roman"/>
        </w:rPr>
        <w:t xml:space="preserve"> and mitigate localized grid </w:t>
      </w:r>
      <w:r w:rsidR="0018600C">
        <w:rPr>
          <w:rFonts w:ascii="Palatino Linotype" w:hAnsi="Palatino Linotype" w:eastAsia="Times New Roman" w:cs="Times New Roman"/>
        </w:rPr>
        <w:t>congestion</w:t>
      </w:r>
      <w:r w:rsidRPr="2128FA49" w:rsidR="00646AC4">
        <w:rPr>
          <w:rFonts w:ascii="Palatino Linotype" w:hAnsi="Palatino Linotype" w:eastAsia="Times New Roman" w:cs="Times New Roman"/>
        </w:rPr>
        <w:t>.</w:t>
      </w:r>
      <w:r w:rsidRPr="00BE3DDD" w:rsidR="00BE3DDD">
        <w:rPr>
          <w:rFonts w:ascii="Palatino Linotype" w:hAnsi="Palatino Linotype" w:eastAsia="Times New Roman" w:cs="Times New Roman"/>
          <w:kern w:val="0"/>
          <w14:ligatures w14:val="none"/>
        </w:rPr>
        <w:t xml:space="preserve"> </w:t>
      </w:r>
      <w:r w:rsidRPr="2128FA49" w:rsidR="005135A3">
        <w:rPr>
          <w:rFonts w:ascii="Palatino Linotype" w:hAnsi="Palatino Linotype" w:eastAsia="Times New Roman" w:cs="Times New Roman"/>
        </w:rPr>
        <w:t xml:space="preserve">SCE argues that current load management efforts lack precision as </w:t>
      </w:r>
      <w:r w:rsidRPr="2128FA49" w:rsidR="00BB5178">
        <w:rPr>
          <w:rFonts w:ascii="Palatino Linotype" w:hAnsi="Palatino Linotype" w:eastAsia="Times New Roman" w:cs="Times New Roman"/>
        </w:rPr>
        <w:t>such efforts largely rely</w:t>
      </w:r>
      <w:r w:rsidRPr="2128FA49" w:rsidR="005135A3">
        <w:rPr>
          <w:rFonts w:ascii="Palatino Linotype" w:hAnsi="Palatino Linotype" w:eastAsia="Times New Roman" w:cs="Times New Roman"/>
        </w:rPr>
        <w:t xml:space="preserve"> on voluntary customer participation, system-wide signals (e.g., </w:t>
      </w:r>
      <w:r w:rsidR="0094298F">
        <w:rPr>
          <w:rFonts w:ascii="Palatino Linotype" w:hAnsi="Palatino Linotype" w:eastAsia="Times New Roman" w:cs="Times New Roman"/>
        </w:rPr>
        <w:t>time-of-use</w:t>
      </w:r>
      <w:r w:rsidRPr="2128FA49" w:rsidR="00035217">
        <w:rPr>
          <w:rFonts w:ascii="Palatino Linotype" w:hAnsi="Palatino Linotype" w:eastAsia="Times New Roman" w:cs="Times New Roman"/>
        </w:rPr>
        <w:t xml:space="preserve"> rates</w:t>
      </w:r>
      <w:r w:rsidRPr="2128FA49" w:rsidR="005135A3">
        <w:rPr>
          <w:rFonts w:ascii="Palatino Linotype" w:hAnsi="Palatino Linotype" w:eastAsia="Times New Roman" w:cs="Times New Roman"/>
        </w:rPr>
        <w:t xml:space="preserve">), and customer-driven behavior. </w:t>
      </w:r>
      <w:r w:rsidRPr="00BE3DDD" w:rsidR="00FE6361">
        <w:rPr>
          <w:rFonts w:ascii="Palatino Linotype" w:hAnsi="Palatino Linotype" w:eastAsia="Times New Roman" w:cs="Times New Roman"/>
          <w:kern w:val="0"/>
          <w14:ligatures w14:val="none"/>
        </w:rPr>
        <w:t>SCE</w:t>
      </w:r>
      <w:r w:rsidRPr="00BE3DDD" w:rsidR="00B83248">
        <w:rPr>
          <w:rFonts w:ascii="Palatino Linotype" w:hAnsi="Palatino Linotype" w:eastAsia="Times New Roman" w:cs="Times New Roman"/>
          <w:kern w:val="0"/>
          <w14:ligatures w14:val="none"/>
        </w:rPr>
        <w:t xml:space="preserve"> assumes that the expected influx of EV load in the coming years will continue to exacerbate the secondary peak that results from EV drivers </w:t>
      </w:r>
      <w:r w:rsidRPr="00BE3DDD" w:rsidR="00CD4475">
        <w:rPr>
          <w:rFonts w:ascii="Palatino Linotype" w:hAnsi="Palatino Linotype" w:eastAsia="Times New Roman" w:cs="Times New Roman"/>
          <w:kern w:val="0"/>
          <w14:ligatures w14:val="none"/>
        </w:rPr>
        <w:t>initiating</w:t>
      </w:r>
      <w:r w:rsidRPr="00BE3DDD" w:rsidR="00B83248">
        <w:rPr>
          <w:rFonts w:ascii="Palatino Linotype" w:hAnsi="Palatino Linotype" w:eastAsia="Times New Roman" w:cs="Times New Roman"/>
          <w:kern w:val="0"/>
          <w14:ligatures w14:val="none"/>
        </w:rPr>
        <w:t xml:space="preserve"> their charging time </w:t>
      </w:r>
      <w:r w:rsidRPr="00BE3DDD" w:rsidR="006C7814">
        <w:rPr>
          <w:rFonts w:ascii="Palatino Linotype" w:hAnsi="Palatino Linotype" w:eastAsia="Times New Roman" w:cs="Times New Roman"/>
          <w:kern w:val="0"/>
          <w14:ligatures w14:val="none"/>
        </w:rPr>
        <w:t>during</w:t>
      </w:r>
      <w:r w:rsidRPr="00BE3DDD" w:rsidR="00B83248">
        <w:rPr>
          <w:rFonts w:ascii="Palatino Linotype" w:hAnsi="Palatino Linotype" w:eastAsia="Times New Roman" w:cs="Times New Roman"/>
          <w:kern w:val="0"/>
          <w14:ligatures w14:val="none"/>
        </w:rPr>
        <w:t xml:space="preserve"> off-peak hours, starting at </w:t>
      </w:r>
      <w:r w:rsidR="004A088A">
        <w:rPr>
          <w:rFonts w:ascii="Palatino Linotype" w:hAnsi="Palatino Linotype" w:eastAsia="Times New Roman" w:cs="Times New Roman"/>
          <w:kern w:val="0"/>
          <w14:ligatures w14:val="none"/>
        </w:rPr>
        <w:br/>
      </w:r>
      <w:r w:rsidRPr="00BE3DDD" w:rsidR="00B83248">
        <w:rPr>
          <w:rFonts w:ascii="Palatino Linotype" w:hAnsi="Palatino Linotype" w:eastAsia="Times New Roman" w:cs="Times New Roman"/>
          <w:kern w:val="0"/>
          <w14:ligatures w14:val="none"/>
        </w:rPr>
        <w:t>9</w:t>
      </w:r>
      <w:r w:rsidRPr="2128FA49" w:rsidR="00035217">
        <w:rPr>
          <w:rFonts w:ascii="Palatino Linotype" w:hAnsi="Palatino Linotype" w:eastAsia="Times New Roman" w:cs="Times New Roman"/>
        </w:rPr>
        <w:t>:00</w:t>
      </w:r>
      <w:r w:rsidRPr="00BE3DDD" w:rsidR="00B83248">
        <w:rPr>
          <w:rFonts w:ascii="Palatino Linotype" w:hAnsi="Palatino Linotype" w:eastAsia="Times New Roman" w:cs="Times New Roman"/>
          <w:kern w:val="0"/>
          <w14:ligatures w14:val="none"/>
        </w:rPr>
        <w:t xml:space="preserve"> pm</w:t>
      </w:r>
      <w:r w:rsidRPr="00BE3DDD" w:rsidR="00CD4475">
        <w:rPr>
          <w:rFonts w:ascii="Palatino Linotype" w:hAnsi="Palatino Linotype" w:eastAsia="Times New Roman" w:cs="Times New Roman"/>
          <w:kern w:val="0"/>
          <w14:ligatures w14:val="none"/>
        </w:rPr>
        <w:t>.</w:t>
      </w:r>
      <w:r w:rsidRPr="00BE3DDD" w:rsidR="00B83248">
        <w:rPr>
          <w:rFonts w:ascii="Palatino Linotype" w:hAnsi="Palatino Linotype" w:eastAsia="Times New Roman" w:cs="Times New Roman"/>
          <w:kern w:val="0"/>
          <w14:ligatures w14:val="none"/>
        </w:rPr>
        <w:t xml:space="preserve"> </w:t>
      </w:r>
      <w:r w:rsidR="005B6371">
        <w:rPr>
          <w:rFonts w:ascii="Palatino Linotype" w:hAnsi="Palatino Linotype" w:eastAsia="Times New Roman" w:cs="Times New Roman"/>
          <w:kern w:val="0"/>
          <w14:ligatures w14:val="none"/>
        </w:rPr>
        <w:t>SCE</w:t>
      </w:r>
      <w:r w:rsidRPr="00BE3DDD" w:rsidR="008A7382">
        <w:rPr>
          <w:rFonts w:ascii="Palatino Linotype" w:hAnsi="Palatino Linotype" w:eastAsia="Times New Roman" w:cs="Times New Roman"/>
          <w:kern w:val="0"/>
          <w14:ligatures w14:val="none"/>
        </w:rPr>
        <w:t xml:space="preserve"> </w:t>
      </w:r>
      <w:r w:rsidR="00035217">
        <w:rPr>
          <w:rFonts w:ascii="Palatino Linotype" w:hAnsi="Palatino Linotype" w:eastAsia="Times New Roman" w:cs="Times New Roman"/>
          <w:kern w:val="0"/>
          <w14:ligatures w14:val="none"/>
        </w:rPr>
        <w:t>posits</w:t>
      </w:r>
      <w:r w:rsidRPr="00BE3DDD" w:rsidR="008A7382">
        <w:rPr>
          <w:rFonts w:ascii="Palatino Linotype" w:hAnsi="Palatino Linotype" w:eastAsia="Times New Roman" w:cs="Times New Roman"/>
          <w:kern w:val="0"/>
          <w14:ligatures w14:val="none"/>
        </w:rPr>
        <w:t xml:space="preserve"> that</w:t>
      </w:r>
      <w:r w:rsidRPr="2128FA49" w:rsidR="00151A97">
        <w:rPr>
          <w:rFonts w:ascii="Palatino Linotype" w:hAnsi="Palatino Linotype" w:eastAsia="Times New Roman" w:cs="Times New Roman"/>
        </w:rPr>
        <w:t xml:space="preserve"> the </w:t>
      </w:r>
      <w:r w:rsidRPr="2128FA49" w:rsidR="005C1252">
        <w:rPr>
          <w:rFonts w:ascii="Palatino Linotype" w:hAnsi="Palatino Linotype" w:eastAsia="Times New Roman" w:cs="Times New Roman"/>
        </w:rPr>
        <w:t>primary</w:t>
      </w:r>
      <w:r w:rsidRPr="2128FA49" w:rsidR="00151A97">
        <w:rPr>
          <w:rFonts w:ascii="Palatino Linotype" w:hAnsi="Palatino Linotype" w:eastAsia="Times New Roman" w:cs="Times New Roman"/>
        </w:rPr>
        <w:t xml:space="preserve"> objective of</w:t>
      </w:r>
      <w:r w:rsidRPr="00BE3DDD" w:rsidR="008A7382">
        <w:rPr>
          <w:rFonts w:ascii="Palatino Linotype" w:hAnsi="Palatino Linotype" w:eastAsia="Times New Roman" w:cs="Times New Roman"/>
          <w:kern w:val="0"/>
          <w14:ligatures w14:val="none"/>
        </w:rPr>
        <w:t xml:space="preserve"> this</w:t>
      </w:r>
      <w:r w:rsidR="008E3B94">
        <w:rPr>
          <w:rFonts w:ascii="Palatino Linotype" w:hAnsi="Palatino Linotype" w:eastAsia="Times New Roman" w:cs="Times New Roman"/>
          <w:kern w:val="0"/>
          <w14:ligatures w14:val="none"/>
        </w:rPr>
        <w:t xml:space="preserve"> orchestrated load management</w:t>
      </w:r>
      <w:r w:rsidRPr="00BE3DDD" w:rsidR="008A7382">
        <w:rPr>
          <w:rFonts w:ascii="Palatino Linotype" w:hAnsi="Palatino Linotype" w:eastAsia="Times New Roman" w:cs="Times New Roman"/>
          <w:kern w:val="0"/>
          <w14:ligatures w14:val="none"/>
        </w:rPr>
        <w:t xml:space="preserve"> approach will </w:t>
      </w:r>
      <w:r w:rsidRPr="2128FA49" w:rsidR="00151A97">
        <w:rPr>
          <w:rFonts w:ascii="Palatino Linotype" w:hAnsi="Palatino Linotype" w:eastAsia="Times New Roman" w:cs="Times New Roman"/>
        </w:rPr>
        <w:t xml:space="preserve">be to </w:t>
      </w:r>
      <w:r w:rsidRPr="00BE3DDD" w:rsidR="008A7382">
        <w:rPr>
          <w:rFonts w:ascii="Palatino Linotype" w:hAnsi="Palatino Linotype" w:eastAsia="Times New Roman" w:cs="Times New Roman"/>
          <w:kern w:val="0"/>
          <w14:ligatures w14:val="none"/>
        </w:rPr>
        <w:t>mitigate those secondary local grid constraints and reduce</w:t>
      </w:r>
      <w:r w:rsidRPr="2128FA49" w:rsidR="00E752E8">
        <w:rPr>
          <w:rFonts w:ascii="Palatino Linotype" w:hAnsi="Palatino Linotype" w:eastAsia="Times New Roman" w:cs="Times New Roman"/>
        </w:rPr>
        <w:t>, delay, or even eliminate</w:t>
      </w:r>
      <w:r w:rsidRPr="00BE3DDD" w:rsidR="008A7382">
        <w:rPr>
          <w:rFonts w:ascii="Palatino Linotype" w:hAnsi="Palatino Linotype" w:eastAsia="Times New Roman" w:cs="Times New Roman"/>
          <w:kern w:val="0"/>
          <w14:ligatures w14:val="none"/>
        </w:rPr>
        <w:t xml:space="preserve"> the need for distribution infrastructure upgrades,</w:t>
      </w:r>
      <w:r w:rsidR="00A62912">
        <w:rPr>
          <w:rStyle w:val="FootnoteReference"/>
          <w:rFonts w:ascii="Palatino Linotype" w:hAnsi="Palatino Linotype" w:eastAsia="Times New Roman" w:cs="Times New Roman"/>
          <w:kern w:val="0"/>
          <w14:ligatures w14:val="none"/>
        </w:rPr>
        <w:footnoteReference w:id="8"/>
      </w:r>
      <w:r w:rsidR="000854DE">
        <w:rPr>
          <w:rFonts w:ascii="Palatino Linotype" w:hAnsi="Palatino Linotype" w:eastAsia="Times New Roman" w:cs="Times New Roman"/>
          <w:kern w:val="0"/>
          <w14:ligatures w14:val="none"/>
        </w:rPr>
        <w:t xml:space="preserve"> primarily transformers. </w:t>
      </w:r>
      <w:r w:rsidRPr="00BE3DDD" w:rsidR="00E752E8">
        <w:rPr>
          <w:rFonts w:ascii="Palatino Linotype" w:hAnsi="Palatino Linotype" w:eastAsia="Times New Roman" w:cs="Times New Roman"/>
          <w:kern w:val="0"/>
          <w14:ligatures w14:val="none"/>
        </w:rPr>
        <w:t xml:space="preserve"> </w:t>
      </w:r>
    </w:p>
    <w:p w:rsidR="00BE47D8" w:rsidP="0046680B" w:rsidRDefault="00BE47D8" w14:paraId="1F525B2D" w14:textId="77777777">
      <w:pPr>
        <w:spacing w:after="0" w:line="240" w:lineRule="auto"/>
        <w:rPr>
          <w:rFonts w:ascii="Palatino Linotype" w:hAnsi="Palatino Linotype" w:eastAsia="Times New Roman" w:cs="Times New Roman"/>
          <w:kern w:val="0"/>
          <w14:ligatures w14:val="none"/>
        </w:rPr>
      </w:pPr>
    </w:p>
    <w:p w:rsidRPr="002F05A1" w:rsidR="005677F8" w:rsidP="002F05A1" w:rsidRDefault="00C701E5" w14:paraId="6D347A59" w14:textId="190F137D">
      <w:pPr>
        <w:spacing w:after="0" w:line="240" w:lineRule="auto"/>
        <w:rPr>
          <w:rFonts w:ascii="Palatino Linotype" w:hAnsi="Palatino Linotype" w:eastAsia="Times New Roman" w:cs="Times New Roman"/>
        </w:rPr>
      </w:pPr>
      <w:r w:rsidRPr="2128FA49">
        <w:rPr>
          <w:rFonts w:ascii="Palatino Linotype" w:hAnsi="Palatino Linotype" w:eastAsia="Times New Roman" w:cs="Times New Roman"/>
        </w:rPr>
        <w:t>The second objective of</w:t>
      </w:r>
      <w:r w:rsidRPr="2128FA49" w:rsidR="007A2881">
        <w:rPr>
          <w:rFonts w:ascii="Palatino Linotype" w:hAnsi="Palatino Linotype" w:eastAsia="Times New Roman" w:cs="Times New Roman"/>
        </w:rPr>
        <w:t xml:space="preserve"> the program </w:t>
      </w:r>
      <w:r w:rsidRPr="2128FA49">
        <w:rPr>
          <w:rFonts w:ascii="Palatino Linotype" w:hAnsi="Palatino Linotype" w:eastAsia="Times New Roman" w:cs="Times New Roman"/>
        </w:rPr>
        <w:t>is</w:t>
      </w:r>
      <w:r w:rsidRPr="2128FA49" w:rsidR="007A2881">
        <w:rPr>
          <w:rFonts w:ascii="Palatino Linotype" w:hAnsi="Palatino Linotype" w:eastAsia="Times New Roman" w:cs="Times New Roman"/>
        </w:rPr>
        <w:t xml:space="preserve"> to reduce customer</w:t>
      </w:r>
      <w:r w:rsidRPr="2128FA49">
        <w:rPr>
          <w:rFonts w:ascii="Palatino Linotype" w:hAnsi="Palatino Linotype" w:eastAsia="Times New Roman" w:cs="Times New Roman"/>
        </w:rPr>
        <w:t xml:space="preserve"> bills and </w:t>
      </w:r>
      <w:r w:rsidRPr="2128FA49" w:rsidR="00045023">
        <w:rPr>
          <w:rFonts w:ascii="Palatino Linotype" w:hAnsi="Palatino Linotype" w:eastAsia="Times New Roman" w:cs="Times New Roman"/>
        </w:rPr>
        <w:t>enable customers to generate revenu</w:t>
      </w:r>
      <w:r w:rsidR="00E852A8">
        <w:rPr>
          <w:rFonts w:ascii="Palatino Linotype" w:hAnsi="Palatino Linotype" w:eastAsia="Times New Roman" w:cs="Times New Roman"/>
        </w:rPr>
        <w:t>e</w:t>
      </w:r>
      <w:r w:rsidRPr="2128FA49" w:rsidR="00045023">
        <w:rPr>
          <w:rFonts w:ascii="Palatino Linotype" w:hAnsi="Palatino Linotype" w:eastAsia="Times New Roman" w:cs="Times New Roman"/>
        </w:rPr>
        <w:t xml:space="preserve">. </w:t>
      </w:r>
      <w:r w:rsidRPr="002F05A1" w:rsidR="00852D97">
        <w:rPr>
          <w:rFonts w:ascii="Palatino Linotype" w:hAnsi="Palatino Linotype" w:eastAsia="Times New Roman" w:cs="Times New Roman"/>
        </w:rPr>
        <w:t xml:space="preserve">AL 5536-E emphasizes the </w:t>
      </w:r>
      <w:r w:rsidRPr="002F05A1" w:rsidR="003D69DE">
        <w:rPr>
          <w:rFonts w:ascii="Palatino Linotype" w:hAnsi="Palatino Linotype" w:eastAsia="Times New Roman" w:cs="Times New Roman"/>
        </w:rPr>
        <w:t xml:space="preserve">cost </w:t>
      </w:r>
      <w:r w:rsidRPr="002F05A1" w:rsidR="00852D97">
        <w:rPr>
          <w:rFonts w:ascii="Palatino Linotype" w:hAnsi="Palatino Linotype" w:eastAsia="Times New Roman" w:cs="Times New Roman"/>
        </w:rPr>
        <w:t>benefits of home energy management</w:t>
      </w:r>
      <w:r w:rsidRPr="002F05A1" w:rsidR="00F352EB">
        <w:rPr>
          <w:rFonts w:ascii="Palatino Linotype" w:hAnsi="Palatino Linotype" w:eastAsia="Times New Roman" w:cs="Times New Roman"/>
        </w:rPr>
        <w:t xml:space="preserve">, in which </w:t>
      </w:r>
      <w:r w:rsidRPr="002F05A1" w:rsidR="00DD3ACE">
        <w:rPr>
          <w:rFonts w:ascii="Palatino Linotype" w:hAnsi="Palatino Linotype" w:eastAsia="Times New Roman" w:cs="Times New Roman"/>
        </w:rPr>
        <w:t xml:space="preserve">customers with bidirectional vehicles </w:t>
      </w:r>
      <w:r w:rsidRPr="002F05A1" w:rsidR="00F352EB">
        <w:rPr>
          <w:rFonts w:ascii="Palatino Linotype" w:hAnsi="Palatino Linotype" w:eastAsia="Times New Roman" w:cs="Times New Roman"/>
        </w:rPr>
        <w:t xml:space="preserve">would save money by </w:t>
      </w:r>
      <w:r w:rsidR="005A3F65">
        <w:rPr>
          <w:rFonts w:ascii="Palatino Linotype" w:hAnsi="Palatino Linotype" w:eastAsia="Times New Roman" w:cs="Times New Roman"/>
        </w:rPr>
        <w:t>drawing</w:t>
      </w:r>
      <w:r w:rsidRPr="002F05A1" w:rsidR="00F352EB">
        <w:rPr>
          <w:rFonts w:ascii="Palatino Linotype" w:hAnsi="Palatino Linotype" w:eastAsia="Times New Roman" w:cs="Times New Roman"/>
        </w:rPr>
        <w:t xml:space="preserve"> electricity </w:t>
      </w:r>
      <w:r w:rsidR="005A3F65">
        <w:rPr>
          <w:rFonts w:ascii="Palatino Linotype" w:hAnsi="Palatino Linotype" w:eastAsia="Times New Roman" w:cs="Times New Roman"/>
        </w:rPr>
        <w:t xml:space="preserve">from </w:t>
      </w:r>
      <w:r w:rsidRPr="002F05A1" w:rsidR="00F352EB">
        <w:rPr>
          <w:rFonts w:ascii="Palatino Linotype" w:hAnsi="Palatino Linotype" w:eastAsia="Times New Roman" w:cs="Times New Roman"/>
        </w:rPr>
        <w:t xml:space="preserve">their own vehicle </w:t>
      </w:r>
      <w:r w:rsidRPr="002F05A1" w:rsidR="00C67DD4">
        <w:rPr>
          <w:rFonts w:ascii="Palatino Linotype" w:hAnsi="Palatino Linotype" w:eastAsia="Times New Roman" w:cs="Times New Roman"/>
        </w:rPr>
        <w:t>instead of importing energy from the grid</w:t>
      </w:r>
      <w:r w:rsidRPr="002F05A1" w:rsidR="00DD019D">
        <w:rPr>
          <w:rFonts w:ascii="Palatino Linotype" w:hAnsi="Palatino Linotype" w:eastAsia="Times New Roman" w:cs="Times New Roman"/>
        </w:rPr>
        <w:t xml:space="preserve">, especially </w:t>
      </w:r>
      <w:r w:rsidRPr="002F05A1" w:rsidR="00E53AE4">
        <w:rPr>
          <w:rFonts w:ascii="Palatino Linotype" w:hAnsi="Palatino Linotype" w:eastAsia="Times New Roman" w:cs="Times New Roman"/>
        </w:rPr>
        <w:t>during the</w:t>
      </w:r>
      <w:r w:rsidRPr="002F05A1" w:rsidR="00DD019D">
        <w:rPr>
          <w:rFonts w:ascii="Palatino Linotype" w:hAnsi="Palatino Linotype" w:eastAsia="Times New Roman" w:cs="Times New Roman"/>
        </w:rPr>
        <w:t xml:space="preserve"> more costly </w:t>
      </w:r>
      <w:r w:rsidRPr="002F05A1" w:rsidR="00E53AE4">
        <w:rPr>
          <w:rFonts w:ascii="Palatino Linotype" w:hAnsi="Palatino Linotype" w:eastAsia="Times New Roman" w:cs="Times New Roman"/>
        </w:rPr>
        <w:t>pe</w:t>
      </w:r>
      <w:r w:rsidRPr="002F05A1" w:rsidR="00DD019D">
        <w:rPr>
          <w:rFonts w:ascii="Palatino Linotype" w:hAnsi="Palatino Linotype" w:eastAsia="Times New Roman" w:cs="Times New Roman"/>
        </w:rPr>
        <w:t>ak hours</w:t>
      </w:r>
      <w:r w:rsidRPr="002F05A1" w:rsidR="00463D76">
        <w:rPr>
          <w:rFonts w:ascii="Palatino Linotype" w:hAnsi="Palatino Linotype" w:eastAsia="Times New Roman" w:cs="Times New Roman"/>
        </w:rPr>
        <w:t>.</w:t>
      </w:r>
      <w:r w:rsidR="00E53AE4">
        <w:rPr>
          <w:rStyle w:val="FootnoteReference"/>
          <w:rFonts w:ascii="Palatino Linotype" w:hAnsi="Palatino Linotype" w:eastAsia="Times New Roman" w:cs="Times New Roman"/>
        </w:rPr>
        <w:footnoteReference w:id="9"/>
      </w:r>
      <w:r w:rsidRPr="002F05A1" w:rsidR="00463D76">
        <w:rPr>
          <w:rFonts w:ascii="Palatino Linotype" w:hAnsi="Palatino Linotype" w:eastAsia="Times New Roman" w:cs="Times New Roman"/>
        </w:rPr>
        <w:t xml:space="preserve"> </w:t>
      </w:r>
      <w:r w:rsidRPr="002F05A1" w:rsidR="005C51DC">
        <w:rPr>
          <w:rFonts w:ascii="Palatino Linotype" w:hAnsi="Palatino Linotype" w:eastAsia="Times New Roman" w:cs="Times New Roman"/>
        </w:rPr>
        <w:t xml:space="preserve">SCE </w:t>
      </w:r>
      <w:r w:rsidRPr="002F05A1" w:rsidR="005C5ECC">
        <w:rPr>
          <w:rFonts w:ascii="Palatino Linotype" w:hAnsi="Palatino Linotype" w:eastAsia="Times New Roman" w:cs="Times New Roman"/>
        </w:rPr>
        <w:t>projects that customers can save at least $500</w:t>
      </w:r>
      <w:r w:rsidRPr="002F05A1" w:rsidR="00B948E0">
        <w:rPr>
          <w:rFonts w:ascii="Palatino Linotype" w:hAnsi="Palatino Linotype" w:eastAsia="Times New Roman" w:cs="Times New Roman"/>
        </w:rPr>
        <w:t xml:space="preserve"> annually</w:t>
      </w:r>
      <w:r w:rsidRPr="002F05A1" w:rsidR="00F4613F">
        <w:rPr>
          <w:rFonts w:ascii="Palatino Linotype" w:hAnsi="Palatino Linotype" w:eastAsia="Times New Roman" w:cs="Times New Roman"/>
        </w:rPr>
        <w:t xml:space="preserve"> by offsetting home loads </w:t>
      </w:r>
      <w:r w:rsidRPr="002F05A1" w:rsidR="008F436C">
        <w:rPr>
          <w:rFonts w:ascii="Palatino Linotype" w:hAnsi="Palatino Linotype" w:eastAsia="Times New Roman" w:cs="Times New Roman"/>
        </w:rPr>
        <w:t>via EV discharging.</w:t>
      </w:r>
      <w:r w:rsidR="008F436C">
        <w:rPr>
          <w:rStyle w:val="FootnoteReference"/>
          <w:rFonts w:ascii="Palatino Linotype" w:hAnsi="Palatino Linotype" w:eastAsia="Times New Roman" w:cs="Times New Roman"/>
        </w:rPr>
        <w:footnoteReference w:id="10"/>
      </w:r>
      <w:r w:rsidRPr="002F05A1" w:rsidR="008F436C">
        <w:rPr>
          <w:rFonts w:ascii="Palatino Linotype" w:hAnsi="Palatino Linotype" w:eastAsia="Times New Roman" w:cs="Times New Roman"/>
        </w:rPr>
        <w:t xml:space="preserve"> </w:t>
      </w:r>
      <w:r w:rsidR="0092203B">
        <w:rPr>
          <w:rFonts w:ascii="Palatino Linotype" w:hAnsi="Palatino Linotype" w:eastAsia="Times New Roman" w:cs="Times New Roman"/>
        </w:rPr>
        <w:t xml:space="preserve">SCE asserts </w:t>
      </w:r>
      <w:r w:rsidRPr="002F05A1" w:rsidR="00C46F8E">
        <w:rPr>
          <w:rFonts w:ascii="Palatino Linotype" w:hAnsi="Palatino Linotype" w:eastAsia="Times New Roman" w:cs="Times New Roman"/>
        </w:rPr>
        <w:t xml:space="preserve">that </w:t>
      </w:r>
      <w:r w:rsidR="007D0A4F">
        <w:rPr>
          <w:rFonts w:ascii="Palatino Linotype" w:hAnsi="Palatino Linotype" w:eastAsia="Times New Roman" w:cs="Times New Roman"/>
        </w:rPr>
        <w:t>in addition to these cost savings,</w:t>
      </w:r>
      <w:r w:rsidRPr="002F05A1" w:rsidR="00C46F8E">
        <w:rPr>
          <w:rFonts w:ascii="Palatino Linotype" w:hAnsi="Palatino Linotype" w:eastAsia="Times New Roman" w:cs="Times New Roman"/>
        </w:rPr>
        <w:t xml:space="preserve"> customers c</w:t>
      </w:r>
      <w:r w:rsidR="00CF6DE7">
        <w:rPr>
          <w:rFonts w:ascii="Palatino Linotype" w:hAnsi="Palatino Linotype" w:eastAsia="Times New Roman" w:cs="Times New Roman"/>
        </w:rPr>
        <w:t>ould</w:t>
      </w:r>
      <w:r w:rsidRPr="002F05A1" w:rsidR="00C46F8E">
        <w:rPr>
          <w:rFonts w:ascii="Palatino Linotype" w:hAnsi="Palatino Linotype" w:eastAsia="Times New Roman" w:cs="Times New Roman"/>
        </w:rPr>
        <w:t xml:space="preserve"> </w:t>
      </w:r>
      <w:r w:rsidR="00DD3533">
        <w:rPr>
          <w:rFonts w:ascii="Palatino Linotype" w:hAnsi="Palatino Linotype" w:eastAsia="Times New Roman" w:cs="Times New Roman"/>
        </w:rPr>
        <w:t>generate additional revenue</w:t>
      </w:r>
      <w:r w:rsidR="00610C6D">
        <w:rPr>
          <w:rFonts w:ascii="Palatino Linotype" w:hAnsi="Palatino Linotype" w:eastAsia="Times New Roman" w:cs="Times New Roman"/>
        </w:rPr>
        <w:t xml:space="preserve"> </w:t>
      </w:r>
      <w:r w:rsidRPr="002F05A1" w:rsidR="000B4D39">
        <w:rPr>
          <w:rFonts w:ascii="Palatino Linotype" w:hAnsi="Palatino Linotype" w:eastAsia="Times New Roman" w:cs="Times New Roman"/>
        </w:rPr>
        <w:t>through o</w:t>
      </w:r>
      <w:r w:rsidRPr="002F05A1" w:rsidR="005677F8">
        <w:rPr>
          <w:rFonts w:ascii="Palatino Linotype" w:hAnsi="Palatino Linotype" w:eastAsia="Times New Roman" w:cs="Times New Roman"/>
        </w:rPr>
        <w:t xml:space="preserve">ther </w:t>
      </w:r>
      <w:r w:rsidRPr="002F05A1" w:rsidR="009C5EB1">
        <w:rPr>
          <w:rFonts w:ascii="Palatino Linotype" w:hAnsi="Palatino Linotype" w:eastAsia="Times New Roman" w:cs="Times New Roman"/>
        </w:rPr>
        <w:t xml:space="preserve">channels, </w:t>
      </w:r>
      <w:r w:rsidRPr="002F05A1" w:rsidR="00B42D5D">
        <w:rPr>
          <w:rFonts w:ascii="Palatino Linotype" w:hAnsi="Palatino Linotype" w:eastAsia="Times New Roman" w:cs="Times New Roman"/>
        </w:rPr>
        <w:t>including</w:t>
      </w:r>
      <w:r w:rsidRPr="002F05A1" w:rsidR="00385546">
        <w:rPr>
          <w:rFonts w:ascii="Palatino Linotype" w:hAnsi="Palatino Linotype" w:eastAsia="Times New Roman" w:cs="Times New Roman"/>
        </w:rPr>
        <w:t xml:space="preserve"> </w:t>
      </w:r>
      <w:r w:rsidRPr="002F05A1" w:rsidR="005677F8">
        <w:rPr>
          <w:rFonts w:ascii="Palatino Linotype" w:hAnsi="Palatino Linotype" w:eastAsia="Times New Roman" w:cs="Times New Roman"/>
        </w:rPr>
        <w:t>the Dynamic Rate Pilot</w:t>
      </w:r>
      <w:r w:rsidRPr="002F05A1" w:rsidR="00B42D5D">
        <w:rPr>
          <w:rFonts w:ascii="Palatino Linotype" w:hAnsi="Palatino Linotype" w:eastAsia="Times New Roman" w:cs="Times New Roman"/>
        </w:rPr>
        <w:t xml:space="preserve"> and</w:t>
      </w:r>
      <w:r w:rsidRPr="002F05A1" w:rsidR="005677F8">
        <w:rPr>
          <w:rFonts w:ascii="Palatino Linotype" w:hAnsi="Palatino Linotype" w:eastAsia="Times New Roman" w:cs="Times New Roman"/>
        </w:rPr>
        <w:t xml:space="preserve"> E</w:t>
      </w:r>
      <w:r w:rsidRPr="002F05A1" w:rsidR="00AE385D">
        <w:rPr>
          <w:rFonts w:ascii="Palatino Linotype" w:hAnsi="Palatino Linotype" w:eastAsia="Times New Roman" w:cs="Times New Roman"/>
        </w:rPr>
        <w:t xml:space="preserve">mergency </w:t>
      </w:r>
      <w:r w:rsidRPr="002F05A1" w:rsidR="005677F8">
        <w:rPr>
          <w:rFonts w:ascii="Palatino Linotype" w:hAnsi="Palatino Linotype" w:eastAsia="Times New Roman" w:cs="Times New Roman"/>
        </w:rPr>
        <w:t>L</w:t>
      </w:r>
      <w:r w:rsidRPr="002F05A1" w:rsidR="00AE385D">
        <w:rPr>
          <w:rFonts w:ascii="Palatino Linotype" w:hAnsi="Palatino Linotype" w:eastAsia="Times New Roman" w:cs="Times New Roman"/>
        </w:rPr>
        <w:t xml:space="preserve">oad </w:t>
      </w:r>
      <w:r w:rsidRPr="002F05A1" w:rsidR="005677F8">
        <w:rPr>
          <w:rFonts w:ascii="Palatino Linotype" w:hAnsi="Palatino Linotype" w:eastAsia="Times New Roman" w:cs="Times New Roman"/>
        </w:rPr>
        <w:t>R</w:t>
      </w:r>
      <w:r w:rsidRPr="002F05A1" w:rsidR="00AE385D">
        <w:rPr>
          <w:rFonts w:ascii="Palatino Linotype" w:hAnsi="Palatino Linotype" w:eastAsia="Times New Roman" w:cs="Times New Roman"/>
        </w:rPr>
        <w:t xml:space="preserve">eduction </w:t>
      </w:r>
      <w:r w:rsidRPr="002F05A1" w:rsidR="005677F8">
        <w:rPr>
          <w:rFonts w:ascii="Palatino Linotype" w:hAnsi="Palatino Linotype" w:eastAsia="Times New Roman" w:cs="Times New Roman"/>
        </w:rPr>
        <w:t>P</w:t>
      </w:r>
      <w:r w:rsidRPr="002F05A1" w:rsidR="00AE385D">
        <w:rPr>
          <w:rFonts w:ascii="Palatino Linotype" w:hAnsi="Palatino Linotype" w:eastAsia="Times New Roman" w:cs="Times New Roman"/>
        </w:rPr>
        <w:t>rogram (ELRP</w:t>
      </w:r>
      <w:r w:rsidRPr="002F05A1" w:rsidR="005677F8">
        <w:rPr>
          <w:rFonts w:ascii="Palatino Linotype" w:hAnsi="Palatino Linotype" w:eastAsia="Times New Roman" w:cs="Times New Roman"/>
        </w:rPr>
        <w:t xml:space="preserve">), or </w:t>
      </w:r>
      <w:r w:rsidRPr="002F05A1" w:rsidR="00B42D5D">
        <w:rPr>
          <w:rFonts w:ascii="Palatino Linotype" w:hAnsi="Palatino Linotype" w:eastAsia="Times New Roman" w:cs="Times New Roman"/>
        </w:rPr>
        <w:t>pending</w:t>
      </w:r>
      <w:r w:rsidRPr="002F05A1" w:rsidR="005677F8">
        <w:rPr>
          <w:rFonts w:ascii="Palatino Linotype" w:hAnsi="Palatino Linotype" w:eastAsia="Times New Roman" w:cs="Times New Roman"/>
        </w:rPr>
        <w:t xml:space="preserve"> rates </w:t>
      </w:r>
      <w:r w:rsidRPr="002F05A1" w:rsidR="00376A7C">
        <w:rPr>
          <w:rFonts w:ascii="Palatino Linotype" w:hAnsi="Palatino Linotype" w:eastAsia="Times New Roman" w:cs="Times New Roman"/>
        </w:rPr>
        <w:t xml:space="preserve">like the Vehicle Grid Resource Proposal. </w:t>
      </w:r>
      <w:r w:rsidRPr="002F05A1" w:rsidR="005677F8">
        <w:rPr>
          <w:rFonts w:ascii="Palatino Linotype" w:hAnsi="Palatino Linotype" w:eastAsia="Times New Roman" w:cs="Times New Roman"/>
        </w:rPr>
        <w:t xml:space="preserve"> </w:t>
      </w:r>
      <w:r w:rsidRPr="002F05A1" w:rsidR="00195D50">
        <w:rPr>
          <w:rFonts w:ascii="Palatino Linotype" w:hAnsi="Palatino Linotype" w:eastAsia="Times New Roman" w:cs="Times New Roman"/>
        </w:rPr>
        <w:t xml:space="preserve"> </w:t>
      </w:r>
    </w:p>
    <w:p w:rsidR="008A25B5" w:rsidP="0046680B" w:rsidRDefault="008A25B5" w14:paraId="0EAAE658" w14:textId="77777777">
      <w:pPr>
        <w:spacing w:after="0" w:line="240" w:lineRule="auto"/>
        <w:rPr>
          <w:rFonts w:ascii="Palatino Linotype" w:hAnsi="Palatino Linotype" w:eastAsia="Times New Roman" w:cs="Times New Roman"/>
        </w:rPr>
      </w:pPr>
    </w:p>
    <w:p w:rsidRPr="00627D25" w:rsidR="00C17EA7" w:rsidP="00627D25" w:rsidRDefault="00045023" w14:paraId="37AC4D5D" w14:textId="38E65250">
      <w:pPr>
        <w:spacing w:after="0" w:line="240" w:lineRule="auto"/>
        <w:rPr>
          <w:rFonts w:ascii="Palatino Linotype" w:hAnsi="Palatino Linotype" w:eastAsia="Times New Roman" w:cs="Times New Roman"/>
        </w:rPr>
      </w:pPr>
      <w:r w:rsidRPr="2128FA49" w:rsidDel="004B5B21">
        <w:rPr>
          <w:rFonts w:ascii="Palatino Linotype" w:hAnsi="Palatino Linotype" w:eastAsia="Times New Roman" w:cs="Times New Roman"/>
        </w:rPr>
        <w:t xml:space="preserve">The final objective is to achieve scale. </w:t>
      </w:r>
      <w:r w:rsidR="00FE1E5B">
        <w:rPr>
          <w:rFonts w:ascii="Palatino Linotype" w:hAnsi="Palatino Linotype" w:eastAsia="Times New Roman" w:cs="Times New Roman"/>
        </w:rPr>
        <w:t xml:space="preserve">SCE </w:t>
      </w:r>
      <w:r w:rsidRPr="00627D25" w:rsidR="00747175">
        <w:rPr>
          <w:rFonts w:ascii="Palatino Linotype" w:hAnsi="Palatino Linotype" w:eastAsia="Times New Roman" w:cs="Times New Roman"/>
        </w:rPr>
        <w:t>argues</w:t>
      </w:r>
      <w:r w:rsidRPr="00627D25" w:rsidR="001A735C">
        <w:rPr>
          <w:rFonts w:ascii="Palatino Linotype" w:hAnsi="Palatino Linotype" w:eastAsia="Times New Roman" w:cs="Times New Roman"/>
        </w:rPr>
        <w:t xml:space="preserve"> </w:t>
      </w:r>
      <w:r w:rsidRPr="00627D25" w:rsidR="00B47CFB">
        <w:rPr>
          <w:rFonts w:ascii="Palatino Linotype" w:hAnsi="Palatino Linotype" w:eastAsia="Times New Roman" w:cs="Times New Roman"/>
        </w:rPr>
        <w:t xml:space="preserve">that as </w:t>
      </w:r>
      <w:r w:rsidRPr="00627D25" w:rsidR="00DB71BE">
        <w:rPr>
          <w:rFonts w:ascii="Palatino Linotype" w:hAnsi="Palatino Linotype" w:eastAsia="Times New Roman" w:cs="Times New Roman"/>
        </w:rPr>
        <w:t xml:space="preserve">they are projecting </w:t>
      </w:r>
      <w:r w:rsidRPr="00627D25" w:rsidR="001B02F0">
        <w:rPr>
          <w:rFonts w:ascii="Palatino Linotype" w:hAnsi="Palatino Linotype" w:eastAsia="Times New Roman" w:cs="Times New Roman"/>
        </w:rPr>
        <w:t>high</w:t>
      </w:r>
      <w:r w:rsidRPr="00627D25" w:rsidR="00DB71BE">
        <w:rPr>
          <w:rFonts w:ascii="Palatino Linotype" w:hAnsi="Palatino Linotype" w:eastAsia="Times New Roman" w:cs="Times New Roman"/>
        </w:rPr>
        <w:t xml:space="preserve"> levels of</w:t>
      </w:r>
      <w:r w:rsidRPr="00627D25" w:rsidR="001B02F0">
        <w:rPr>
          <w:rFonts w:ascii="Palatino Linotype" w:hAnsi="Palatino Linotype" w:eastAsia="Times New Roman" w:cs="Times New Roman"/>
        </w:rPr>
        <w:t xml:space="preserve"> </w:t>
      </w:r>
      <w:r w:rsidRPr="00627D25" w:rsidR="00B44CB9">
        <w:rPr>
          <w:rFonts w:ascii="Palatino Linotype" w:hAnsi="Palatino Linotype" w:eastAsia="Times New Roman" w:cs="Times New Roman"/>
        </w:rPr>
        <w:t xml:space="preserve">EV adoption </w:t>
      </w:r>
      <w:r w:rsidRPr="00627D25" w:rsidR="00DB71BE">
        <w:rPr>
          <w:rFonts w:ascii="Palatino Linotype" w:hAnsi="Palatino Linotype" w:eastAsia="Times New Roman" w:cs="Times New Roman"/>
        </w:rPr>
        <w:t xml:space="preserve">in their service territory, </w:t>
      </w:r>
      <w:r w:rsidRPr="00627D25" w:rsidR="00D440B3">
        <w:rPr>
          <w:rFonts w:ascii="Palatino Linotype" w:hAnsi="Palatino Linotype" w:eastAsia="Times New Roman" w:cs="Times New Roman"/>
        </w:rPr>
        <w:t>efforts are</w:t>
      </w:r>
      <w:r w:rsidRPr="00627D25" w:rsidR="0058168D">
        <w:rPr>
          <w:rFonts w:ascii="Palatino Linotype" w:hAnsi="Palatino Linotype" w:eastAsia="Times New Roman" w:cs="Times New Roman"/>
        </w:rPr>
        <w:t xml:space="preserve"> needed to </w:t>
      </w:r>
      <w:r w:rsidRPr="00627D25" w:rsidR="008A43F5">
        <w:rPr>
          <w:rFonts w:ascii="Palatino Linotype" w:hAnsi="Palatino Linotype" w:eastAsia="Times New Roman" w:cs="Times New Roman"/>
        </w:rPr>
        <w:t xml:space="preserve">“recruit, manage, and support” </w:t>
      </w:r>
      <w:r w:rsidRPr="00627D25" w:rsidR="0010203F">
        <w:rPr>
          <w:rFonts w:ascii="Palatino Linotype" w:hAnsi="Palatino Linotype" w:eastAsia="Times New Roman" w:cs="Times New Roman"/>
        </w:rPr>
        <w:t>EV</w:t>
      </w:r>
      <w:r w:rsidRPr="00627D25" w:rsidR="00AE0909">
        <w:rPr>
          <w:rFonts w:ascii="Palatino Linotype" w:hAnsi="Palatino Linotype" w:eastAsia="Times New Roman" w:cs="Times New Roman"/>
        </w:rPr>
        <w:t xml:space="preserve"> drivers at scale</w:t>
      </w:r>
      <w:r w:rsidRPr="00627D25" w:rsidR="00BD2047">
        <w:rPr>
          <w:rFonts w:ascii="Palatino Linotype" w:hAnsi="Palatino Linotype" w:eastAsia="Times New Roman" w:cs="Times New Roman"/>
        </w:rPr>
        <w:t>.</w:t>
      </w:r>
      <w:r w:rsidR="00BD2047">
        <w:rPr>
          <w:rStyle w:val="FootnoteReference"/>
          <w:rFonts w:ascii="Palatino Linotype" w:hAnsi="Palatino Linotype" w:eastAsia="Times New Roman" w:cs="Times New Roman"/>
        </w:rPr>
        <w:footnoteReference w:id="11"/>
      </w:r>
      <w:r w:rsidRPr="00627D25" w:rsidR="00BD2047">
        <w:rPr>
          <w:rFonts w:ascii="Palatino Linotype" w:hAnsi="Palatino Linotype" w:eastAsia="Times New Roman" w:cs="Times New Roman"/>
        </w:rPr>
        <w:t xml:space="preserve"> </w:t>
      </w:r>
      <w:r w:rsidRPr="00627D25" w:rsidR="00635387">
        <w:rPr>
          <w:rFonts w:ascii="Palatino Linotype" w:hAnsi="Palatino Linotype" w:eastAsia="Times New Roman" w:cs="Times New Roman"/>
          <w:kern w:val="0"/>
          <w14:ligatures w14:val="none"/>
        </w:rPr>
        <w:t xml:space="preserve">SCE </w:t>
      </w:r>
      <w:r w:rsidRPr="00627D25" w:rsidR="00527172">
        <w:rPr>
          <w:rFonts w:ascii="Palatino Linotype" w:hAnsi="Palatino Linotype" w:eastAsia="Times New Roman" w:cs="Times New Roman"/>
          <w:kern w:val="0"/>
          <w14:ligatures w14:val="none"/>
        </w:rPr>
        <w:t xml:space="preserve">strives </w:t>
      </w:r>
      <w:r w:rsidRPr="00627D25" w:rsidR="00635387">
        <w:rPr>
          <w:rFonts w:ascii="Palatino Linotype" w:hAnsi="Palatino Linotype" w:eastAsia="Times New Roman" w:cs="Times New Roman"/>
          <w:kern w:val="0"/>
          <w14:ligatures w14:val="none"/>
        </w:rPr>
        <w:t xml:space="preserve">to </w:t>
      </w:r>
      <w:r w:rsidRPr="00627D25" w:rsidR="00AA6B4A">
        <w:rPr>
          <w:rFonts w:ascii="Palatino Linotype" w:hAnsi="Palatino Linotype" w:eastAsia="Times New Roman" w:cs="Times New Roman"/>
          <w:kern w:val="0"/>
          <w14:ligatures w14:val="none"/>
        </w:rPr>
        <w:t>keep</w:t>
      </w:r>
      <w:r w:rsidRPr="00627D25" w:rsidR="00635387">
        <w:rPr>
          <w:rFonts w:ascii="Palatino Linotype" w:hAnsi="Palatino Linotype" w:eastAsia="Times New Roman" w:cs="Times New Roman"/>
          <w:kern w:val="0"/>
          <w14:ligatures w14:val="none"/>
        </w:rPr>
        <w:t xml:space="preserve"> 75</w:t>
      </w:r>
      <w:r w:rsidRPr="00627D25" w:rsidR="0010203F">
        <w:rPr>
          <w:rFonts w:ascii="Palatino Linotype" w:hAnsi="Palatino Linotype" w:eastAsia="Times New Roman" w:cs="Times New Roman"/>
          <w:kern w:val="0"/>
          <w14:ligatures w14:val="none"/>
        </w:rPr>
        <w:t xml:space="preserve"> percent</w:t>
      </w:r>
      <w:r w:rsidRPr="00627D25" w:rsidR="00635387">
        <w:rPr>
          <w:rFonts w:ascii="Palatino Linotype" w:hAnsi="Palatino Linotype" w:eastAsia="Times New Roman" w:cs="Times New Roman"/>
          <w:kern w:val="0"/>
          <w14:ligatures w14:val="none"/>
        </w:rPr>
        <w:t xml:space="preserve"> of </w:t>
      </w:r>
      <w:r w:rsidRPr="00627D25" w:rsidR="00644749">
        <w:rPr>
          <w:rFonts w:ascii="Palatino Linotype" w:hAnsi="Palatino Linotype" w:eastAsia="Times New Roman" w:cs="Times New Roman"/>
          <w:kern w:val="0"/>
          <w14:ligatures w14:val="none"/>
        </w:rPr>
        <w:t>participants enrolled throughout the initial four years</w:t>
      </w:r>
      <w:r w:rsidRPr="00627D25" w:rsidR="00F92E98">
        <w:rPr>
          <w:rFonts w:ascii="Palatino Linotype" w:hAnsi="Palatino Linotype" w:eastAsia="Times New Roman" w:cs="Times New Roman"/>
          <w:kern w:val="0"/>
          <w14:ligatures w14:val="none"/>
        </w:rPr>
        <w:t xml:space="preserve"> </w:t>
      </w:r>
      <w:r w:rsidRPr="00627D25" w:rsidR="00AA6B4A">
        <w:rPr>
          <w:rFonts w:ascii="Palatino Linotype" w:hAnsi="Palatino Linotype" w:eastAsia="Times New Roman" w:cs="Times New Roman"/>
          <w:kern w:val="0"/>
          <w14:ligatures w14:val="none"/>
        </w:rPr>
        <w:t xml:space="preserve">of the program </w:t>
      </w:r>
      <w:r w:rsidRPr="00627D25" w:rsidR="00F92E98">
        <w:rPr>
          <w:rFonts w:ascii="Palatino Linotype" w:hAnsi="Palatino Linotype" w:eastAsia="Times New Roman" w:cs="Times New Roman"/>
          <w:kern w:val="0"/>
          <w14:ligatures w14:val="none"/>
        </w:rPr>
        <w:t>at the fully reduced incentive level</w:t>
      </w:r>
      <w:r w:rsidRPr="00627D25" w:rsidR="008A57E3">
        <w:rPr>
          <w:rFonts w:ascii="Palatino Linotype" w:hAnsi="Palatino Linotype" w:eastAsia="Times New Roman" w:cs="Times New Roman"/>
          <w:kern w:val="0"/>
          <w14:ligatures w14:val="none"/>
        </w:rPr>
        <w:t xml:space="preserve"> and to </w:t>
      </w:r>
      <w:r w:rsidR="004B5B21">
        <w:rPr>
          <w:rFonts w:ascii="Palatino Linotype" w:hAnsi="Palatino Linotype" w:eastAsia="Times New Roman" w:cs="Times New Roman"/>
          <w:kern w:val="0"/>
          <w14:ligatures w14:val="none"/>
        </w:rPr>
        <w:t xml:space="preserve">aim for </w:t>
      </w:r>
      <w:r w:rsidRPr="00627D25" w:rsidR="00E50855">
        <w:rPr>
          <w:rFonts w:ascii="Palatino Linotype" w:hAnsi="Palatino Linotype" w:eastAsia="Times New Roman" w:cs="Times New Roman"/>
          <w:kern w:val="0"/>
          <w14:ligatures w14:val="none"/>
        </w:rPr>
        <w:t xml:space="preserve">customers </w:t>
      </w:r>
      <w:r w:rsidRPr="00627D25" w:rsidR="003670A9">
        <w:rPr>
          <w:rFonts w:ascii="Palatino Linotype" w:hAnsi="Palatino Linotype" w:eastAsia="Times New Roman" w:cs="Times New Roman"/>
          <w:kern w:val="0"/>
          <w14:ligatures w14:val="none"/>
        </w:rPr>
        <w:t>not opt</w:t>
      </w:r>
      <w:r w:rsidR="004B5B21">
        <w:rPr>
          <w:rFonts w:ascii="Palatino Linotype" w:hAnsi="Palatino Linotype" w:eastAsia="Times New Roman" w:cs="Times New Roman"/>
          <w:kern w:val="0"/>
          <w14:ligatures w14:val="none"/>
        </w:rPr>
        <w:t>ing</w:t>
      </w:r>
      <w:r w:rsidRPr="00627D25" w:rsidR="003670A9">
        <w:rPr>
          <w:rFonts w:ascii="Palatino Linotype" w:hAnsi="Palatino Linotype" w:eastAsia="Times New Roman" w:cs="Times New Roman"/>
          <w:kern w:val="0"/>
          <w14:ligatures w14:val="none"/>
        </w:rPr>
        <w:t xml:space="preserve"> out of </w:t>
      </w:r>
      <w:r w:rsidRPr="00627D25" w:rsidR="00E71CC1">
        <w:rPr>
          <w:rFonts w:ascii="Palatino Linotype" w:hAnsi="Palatino Linotype" w:eastAsia="Times New Roman" w:cs="Times New Roman"/>
          <w:kern w:val="0"/>
          <w14:ligatures w14:val="none"/>
        </w:rPr>
        <w:t>mor</w:t>
      </w:r>
      <w:r w:rsidRPr="00627D25" w:rsidR="007C4AC6">
        <w:rPr>
          <w:rFonts w:ascii="Palatino Linotype" w:hAnsi="Palatino Linotype" w:eastAsia="Times New Roman" w:cs="Times New Roman"/>
          <w:kern w:val="0"/>
          <w14:ligatures w14:val="none"/>
        </w:rPr>
        <w:t>e</w:t>
      </w:r>
      <w:r w:rsidRPr="00627D25" w:rsidR="00E71CC1">
        <w:rPr>
          <w:rFonts w:ascii="Palatino Linotype" w:hAnsi="Palatino Linotype" w:eastAsia="Times New Roman" w:cs="Times New Roman"/>
          <w:kern w:val="0"/>
          <w14:ligatures w14:val="none"/>
        </w:rPr>
        <w:t xml:space="preserve"> than 25</w:t>
      </w:r>
      <w:r w:rsidRPr="00627D25" w:rsidR="0010203F">
        <w:rPr>
          <w:rFonts w:ascii="Palatino Linotype" w:hAnsi="Palatino Linotype" w:eastAsia="Times New Roman" w:cs="Times New Roman"/>
          <w:kern w:val="0"/>
          <w14:ligatures w14:val="none"/>
        </w:rPr>
        <w:t xml:space="preserve"> percent</w:t>
      </w:r>
      <w:r w:rsidRPr="00627D25" w:rsidR="00E71CC1">
        <w:rPr>
          <w:rFonts w:ascii="Palatino Linotype" w:hAnsi="Palatino Linotype" w:eastAsia="Times New Roman" w:cs="Times New Roman"/>
          <w:kern w:val="0"/>
          <w14:ligatures w14:val="none"/>
        </w:rPr>
        <w:t xml:space="preserve"> of charging sessions</w:t>
      </w:r>
      <w:r w:rsidRPr="00627D25" w:rsidR="007C4AC6">
        <w:rPr>
          <w:rFonts w:ascii="Palatino Linotype" w:hAnsi="Palatino Linotype" w:eastAsia="Times New Roman" w:cs="Times New Roman"/>
          <w:kern w:val="0"/>
          <w14:ligatures w14:val="none"/>
        </w:rPr>
        <w:t>.</w:t>
      </w:r>
      <w:r w:rsidR="007C4AC6">
        <w:rPr>
          <w:rStyle w:val="FootnoteReference"/>
          <w:rFonts w:ascii="Palatino Linotype" w:hAnsi="Palatino Linotype" w:eastAsia="Times New Roman" w:cs="Times New Roman"/>
          <w:kern w:val="0"/>
          <w14:ligatures w14:val="none"/>
        </w:rPr>
        <w:footnoteReference w:id="12"/>
      </w:r>
      <w:r w:rsidRPr="00627D25" w:rsidR="00F92E98">
        <w:rPr>
          <w:rFonts w:ascii="Palatino Linotype" w:hAnsi="Palatino Linotype" w:eastAsia="Times New Roman" w:cs="Times New Roman"/>
          <w:kern w:val="0"/>
          <w14:ligatures w14:val="none"/>
        </w:rPr>
        <w:t xml:space="preserve"> </w:t>
      </w:r>
      <w:r w:rsidRPr="00627D25" w:rsidR="00B23C4C">
        <w:rPr>
          <w:rFonts w:ascii="Palatino Linotype" w:hAnsi="Palatino Linotype" w:eastAsia="Times New Roman" w:cs="Times New Roman"/>
          <w:kern w:val="0"/>
          <w14:ligatures w14:val="none"/>
        </w:rPr>
        <w:t xml:space="preserve">SCE </w:t>
      </w:r>
      <w:r w:rsidRPr="00627D25" w:rsidR="007543E2">
        <w:rPr>
          <w:rFonts w:ascii="Palatino Linotype" w:hAnsi="Palatino Linotype" w:eastAsia="Times New Roman" w:cs="Times New Roman"/>
          <w:kern w:val="0"/>
          <w14:ligatures w14:val="none"/>
        </w:rPr>
        <w:t xml:space="preserve">hypothesizes that </w:t>
      </w:r>
      <w:r w:rsidRPr="00627D25" w:rsidR="00125E75">
        <w:rPr>
          <w:rFonts w:ascii="Palatino Linotype" w:hAnsi="Palatino Linotype" w:eastAsia="Times New Roman" w:cs="Times New Roman"/>
          <w:kern w:val="0"/>
          <w14:ligatures w14:val="none"/>
        </w:rPr>
        <w:t xml:space="preserve">with increased participation, </w:t>
      </w:r>
      <w:r w:rsidRPr="00627D25" w:rsidR="00E21C7D">
        <w:rPr>
          <w:rFonts w:ascii="Palatino Linotype" w:hAnsi="Palatino Linotype" w:eastAsia="Times New Roman" w:cs="Times New Roman"/>
          <w:kern w:val="0"/>
          <w14:ligatures w14:val="none"/>
        </w:rPr>
        <w:t>program</w:t>
      </w:r>
      <w:r w:rsidRPr="00627D25" w:rsidR="007543E2">
        <w:rPr>
          <w:rFonts w:ascii="Palatino Linotype" w:hAnsi="Palatino Linotype" w:eastAsia="Times New Roman" w:cs="Times New Roman"/>
          <w:kern w:val="0"/>
          <w14:ligatures w14:val="none"/>
        </w:rPr>
        <w:t xml:space="preserve"> </w:t>
      </w:r>
      <w:r w:rsidRPr="00627D25" w:rsidR="00491A07">
        <w:rPr>
          <w:rFonts w:ascii="Palatino Linotype" w:hAnsi="Palatino Linotype" w:eastAsia="Times New Roman" w:cs="Times New Roman"/>
          <w:kern w:val="0"/>
          <w14:ligatures w14:val="none"/>
        </w:rPr>
        <w:t xml:space="preserve">costs are not expected to significantly </w:t>
      </w:r>
      <w:r w:rsidRPr="00627D25" w:rsidR="00E21C7D">
        <w:rPr>
          <w:rFonts w:ascii="Palatino Linotype" w:hAnsi="Palatino Linotype" w:eastAsia="Times New Roman" w:cs="Times New Roman"/>
          <w:kern w:val="0"/>
          <w14:ligatures w14:val="none"/>
        </w:rPr>
        <w:t>rise</w:t>
      </w:r>
      <w:r w:rsidRPr="00627D25" w:rsidR="007C00EF">
        <w:rPr>
          <w:rFonts w:ascii="Palatino Linotype" w:hAnsi="Palatino Linotype" w:eastAsia="Times New Roman" w:cs="Times New Roman"/>
          <w:kern w:val="0"/>
          <w14:ligatures w14:val="none"/>
        </w:rPr>
        <w:t xml:space="preserve"> </w:t>
      </w:r>
      <w:r w:rsidRPr="00627D25" w:rsidR="00391DBD">
        <w:rPr>
          <w:rFonts w:ascii="Palatino Linotype" w:hAnsi="Palatino Linotype" w:eastAsia="Times New Roman" w:cs="Times New Roman"/>
          <w:kern w:val="0"/>
          <w14:ligatures w14:val="none"/>
        </w:rPr>
        <w:t>while</w:t>
      </w:r>
      <w:r w:rsidRPr="00627D25" w:rsidR="00FC1E1D">
        <w:rPr>
          <w:rFonts w:ascii="Palatino Linotype" w:hAnsi="Palatino Linotype" w:eastAsia="Times New Roman" w:cs="Times New Roman"/>
          <w:kern w:val="0"/>
          <w14:ligatures w14:val="none"/>
        </w:rPr>
        <w:t xml:space="preserve"> </w:t>
      </w:r>
      <w:r w:rsidRPr="00627D25" w:rsidR="00D23833">
        <w:rPr>
          <w:rFonts w:ascii="Palatino Linotype" w:hAnsi="Palatino Linotype" w:eastAsia="Times New Roman" w:cs="Times New Roman"/>
          <w:kern w:val="0"/>
          <w14:ligatures w14:val="none"/>
        </w:rPr>
        <w:t xml:space="preserve">the benefits </w:t>
      </w:r>
      <w:r w:rsidRPr="00627D25" w:rsidR="000918C7">
        <w:rPr>
          <w:rFonts w:ascii="Palatino Linotype" w:hAnsi="Palatino Linotype" w:eastAsia="Times New Roman" w:cs="Times New Roman"/>
          <w:kern w:val="0"/>
          <w14:ligatures w14:val="none"/>
        </w:rPr>
        <w:t xml:space="preserve">(e.g., </w:t>
      </w:r>
      <w:r w:rsidRPr="00627D25" w:rsidR="00282B68">
        <w:rPr>
          <w:rFonts w:ascii="Palatino Linotype" w:hAnsi="Palatino Linotype" w:eastAsia="Times New Roman" w:cs="Times New Roman"/>
          <w:kern w:val="0"/>
          <w14:ligatures w14:val="none"/>
        </w:rPr>
        <w:t>mitigating distribution congestion</w:t>
      </w:r>
      <w:r w:rsidRPr="00627D25" w:rsidR="000B5F51">
        <w:rPr>
          <w:rFonts w:ascii="Palatino Linotype" w:hAnsi="Palatino Linotype" w:eastAsia="Times New Roman" w:cs="Times New Roman"/>
          <w:kern w:val="0"/>
          <w14:ligatures w14:val="none"/>
        </w:rPr>
        <w:t xml:space="preserve">, </w:t>
      </w:r>
      <w:r w:rsidRPr="00627D25" w:rsidR="0022071D">
        <w:rPr>
          <w:rFonts w:ascii="Palatino Linotype" w:hAnsi="Palatino Linotype" w:eastAsia="Times New Roman" w:cs="Times New Roman"/>
          <w:kern w:val="0"/>
          <w14:ligatures w14:val="none"/>
        </w:rPr>
        <w:t>decreasing system costs</w:t>
      </w:r>
      <w:r w:rsidRPr="00627D25" w:rsidR="009468AB">
        <w:rPr>
          <w:rFonts w:ascii="Palatino Linotype" w:hAnsi="Palatino Linotype" w:eastAsia="Times New Roman" w:cs="Times New Roman"/>
          <w:kern w:val="0"/>
          <w14:ligatures w14:val="none"/>
        </w:rPr>
        <w:t xml:space="preserve">) </w:t>
      </w:r>
      <w:r w:rsidRPr="00627D25" w:rsidR="00D23833">
        <w:rPr>
          <w:rFonts w:ascii="Palatino Linotype" w:hAnsi="Palatino Linotype" w:eastAsia="Times New Roman" w:cs="Times New Roman"/>
          <w:kern w:val="0"/>
          <w14:ligatures w14:val="none"/>
        </w:rPr>
        <w:t xml:space="preserve">will </w:t>
      </w:r>
      <w:r w:rsidRPr="00627D25" w:rsidR="00FC1E1D">
        <w:rPr>
          <w:rFonts w:ascii="Palatino Linotype" w:hAnsi="Palatino Linotype" w:eastAsia="Times New Roman" w:cs="Times New Roman"/>
          <w:kern w:val="0"/>
          <w14:ligatures w14:val="none"/>
        </w:rPr>
        <w:t>“</w:t>
      </w:r>
      <w:r w:rsidRPr="00627D25" w:rsidR="00567DD9">
        <w:rPr>
          <w:rFonts w:ascii="Palatino Linotype" w:hAnsi="Palatino Linotype" w:eastAsia="Times New Roman" w:cs="Times New Roman"/>
          <w:kern w:val="0"/>
          <w14:ligatures w14:val="none"/>
        </w:rPr>
        <w:t>increase exponentially</w:t>
      </w:r>
      <w:r w:rsidRPr="00627D25" w:rsidR="00153B2A">
        <w:rPr>
          <w:rFonts w:ascii="Palatino Linotype" w:hAnsi="Palatino Linotype" w:eastAsia="Times New Roman" w:cs="Times New Roman"/>
          <w:kern w:val="0"/>
          <w14:ligatures w14:val="none"/>
        </w:rPr>
        <w:t>.</w:t>
      </w:r>
      <w:r w:rsidRPr="00627D25" w:rsidR="00FC1E1D">
        <w:rPr>
          <w:rFonts w:ascii="Palatino Linotype" w:hAnsi="Palatino Linotype" w:eastAsia="Times New Roman" w:cs="Times New Roman"/>
          <w:kern w:val="0"/>
          <w14:ligatures w14:val="none"/>
        </w:rPr>
        <w:t>”</w:t>
      </w:r>
      <w:r w:rsidR="00153B2A">
        <w:rPr>
          <w:rStyle w:val="FootnoteReference"/>
          <w:rFonts w:ascii="Palatino Linotype" w:hAnsi="Palatino Linotype" w:eastAsia="Times New Roman" w:cs="Times New Roman"/>
          <w:kern w:val="0"/>
          <w14:ligatures w14:val="none"/>
        </w:rPr>
        <w:footnoteReference w:id="13"/>
      </w:r>
      <w:r w:rsidRPr="00627D25" w:rsidR="00971277">
        <w:rPr>
          <w:rFonts w:ascii="Palatino Linotype" w:hAnsi="Palatino Linotype" w:eastAsia="Times New Roman" w:cs="Times New Roman"/>
          <w:kern w:val="0"/>
          <w14:ligatures w14:val="none"/>
        </w:rPr>
        <w:t xml:space="preserve"> </w:t>
      </w:r>
    </w:p>
    <w:p w:rsidR="0046680B" w:rsidP="0046680B" w:rsidRDefault="0046680B" w14:paraId="7CBE2B6B" w14:textId="77777777">
      <w:pPr>
        <w:spacing w:after="0" w:line="240" w:lineRule="auto"/>
        <w:rPr>
          <w:rFonts w:ascii="Palatino Linotype" w:hAnsi="Palatino Linotype" w:eastAsia="Times New Roman" w:cs="Times New Roman"/>
          <w:kern w:val="0"/>
          <w14:ligatures w14:val="none"/>
        </w:rPr>
      </w:pPr>
    </w:p>
    <w:p w:rsidRPr="00BE3DDD" w:rsidR="00226236" w:rsidP="00BE3DDD" w:rsidRDefault="0066622B" w14:paraId="1E158335" w14:textId="2F7B3B81">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SCE asserts that </w:t>
      </w:r>
      <w:r w:rsidRPr="009A214A" w:rsidR="006D6F31">
        <w:rPr>
          <w:rFonts w:ascii="Palatino Linotype" w:hAnsi="Palatino Linotype" w:eastAsia="Times New Roman" w:cs="Times New Roman"/>
          <w:kern w:val="0"/>
          <w14:ligatures w14:val="none"/>
        </w:rPr>
        <w:t xml:space="preserve">ORCHARD </w:t>
      </w:r>
      <w:r w:rsidRPr="009A214A" w:rsidR="0046680B">
        <w:rPr>
          <w:rFonts w:ascii="Palatino Linotype" w:hAnsi="Palatino Linotype" w:eastAsia="Times New Roman" w:cs="Times New Roman"/>
        </w:rPr>
        <w:t>would</w:t>
      </w:r>
      <w:r w:rsidRPr="009A214A" w:rsidR="006D6F31">
        <w:rPr>
          <w:rFonts w:ascii="Palatino Linotype" w:hAnsi="Palatino Linotype" w:eastAsia="Times New Roman" w:cs="Times New Roman"/>
          <w:kern w:val="0"/>
          <w14:ligatures w14:val="none"/>
        </w:rPr>
        <w:t xml:space="preserve"> enable </w:t>
      </w:r>
      <w:r w:rsidRPr="009A214A">
        <w:rPr>
          <w:rFonts w:ascii="Palatino Linotype" w:hAnsi="Palatino Linotype" w:eastAsia="Times New Roman" w:cs="Times New Roman"/>
        </w:rPr>
        <w:t>the</w:t>
      </w:r>
      <w:r w:rsidRPr="009A214A" w:rsidR="00B84069">
        <w:rPr>
          <w:rFonts w:ascii="Palatino Linotype" w:hAnsi="Palatino Linotype" w:eastAsia="Times New Roman" w:cs="Times New Roman"/>
        </w:rPr>
        <w:t xml:space="preserve"> utility</w:t>
      </w:r>
      <w:r w:rsidRPr="009A214A">
        <w:rPr>
          <w:rFonts w:ascii="Palatino Linotype" w:hAnsi="Palatino Linotype" w:eastAsia="Times New Roman" w:cs="Times New Roman"/>
        </w:rPr>
        <w:t xml:space="preserve"> </w:t>
      </w:r>
      <w:r w:rsidRPr="009A214A" w:rsidR="00224BE0">
        <w:rPr>
          <w:rFonts w:ascii="Palatino Linotype" w:hAnsi="Palatino Linotype" w:eastAsia="Times New Roman" w:cs="Times New Roman"/>
        </w:rPr>
        <w:t xml:space="preserve">to maintain </w:t>
      </w:r>
      <w:r w:rsidRPr="009A214A" w:rsidR="006D6F31">
        <w:rPr>
          <w:rFonts w:ascii="Palatino Linotype" w:hAnsi="Palatino Linotype" w:eastAsia="Times New Roman" w:cs="Times New Roman"/>
          <w:kern w:val="0"/>
          <w14:ligatures w14:val="none"/>
        </w:rPr>
        <w:t>direct control of</w:t>
      </w:r>
      <w:r w:rsidRPr="0046680B" w:rsidR="006D6F31">
        <w:rPr>
          <w:rFonts w:ascii="Palatino Linotype" w:hAnsi="Palatino Linotype" w:eastAsia="Times New Roman" w:cs="Times New Roman"/>
          <w:kern w:val="0"/>
          <w14:ligatures w14:val="none"/>
        </w:rPr>
        <w:t xml:space="preserve"> customer devices</w:t>
      </w:r>
      <w:r w:rsidRPr="2128FA49" w:rsidR="005E7670">
        <w:rPr>
          <w:rFonts w:ascii="Palatino Linotype" w:hAnsi="Palatino Linotype" w:eastAsia="Times New Roman" w:cs="Times New Roman"/>
        </w:rPr>
        <w:t>,</w:t>
      </w:r>
      <w:r w:rsidRPr="0046680B" w:rsidR="006D6F31">
        <w:rPr>
          <w:rFonts w:ascii="Palatino Linotype" w:hAnsi="Palatino Linotype" w:eastAsia="Times New Roman" w:cs="Times New Roman"/>
          <w:kern w:val="0"/>
          <w14:ligatures w14:val="none"/>
        </w:rPr>
        <w:t xml:space="preserve"> and </w:t>
      </w:r>
      <w:r w:rsidRPr="2128FA49" w:rsidR="005E7670">
        <w:rPr>
          <w:rFonts w:ascii="Palatino Linotype" w:hAnsi="Palatino Linotype" w:eastAsia="Times New Roman" w:cs="Times New Roman"/>
        </w:rPr>
        <w:t xml:space="preserve">it would </w:t>
      </w:r>
      <w:r w:rsidRPr="0046680B" w:rsidR="006D6F31">
        <w:rPr>
          <w:rFonts w:ascii="Palatino Linotype" w:hAnsi="Palatino Linotype" w:eastAsia="Times New Roman" w:cs="Times New Roman"/>
          <w:kern w:val="0"/>
          <w14:ligatures w14:val="none"/>
        </w:rPr>
        <w:t xml:space="preserve">shift from </w:t>
      </w:r>
      <w:r w:rsidRPr="2128FA49" w:rsidR="009D03FE">
        <w:rPr>
          <w:rFonts w:ascii="Palatino Linotype" w:hAnsi="Palatino Linotype" w:eastAsia="Times New Roman" w:cs="Times New Roman"/>
        </w:rPr>
        <w:t>“</w:t>
      </w:r>
      <w:r w:rsidRPr="0046680B" w:rsidR="006D6F31">
        <w:rPr>
          <w:rFonts w:ascii="Palatino Linotype" w:hAnsi="Palatino Linotype" w:eastAsia="Times New Roman" w:cs="Times New Roman"/>
          <w:kern w:val="0"/>
          <w14:ligatures w14:val="none"/>
        </w:rPr>
        <w:t>static</w:t>
      </w:r>
      <w:r w:rsidR="00371758">
        <w:rPr>
          <w:rFonts w:ascii="Palatino Linotype" w:hAnsi="Palatino Linotype" w:eastAsia="Times New Roman" w:cs="Times New Roman"/>
          <w:kern w:val="0"/>
          <w14:ligatures w14:val="none"/>
        </w:rPr>
        <w:t>,</w:t>
      </w:r>
      <w:r w:rsidRPr="0046680B" w:rsidR="006D6F31">
        <w:rPr>
          <w:rFonts w:ascii="Palatino Linotype" w:hAnsi="Palatino Linotype" w:eastAsia="Times New Roman" w:cs="Times New Roman"/>
          <w:kern w:val="0"/>
          <w14:ligatures w14:val="none"/>
        </w:rPr>
        <w:t xml:space="preserve"> system </w:t>
      </w:r>
      <w:r w:rsidR="00C11304">
        <w:rPr>
          <w:rFonts w:ascii="Palatino Linotype" w:hAnsi="Palatino Linotype" w:eastAsia="Times New Roman" w:cs="Times New Roman"/>
          <w:kern w:val="0"/>
          <w14:ligatures w14:val="none"/>
        </w:rPr>
        <w:t>signals</w:t>
      </w:r>
      <w:r w:rsidRPr="0046680B" w:rsidR="00C11304">
        <w:rPr>
          <w:rFonts w:ascii="Palatino Linotype" w:hAnsi="Palatino Linotype" w:eastAsia="Times New Roman" w:cs="Times New Roman"/>
          <w:kern w:val="0"/>
          <w14:ligatures w14:val="none"/>
        </w:rPr>
        <w:t xml:space="preserve"> </w:t>
      </w:r>
      <w:r w:rsidRPr="0046680B" w:rsidR="006D6F31">
        <w:rPr>
          <w:rFonts w:ascii="Palatino Linotype" w:hAnsi="Palatino Linotype" w:eastAsia="Times New Roman" w:cs="Times New Roman"/>
          <w:kern w:val="0"/>
          <w14:ligatures w14:val="none"/>
        </w:rPr>
        <w:t>to dynamic</w:t>
      </w:r>
      <w:r w:rsidR="00371758">
        <w:rPr>
          <w:rFonts w:ascii="Palatino Linotype" w:hAnsi="Palatino Linotype" w:eastAsia="Times New Roman" w:cs="Times New Roman"/>
          <w:kern w:val="0"/>
          <w14:ligatures w14:val="none"/>
        </w:rPr>
        <w:t>,</w:t>
      </w:r>
      <w:r w:rsidRPr="0046680B" w:rsidR="006D6F31">
        <w:rPr>
          <w:rFonts w:ascii="Palatino Linotype" w:hAnsi="Palatino Linotype" w:eastAsia="Times New Roman" w:cs="Times New Roman"/>
          <w:kern w:val="0"/>
          <w14:ligatures w14:val="none"/>
        </w:rPr>
        <w:t xml:space="preserve"> localized </w:t>
      </w:r>
      <w:r w:rsidRPr="0046680B" w:rsidR="006D6F31">
        <w:rPr>
          <w:rFonts w:ascii="Palatino Linotype" w:hAnsi="Palatino Linotype" w:eastAsia="Times New Roman" w:cs="Times New Roman"/>
          <w:kern w:val="0"/>
          <w14:ligatures w14:val="none"/>
        </w:rPr>
        <w:lastRenderedPageBreak/>
        <w:t>coordination</w:t>
      </w:r>
      <w:r w:rsidR="0046680B">
        <w:rPr>
          <w:rFonts w:ascii="Palatino Linotype" w:hAnsi="Palatino Linotype" w:eastAsia="Times New Roman" w:cs="Times New Roman"/>
          <w:kern w:val="0"/>
          <w14:ligatures w14:val="none"/>
        </w:rPr>
        <w:t>.</w:t>
      </w:r>
      <w:r w:rsidR="00C11304">
        <w:rPr>
          <w:rFonts w:ascii="Palatino Linotype" w:hAnsi="Palatino Linotype" w:eastAsia="Times New Roman" w:cs="Times New Roman"/>
          <w:kern w:val="0"/>
          <w14:ligatures w14:val="none"/>
        </w:rPr>
        <w:t>”</w:t>
      </w:r>
      <w:r w:rsidR="00C11304">
        <w:rPr>
          <w:rStyle w:val="FootnoteReference"/>
          <w:rFonts w:ascii="Palatino Linotype" w:hAnsi="Palatino Linotype" w:eastAsia="Times New Roman" w:cs="Times New Roman"/>
          <w:kern w:val="0"/>
          <w14:ligatures w14:val="none"/>
        </w:rPr>
        <w:footnoteReference w:id="14"/>
      </w:r>
      <w:r w:rsidRPr="0046680B" w:rsidR="006D6F31">
        <w:rPr>
          <w:rFonts w:ascii="Palatino Linotype" w:hAnsi="Palatino Linotype" w:eastAsia="Times New Roman" w:cs="Times New Roman"/>
          <w:kern w:val="0"/>
          <w14:ligatures w14:val="none"/>
        </w:rPr>
        <w:t xml:space="preserve"> </w:t>
      </w:r>
      <w:r w:rsidR="004C157D">
        <w:rPr>
          <w:rFonts w:ascii="Palatino Linotype" w:hAnsi="Palatino Linotype" w:eastAsia="Times New Roman" w:cs="Times New Roman"/>
        </w:rPr>
        <w:t xml:space="preserve">Within the AL, SCE </w:t>
      </w:r>
      <w:r w:rsidR="00BF455E">
        <w:rPr>
          <w:rFonts w:ascii="Palatino Linotype" w:hAnsi="Palatino Linotype" w:eastAsia="Times New Roman" w:cs="Times New Roman"/>
        </w:rPr>
        <w:t>presents</w:t>
      </w:r>
      <w:r w:rsidRPr="2128FA49" w:rsidR="00616DA6">
        <w:rPr>
          <w:rFonts w:ascii="Palatino Linotype" w:hAnsi="Palatino Linotype" w:eastAsia="Times New Roman" w:cs="Times New Roman"/>
        </w:rPr>
        <w:t xml:space="preserve"> a</w:t>
      </w:r>
      <w:r w:rsidRPr="2128FA49" w:rsidR="00D35CC0">
        <w:rPr>
          <w:rFonts w:ascii="Palatino Linotype" w:hAnsi="Palatino Linotype" w:eastAsia="Times New Roman" w:cs="Times New Roman"/>
        </w:rPr>
        <w:t xml:space="preserve"> control scheme that </w:t>
      </w:r>
      <w:r w:rsidRPr="2128FA49" w:rsidR="00D24CAD">
        <w:rPr>
          <w:rFonts w:ascii="Palatino Linotype" w:hAnsi="Palatino Linotype" w:eastAsia="Times New Roman" w:cs="Times New Roman"/>
        </w:rPr>
        <w:t>illustrates the communication channels and relevant standards that would f</w:t>
      </w:r>
      <w:r w:rsidRPr="2128FA49" w:rsidR="00EA05E8">
        <w:rPr>
          <w:rFonts w:ascii="Palatino Linotype" w:hAnsi="Palatino Linotype" w:eastAsia="Times New Roman" w:cs="Times New Roman"/>
        </w:rPr>
        <w:t xml:space="preserve">acilitate the </w:t>
      </w:r>
      <w:r w:rsidRPr="2128FA49" w:rsidR="008F2EFD">
        <w:rPr>
          <w:rFonts w:ascii="Palatino Linotype" w:hAnsi="Palatino Linotype" w:eastAsia="Times New Roman" w:cs="Times New Roman"/>
        </w:rPr>
        <w:t xml:space="preserve">charging </w:t>
      </w:r>
      <w:r w:rsidRPr="2128FA49" w:rsidR="00EA05E8">
        <w:rPr>
          <w:rFonts w:ascii="Palatino Linotype" w:hAnsi="Palatino Linotype" w:eastAsia="Times New Roman" w:cs="Times New Roman"/>
        </w:rPr>
        <w:t>signals between the</w:t>
      </w:r>
      <w:r w:rsidRPr="2128FA49" w:rsidR="008F2EFD">
        <w:rPr>
          <w:rFonts w:ascii="Palatino Linotype" w:hAnsi="Palatino Linotype" w:eastAsia="Times New Roman" w:cs="Times New Roman"/>
        </w:rPr>
        <w:t xml:space="preserve"> DERMS, the EV Management System, and the EVs/EVSE. </w:t>
      </w:r>
      <w:r w:rsidRPr="2128FA49" w:rsidR="00673EA5">
        <w:rPr>
          <w:rFonts w:ascii="Palatino Linotype" w:hAnsi="Palatino Linotype" w:eastAsia="Times New Roman" w:cs="Times New Roman"/>
        </w:rPr>
        <w:t>S</w:t>
      </w:r>
      <w:r w:rsidRPr="2128FA49" w:rsidR="002D4060">
        <w:rPr>
          <w:rFonts w:ascii="Palatino Linotype" w:hAnsi="Palatino Linotype" w:eastAsia="Times New Roman" w:cs="Times New Roman"/>
        </w:rPr>
        <w:t>pecifically, t</w:t>
      </w:r>
      <w:r w:rsidRPr="2128FA49" w:rsidR="00673EA5">
        <w:rPr>
          <w:rFonts w:ascii="Palatino Linotype" w:hAnsi="Palatino Linotype" w:eastAsia="Times New Roman" w:cs="Times New Roman"/>
        </w:rPr>
        <w:t>he DERMS would communicate with the EV Management System</w:t>
      </w:r>
      <w:r w:rsidRPr="2128FA49" w:rsidR="008B2992">
        <w:rPr>
          <w:rFonts w:ascii="Palatino Linotype" w:hAnsi="Palatino Linotype" w:eastAsia="Times New Roman" w:cs="Times New Roman"/>
        </w:rPr>
        <w:t xml:space="preserve"> (i.e., third-party vendors and aggregators)</w:t>
      </w:r>
      <w:r w:rsidRPr="2128FA49" w:rsidR="00673EA5">
        <w:rPr>
          <w:rFonts w:ascii="Palatino Linotype" w:hAnsi="Palatino Linotype" w:eastAsia="Times New Roman" w:cs="Times New Roman"/>
        </w:rPr>
        <w:t xml:space="preserve"> using the IEEE 2030.5 protocol</w:t>
      </w:r>
      <w:r w:rsidRPr="2128FA49" w:rsidR="000B117A">
        <w:rPr>
          <w:rFonts w:ascii="Palatino Linotype" w:hAnsi="Palatino Linotype" w:eastAsia="Times New Roman" w:cs="Times New Roman"/>
        </w:rPr>
        <w:t>, and the EV Management System would communicate with the EVs/EVSE using</w:t>
      </w:r>
      <w:r w:rsidR="00DA24A9">
        <w:rPr>
          <w:rFonts w:ascii="Palatino Linotype" w:hAnsi="Palatino Linotype" w:eastAsia="Times New Roman" w:cs="Times New Roman"/>
        </w:rPr>
        <w:t xml:space="preserve"> application programming interfaces (</w:t>
      </w:r>
      <w:r w:rsidRPr="2128FA49" w:rsidR="000B117A">
        <w:rPr>
          <w:rFonts w:ascii="Palatino Linotype" w:hAnsi="Palatino Linotype" w:eastAsia="Times New Roman" w:cs="Times New Roman"/>
        </w:rPr>
        <w:t>APIs</w:t>
      </w:r>
      <w:r w:rsidR="00DA24A9">
        <w:rPr>
          <w:rFonts w:ascii="Palatino Linotype" w:hAnsi="Palatino Linotype" w:eastAsia="Times New Roman" w:cs="Times New Roman"/>
        </w:rPr>
        <w:t>)</w:t>
      </w:r>
      <w:r w:rsidRPr="2128FA49" w:rsidR="000B117A">
        <w:rPr>
          <w:rFonts w:ascii="Palatino Linotype" w:hAnsi="Palatino Linotype" w:eastAsia="Times New Roman" w:cs="Times New Roman"/>
        </w:rPr>
        <w:t>.</w:t>
      </w:r>
      <w:r w:rsidRPr="00BE3DDD" w:rsidR="00C22BFE">
        <w:rPr>
          <w:rFonts w:ascii="Palatino Linotype" w:hAnsi="Palatino Linotype" w:eastAsia="Times New Roman" w:cs="Times New Roman"/>
        </w:rPr>
        <w:t xml:space="preserve"> </w:t>
      </w:r>
      <w:r w:rsidR="00615A39">
        <w:rPr>
          <w:rFonts w:ascii="Palatino Linotype" w:hAnsi="Palatino Linotype" w:eastAsia="Times New Roman" w:cs="Times New Roman"/>
        </w:rPr>
        <w:t>AL 5536-</w:t>
      </w:r>
      <w:r w:rsidR="00E62094">
        <w:rPr>
          <w:rFonts w:ascii="Palatino Linotype" w:hAnsi="Palatino Linotype" w:eastAsia="Times New Roman" w:cs="Times New Roman"/>
        </w:rPr>
        <w:t xml:space="preserve">E </w:t>
      </w:r>
      <w:r w:rsidR="00196AC6">
        <w:rPr>
          <w:rFonts w:ascii="Palatino Linotype" w:hAnsi="Palatino Linotype" w:eastAsia="Times New Roman" w:cs="Times New Roman"/>
        </w:rPr>
        <w:t xml:space="preserve">states </w:t>
      </w:r>
      <w:r w:rsidR="00FF1850">
        <w:rPr>
          <w:rFonts w:ascii="Palatino Linotype" w:hAnsi="Palatino Linotype" w:eastAsia="Times New Roman" w:cs="Times New Roman"/>
        </w:rPr>
        <w:t>that</w:t>
      </w:r>
      <w:r w:rsidRPr="2128FA49" w:rsidR="00635697">
        <w:rPr>
          <w:rFonts w:ascii="Palatino Linotype" w:hAnsi="Palatino Linotype" w:eastAsia="Times New Roman" w:cs="Times New Roman"/>
        </w:rPr>
        <w:t xml:space="preserve"> ORCHARD would not </w:t>
      </w:r>
      <w:r w:rsidRPr="2128FA49" w:rsidR="00CF72AB">
        <w:rPr>
          <w:rFonts w:ascii="Palatino Linotype" w:hAnsi="Palatino Linotype" w:eastAsia="Times New Roman" w:cs="Times New Roman"/>
        </w:rPr>
        <w:t>consist of event-based participation, such as the Emergency Load Reduction Program (ELRP).</w:t>
      </w:r>
      <w:r w:rsidR="00BE3DDD">
        <w:rPr>
          <w:rFonts w:ascii="Palatino Linotype" w:hAnsi="Palatino Linotype" w:eastAsia="Times New Roman" w:cs="Times New Roman"/>
          <w:kern w:val="0"/>
          <w14:ligatures w14:val="none"/>
        </w:rPr>
        <w:t xml:space="preserve"> </w:t>
      </w:r>
    </w:p>
    <w:p w:rsidRPr="005076F8" w:rsidR="00226236" w:rsidP="005076F8" w:rsidRDefault="00226236" w14:paraId="1C08F848" w14:textId="77777777">
      <w:pPr>
        <w:spacing w:line="240" w:lineRule="auto"/>
        <w:rPr>
          <w:rFonts w:ascii="Palatino Linotype" w:hAnsi="Palatino Linotype" w:eastAsia="Times New Roman" w:cs="Times New Roman"/>
          <w:kern w:val="0"/>
          <w14:ligatures w14:val="none"/>
        </w:rPr>
      </w:pPr>
    </w:p>
    <w:p w:rsidRPr="00BE3DDD" w:rsidR="00B83248" w:rsidP="00BE3DDD" w:rsidRDefault="00B83248" w14:paraId="2D1EECB9" w14:textId="6CEF9E5C">
      <w:pPr>
        <w:spacing w:line="240" w:lineRule="auto"/>
        <w:rPr>
          <w:rFonts w:ascii="Palatino Linotype" w:hAnsi="Palatino Linotype" w:eastAsia="Times New Roman" w:cs="Times New Roman"/>
          <w:kern w:val="0"/>
          <w14:ligatures w14:val="none"/>
        </w:rPr>
      </w:pPr>
      <w:r w:rsidRPr="00BE3DDD">
        <w:rPr>
          <w:rFonts w:ascii="Palatino Linotype" w:hAnsi="Palatino Linotype" w:eastAsia="Times New Roman" w:cs="Times New Roman"/>
          <w:kern w:val="0"/>
          <w14:ligatures w14:val="none"/>
        </w:rPr>
        <w:t>ORCHARD falls under the</w:t>
      </w:r>
      <w:r w:rsidRPr="2128FA49">
        <w:rPr>
          <w:rFonts w:ascii="Palatino Linotype" w:hAnsi="Palatino Linotype" w:eastAsia="Times New Roman" w:cs="Times New Roman"/>
        </w:rPr>
        <w:t xml:space="preserve"> unidirectional</w:t>
      </w:r>
      <w:r w:rsidRPr="00BE3DDD">
        <w:rPr>
          <w:rFonts w:ascii="Palatino Linotype" w:hAnsi="Palatino Linotype" w:eastAsia="Times New Roman" w:cs="Times New Roman"/>
          <w:kern w:val="0"/>
          <w14:ligatures w14:val="none"/>
        </w:rPr>
        <w:t xml:space="preserve"> </w:t>
      </w:r>
      <w:r w:rsidRPr="2128FA49">
        <w:rPr>
          <w:rFonts w:ascii="Palatino Linotype" w:hAnsi="Palatino Linotype" w:eastAsia="Times New Roman" w:cs="Times New Roman"/>
        </w:rPr>
        <w:t>(</w:t>
      </w:r>
      <w:r w:rsidRPr="00BE3DDD">
        <w:rPr>
          <w:rFonts w:ascii="Palatino Linotype" w:hAnsi="Palatino Linotype" w:eastAsia="Times New Roman" w:cs="Times New Roman"/>
          <w:kern w:val="0"/>
          <w14:ligatures w14:val="none"/>
        </w:rPr>
        <w:t>V1G</w:t>
      </w:r>
      <w:r w:rsidRPr="2128FA49">
        <w:rPr>
          <w:rFonts w:ascii="Palatino Linotype" w:hAnsi="Palatino Linotype" w:eastAsia="Times New Roman" w:cs="Times New Roman"/>
        </w:rPr>
        <w:t>)</w:t>
      </w:r>
      <w:r>
        <w:rPr>
          <w:rStyle w:val="FootnoteReference"/>
          <w:rFonts w:ascii="Palatino Linotype" w:hAnsi="Palatino Linotype" w:eastAsia="Times New Roman" w:cs="Times New Roman"/>
          <w:kern w:val="0"/>
          <w14:ligatures w14:val="none"/>
        </w:rPr>
        <w:footnoteReference w:id="15"/>
      </w:r>
      <w:r w:rsidRPr="00BE3DDD">
        <w:rPr>
          <w:rFonts w:ascii="Palatino Linotype" w:hAnsi="Palatino Linotype" w:eastAsia="Times New Roman" w:cs="Times New Roman"/>
          <w:kern w:val="0"/>
          <w14:ligatures w14:val="none"/>
        </w:rPr>
        <w:t xml:space="preserve"> </w:t>
      </w:r>
      <w:r w:rsidR="00932196">
        <w:rPr>
          <w:rFonts w:ascii="Palatino Linotype" w:hAnsi="Palatino Linotype" w:eastAsia="Times New Roman" w:cs="Times New Roman"/>
          <w:kern w:val="0"/>
          <w14:ligatures w14:val="none"/>
        </w:rPr>
        <w:t>classification</w:t>
      </w:r>
      <w:r w:rsidRPr="2128FA49">
        <w:rPr>
          <w:rFonts w:ascii="Palatino Linotype" w:hAnsi="Palatino Linotype" w:eastAsia="Times New Roman" w:cs="Times New Roman"/>
        </w:rPr>
        <w:t>, meaning power flows only from the grid to the electric vehicle</w:t>
      </w:r>
      <w:r w:rsidRPr="00BE3DDD">
        <w:rPr>
          <w:rFonts w:ascii="Palatino Linotype" w:hAnsi="Palatino Linotype" w:eastAsia="Times New Roman" w:cs="Times New Roman"/>
          <w:kern w:val="0"/>
          <w14:ligatures w14:val="none"/>
        </w:rPr>
        <w:t xml:space="preserve">. </w:t>
      </w:r>
      <w:r w:rsidRPr="2128FA49">
        <w:rPr>
          <w:rFonts w:ascii="Palatino Linotype" w:hAnsi="Palatino Linotype" w:eastAsia="Times New Roman" w:cs="Times New Roman"/>
        </w:rPr>
        <w:t xml:space="preserve">Throughout the </w:t>
      </w:r>
      <w:r w:rsidR="00B73604">
        <w:rPr>
          <w:rFonts w:ascii="Palatino Linotype" w:hAnsi="Palatino Linotype" w:eastAsia="Times New Roman" w:cs="Times New Roman"/>
        </w:rPr>
        <w:t>AL</w:t>
      </w:r>
      <w:r w:rsidRPr="2128FA49">
        <w:rPr>
          <w:rFonts w:ascii="Palatino Linotype" w:hAnsi="Palatino Linotype" w:eastAsia="Times New Roman" w:cs="Times New Roman"/>
        </w:rPr>
        <w:t xml:space="preserve">, SCE refers to </w:t>
      </w:r>
      <w:r w:rsidRPr="2128FA49" w:rsidR="00DC5148">
        <w:rPr>
          <w:rFonts w:ascii="Palatino Linotype" w:hAnsi="Palatino Linotype" w:eastAsia="Times New Roman" w:cs="Times New Roman"/>
        </w:rPr>
        <w:t>the ORCHARD</w:t>
      </w:r>
      <w:r w:rsidRPr="2128FA49">
        <w:rPr>
          <w:rFonts w:ascii="Palatino Linotype" w:hAnsi="Palatino Linotype" w:eastAsia="Times New Roman" w:cs="Times New Roman"/>
        </w:rPr>
        <w:t xml:space="preserve"> approach as “orchestrated managed charging,” “utility-orchestrated load management,” and additional variations of such naming conventions. For consistency, th</w:t>
      </w:r>
      <w:r w:rsidR="005355CA">
        <w:rPr>
          <w:rFonts w:ascii="Palatino Linotype" w:hAnsi="Palatino Linotype" w:eastAsia="Times New Roman" w:cs="Times New Roman"/>
        </w:rPr>
        <w:t>is R</w:t>
      </w:r>
      <w:r w:rsidRPr="2128FA49">
        <w:rPr>
          <w:rFonts w:ascii="Palatino Linotype" w:hAnsi="Palatino Linotype" w:eastAsia="Times New Roman" w:cs="Times New Roman"/>
        </w:rPr>
        <w:t>esolution refer</w:t>
      </w:r>
      <w:r w:rsidR="005355CA">
        <w:rPr>
          <w:rFonts w:ascii="Palatino Linotype" w:hAnsi="Palatino Linotype" w:eastAsia="Times New Roman" w:cs="Times New Roman"/>
        </w:rPr>
        <w:t>s</w:t>
      </w:r>
      <w:r w:rsidRPr="2128FA49">
        <w:rPr>
          <w:rFonts w:ascii="Palatino Linotype" w:hAnsi="Palatino Linotype" w:eastAsia="Times New Roman" w:cs="Times New Roman"/>
        </w:rPr>
        <w:t xml:space="preserve"> to </w:t>
      </w:r>
      <w:r w:rsidR="005913E2">
        <w:rPr>
          <w:rFonts w:ascii="Palatino Linotype" w:hAnsi="Palatino Linotype" w:eastAsia="Times New Roman" w:cs="Times New Roman"/>
        </w:rPr>
        <w:t>SCE’s proposed</w:t>
      </w:r>
      <w:r w:rsidRPr="2128FA49">
        <w:rPr>
          <w:rFonts w:ascii="Palatino Linotype" w:hAnsi="Palatino Linotype" w:eastAsia="Times New Roman" w:cs="Times New Roman"/>
        </w:rPr>
        <w:t xml:space="preserve"> approach as </w:t>
      </w:r>
      <w:r w:rsidR="003C347B">
        <w:rPr>
          <w:rFonts w:ascii="Palatino Linotype" w:hAnsi="Palatino Linotype" w:eastAsia="Times New Roman" w:cs="Times New Roman"/>
          <w:kern w:val="0"/>
          <w14:ligatures w14:val="none"/>
        </w:rPr>
        <w:t>orchestrated load management</w:t>
      </w:r>
      <w:r w:rsidR="005913E2">
        <w:rPr>
          <w:rFonts w:ascii="Palatino Linotype" w:hAnsi="Palatino Linotype" w:eastAsia="Times New Roman" w:cs="Times New Roman"/>
          <w:kern w:val="0"/>
          <w14:ligatures w14:val="none"/>
        </w:rPr>
        <w:t>, which</w:t>
      </w:r>
      <w:r w:rsidR="00C770BE">
        <w:rPr>
          <w:rFonts w:ascii="Palatino Linotype" w:hAnsi="Palatino Linotype" w:eastAsia="Times New Roman" w:cs="Times New Roman"/>
          <w:kern w:val="0"/>
          <w14:ligatures w14:val="none"/>
        </w:rPr>
        <w:t xml:space="preserve"> </w:t>
      </w:r>
      <w:r w:rsidR="00E70640">
        <w:rPr>
          <w:rFonts w:ascii="Palatino Linotype" w:hAnsi="Palatino Linotype" w:eastAsia="Times New Roman" w:cs="Times New Roman"/>
          <w:kern w:val="0"/>
          <w14:ligatures w14:val="none"/>
        </w:rPr>
        <w:t>th</w:t>
      </w:r>
      <w:r w:rsidR="00C770BE">
        <w:rPr>
          <w:rFonts w:ascii="Palatino Linotype" w:hAnsi="Palatino Linotype" w:eastAsia="Times New Roman" w:cs="Times New Roman"/>
          <w:kern w:val="0"/>
          <w14:ligatures w14:val="none"/>
        </w:rPr>
        <w:t xml:space="preserve">is </w:t>
      </w:r>
      <w:r w:rsidR="00E70640">
        <w:rPr>
          <w:rFonts w:ascii="Palatino Linotype" w:hAnsi="Palatino Linotype" w:eastAsia="Times New Roman" w:cs="Times New Roman"/>
          <w:kern w:val="0"/>
          <w14:ligatures w14:val="none"/>
        </w:rPr>
        <w:t xml:space="preserve">Resolution </w:t>
      </w:r>
      <w:r w:rsidR="00C770BE">
        <w:rPr>
          <w:rFonts w:ascii="Palatino Linotype" w:hAnsi="Palatino Linotype" w:eastAsia="Times New Roman" w:cs="Times New Roman"/>
          <w:kern w:val="0"/>
          <w14:ligatures w14:val="none"/>
        </w:rPr>
        <w:t>define</w:t>
      </w:r>
      <w:r w:rsidR="00E70640">
        <w:rPr>
          <w:rFonts w:ascii="Palatino Linotype" w:hAnsi="Palatino Linotype" w:eastAsia="Times New Roman" w:cs="Times New Roman"/>
          <w:kern w:val="0"/>
          <w14:ligatures w14:val="none"/>
        </w:rPr>
        <w:t>s</w:t>
      </w:r>
      <w:r w:rsidRPr="2128FA49">
        <w:rPr>
          <w:rFonts w:ascii="Palatino Linotype" w:hAnsi="Palatino Linotype" w:eastAsia="Times New Roman" w:cs="Times New Roman"/>
        </w:rPr>
        <w:t xml:space="preserve"> </w:t>
      </w:r>
      <w:r w:rsidR="001146A7">
        <w:rPr>
          <w:rFonts w:ascii="Palatino Linotype" w:hAnsi="Palatino Linotype" w:eastAsia="Times New Roman" w:cs="Times New Roman"/>
        </w:rPr>
        <w:t xml:space="preserve">as </w:t>
      </w:r>
      <w:r w:rsidRPr="2128FA49">
        <w:rPr>
          <w:rFonts w:ascii="Palatino Linotype" w:hAnsi="Palatino Linotype" w:eastAsia="Times New Roman" w:cs="Times New Roman"/>
        </w:rPr>
        <w:t>activity through which the utility</w:t>
      </w:r>
      <w:r w:rsidR="00E34587">
        <w:rPr>
          <w:rFonts w:ascii="Palatino Linotype" w:hAnsi="Palatino Linotype" w:eastAsia="Times New Roman" w:cs="Times New Roman"/>
        </w:rPr>
        <w:t xml:space="preserve"> or</w:t>
      </w:r>
      <w:r w:rsidR="00B65641">
        <w:rPr>
          <w:rFonts w:ascii="Palatino Linotype" w:hAnsi="Palatino Linotype" w:eastAsia="Times New Roman" w:cs="Times New Roman"/>
        </w:rPr>
        <w:t xml:space="preserve"> third-party vendor/aggregator</w:t>
      </w:r>
      <w:r w:rsidRPr="2128FA49">
        <w:rPr>
          <w:rFonts w:ascii="Palatino Linotype" w:hAnsi="Palatino Linotype" w:eastAsia="Times New Roman" w:cs="Times New Roman"/>
        </w:rPr>
        <w:t xml:space="preserve"> optimizes customer EV charging times to mitigate secondary distribution peaks induced by system-wide </w:t>
      </w:r>
      <w:r w:rsidRPr="2128FA49" w:rsidR="00E769C6">
        <w:rPr>
          <w:rFonts w:ascii="Palatino Linotype" w:hAnsi="Palatino Linotype" w:eastAsia="Times New Roman" w:cs="Times New Roman"/>
        </w:rPr>
        <w:t>time-of-use (</w:t>
      </w:r>
      <w:r w:rsidRPr="2128FA49">
        <w:rPr>
          <w:rFonts w:ascii="Palatino Linotype" w:hAnsi="Palatino Linotype" w:eastAsia="Times New Roman" w:cs="Times New Roman"/>
        </w:rPr>
        <w:t>TOU</w:t>
      </w:r>
      <w:r w:rsidRPr="2128FA49" w:rsidR="00E769C6">
        <w:rPr>
          <w:rFonts w:ascii="Palatino Linotype" w:hAnsi="Palatino Linotype" w:eastAsia="Times New Roman" w:cs="Times New Roman"/>
        </w:rPr>
        <w:t>)</w:t>
      </w:r>
      <w:r w:rsidRPr="2128FA49">
        <w:rPr>
          <w:rFonts w:ascii="Palatino Linotype" w:hAnsi="Palatino Linotype" w:eastAsia="Times New Roman" w:cs="Times New Roman"/>
        </w:rPr>
        <w:t xml:space="preserve"> rate signals and customer charging schedules. </w:t>
      </w:r>
      <w:r w:rsidR="00961A46">
        <w:rPr>
          <w:rFonts w:ascii="Palatino Linotype" w:hAnsi="Palatino Linotype" w:eastAsia="Times New Roman" w:cs="Times New Roman"/>
        </w:rPr>
        <w:t xml:space="preserve">The CPUC is </w:t>
      </w:r>
      <w:r w:rsidR="00C16086">
        <w:rPr>
          <w:rFonts w:ascii="Palatino Linotype" w:hAnsi="Palatino Linotype" w:eastAsia="Times New Roman" w:cs="Times New Roman"/>
        </w:rPr>
        <w:t>considering</w:t>
      </w:r>
      <w:r w:rsidR="00860BDB">
        <w:rPr>
          <w:rFonts w:ascii="Palatino Linotype" w:hAnsi="Palatino Linotype" w:eastAsia="Times New Roman" w:cs="Times New Roman"/>
        </w:rPr>
        <w:t xml:space="preserve"> a</w:t>
      </w:r>
      <w:r w:rsidR="00D549A7">
        <w:rPr>
          <w:rFonts w:ascii="Palatino Linotype" w:hAnsi="Palatino Linotype" w:eastAsia="Times New Roman" w:cs="Times New Roman"/>
        </w:rPr>
        <w:t>doption of a</w:t>
      </w:r>
      <w:r w:rsidR="00860BDB">
        <w:rPr>
          <w:rFonts w:ascii="Palatino Linotype" w:hAnsi="Palatino Linotype" w:eastAsia="Times New Roman" w:cs="Times New Roman"/>
        </w:rPr>
        <w:t xml:space="preserve"> formal definition of orchestrated load management across multiple </w:t>
      </w:r>
      <w:r w:rsidR="007217A2">
        <w:rPr>
          <w:rFonts w:ascii="Palatino Linotype" w:hAnsi="Palatino Linotype" w:eastAsia="Times New Roman" w:cs="Times New Roman"/>
        </w:rPr>
        <w:t xml:space="preserve">ongoing proceedings, </w:t>
      </w:r>
      <w:r w:rsidR="00D549A7">
        <w:rPr>
          <w:rFonts w:ascii="Palatino Linotype" w:hAnsi="Palatino Linotype" w:eastAsia="Times New Roman" w:cs="Times New Roman"/>
        </w:rPr>
        <w:t>so</w:t>
      </w:r>
      <w:r w:rsidR="007217A2">
        <w:rPr>
          <w:rFonts w:ascii="Palatino Linotype" w:hAnsi="Palatino Linotype" w:eastAsia="Times New Roman" w:cs="Times New Roman"/>
        </w:rPr>
        <w:t xml:space="preserve"> this definition </w:t>
      </w:r>
      <w:r w:rsidR="00D549A7">
        <w:rPr>
          <w:rFonts w:ascii="Palatino Linotype" w:hAnsi="Palatino Linotype" w:eastAsia="Times New Roman" w:cs="Times New Roman"/>
        </w:rPr>
        <w:t xml:space="preserve">should </w:t>
      </w:r>
      <w:r w:rsidR="007217A2">
        <w:rPr>
          <w:rFonts w:ascii="Palatino Linotype" w:hAnsi="Palatino Linotype" w:eastAsia="Times New Roman" w:cs="Times New Roman"/>
        </w:rPr>
        <w:t xml:space="preserve">only </w:t>
      </w:r>
      <w:r w:rsidR="00D549A7">
        <w:rPr>
          <w:rFonts w:ascii="Palatino Linotype" w:hAnsi="Palatino Linotype" w:eastAsia="Times New Roman" w:cs="Times New Roman"/>
        </w:rPr>
        <w:t xml:space="preserve">be </w:t>
      </w:r>
      <w:r w:rsidR="007217A2">
        <w:rPr>
          <w:rFonts w:ascii="Palatino Linotype" w:hAnsi="Palatino Linotype" w:eastAsia="Times New Roman" w:cs="Times New Roman"/>
        </w:rPr>
        <w:t>applie</w:t>
      </w:r>
      <w:r w:rsidR="00D549A7">
        <w:rPr>
          <w:rFonts w:ascii="Palatino Linotype" w:hAnsi="Palatino Linotype" w:eastAsia="Times New Roman" w:cs="Times New Roman"/>
        </w:rPr>
        <w:t xml:space="preserve">d </w:t>
      </w:r>
      <w:r w:rsidR="001B7745">
        <w:rPr>
          <w:rFonts w:ascii="Palatino Linotype" w:hAnsi="Palatino Linotype" w:eastAsia="Times New Roman" w:cs="Times New Roman"/>
        </w:rPr>
        <w:t>to ORCHARD</w:t>
      </w:r>
      <w:r w:rsidR="00D549A7">
        <w:rPr>
          <w:rFonts w:ascii="Palatino Linotype" w:hAnsi="Palatino Linotype" w:eastAsia="Times New Roman" w:cs="Times New Roman"/>
        </w:rPr>
        <w:t xml:space="preserve">. </w:t>
      </w:r>
      <w:r w:rsidR="00EC3E90">
        <w:rPr>
          <w:rFonts w:ascii="Palatino Linotype" w:hAnsi="Palatino Linotype" w:eastAsia="Times New Roman" w:cs="Times New Roman"/>
        </w:rPr>
        <w:t>O</w:t>
      </w:r>
      <w:r w:rsidR="00EC3E90">
        <w:rPr>
          <w:rFonts w:ascii="Palatino Linotype" w:hAnsi="Palatino Linotype" w:eastAsia="Times New Roman" w:cs="Times New Roman"/>
          <w:kern w:val="0"/>
          <w14:ligatures w14:val="none"/>
        </w:rPr>
        <w:t>rchestrated load management</w:t>
      </w:r>
      <w:r w:rsidR="00BA37E2">
        <w:rPr>
          <w:rFonts w:ascii="Palatino Linotype" w:hAnsi="Palatino Linotype" w:eastAsia="Times New Roman" w:cs="Times New Roman"/>
        </w:rPr>
        <w:t xml:space="preserve"> </w:t>
      </w:r>
      <w:r w:rsidRPr="2128FA49">
        <w:rPr>
          <w:rFonts w:ascii="Palatino Linotype" w:hAnsi="Palatino Linotype" w:eastAsia="Times New Roman" w:cs="Times New Roman"/>
        </w:rPr>
        <w:t xml:space="preserve">should operate in parallel with any existing and future time- or event-based rates. </w:t>
      </w:r>
    </w:p>
    <w:p w:rsidRPr="00CC097A" w:rsidR="00B83248" w:rsidP="00CC097A" w:rsidRDefault="00B83248" w14:paraId="7587DCBE" w14:textId="77777777">
      <w:pPr>
        <w:spacing w:after="0" w:line="240" w:lineRule="auto"/>
        <w:rPr>
          <w:rFonts w:ascii="Palatino Linotype" w:hAnsi="Palatino Linotype" w:eastAsia="Times New Roman" w:cs="Times New Roman"/>
          <w:kern w:val="0"/>
          <w14:ligatures w14:val="none"/>
        </w:rPr>
      </w:pPr>
    </w:p>
    <w:p w:rsidR="006E72F6" w:rsidP="00281B80" w:rsidRDefault="0004710B" w14:paraId="36DAA815" w14:textId="2E0DCAF9">
      <w:pPr>
        <w:spacing w:after="0" w:line="240" w:lineRule="auto"/>
        <w:rPr>
          <w:rFonts w:ascii="Palatino Linotype" w:hAnsi="Palatino Linotype" w:eastAsia="Times New Roman" w:cs="Times New Roman"/>
          <w:kern w:val="0"/>
          <w14:ligatures w14:val="none"/>
        </w:rPr>
      </w:pPr>
      <w:r w:rsidRPr="2128FA49">
        <w:rPr>
          <w:rFonts w:ascii="Palatino Linotype" w:hAnsi="Palatino Linotype" w:eastAsia="Palatino Linotype" w:cs="Times New Roman"/>
        </w:rPr>
        <w:t xml:space="preserve">ORCHARD would offer participants incentives that decline each year, starting at </w:t>
      </w:r>
      <w:r w:rsidR="009D2A47">
        <w:rPr>
          <w:rFonts w:ascii="Palatino Linotype" w:hAnsi="Palatino Linotype" w:eastAsia="Palatino Linotype" w:cs="Times New Roman"/>
        </w:rPr>
        <w:br/>
      </w:r>
      <w:r w:rsidRPr="2128FA49">
        <w:rPr>
          <w:rFonts w:ascii="Palatino Linotype" w:hAnsi="Palatino Linotype" w:eastAsia="Palatino Linotype" w:cs="Times New Roman"/>
        </w:rPr>
        <w:t xml:space="preserve">$50 </w:t>
      </w:r>
      <w:r w:rsidR="001A2D94">
        <w:rPr>
          <w:rFonts w:ascii="Palatino Linotype" w:hAnsi="Palatino Linotype" w:eastAsia="Palatino Linotype" w:cs="Times New Roman"/>
        </w:rPr>
        <w:t xml:space="preserve">per year </w:t>
      </w:r>
      <w:r w:rsidRPr="2128FA49">
        <w:rPr>
          <w:rFonts w:ascii="Palatino Linotype" w:hAnsi="Palatino Linotype" w:eastAsia="Palatino Linotype" w:cs="Times New Roman"/>
        </w:rPr>
        <w:t xml:space="preserve">and fully </w:t>
      </w:r>
      <w:r w:rsidR="00C25343">
        <w:rPr>
          <w:rFonts w:ascii="Palatino Linotype" w:hAnsi="Palatino Linotype" w:eastAsia="Palatino Linotype" w:cs="Times New Roman"/>
        </w:rPr>
        <w:t>reducing</w:t>
      </w:r>
      <w:r w:rsidRPr="2128FA49">
        <w:rPr>
          <w:rFonts w:ascii="Palatino Linotype" w:hAnsi="Palatino Linotype" w:eastAsia="Palatino Linotype" w:cs="Times New Roman"/>
        </w:rPr>
        <w:t xml:space="preserve"> the incentives by the fifth year of enrollment.</w:t>
      </w:r>
      <w:r w:rsidRPr="00CC097A" w:rsidR="00CA6AB5">
        <w:rPr>
          <w:rFonts w:ascii="Palatino Linotype" w:hAnsi="Palatino Linotype" w:eastAsia="Times New Roman" w:cs="Times New Roman"/>
          <w:kern w:val="0"/>
          <w14:ligatures w14:val="none"/>
        </w:rPr>
        <w:t xml:space="preserve"> </w:t>
      </w:r>
      <w:r w:rsidR="00812E1D">
        <w:rPr>
          <w:rFonts w:ascii="Palatino Linotype" w:hAnsi="Palatino Linotype" w:eastAsia="Times New Roman" w:cs="Times New Roman"/>
          <w:kern w:val="0"/>
          <w14:ligatures w14:val="none"/>
        </w:rPr>
        <w:t xml:space="preserve">To obtain the incentives, </w:t>
      </w:r>
      <w:r w:rsidRPr="00CC097A" w:rsidR="00416DF3">
        <w:rPr>
          <w:rFonts w:ascii="Palatino Linotype" w:hAnsi="Palatino Linotype" w:eastAsia="Times New Roman" w:cs="Times New Roman"/>
        </w:rPr>
        <w:t>c</w:t>
      </w:r>
      <w:r w:rsidRPr="00CC097A" w:rsidR="07C9A79F">
        <w:rPr>
          <w:rFonts w:ascii="Palatino Linotype" w:hAnsi="Palatino Linotype" w:eastAsia="Times New Roman" w:cs="Times New Roman"/>
        </w:rPr>
        <w:t>ustomers would set their preferences for</w:t>
      </w:r>
      <w:r w:rsidRPr="2128FA49" w:rsidR="00724DAF">
        <w:rPr>
          <w:rFonts w:ascii="Palatino Linotype" w:hAnsi="Palatino Linotype" w:eastAsia="Times New Roman" w:cs="Times New Roman"/>
        </w:rPr>
        <w:t xml:space="preserve"> their desired</w:t>
      </w:r>
      <w:r w:rsidRPr="00CC097A" w:rsidR="07C9A79F">
        <w:rPr>
          <w:rFonts w:ascii="Palatino Linotype" w:hAnsi="Palatino Linotype" w:eastAsia="Times New Roman" w:cs="Times New Roman"/>
        </w:rPr>
        <w:t xml:space="preserve"> state of charge and other settings </w:t>
      </w:r>
      <w:r w:rsidR="001E32BC">
        <w:rPr>
          <w:rFonts w:ascii="Palatino Linotype" w:hAnsi="Palatino Linotype" w:eastAsia="Times New Roman" w:cs="Times New Roman"/>
        </w:rPr>
        <w:t xml:space="preserve">upon enrollment </w:t>
      </w:r>
      <w:r w:rsidRPr="00CC097A" w:rsidR="07C9A79F">
        <w:rPr>
          <w:rFonts w:ascii="Palatino Linotype" w:hAnsi="Palatino Linotype" w:eastAsia="Times New Roman" w:cs="Times New Roman"/>
        </w:rPr>
        <w:t>so that ORCHARD will distribute the aggregated load appropriately</w:t>
      </w:r>
      <w:r w:rsidRPr="00CC097A" w:rsidR="00BE3DDD">
        <w:rPr>
          <w:rFonts w:ascii="Palatino Linotype" w:hAnsi="Palatino Linotype" w:eastAsia="Times New Roman" w:cs="Times New Roman"/>
        </w:rPr>
        <w:t>.</w:t>
      </w:r>
      <w:r w:rsidR="00CC097A">
        <w:rPr>
          <w:rFonts w:ascii="Palatino Linotype" w:hAnsi="Palatino Linotype" w:eastAsia="Times New Roman" w:cs="Times New Roman"/>
          <w:kern w:val="0"/>
          <w14:ligatures w14:val="none"/>
        </w:rPr>
        <w:t xml:space="preserve"> </w:t>
      </w:r>
      <w:r w:rsidRPr="2128FA49" w:rsidR="00C0102D">
        <w:rPr>
          <w:rFonts w:ascii="Palatino Linotype" w:hAnsi="Palatino Linotype" w:eastAsia="Times New Roman" w:cs="Times New Roman"/>
        </w:rPr>
        <w:t xml:space="preserve">SCE intends for </w:t>
      </w:r>
      <w:r w:rsidRPr="00BE3DDD" w:rsidR="00C0102D">
        <w:rPr>
          <w:rFonts w:ascii="Palatino Linotype" w:hAnsi="Palatino Linotype" w:eastAsia="Times New Roman" w:cs="Times New Roman"/>
        </w:rPr>
        <w:t xml:space="preserve">the charging to occur discreetly, such that customers </w:t>
      </w:r>
      <w:r w:rsidRPr="2128FA49" w:rsidR="00C0102D">
        <w:rPr>
          <w:rFonts w:ascii="Palatino Linotype" w:hAnsi="Palatino Linotype" w:eastAsia="Times New Roman" w:cs="Times New Roman"/>
        </w:rPr>
        <w:t>can carry on with their regular personal schedules without noticing any impact on their ability to use their vehicles while enrolled in the program</w:t>
      </w:r>
      <w:r w:rsidRPr="00BE3DDD" w:rsidR="00C0102D">
        <w:rPr>
          <w:rFonts w:ascii="Palatino Linotype" w:hAnsi="Palatino Linotype" w:eastAsia="Times New Roman" w:cs="Times New Roman"/>
        </w:rPr>
        <w:t>.</w:t>
      </w:r>
      <w:r w:rsidR="00C0102D">
        <w:rPr>
          <w:rFonts w:ascii="Palatino Linotype" w:hAnsi="Palatino Linotype" w:eastAsia="Times New Roman" w:cs="Times New Roman"/>
          <w:kern w:val="0"/>
          <w14:ligatures w14:val="none"/>
        </w:rPr>
        <w:t xml:space="preserve"> </w:t>
      </w:r>
      <w:r w:rsidRPr="00CC097A" w:rsidR="00BE3DDD">
        <w:rPr>
          <w:rFonts w:ascii="Palatino Linotype" w:hAnsi="Palatino Linotype" w:eastAsia="Times New Roman" w:cs="Times New Roman"/>
          <w:kern w:val="0"/>
          <w14:ligatures w14:val="none"/>
        </w:rPr>
        <w:t>SCE</w:t>
      </w:r>
      <w:r w:rsidRPr="00CC097A" w:rsidR="00CA6AB5">
        <w:rPr>
          <w:rFonts w:ascii="Palatino Linotype" w:hAnsi="Palatino Linotype" w:eastAsia="Times New Roman" w:cs="Times New Roman"/>
          <w:kern w:val="0"/>
          <w14:ligatures w14:val="none"/>
        </w:rPr>
        <w:t xml:space="preserve"> is aiming to enroll 25,000 customers on circuits with </w:t>
      </w:r>
      <w:r w:rsidR="003310BC">
        <w:rPr>
          <w:rFonts w:ascii="Palatino Linotype" w:hAnsi="Palatino Linotype" w:eastAsia="Times New Roman" w:cs="Times New Roman"/>
          <w:kern w:val="0"/>
          <w14:ligatures w14:val="none"/>
        </w:rPr>
        <w:t>less</w:t>
      </w:r>
      <w:r w:rsidRPr="00CC097A" w:rsidR="00CA6AB5">
        <w:rPr>
          <w:rFonts w:ascii="Palatino Linotype" w:hAnsi="Palatino Linotype" w:eastAsia="Times New Roman" w:cs="Times New Roman"/>
          <w:kern w:val="0"/>
          <w14:ligatures w14:val="none"/>
        </w:rPr>
        <w:t xml:space="preserve"> than one megawatt of available capacity and at least 100 EVs on the circuit</w:t>
      </w:r>
      <w:r w:rsidRPr="00CC097A" w:rsidR="00BE3DDD">
        <w:rPr>
          <w:rFonts w:ascii="Palatino Linotype" w:hAnsi="Palatino Linotype" w:eastAsia="Times New Roman" w:cs="Times New Roman"/>
          <w:kern w:val="0"/>
          <w14:ligatures w14:val="none"/>
        </w:rPr>
        <w:t>.</w:t>
      </w:r>
      <w:r w:rsidRPr="00CC097A" w:rsidR="00CA6AB5">
        <w:rPr>
          <w:rFonts w:ascii="Palatino Linotype" w:hAnsi="Palatino Linotype" w:eastAsia="Times New Roman" w:cs="Times New Roman"/>
          <w:kern w:val="0"/>
          <w14:ligatures w14:val="none"/>
        </w:rPr>
        <w:t xml:space="preserve"> </w:t>
      </w:r>
    </w:p>
    <w:p w:rsidR="006D6F31" w:rsidP="00281B80" w:rsidRDefault="006D6F31" w14:paraId="5D7A170F" w14:textId="77777777">
      <w:pPr>
        <w:spacing w:after="0" w:line="240" w:lineRule="auto"/>
        <w:rPr>
          <w:rFonts w:ascii="Palatino Linotype" w:hAnsi="Palatino Linotype" w:eastAsia="Times New Roman" w:cs="Times New Roman"/>
          <w:kern w:val="0"/>
          <w14:ligatures w14:val="none"/>
        </w:rPr>
      </w:pPr>
    </w:p>
    <w:p w:rsidRPr="007955D8" w:rsidR="007955D8" w:rsidP="007955D8" w:rsidRDefault="007955D8" w14:paraId="0E1A353F" w14:textId="2D4B3F6D">
      <w:pPr>
        <w:pStyle w:val="Heading3"/>
        <w:numPr>
          <w:ilvl w:val="0"/>
          <w:numId w:val="22"/>
        </w:numPr>
        <w:spacing w:before="0" w:after="0" w:line="240" w:lineRule="auto"/>
        <w:rPr>
          <w:rFonts w:ascii="Palatino Linotype" w:hAnsi="Palatino Linotype"/>
          <w:sz w:val="24"/>
          <w:szCs w:val="24"/>
        </w:rPr>
      </w:pPr>
      <w:r w:rsidRPr="007955D8">
        <w:rPr>
          <w:rFonts w:ascii="Palatino Linotype" w:hAnsi="Palatino Linotype"/>
          <w:sz w:val="24"/>
          <w:szCs w:val="24"/>
        </w:rPr>
        <w:lastRenderedPageBreak/>
        <w:t xml:space="preserve">Bidirectional </w:t>
      </w:r>
      <w:r w:rsidR="00A9059C">
        <w:rPr>
          <w:rFonts w:ascii="Palatino Linotype" w:hAnsi="Palatino Linotype"/>
          <w:sz w:val="24"/>
          <w:szCs w:val="24"/>
        </w:rPr>
        <w:t xml:space="preserve">Equipment </w:t>
      </w:r>
      <w:r w:rsidRPr="007955D8">
        <w:rPr>
          <w:rFonts w:ascii="Palatino Linotype" w:hAnsi="Palatino Linotype"/>
          <w:sz w:val="24"/>
          <w:szCs w:val="24"/>
        </w:rPr>
        <w:t xml:space="preserve">Rebate Incentives </w:t>
      </w:r>
    </w:p>
    <w:p w:rsidR="00A76F4A" w:rsidP="00A76F4A" w:rsidRDefault="0079531B" w14:paraId="6B8C5E37" w14:textId="0A398B1B">
      <w:pPr>
        <w:spacing w:after="0" w:line="240" w:lineRule="auto"/>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 s</w:t>
      </w:r>
      <w:r w:rsidRPr="00FD6440" w:rsidR="008A559E">
        <w:rPr>
          <w:rFonts w:ascii="Palatino Linotype" w:hAnsi="Palatino Linotype" w:eastAsia="Times New Roman" w:cs="Times New Roman"/>
          <w:kern w:val="0"/>
          <w14:ligatures w14:val="none"/>
        </w:rPr>
        <w:t>econd</w:t>
      </w:r>
      <w:r>
        <w:rPr>
          <w:rFonts w:ascii="Palatino Linotype" w:hAnsi="Palatino Linotype" w:eastAsia="Times New Roman" w:cs="Times New Roman"/>
          <w:kern w:val="0"/>
          <w14:ligatures w14:val="none"/>
        </w:rPr>
        <w:t xml:space="preserve"> component of SCE’s</w:t>
      </w:r>
      <w:r w:rsidRPr="00FD6440" w:rsidR="008A559E">
        <w:rPr>
          <w:rFonts w:ascii="Palatino Linotype" w:hAnsi="Palatino Linotype" w:eastAsia="Times New Roman" w:cs="Times New Roman"/>
          <w:kern w:val="0"/>
          <w14:ligatures w14:val="none"/>
        </w:rPr>
        <w:t xml:space="preserve"> </w:t>
      </w:r>
      <w:r w:rsidRPr="00FD6440" w:rsidR="004231CD">
        <w:rPr>
          <w:rFonts w:ascii="Palatino Linotype" w:hAnsi="Palatino Linotype" w:eastAsia="Times New Roman" w:cs="Times New Roman"/>
          <w:kern w:val="0"/>
          <w14:ligatures w14:val="none"/>
        </w:rPr>
        <w:t xml:space="preserve">AL </w:t>
      </w:r>
      <w:r>
        <w:rPr>
          <w:rFonts w:ascii="Palatino Linotype" w:hAnsi="Palatino Linotype" w:eastAsia="Times New Roman" w:cs="Times New Roman"/>
          <w:kern w:val="0"/>
          <w14:ligatures w14:val="none"/>
        </w:rPr>
        <w:t xml:space="preserve">is a </w:t>
      </w:r>
      <w:r w:rsidRPr="00FD6440" w:rsidR="004231CD">
        <w:rPr>
          <w:rFonts w:ascii="Palatino Linotype" w:hAnsi="Palatino Linotype" w:eastAsia="Times New Roman" w:cs="Times New Roman"/>
          <w:kern w:val="0"/>
          <w14:ligatures w14:val="none"/>
        </w:rPr>
        <w:t>propos</w:t>
      </w:r>
      <w:r w:rsidR="0072336F">
        <w:rPr>
          <w:rFonts w:ascii="Palatino Linotype" w:hAnsi="Palatino Linotype" w:eastAsia="Times New Roman" w:cs="Times New Roman"/>
          <w:kern w:val="0"/>
          <w14:ligatures w14:val="none"/>
        </w:rPr>
        <w:t>al</w:t>
      </w:r>
      <w:r w:rsidR="00237C90">
        <w:rPr>
          <w:rFonts w:ascii="Palatino Linotype" w:hAnsi="Palatino Linotype" w:eastAsia="Times New Roman" w:cs="Times New Roman"/>
          <w:kern w:val="0"/>
          <w14:ligatures w14:val="none"/>
        </w:rPr>
        <w:t xml:space="preserve"> that</w:t>
      </w:r>
      <w:r w:rsidRPr="00FD6440" w:rsidR="004231CD">
        <w:rPr>
          <w:rFonts w:ascii="Palatino Linotype" w:hAnsi="Palatino Linotype" w:eastAsia="Times New Roman" w:cs="Times New Roman"/>
          <w:kern w:val="0"/>
          <w14:ligatures w14:val="none"/>
        </w:rPr>
        <w:t xml:space="preserve"> offer</w:t>
      </w:r>
      <w:r w:rsidR="00237C90">
        <w:rPr>
          <w:rFonts w:ascii="Palatino Linotype" w:hAnsi="Palatino Linotype" w:eastAsia="Times New Roman" w:cs="Times New Roman"/>
          <w:kern w:val="0"/>
          <w14:ligatures w14:val="none"/>
        </w:rPr>
        <w:t>s</w:t>
      </w:r>
      <w:r w:rsidRPr="00FD6440" w:rsidR="004231CD">
        <w:rPr>
          <w:rFonts w:ascii="Palatino Linotype" w:hAnsi="Palatino Linotype" w:eastAsia="Times New Roman" w:cs="Times New Roman"/>
          <w:kern w:val="0"/>
          <w14:ligatures w14:val="none"/>
        </w:rPr>
        <w:t xml:space="preserve"> income-qualified participants b</w:t>
      </w:r>
      <w:r w:rsidRPr="00FD6440" w:rsidR="000D2D40">
        <w:rPr>
          <w:rFonts w:ascii="Palatino Linotype" w:hAnsi="Palatino Linotype" w:eastAsia="Times New Roman" w:cs="Times New Roman"/>
          <w:kern w:val="0"/>
          <w14:ligatures w14:val="none"/>
        </w:rPr>
        <w:t xml:space="preserve">idirectional </w:t>
      </w:r>
      <w:r w:rsidRPr="00FD6440" w:rsidR="003D484E">
        <w:rPr>
          <w:rFonts w:ascii="Palatino Linotype" w:hAnsi="Palatino Linotype" w:eastAsia="Times New Roman" w:cs="Times New Roman"/>
          <w:kern w:val="0"/>
          <w14:ligatures w14:val="none"/>
        </w:rPr>
        <w:t>rebate incentives</w:t>
      </w:r>
      <w:r w:rsidRPr="00FD6440" w:rsidR="004231CD">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 xml:space="preserve">Customers who choose to participate in this part of the program would receive rebates to help offset the costs </w:t>
      </w:r>
      <w:r w:rsidRPr="00FD6440" w:rsidR="009568FB">
        <w:rPr>
          <w:rFonts w:ascii="Palatino Linotype" w:hAnsi="Palatino Linotype" w:eastAsia="Times New Roman" w:cs="Times New Roman"/>
          <w:kern w:val="0"/>
          <w14:ligatures w14:val="none"/>
        </w:rPr>
        <w:t>of</w:t>
      </w:r>
      <w:r w:rsidRPr="003D484E" w:rsidR="003D484E">
        <w:rPr>
          <w:rFonts w:ascii="Palatino Linotype" w:hAnsi="Palatino Linotype" w:eastAsia="Times New Roman" w:cs="Times New Roman"/>
          <w:kern w:val="0"/>
          <w14:ligatures w14:val="none"/>
        </w:rPr>
        <w:t xml:space="preserve"> the Rule 21 interconnection application and the bidirectional </w:t>
      </w:r>
      <w:r w:rsidRPr="00FD6440" w:rsidR="00C80041">
        <w:rPr>
          <w:rFonts w:ascii="Palatino Linotype" w:hAnsi="Palatino Linotype" w:eastAsia="Times New Roman" w:cs="Times New Roman"/>
          <w:kern w:val="0"/>
          <w14:ligatures w14:val="none"/>
        </w:rPr>
        <w:t>EVSE, which includes</w:t>
      </w:r>
      <w:r w:rsidRPr="003D484E" w:rsidR="003D484E">
        <w:rPr>
          <w:rFonts w:ascii="Palatino Linotype" w:hAnsi="Palatino Linotype" w:eastAsia="Times New Roman" w:cs="Times New Roman"/>
          <w:kern w:val="0"/>
          <w14:ligatures w14:val="none"/>
        </w:rPr>
        <w:t xml:space="preserve"> inverters, transfer switches, and companion energy storage systems</w:t>
      </w:r>
      <w:r w:rsidRPr="00FD6440" w:rsidR="00C80041">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The program does not compensate customers directly for their energy exports</w:t>
      </w:r>
      <w:r w:rsidRPr="00FD6440" w:rsidR="00C80041">
        <w:rPr>
          <w:rFonts w:ascii="Palatino Linotype" w:hAnsi="Palatino Linotype" w:eastAsia="Times New Roman" w:cs="Times New Roman"/>
          <w:kern w:val="0"/>
          <w14:ligatures w14:val="none"/>
        </w:rPr>
        <w:t>.</w:t>
      </w:r>
      <w:r w:rsidRPr="00FD6440" w:rsidR="003D484E">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The emphasis is on the benefits of home energy management</w:t>
      </w:r>
      <w:r w:rsidRPr="00FD6440" w:rsidR="003D484E">
        <w:rPr>
          <w:rFonts w:ascii="Palatino Linotype" w:hAnsi="Palatino Linotype" w:eastAsia="Times New Roman" w:cs="Times New Roman"/>
          <w:kern w:val="0"/>
          <w14:ligatures w14:val="none"/>
        </w:rPr>
        <w:t xml:space="preserve"> </w:t>
      </w:r>
      <w:r w:rsidRPr="00FD6440" w:rsidR="00375E80">
        <w:rPr>
          <w:rFonts w:ascii="Palatino Linotype" w:hAnsi="Palatino Linotype" w:eastAsia="Times New Roman" w:cs="Times New Roman"/>
          <w:kern w:val="0"/>
          <w14:ligatures w14:val="none"/>
        </w:rPr>
        <w:t>using</w:t>
      </w:r>
      <w:r w:rsidRPr="00FD6440" w:rsidDel="003D484E" w:rsidR="003D484E">
        <w:rPr>
          <w:rFonts w:ascii="Palatino Linotype" w:hAnsi="Palatino Linotype" w:eastAsia="Times New Roman" w:cs="Times New Roman"/>
          <w:kern w:val="0"/>
          <w14:ligatures w14:val="none"/>
        </w:rPr>
        <w:t xml:space="preserve"> </w:t>
      </w:r>
      <w:r w:rsidRPr="003D484E" w:rsidR="003D484E">
        <w:rPr>
          <w:rFonts w:ascii="Palatino Linotype" w:hAnsi="Palatino Linotype" w:eastAsia="Times New Roman" w:cs="Times New Roman"/>
          <w:kern w:val="0"/>
          <w14:ligatures w14:val="none"/>
        </w:rPr>
        <w:t xml:space="preserve">vehicle-to-home (V2H) </w:t>
      </w:r>
      <w:r w:rsidRPr="00FD6440" w:rsidR="00A15E3D">
        <w:rPr>
          <w:rFonts w:ascii="Palatino Linotype" w:hAnsi="Palatino Linotype" w:eastAsia="Times New Roman" w:cs="Times New Roman"/>
          <w:kern w:val="0"/>
          <w14:ligatures w14:val="none"/>
        </w:rPr>
        <w:t xml:space="preserve">technology, </w:t>
      </w:r>
      <w:r w:rsidRPr="00FD6440" w:rsidR="009009FB">
        <w:rPr>
          <w:rFonts w:ascii="Palatino Linotype" w:hAnsi="Palatino Linotype" w:eastAsia="Times New Roman" w:cs="Times New Roman"/>
          <w:kern w:val="0"/>
          <w14:ligatures w14:val="none"/>
        </w:rPr>
        <w:t xml:space="preserve">through which </w:t>
      </w:r>
      <w:r w:rsidRPr="00FD6440" w:rsidR="00BD514C">
        <w:rPr>
          <w:rFonts w:ascii="Palatino Linotype" w:hAnsi="Palatino Linotype" w:eastAsia="Times New Roman" w:cs="Times New Roman"/>
          <w:kern w:val="0"/>
          <w14:ligatures w14:val="none"/>
        </w:rPr>
        <w:t xml:space="preserve">power flows only from the EV to the customer’s residence. </w:t>
      </w:r>
      <w:r w:rsidRPr="00FD6440" w:rsidR="000A7BFC">
        <w:rPr>
          <w:rFonts w:ascii="Palatino Linotype" w:hAnsi="Palatino Linotype" w:eastAsia="Times New Roman" w:cs="Times New Roman"/>
          <w:kern w:val="0"/>
          <w14:ligatures w14:val="none"/>
        </w:rPr>
        <w:t>SCE</w:t>
      </w:r>
      <w:r w:rsidRPr="003D484E" w:rsidR="003D484E">
        <w:rPr>
          <w:rFonts w:ascii="Palatino Linotype" w:hAnsi="Palatino Linotype" w:eastAsia="Times New Roman" w:cs="Times New Roman"/>
          <w:kern w:val="0"/>
          <w14:ligatures w14:val="none"/>
        </w:rPr>
        <w:t xml:space="preserve"> argues that the customer would save money by using electricity </w:t>
      </w:r>
      <w:r w:rsidRPr="00FD6440" w:rsidR="006F14FC">
        <w:rPr>
          <w:rFonts w:ascii="Palatino Linotype" w:hAnsi="Palatino Linotype" w:eastAsia="Times New Roman" w:cs="Times New Roman"/>
          <w:kern w:val="0"/>
          <w14:ligatures w14:val="none"/>
        </w:rPr>
        <w:t xml:space="preserve">that </w:t>
      </w:r>
      <w:r w:rsidRPr="003D484E" w:rsidR="003D484E">
        <w:rPr>
          <w:rFonts w:ascii="Palatino Linotype" w:hAnsi="Palatino Linotype" w:eastAsia="Times New Roman" w:cs="Times New Roman"/>
          <w:kern w:val="0"/>
          <w14:ligatures w14:val="none"/>
        </w:rPr>
        <w:t>their own vehicle can supply instead of importing energy from the grid</w:t>
      </w:r>
      <w:r w:rsidRPr="00FD6440" w:rsidR="00B417E9">
        <w:rPr>
          <w:rFonts w:ascii="Palatino Linotype" w:hAnsi="Palatino Linotype" w:eastAsia="Times New Roman" w:cs="Times New Roman"/>
          <w:kern w:val="0"/>
          <w14:ligatures w14:val="none"/>
        </w:rPr>
        <w:t>, especially</w:t>
      </w:r>
      <w:r w:rsidRPr="00FD6440" w:rsidR="003D484E">
        <w:rPr>
          <w:rFonts w:ascii="Palatino Linotype" w:hAnsi="Palatino Linotype" w:eastAsia="Times New Roman" w:cs="Times New Roman"/>
          <w:kern w:val="0"/>
          <w14:ligatures w14:val="none"/>
        </w:rPr>
        <w:t xml:space="preserve"> when </w:t>
      </w:r>
      <w:r w:rsidR="00633A4C">
        <w:rPr>
          <w:rFonts w:ascii="Palatino Linotype" w:hAnsi="Palatino Linotype" w:eastAsia="Times New Roman" w:cs="Times New Roman"/>
          <w:kern w:val="0"/>
          <w14:ligatures w14:val="none"/>
        </w:rPr>
        <w:t>energy from the grid is</w:t>
      </w:r>
      <w:r w:rsidRPr="00FD6440" w:rsidR="00633A4C">
        <w:rPr>
          <w:rFonts w:ascii="Palatino Linotype" w:hAnsi="Palatino Linotype" w:eastAsia="Times New Roman" w:cs="Times New Roman"/>
          <w:kern w:val="0"/>
          <w14:ligatures w14:val="none"/>
        </w:rPr>
        <w:t xml:space="preserve"> </w:t>
      </w:r>
      <w:r w:rsidRPr="00FD6440" w:rsidR="003D484E">
        <w:rPr>
          <w:rFonts w:ascii="Palatino Linotype" w:hAnsi="Palatino Linotype" w:eastAsia="Times New Roman" w:cs="Times New Roman"/>
          <w:kern w:val="0"/>
          <w14:ligatures w14:val="none"/>
        </w:rPr>
        <w:t xml:space="preserve">more </w:t>
      </w:r>
      <w:r w:rsidRPr="003D484E" w:rsidR="003D484E">
        <w:rPr>
          <w:rFonts w:ascii="Palatino Linotype" w:hAnsi="Palatino Linotype" w:eastAsia="Times New Roman" w:cs="Times New Roman"/>
          <w:kern w:val="0"/>
          <w14:ligatures w14:val="none"/>
        </w:rPr>
        <w:t>expensive during peak hours</w:t>
      </w:r>
      <w:r w:rsidRPr="00FD6440" w:rsidR="00B417E9">
        <w:rPr>
          <w:rFonts w:ascii="Palatino Linotype" w:hAnsi="Palatino Linotype" w:eastAsia="Times New Roman" w:cs="Times New Roman"/>
          <w:kern w:val="0"/>
          <w14:ligatures w14:val="none"/>
        </w:rPr>
        <w:t>.</w:t>
      </w:r>
      <w:r w:rsidRPr="00FD6440" w:rsidR="003D484E">
        <w:rPr>
          <w:rFonts w:ascii="Palatino Linotype" w:hAnsi="Palatino Linotype" w:eastAsia="Times New Roman" w:cs="Times New Roman"/>
          <w:kern w:val="0"/>
          <w14:ligatures w14:val="none"/>
        </w:rPr>
        <w:t xml:space="preserve"> </w:t>
      </w:r>
      <w:r w:rsidR="00187423">
        <w:rPr>
          <w:rFonts w:ascii="Palatino Linotype" w:hAnsi="Palatino Linotype" w:eastAsia="Times New Roman" w:cs="Times New Roman"/>
          <w:kern w:val="0"/>
          <w14:ligatures w14:val="none"/>
        </w:rPr>
        <w:t>AL</w:t>
      </w:r>
      <w:r w:rsidRPr="003D484E" w:rsidR="003D484E">
        <w:rPr>
          <w:rFonts w:ascii="Palatino Linotype" w:hAnsi="Palatino Linotype" w:eastAsia="Times New Roman" w:cs="Times New Roman"/>
          <w:kern w:val="0"/>
          <w14:ligatures w14:val="none"/>
        </w:rPr>
        <w:t xml:space="preserve"> </w:t>
      </w:r>
      <w:r w:rsidR="001A638C">
        <w:rPr>
          <w:rFonts w:ascii="Palatino Linotype" w:hAnsi="Palatino Linotype" w:eastAsia="Times New Roman" w:cs="Times New Roman"/>
          <w:kern w:val="0"/>
          <w14:ligatures w14:val="none"/>
        </w:rPr>
        <w:t xml:space="preserve">5536-E </w:t>
      </w:r>
      <w:r w:rsidRPr="003D484E" w:rsidR="003D484E">
        <w:rPr>
          <w:rFonts w:ascii="Palatino Linotype" w:hAnsi="Palatino Linotype" w:eastAsia="Times New Roman" w:cs="Times New Roman"/>
          <w:kern w:val="0"/>
          <w14:ligatures w14:val="none"/>
        </w:rPr>
        <w:t>does acknowledge a potential for vehicle-to-grid (V2G) down the road</w:t>
      </w:r>
      <w:r w:rsidRPr="00FD6440" w:rsidR="00603783">
        <w:rPr>
          <w:rFonts w:ascii="Palatino Linotype" w:hAnsi="Palatino Linotype" w:eastAsia="Times New Roman" w:cs="Times New Roman"/>
          <w:kern w:val="0"/>
          <w14:ligatures w14:val="none"/>
        </w:rPr>
        <w:t xml:space="preserve"> while citing some barriers to widespread deployment.</w:t>
      </w:r>
      <w:r w:rsidRPr="00FD6440" w:rsidR="003D484E">
        <w:rPr>
          <w:rFonts w:ascii="Palatino Linotype" w:hAnsi="Palatino Linotype" w:eastAsia="Times New Roman" w:cs="Times New Roman"/>
          <w:kern w:val="0"/>
          <w14:ligatures w14:val="none"/>
        </w:rPr>
        <w:t xml:space="preserve"> </w:t>
      </w:r>
      <w:r w:rsidRPr="00FD6440" w:rsidR="00603783">
        <w:rPr>
          <w:rFonts w:ascii="Palatino Linotype" w:hAnsi="Palatino Linotype" w:eastAsia="Times New Roman" w:cs="Times New Roman"/>
          <w:kern w:val="0"/>
          <w14:ligatures w14:val="none"/>
        </w:rPr>
        <w:t xml:space="preserve">For example, </w:t>
      </w:r>
      <w:r w:rsidRPr="00FD6440" w:rsidR="000C1E3E">
        <w:rPr>
          <w:rFonts w:ascii="Palatino Linotype" w:hAnsi="Palatino Linotype" w:eastAsia="Times New Roman" w:cs="Times New Roman"/>
          <w:kern w:val="0"/>
          <w14:ligatures w14:val="none"/>
        </w:rPr>
        <w:t>SCE mentions “higher system design and engineering costs compared to simpler V1G systems</w:t>
      </w:r>
      <w:r w:rsidRPr="00FD6440" w:rsidR="004950D9">
        <w:rPr>
          <w:rFonts w:ascii="Palatino Linotype" w:hAnsi="Palatino Linotype" w:eastAsia="Times New Roman" w:cs="Times New Roman"/>
          <w:kern w:val="0"/>
          <w14:ligatures w14:val="none"/>
        </w:rPr>
        <w:t>, […] more labor-intensive processes</w:t>
      </w:r>
      <w:r w:rsidRPr="00FD6440" w:rsidR="00FA058F">
        <w:rPr>
          <w:rFonts w:ascii="Palatino Linotype" w:hAnsi="Palatino Linotype" w:eastAsia="Times New Roman" w:cs="Times New Roman"/>
          <w:kern w:val="0"/>
          <w14:ligatures w14:val="none"/>
        </w:rPr>
        <w:t>,” high inst</w:t>
      </w:r>
      <w:r w:rsidRPr="00FD6440" w:rsidR="00B035BA">
        <w:rPr>
          <w:rFonts w:ascii="Palatino Linotype" w:hAnsi="Palatino Linotype" w:eastAsia="Times New Roman" w:cs="Times New Roman"/>
          <w:kern w:val="0"/>
          <w14:ligatures w14:val="none"/>
        </w:rPr>
        <w:t xml:space="preserve">allation and equipment costs, </w:t>
      </w:r>
      <w:r w:rsidRPr="00FD6440" w:rsidR="00790180">
        <w:rPr>
          <w:rFonts w:ascii="Palatino Linotype" w:hAnsi="Palatino Linotype" w:eastAsia="Times New Roman" w:cs="Times New Roman"/>
          <w:kern w:val="0"/>
          <w14:ligatures w14:val="none"/>
        </w:rPr>
        <w:t>and high costs associated with potential pa</w:t>
      </w:r>
      <w:r w:rsidRPr="00FD6440" w:rsidR="00AC5928">
        <w:rPr>
          <w:rFonts w:ascii="Palatino Linotype" w:hAnsi="Palatino Linotype" w:eastAsia="Times New Roman" w:cs="Times New Roman"/>
          <w:kern w:val="0"/>
          <w14:ligatures w14:val="none"/>
        </w:rPr>
        <w:t>nel upgrades.</w:t>
      </w:r>
      <w:r w:rsidR="00AC5928">
        <w:rPr>
          <w:rStyle w:val="FootnoteReference"/>
          <w:rFonts w:ascii="Palatino Linotype" w:hAnsi="Palatino Linotype" w:eastAsia="Times New Roman" w:cs="Times New Roman"/>
          <w:kern w:val="0"/>
          <w14:ligatures w14:val="none"/>
        </w:rPr>
        <w:footnoteReference w:id="16"/>
      </w:r>
      <w:r w:rsidRPr="00FD6440" w:rsidR="00AC5928">
        <w:rPr>
          <w:rFonts w:ascii="Palatino Linotype" w:hAnsi="Palatino Linotype" w:eastAsia="Times New Roman" w:cs="Times New Roman"/>
          <w:kern w:val="0"/>
          <w14:ligatures w14:val="none"/>
        </w:rPr>
        <w:t xml:space="preserve"> </w:t>
      </w:r>
      <w:r w:rsidRPr="00FD6440" w:rsidR="00D54E30">
        <w:rPr>
          <w:rFonts w:ascii="Palatino Linotype" w:hAnsi="Palatino Linotype" w:eastAsia="Times New Roman" w:cs="Times New Roman"/>
          <w:kern w:val="0"/>
          <w14:ligatures w14:val="none"/>
        </w:rPr>
        <w:t xml:space="preserve">Moreover, </w:t>
      </w:r>
      <w:r w:rsidRPr="00FD6440" w:rsidR="00F530FE">
        <w:rPr>
          <w:rFonts w:ascii="Palatino Linotype" w:hAnsi="Palatino Linotype" w:eastAsia="Times New Roman" w:cs="Times New Roman"/>
          <w:kern w:val="0"/>
          <w14:ligatures w14:val="none"/>
        </w:rPr>
        <w:t xml:space="preserve">SCE acknowledges that automotive original equipment manufacturers (OEMs) </w:t>
      </w:r>
      <w:r w:rsidRPr="00FD6440" w:rsidR="00FF4F16">
        <w:rPr>
          <w:rFonts w:ascii="Palatino Linotype" w:hAnsi="Palatino Linotype" w:eastAsia="Times New Roman" w:cs="Times New Roman"/>
          <w:kern w:val="0"/>
          <w14:ligatures w14:val="none"/>
        </w:rPr>
        <w:t xml:space="preserve">have largely refrained from enabling V2X technology and have instead </w:t>
      </w:r>
      <w:r w:rsidRPr="00FD6440" w:rsidR="008C0E14">
        <w:rPr>
          <w:rFonts w:ascii="Palatino Linotype" w:hAnsi="Palatino Linotype" w:eastAsia="Times New Roman" w:cs="Times New Roman"/>
          <w:kern w:val="0"/>
          <w14:ligatures w14:val="none"/>
        </w:rPr>
        <w:t xml:space="preserve">prioritized home back-up power. </w:t>
      </w:r>
      <w:r w:rsidR="00B72373">
        <w:rPr>
          <w:rFonts w:ascii="Palatino Linotype" w:hAnsi="Palatino Linotype" w:eastAsia="Times New Roman" w:cs="Times New Roman"/>
          <w:kern w:val="0"/>
          <w14:ligatures w14:val="none"/>
        </w:rPr>
        <w:t>SCE proposes</w:t>
      </w:r>
      <w:r w:rsidRPr="003D484E" w:rsidR="38CA3A0F">
        <w:rPr>
          <w:rFonts w:ascii="Palatino Linotype" w:hAnsi="Palatino Linotype" w:eastAsia="Times New Roman" w:cs="Times New Roman"/>
          <w:kern w:val="0"/>
          <w14:ligatures w14:val="none"/>
        </w:rPr>
        <w:t xml:space="preserve"> a target </w:t>
      </w:r>
      <w:r w:rsidRPr="00FD6440" w:rsidR="00FD6440">
        <w:rPr>
          <w:rFonts w:ascii="Palatino Linotype" w:hAnsi="Palatino Linotype" w:eastAsia="Times New Roman" w:cs="Times New Roman"/>
          <w:kern w:val="0"/>
          <w14:ligatures w14:val="none"/>
        </w:rPr>
        <w:t>to enroll</w:t>
      </w:r>
      <w:r w:rsidRPr="003D484E" w:rsidR="003D484E">
        <w:rPr>
          <w:rFonts w:ascii="Palatino Linotype" w:hAnsi="Palatino Linotype" w:eastAsia="Times New Roman" w:cs="Times New Roman"/>
          <w:kern w:val="0"/>
          <w14:ligatures w14:val="none"/>
        </w:rPr>
        <w:t xml:space="preserve"> 8,700 customers</w:t>
      </w:r>
      <w:r w:rsidR="000D09D5">
        <w:rPr>
          <w:rFonts w:ascii="Palatino Linotype" w:hAnsi="Palatino Linotype" w:eastAsia="Times New Roman" w:cs="Times New Roman"/>
          <w:kern w:val="0"/>
          <w14:ligatures w14:val="none"/>
        </w:rPr>
        <w:t xml:space="preserve"> in the bidirectional rebate incentive program</w:t>
      </w:r>
      <w:r w:rsidRPr="003D484E" w:rsidR="003D484E">
        <w:rPr>
          <w:rFonts w:ascii="Palatino Linotype" w:hAnsi="Palatino Linotype" w:eastAsia="Times New Roman" w:cs="Times New Roman"/>
          <w:kern w:val="0"/>
          <w14:ligatures w14:val="none"/>
        </w:rPr>
        <w:t xml:space="preserve">, which would be a subset of the 25,000 </w:t>
      </w:r>
      <w:r w:rsidRPr="003D484E" w:rsidR="6439F2DF">
        <w:rPr>
          <w:rFonts w:ascii="Palatino Linotype" w:hAnsi="Palatino Linotype" w:eastAsia="Times New Roman" w:cs="Times New Roman"/>
          <w:kern w:val="0"/>
          <w14:ligatures w14:val="none"/>
        </w:rPr>
        <w:t xml:space="preserve">customers </w:t>
      </w:r>
      <w:r w:rsidRPr="003D484E" w:rsidR="003D484E">
        <w:rPr>
          <w:rFonts w:ascii="Palatino Linotype" w:hAnsi="Palatino Linotype" w:eastAsia="Times New Roman" w:cs="Times New Roman"/>
          <w:kern w:val="0"/>
          <w14:ligatures w14:val="none"/>
        </w:rPr>
        <w:t>participating in ORCHARD</w:t>
      </w:r>
      <w:r w:rsidRPr="00FD6440" w:rsidR="00FD6440">
        <w:rPr>
          <w:rFonts w:ascii="Palatino Linotype" w:hAnsi="Palatino Linotype" w:eastAsia="Times New Roman" w:cs="Times New Roman"/>
          <w:kern w:val="0"/>
          <w14:ligatures w14:val="none"/>
        </w:rPr>
        <w:t xml:space="preserve">. </w:t>
      </w:r>
    </w:p>
    <w:p w:rsidRPr="008321D9" w:rsidR="00A22B24" w:rsidP="00A76F4A" w:rsidRDefault="00A22B24" w14:paraId="77DC6CD9" w14:textId="77777777">
      <w:pPr>
        <w:spacing w:after="0" w:line="240" w:lineRule="auto"/>
        <w:rPr>
          <w:rFonts w:ascii="Palatino Linotype" w:hAnsi="Palatino Linotype" w:eastAsia="Times New Roman" w:cs="Times New Roman"/>
          <w:kern w:val="0"/>
          <w14:ligatures w14:val="none"/>
        </w:rPr>
      </w:pPr>
    </w:p>
    <w:p w:rsidRPr="008321D9" w:rsidR="00A76F4A" w:rsidP="008321D9" w:rsidRDefault="00A76F4A" w14:paraId="40E2F8ED" w14:textId="70D06B25">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A76F4A" w:rsidRDefault="00A76F4A" w14:paraId="5A4FADB1" w14:textId="2AA8699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Pr="00913A1E" w:rsidR="00913A1E">
        <w:rPr>
          <w:rFonts w:ascii="Palatino Linotype" w:hAnsi="Palatino Linotype" w:eastAsia="Palatino Linotype" w:cs="Times New Roman"/>
          <w:kern w:val="0"/>
          <w14:ligatures w14:val="none"/>
        </w:rPr>
        <w:t>5536</w:t>
      </w:r>
      <w:r w:rsidRPr="00913A1E">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made by publication in the C</w:t>
      </w:r>
      <w:r w:rsidR="00D573AE">
        <w:rPr>
          <w:rFonts w:ascii="Palatino Linotype" w:hAnsi="Palatino Linotype" w:eastAsia="Palatino Linotype" w:cs="Times New Roman"/>
          <w:kern w:val="0"/>
          <w14:ligatures w14:val="none"/>
        </w:rPr>
        <w:t>PUC</w:t>
      </w:r>
      <w:r w:rsidRPr="001942D0">
        <w:rPr>
          <w:rFonts w:ascii="Palatino Linotype" w:hAnsi="Palatino Linotype" w:eastAsia="Palatino Linotype" w:cs="Times New Roman"/>
          <w:kern w:val="0"/>
          <w14:ligatures w14:val="none"/>
        </w:rPr>
        <w:t xml:space="preserve">’s Daily Calendar.  </w:t>
      </w:r>
      <w:r w:rsidR="00407BCE">
        <w:rPr>
          <w:rFonts w:ascii="Palatino Linotype" w:hAnsi="Palatino Linotype" w:eastAsia="Palatino Linotype" w:cs="Times New Roman"/>
          <w:kern w:val="0"/>
          <w14:ligatures w14:val="none"/>
        </w:rPr>
        <w:t>S</w:t>
      </w:r>
      <w:r w:rsidR="008321D9">
        <w:rPr>
          <w:rFonts w:ascii="Palatino Linotype" w:hAnsi="Palatino Linotype" w:eastAsia="Palatino Linotype" w:cs="Times New Roman"/>
          <w:kern w:val="0"/>
          <w14:ligatures w14:val="none"/>
        </w:rPr>
        <w:t>CE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22B24" w:rsidP="00A76F4A" w:rsidRDefault="00A22B24" w14:paraId="273F3229" w14:textId="77777777">
      <w:pPr>
        <w:spacing w:after="0" w:line="240" w:lineRule="auto"/>
        <w:rPr>
          <w:rFonts w:ascii="Palatino Linotype" w:hAnsi="Palatino Linotype" w:eastAsia="Palatino Linotype" w:cs="Times New Roman"/>
          <w:kern w:val="0"/>
          <w14:ligatures w14:val="none"/>
        </w:rPr>
      </w:pPr>
    </w:p>
    <w:p w:rsidRPr="006E683D" w:rsidR="00A76F4A" w:rsidP="006E683D" w:rsidRDefault="00A76F4A" w14:paraId="333671D4" w14:textId="1A84D4DA">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F3396F" w:rsidP="00A76F4A" w:rsidRDefault="00A76F4A" w14:paraId="56687C30" w14:textId="0252CB0D">
      <w:pPr>
        <w:spacing w:after="0" w:line="240" w:lineRule="auto"/>
        <w:rPr>
          <w:rFonts w:ascii="Palatino Linotype" w:hAnsi="Palatino Linotype" w:eastAsia="Palatino Linotype" w:cs="Times New Roman"/>
          <w:kern w:val="0"/>
          <w14:ligatures w14:val="none"/>
        </w:rPr>
      </w:pPr>
      <w:r w:rsidRPr="004B0BB5">
        <w:rPr>
          <w:rFonts w:ascii="Palatino Linotype" w:hAnsi="Palatino Linotype" w:eastAsia="Palatino Linotype" w:cs="Times New Roman"/>
          <w:kern w:val="0"/>
          <w14:ligatures w14:val="none"/>
        </w:rPr>
        <w:t xml:space="preserve">Advice Letter </w:t>
      </w:r>
      <w:r w:rsidRPr="004B0BB5" w:rsidR="00EF4A60">
        <w:rPr>
          <w:rFonts w:ascii="Palatino Linotype" w:hAnsi="Palatino Linotype" w:eastAsia="Palatino Linotype" w:cs="Times New Roman"/>
          <w:kern w:val="0"/>
          <w14:ligatures w14:val="none"/>
        </w:rPr>
        <w:t>5536</w:t>
      </w:r>
      <w:r w:rsidRPr="004B0BB5">
        <w:rPr>
          <w:rFonts w:ascii="Palatino Linotype" w:hAnsi="Palatino Linotype" w:eastAsia="Palatino Linotype" w:cs="Times New Roman"/>
          <w:kern w:val="0"/>
          <w14:ligatures w14:val="none"/>
        </w:rPr>
        <w:t>-E was not protested</w:t>
      </w:r>
      <w:r w:rsidR="00E171D9">
        <w:rPr>
          <w:rFonts w:ascii="Palatino Linotype" w:hAnsi="Palatino Linotype" w:eastAsia="Palatino Linotype" w:cs="Times New Roman"/>
          <w:kern w:val="0"/>
          <w14:ligatures w14:val="none"/>
        </w:rPr>
        <w:t xml:space="preserve"> but did receive supportive responses </w:t>
      </w:r>
      <w:r w:rsidR="00806529">
        <w:rPr>
          <w:rFonts w:ascii="Palatino Linotype" w:hAnsi="Palatino Linotype" w:eastAsia="Palatino Linotype" w:cs="Times New Roman"/>
          <w:kern w:val="0"/>
          <w14:ligatures w14:val="none"/>
        </w:rPr>
        <w:t>from</w:t>
      </w:r>
      <w:r w:rsidR="00A0719C">
        <w:rPr>
          <w:rFonts w:ascii="Palatino Linotype" w:hAnsi="Palatino Linotype" w:eastAsia="Palatino Linotype" w:cs="Times New Roman"/>
          <w:kern w:val="0"/>
          <w14:ligatures w14:val="none"/>
        </w:rPr>
        <w:t xml:space="preserve"> </w:t>
      </w:r>
      <w:r w:rsidR="007A2D30">
        <w:rPr>
          <w:rFonts w:ascii="Palatino Linotype" w:hAnsi="Palatino Linotype" w:eastAsia="Palatino Linotype" w:cs="Times New Roman"/>
          <w:kern w:val="0"/>
          <w14:ligatures w14:val="none"/>
        </w:rPr>
        <w:t xml:space="preserve">Alliance for Transportation Electrification (ATE), ChargeScape, </w:t>
      </w:r>
      <w:r w:rsidR="003110A6">
        <w:rPr>
          <w:rFonts w:ascii="Palatino Linotype" w:hAnsi="Palatino Linotype" w:eastAsia="Palatino Linotype" w:cs="Times New Roman"/>
          <w:kern w:val="0"/>
          <w14:ligatures w14:val="none"/>
        </w:rPr>
        <w:t xml:space="preserve">Fermata Energy, </w:t>
      </w:r>
      <w:r w:rsidR="00B15E0C">
        <w:rPr>
          <w:rFonts w:ascii="Palatino Linotype" w:hAnsi="Palatino Linotype" w:eastAsia="Palatino Linotype" w:cs="Times New Roman"/>
          <w:kern w:val="0"/>
          <w14:ligatures w14:val="none"/>
        </w:rPr>
        <w:t xml:space="preserve">Green Power Institute (GPI), Hyundai, </w:t>
      </w:r>
      <w:r w:rsidR="00E24669">
        <w:rPr>
          <w:rFonts w:ascii="Palatino Linotype" w:hAnsi="Palatino Linotype" w:eastAsia="Palatino Linotype" w:cs="Times New Roman"/>
          <w:kern w:val="0"/>
          <w14:ligatures w14:val="none"/>
        </w:rPr>
        <w:t xml:space="preserve">Itron, </w:t>
      </w:r>
      <w:r w:rsidR="00F7521A">
        <w:rPr>
          <w:rFonts w:ascii="Palatino Linotype" w:hAnsi="Palatino Linotype" w:eastAsia="Palatino Linotype" w:cs="Times New Roman"/>
          <w:kern w:val="0"/>
          <w14:ligatures w14:val="none"/>
        </w:rPr>
        <w:t xml:space="preserve">Vehicle-Grid Integration Council (VGIC), </w:t>
      </w:r>
      <w:r w:rsidR="00B63F0D">
        <w:rPr>
          <w:rFonts w:ascii="Palatino Linotype" w:hAnsi="Palatino Linotype" w:eastAsia="Palatino Linotype" w:cs="Times New Roman"/>
          <w:kern w:val="0"/>
          <w14:ligatures w14:val="none"/>
        </w:rPr>
        <w:t>and WeaveGrid</w:t>
      </w:r>
      <w:r w:rsidR="00C9769D">
        <w:rPr>
          <w:rFonts w:ascii="Palatino Linotype" w:hAnsi="Palatino Linotype" w:eastAsia="Palatino Linotype" w:cs="Times New Roman"/>
          <w:kern w:val="0"/>
          <w14:ligatures w14:val="none"/>
        </w:rPr>
        <w:t xml:space="preserve"> on May 19, 2025.</w:t>
      </w:r>
      <w:r w:rsidR="00D276FA">
        <w:rPr>
          <w:rFonts w:ascii="Palatino Linotype" w:hAnsi="Palatino Linotype" w:eastAsia="Palatino Linotype" w:cs="Times New Roman"/>
          <w:kern w:val="0"/>
          <w14:ligatures w14:val="none"/>
        </w:rPr>
        <w:t xml:space="preserve"> </w:t>
      </w:r>
    </w:p>
    <w:p w:rsidR="00D20BF9" w:rsidP="00A76F4A" w:rsidRDefault="00D20BF9" w14:paraId="70D4B9AA" w14:textId="77777777">
      <w:pPr>
        <w:spacing w:after="0" w:line="240" w:lineRule="auto"/>
        <w:rPr>
          <w:rFonts w:ascii="Palatino Linotype" w:hAnsi="Palatino Linotype" w:eastAsia="Palatino Linotype" w:cs="Times New Roman"/>
          <w:kern w:val="0"/>
          <w14:ligatures w14:val="none"/>
        </w:rPr>
      </w:pPr>
    </w:p>
    <w:p w:rsidRPr="00FA2732" w:rsidR="00E763C1" w:rsidP="00E763C1" w:rsidRDefault="00E763C1" w14:paraId="5B2DBD80" w14:textId="2E5AC3DD">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 xml:space="preserve">Several </w:t>
      </w:r>
      <w:r w:rsidRPr="2128FA49">
        <w:rPr>
          <w:rFonts w:ascii="Palatino Linotype" w:hAnsi="Palatino Linotype" w:eastAsia="Palatino Linotype" w:cs="Times New Roman"/>
        </w:rPr>
        <w:t xml:space="preserve">party comments support ORCHARD for </w:t>
      </w:r>
      <w:r>
        <w:rPr>
          <w:rFonts w:ascii="Palatino Linotype" w:hAnsi="Palatino Linotype" w:eastAsia="Palatino Linotype" w:cs="Times New Roman"/>
        </w:rPr>
        <w:t xml:space="preserve">its attempt to address statewide goals, including Senate Bill (SB) 676 (Bradford, 2019), SB 59 (Skinner, 2024), and SB 846 (Dodd, </w:t>
      </w:r>
      <w:r>
        <w:rPr>
          <w:rFonts w:ascii="Palatino Linotype" w:hAnsi="Palatino Linotype" w:eastAsia="Palatino Linotype" w:cs="Times New Roman"/>
        </w:rPr>
        <w:lastRenderedPageBreak/>
        <w:t>2022)</w:t>
      </w:r>
      <w:r w:rsidR="00AE6C1C">
        <w:rPr>
          <w:rFonts w:ascii="Palatino Linotype" w:hAnsi="Palatino Linotype" w:eastAsia="Palatino Linotype" w:cs="Times New Roman"/>
        </w:rPr>
        <w:t>.</w:t>
      </w:r>
      <w:r w:rsidR="00AE6C1C">
        <w:rPr>
          <w:rStyle w:val="FootnoteReference"/>
          <w:rFonts w:ascii="Palatino Linotype" w:hAnsi="Palatino Linotype" w:eastAsia="Palatino Linotype" w:cs="Times New Roman"/>
          <w:kern w:val="0"/>
          <w14:ligatures w14:val="none"/>
        </w:rPr>
        <w:footnoteReference w:id="17"/>
      </w:r>
      <w:r w:rsidRPr="009C4AE9">
        <w:rPr>
          <w:rFonts w:ascii="Palatino Linotype" w:hAnsi="Palatino Linotype" w:eastAsia="Palatino Linotype" w:cs="Times New Roman"/>
          <w:kern w:val="0"/>
          <w14:ligatures w14:val="none"/>
        </w:rPr>
        <w:t xml:space="preserve"> ChargeScape and WeaveGrid acknowledge that SB 846 established an “urgent need” for VGI initiatives such as ORCHARD.</w:t>
      </w:r>
      <w:r>
        <w:rPr>
          <w:rStyle w:val="FootnoteReference"/>
          <w:rFonts w:ascii="Palatino Linotype" w:hAnsi="Palatino Linotype" w:eastAsia="Palatino Linotype" w:cs="Times New Roman"/>
          <w:kern w:val="0"/>
          <w14:ligatures w14:val="none"/>
        </w:rPr>
        <w:footnoteReference w:id="18"/>
      </w:r>
      <w:r>
        <w:rPr>
          <w:rFonts w:ascii="Palatino Linotype" w:hAnsi="Palatino Linotype" w:eastAsia="Palatino Linotype" w:cs="Times New Roman"/>
          <w:kern w:val="0"/>
          <w14:ligatures w14:val="none"/>
        </w:rPr>
        <w:t xml:space="preserve"> </w:t>
      </w:r>
      <w:r w:rsidRPr="009C4AE9">
        <w:rPr>
          <w:rFonts w:ascii="Palatino Linotype" w:hAnsi="Palatino Linotype" w:eastAsia="Palatino Linotype" w:cs="Times New Roman"/>
          <w:kern w:val="0"/>
          <w14:ligatures w14:val="none"/>
        </w:rPr>
        <w:t xml:space="preserve">WeaveGrid adds that SB 676 and SB 59 demonstrate an interest from the </w:t>
      </w:r>
      <w:r w:rsidR="00194485">
        <w:rPr>
          <w:rFonts w:ascii="Palatino Linotype" w:hAnsi="Palatino Linotype" w:eastAsia="Palatino Linotype" w:cs="Times New Roman"/>
          <w:kern w:val="0"/>
          <w14:ligatures w14:val="none"/>
        </w:rPr>
        <w:t>l</w:t>
      </w:r>
      <w:r w:rsidRPr="009C4AE9">
        <w:rPr>
          <w:rFonts w:ascii="Palatino Linotype" w:hAnsi="Palatino Linotype" w:eastAsia="Palatino Linotype" w:cs="Times New Roman"/>
          <w:kern w:val="0"/>
          <w14:ligatures w14:val="none"/>
        </w:rPr>
        <w:t>egislature to advance VGI, and ORCHARD is taking a “significant step forward” to achieve this aim.</w:t>
      </w:r>
      <w:r>
        <w:rPr>
          <w:rStyle w:val="FootnoteReference"/>
          <w:rFonts w:ascii="Palatino Linotype" w:hAnsi="Palatino Linotype" w:eastAsia="Palatino Linotype" w:cs="Times New Roman"/>
          <w:kern w:val="0"/>
          <w14:ligatures w14:val="none"/>
        </w:rPr>
        <w:footnoteReference w:id="19"/>
      </w:r>
      <w:r w:rsidRPr="009C4AE9">
        <w:rPr>
          <w:rFonts w:ascii="Palatino Linotype" w:hAnsi="Palatino Linotype" w:eastAsia="Palatino Linotype" w:cs="Times New Roman"/>
          <w:kern w:val="0"/>
          <w14:ligatures w14:val="none"/>
        </w:rPr>
        <w:t xml:space="preserve"> </w:t>
      </w:r>
      <w:r w:rsidRPr="00FA2732">
        <w:rPr>
          <w:rFonts w:ascii="Palatino Linotype" w:hAnsi="Palatino Linotype" w:eastAsia="Palatino Linotype" w:cs="Times New Roman"/>
          <w:kern w:val="0"/>
          <w14:ligatures w14:val="none"/>
        </w:rPr>
        <w:t xml:space="preserve">Additionally, ChargeScape and WeaveGrid argue that ORCHARD reflects the three strategic focus areas for VGI, as outlined in D.22-11-040: rates and demand flexibility, technology enablement, and planning. VGIC observes that ORCHARD aligns with the parameters included in CARB’s recent regulatory amendments. Specifically, CARB modified the preapproved list of non-equity holdback projects by adding VGI initiatives, such as managed charging. </w:t>
      </w:r>
    </w:p>
    <w:p w:rsidR="008D71B9" w:rsidP="00E763C1" w:rsidRDefault="008D71B9" w14:paraId="3B3EF8DB" w14:textId="77777777">
      <w:pPr>
        <w:spacing w:after="0" w:line="240" w:lineRule="auto"/>
        <w:rPr>
          <w:rFonts w:ascii="Palatino Linotype" w:hAnsi="Palatino Linotype" w:eastAsia="Palatino Linotype" w:cs="Times New Roman"/>
          <w:kern w:val="0"/>
          <w14:ligatures w14:val="none"/>
        </w:rPr>
      </w:pPr>
    </w:p>
    <w:p w:rsidR="0048475B" w:rsidP="00E763C1" w:rsidRDefault="0048475B" w14:paraId="4B4FC569" w14:textId="152016E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Fermata </w:t>
      </w:r>
      <w:r w:rsidRPr="000100BB">
        <w:rPr>
          <w:rFonts w:ascii="Palatino Linotype" w:hAnsi="Palatino Linotype" w:eastAsia="Palatino Linotype" w:cs="Times New Roman"/>
          <w:kern w:val="0"/>
          <w14:ligatures w14:val="none"/>
        </w:rPr>
        <w:t>Energy recommend</w:t>
      </w:r>
      <w:r>
        <w:rPr>
          <w:rFonts w:ascii="Palatino Linotype" w:hAnsi="Palatino Linotype" w:eastAsia="Palatino Linotype" w:cs="Times New Roman"/>
          <w:kern w:val="0"/>
          <w14:ligatures w14:val="none"/>
        </w:rPr>
        <w:t>s</w:t>
      </w:r>
      <w:r w:rsidRPr="000100B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expanding </w:t>
      </w:r>
      <w:r w:rsidRPr="000100BB">
        <w:rPr>
          <w:rFonts w:ascii="Palatino Linotype" w:hAnsi="Palatino Linotype" w:eastAsia="Palatino Linotype" w:cs="Times New Roman"/>
          <w:kern w:val="0"/>
          <w14:ligatures w14:val="none"/>
        </w:rPr>
        <w:t>program</w:t>
      </w:r>
      <w:r>
        <w:rPr>
          <w:rFonts w:ascii="Palatino Linotype" w:hAnsi="Palatino Linotype" w:eastAsia="Palatino Linotype" w:cs="Times New Roman"/>
          <w:kern w:val="0"/>
          <w14:ligatures w14:val="none"/>
        </w:rPr>
        <w:t xml:space="preserve"> eligibility to </w:t>
      </w:r>
      <w:r w:rsidR="00F76532">
        <w:rPr>
          <w:rFonts w:ascii="Palatino Linotype" w:hAnsi="Palatino Linotype" w:eastAsia="Palatino Linotype" w:cs="Times New Roman"/>
          <w:kern w:val="0"/>
          <w14:ligatures w14:val="none"/>
        </w:rPr>
        <w:t>medium- and heavy-duty (</w:t>
      </w:r>
      <w:r>
        <w:rPr>
          <w:rFonts w:ascii="Palatino Linotype" w:hAnsi="Palatino Linotype" w:eastAsia="Palatino Linotype" w:cs="Times New Roman"/>
          <w:kern w:val="0"/>
          <w14:ligatures w14:val="none"/>
        </w:rPr>
        <w:t>MDHD</w:t>
      </w:r>
      <w:r w:rsidR="00F76532">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r w:rsidRPr="000100BB">
        <w:rPr>
          <w:rFonts w:ascii="Palatino Linotype" w:hAnsi="Palatino Linotype" w:eastAsia="Palatino Linotype" w:cs="Times New Roman"/>
          <w:kern w:val="0"/>
          <w14:ligatures w14:val="none"/>
        </w:rPr>
        <w:t xml:space="preserve">EVs </w:t>
      </w:r>
      <w:r>
        <w:rPr>
          <w:rFonts w:ascii="Palatino Linotype" w:hAnsi="Palatino Linotype" w:eastAsia="Palatino Linotype" w:cs="Times New Roman"/>
          <w:kern w:val="0"/>
          <w14:ligatures w14:val="none"/>
        </w:rPr>
        <w:t>and commercial fleets</w:t>
      </w:r>
      <w:r w:rsidR="0060725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argu</w:t>
      </w:r>
      <w:r w:rsidR="00607256">
        <w:rPr>
          <w:rFonts w:ascii="Palatino Linotype" w:hAnsi="Palatino Linotype" w:eastAsia="Palatino Linotype" w:cs="Times New Roman"/>
          <w:kern w:val="0"/>
          <w14:ligatures w14:val="none"/>
        </w:rPr>
        <w:t>ing</w:t>
      </w:r>
      <w:r>
        <w:rPr>
          <w:rFonts w:ascii="Palatino Linotype" w:hAnsi="Palatino Linotype" w:eastAsia="Palatino Linotype" w:cs="Times New Roman"/>
          <w:kern w:val="0"/>
          <w14:ligatures w14:val="none"/>
        </w:rPr>
        <w:t xml:space="preserve"> that trucks and buses are optimal use cases for their large batteries, predictable schedules, and reliability for being parked during peak demand.</w:t>
      </w:r>
      <w:r>
        <w:rPr>
          <w:rStyle w:val="FootnoteReference"/>
          <w:rFonts w:ascii="Palatino Linotype" w:hAnsi="Palatino Linotype" w:eastAsia="Palatino Linotype" w:cs="Times New Roman"/>
          <w:kern w:val="0"/>
          <w14:ligatures w14:val="none"/>
        </w:rPr>
        <w:footnoteReference w:id="20"/>
      </w:r>
      <w:r>
        <w:rPr>
          <w:rFonts w:ascii="Palatino Linotype" w:hAnsi="Palatino Linotype" w:eastAsia="Palatino Linotype" w:cs="Times New Roman"/>
          <w:kern w:val="0"/>
          <w14:ligatures w14:val="none"/>
        </w:rPr>
        <w:t xml:space="preserve"> </w:t>
      </w:r>
    </w:p>
    <w:p w:rsidR="0048475B" w:rsidP="00E763C1" w:rsidRDefault="0048475B" w14:paraId="56A988C2" w14:textId="77777777">
      <w:pPr>
        <w:spacing w:after="0" w:line="240" w:lineRule="auto"/>
        <w:rPr>
          <w:rFonts w:ascii="Palatino Linotype" w:hAnsi="Palatino Linotype" w:eastAsia="Palatino Linotype" w:cs="Times New Roman"/>
          <w:kern w:val="0"/>
          <w14:ligatures w14:val="none"/>
        </w:rPr>
      </w:pPr>
    </w:p>
    <w:p w:rsidR="00E300FB" w:rsidP="0048475B" w:rsidRDefault="001A0C2F" w14:paraId="60F6BBF5" w14:textId="61946B5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Several party comments include recommendations regarding the </w:t>
      </w:r>
      <w:r w:rsidR="00A9059C">
        <w:rPr>
          <w:rFonts w:ascii="Palatino Linotype" w:hAnsi="Palatino Linotype" w:eastAsia="Palatino Linotype" w:cs="Times New Roman"/>
          <w:kern w:val="0"/>
          <w14:ligatures w14:val="none"/>
        </w:rPr>
        <w:t>bidirectional equipment</w:t>
      </w:r>
      <w:r>
        <w:rPr>
          <w:rFonts w:ascii="Palatino Linotype" w:hAnsi="Palatino Linotype" w:eastAsia="Palatino Linotype" w:cs="Times New Roman"/>
          <w:kern w:val="0"/>
          <w14:ligatures w14:val="none"/>
        </w:rPr>
        <w:t xml:space="preserve"> proposal</w:t>
      </w:r>
      <w:r w:rsidR="00A9059C">
        <w:rPr>
          <w:rFonts w:ascii="Palatino Linotype" w:hAnsi="Palatino Linotype" w:eastAsia="Palatino Linotype" w:cs="Times New Roman"/>
          <w:kern w:val="0"/>
          <w14:ligatures w14:val="none"/>
        </w:rPr>
        <w:t>, which SCE sometimes refers to as its V2X proposal.</w:t>
      </w:r>
    </w:p>
    <w:p w:rsidR="00E300FB" w:rsidP="0048475B" w:rsidRDefault="00E300FB" w14:paraId="647002BB" w14:textId="77777777">
      <w:pPr>
        <w:spacing w:after="0" w:line="240" w:lineRule="auto"/>
        <w:rPr>
          <w:rFonts w:ascii="Palatino Linotype" w:hAnsi="Palatino Linotype" w:eastAsia="Palatino Linotype" w:cs="Times New Roman"/>
          <w:kern w:val="0"/>
          <w14:ligatures w14:val="none"/>
        </w:rPr>
      </w:pPr>
    </w:p>
    <w:p w:rsidR="00E300FB" w:rsidP="0048475B" w:rsidRDefault="0048475B" w14:paraId="29591C59" w14:textId="33F499F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ChargeScape </w:t>
      </w:r>
      <w:r w:rsidR="001A0C2F">
        <w:rPr>
          <w:rFonts w:ascii="Palatino Linotype" w:hAnsi="Palatino Linotype" w:eastAsia="Palatino Linotype" w:cs="Times New Roman"/>
          <w:kern w:val="0"/>
          <w14:ligatures w14:val="none"/>
        </w:rPr>
        <w:t>suggests</w:t>
      </w:r>
      <w:r w:rsidRPr="00616BC9">
        <w:rPr>
          <w:rFonts w:ascii="Palatino Linotype" w:hAnsi="Palatino Linotype" w:eastAsia="Palatino Linotype" w:cs="Times New Roman"/>
          <w:kern w:val="0"/>
          <w14:ligatures w14:val="none"/>
        </w:rPr>
        <w:t xml:space="preserve"> </w:t>
      </w:r>
      <w:r w:rsidR="00607256">
        <w:rPr>
          <w:rFonts w:ascii="Palatino Linotype" w:hAnsi="Palatino Linotype" w:eastAsia="Palatino Linotype" w:cs="Times New Roman"/>
          <w:kern w:val="0"/>
          <w14:ligatures w14:val="none"/>
        </w:rPr>
        <w:t>adding</w:t>
      </w:r>
      <w:r w:rsidRPr="00616BC9">
        <w:rPr>
          <w:rFonts w:ascii="Palatino Linotype" w:hAnsi="Palatino Linotype" w:eastAsia="Palatino Linotype" w:cs="Times New Roman"/>
          <w:kern w:val="0"/>
          <w14:ligatures w14:val="none"/>
        </w:rPr>
        <w:t xml:space="preserve"> an incentive to cover the cost of the “Net Generation Output Meter (NGOM) required to install bidirectional chargers for existing net metering customers with solar PV.”</w:t>
      </w:r>
      <w:r>
        <w:rPr>
          <w:rStyle w:val="FootnoteReference"/>
          <w:rFonts w:ascii="Palatino Linotype" w:hAnsi="Palatino Linotype" w:eastAsia="Palatino Linotype" w:cs="Times New Roman"/>
          <w:kern w:val="0"/>
          <w14:ligatures w14:val="none"/>
        </w:rPr>
        <w:footnoteReference w:id="21"/>
      </w:r>
      <w:r w:rsidRPr="00616BC9">
        <w:rPr>
          <w:rFonts w:ascii="Palatino Linotype" w:hAnsi="Palatino Linotype" w:eastAsia="Palatino Linotype" w:cs="Times New Roman"/>
          <w:kern w:val="0"/>
          <w14:ligatures w14:val="none"/>
        </w:rPr>
        <w:t xml:space="preserve"> Additionally, ChargeScape suggests that SCE should work primarily with automotive OEMs that have demonstrated their EVs are V2X-capable. ChargeScape also recommends proactive engagement “across internal teams to set expectations for V2X aspects of ORCHARD” and work with automotive OEMs to set goals and timelines to facilitate interconnection for V2G exports.</w:t>
      </w:r>
      <w:r>
        <w:rPr>
          <w:rStyle w:val="FootnoteReference"/>
          <w:rFonts w:ascii="Palatino Linotype" w:hAnsi="Palatino Linotype" w:eastAsia="Palatino Linotype" w:cs="Times New Roman"/>
          <w:kern w:val="0"/>
          <w14:ligatures w14:val="none"/>
        </w:rPr>
        <w:footnoteReference w:id="22"/>
      </w:r>
      <w:r w:rsidRPr="00616BC9">
        <w:rPr>
          <w:rFonts w:ascii="Palatino Linotype" w:hAnsi="Palatino Linotype" w:eastAsia="Palatino Linotype" w:cs="Times New Roman"/>
          <w:kern w:val="0"/>
          <w14:ligatures w14:val="none"/>
        </w:rPr>
        <w:t xml:space="preserve"> Finally, </w:t>
      </w:r>
      <w:r w:rsidR="00607256">
        <w:rPr>
          <w:rFonts w:ascii="Palatino Linotype" w:hAnsi="Palatino Linotype" w:eastAsia="Palatino Linotype" w:cs="Times New Roman"/>
          <w:kern w:val="0"/>
          <w14:ligatures w14:val="none"/>
        </w:rPr>
        <w:t xml:space="preserve">ChargeScape </w:t>
      </w:r>
      <w:r w:rsidRPr="00616BC9">
        <w:rPr>
          <w:rFonts w:ascii="Palatino Linotype" w:hAnsi="Palatino Linotype" w:eastAsia="Palatino Linotype" w:cs="Times New Roman"/>
        </w:rPr>
        <w:t>recommends the CPUC</w:t>
      </w:r>
      <w:r w:rsidRPr="00616BC9">
        <w:rPr>
          <w:rFonts w:ascii="Palatino Linotype" w:hAnsi="Palatino Linotype" w:eastAsia="Palatino Linotype" w:cs="Times New Roman"/>
          <w:kern w:val="0"/>
          <w14:ligatures w14:val="none"/>
        </w:rPr>
        <w:t xml:space="preserve"> incentivize the IOUs “to pursue distribution </w:t>
      </w:r>
      <w:r w:rsidRPr="00616BC9">
        <w:rPr>
          <w:rFonts w:ascii="Palatino Linotype" w:hAnsi="Palatino Linotype" w:eastAsia="Palatino Linotype" w:cs="Times New Roman"/>
          <w:kern w:val="0"/>
          <w14:ligatures w14:val="none"/>
        </w:rPr>
        <w:lastRenderedPageBreak/>
        <w:t xml:space="preserve">deferral rather than infrastructure upgrades and deploy localized distribution optimization more broadly” and </w:t>
      </w:r>
      <w:r w:rsidRPr="00616BC9">
        <w:rPr>
          <w:rFonts w:ascii="Palatino Linotype" w:hAnsi="Palatino Linotype" w:eastAsia="Times New Roman" w:cs="Times New Roman"/>
          <w:kern w:val="0"/>
          <w14:ligatures w14:val="none"/>
        </w:rPr>
        <w:t>orchestrated load management</w:t>
      </w:r>
      <w:r w:rsidRPr="00616BC9">
        <w:rPr>
          <w:rFonts w:ascii="Palatino Linotype" w:hAnsi="Palatino Linotype" w:eastAsia="Palatino Linotype" w:cs="Times New Roman"/>
          <w:kern w:val="0"/>
          <w14:ligatures w14:val="none"/>
        </w:rPr>
        <w:t xml:space="preserve"> solutions more specifically.</w:t>
      </w:r>
      <w:r w:rsidRPr="00616BC9">
        <w:rPr>
          <w:rStyle w:val="FootnoteReference"/>
          <w:rFonts w:ascii="Palatino Linotype" w:hAnsi="Palatino Linotype" w:eastAsia="Palatino Linotype" w:cs="Times New Roman"/>
          <w:kern w:val="0"/>
          <w14:ligatures w14:val="none"/>
        </w:rPr>
        <w:t xml:space="preserve"> </w:t>
      </w:r>
      <w:r>
        <w:rPr>
          <w:rStyle w:val="FootnoteReference"/>
          <w:rFonts w:ascii="Palatino Linotype" w:hAnsi="Palatino Linotype" w:eastAsia="Palatino Linotype" w:cs="Times New Roman"/>
          <w:kern w:val="0"/>
          <w14:ligatures w14:val="none"/>
        </w:rPr>
        <w:footnoteReference w:id="23"/>
      </w:r>
      <w:r w:rsidRPr="00616BC9">
        <w:rPr>
          <w:rFonts w:ascii="Palatino Linotype" w:hAnsi="Palatino Linotype" w:eastAsia="Palatino Linotype" w:cs="Times New Roman"/>
          <w:kern w:val="0"/>
          <w14:ligatures w14:val="none"/>
        </w:rPr>
        <w:t xml:space="preserve"> </w:t>
      </w:r>
    </w:p>
    <w:p w:rsidR="00E300FB" w:rsidP="0048475B" w:rsidRDefault="00E300FB" w14:paraId="0C3F8ACC" w14:textId="77777777">
      <w:pPr>
        <w:spacing w:after="0" w:line="240" w:lineRule="auto"/>
        <w:rPr>
          <w:rFonts w:ascii="Palatino Linotype" w:hAnsi="Palatino Linotype" w:eastAsia="Palatino Linotype" w:cs="Times New Roman"/>
          <w:kern w:val="0"/>
          <w14:ligatures w14:val="none"/>
        </w:rPr>
      </w:pPr>
    </w:p>
    <w:p w:rsidR="00026A63" w:rsidP="0048475B" w:rsidRDefault="0048475B" w14:paraId="0D0045A2" w14:textId="05E5A7EC">
      <w:pPr>
        <w:spacing w:after="0" w:line="240" w:lineRule="auto"/>
        <w:rPr>
          <w:rFonts w:ascii="Palatino Linotype" w:hAnsi="Palatino Linotype" w:eastAsia="Palatino Linotype" w:cs="Times New Roman"/>
          <w:kern w:val="0"/>
          <w14:ligatures w14:val="none"/>
        </w:rPr>
      </w:pPr>
      <w:r w:rsidRPr="00EB2437">
        <w:rPr>
          <w:rFonts w:ascii="Palatino Linotype" w:hAnsi="Palatino Linotype" w:eastAsia="Palatino Linotype" w:cs="Times New Roman"/>
          <w:kern w:val="0"/>
          <w14:ligatures w14:val="none"/>
        </w:rPr>
        <w:t xml:space="preserve">Fermata Energy recommends increasing </w:t>
      </w:r>
      <w:r w:rsidRPr="00EB2437">
        <w:rPr>
          <w:rFonts w:ascii="Palatino Linotype" w:hAnsi="Palatino Linotype" w:eastAsia="Palatino Linotype" w:cs="Times New Roman"/>
        </w:rPr>
        <w:t>the</w:t>
      </w:r>
      <w:r w:rsidR="003C4C63">
        <w:rPr>
          <w:rFonts w:ascii="Palatino Linotype" w:hAnsi="Palatino Linotype" w:eastAsia="Palatino Linotype" w:cs="Times New Roman"/>
        </w:rPr>
        <w:t xml:space="preserve"> V2X </w:t>
      </w:r>
      <w:r w:rsidRPr="00EB2437">
        <w:rPr>
          <w:rFonts w:ascii="Palatino Linotype" w:hAnsi="Palatino Linotype" w:eastAsia="Palatino Linotype" w:cs="Times New Roman"/>
          <w:kern w:val="0"/>
          <w14:ligatures w14:val="none"/>
        </w:rPr>
        <w:t>incentive dollar amounts for V2G participants “if no new V2G export compensation rates, programs, or market mechanisms materialize</w:t>
      </w:r>
      <w:r w:rsidRPr="00EB2437">
        <w:rPr>
          <w:rFonts w:ascii="Palatino Linotype" w:hAnsi="Palatino Linotype" w:eastAsia="Palatino Linotype" w:cs="Times New Roman"/>
        </w:rPr>
        <w:t>.</w:t>
      </w:r>
      <w:r w:rsidRPr="00EB2437">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4"/>
      </w:r>
      <w:r w:rsidR="00E1305C">
        <w:rPr>
          <w:rFonts w:ascii="Palatino Linotype" w:hAnsi="Palatino Linotype" w:eastAsia="Palatino Linotype" w:cs="Times New Roman"/>
          <w:kern w:val="0"/>
          <w14:ligatures w14:val="none"/>
        </w:rPr>
        <w:t xml:space="preserve"> </w:t>
      </w:r>
    </w:p>
    <w:p w:rsidR="00026A63" w:rsidP="0048475B" w:rsidRDefault="00026A63" w14:paraId="59BFB01E" w14:textId="77777777">
      <w:pPr>
        <w:spacing w:after="0" w:line="240" w:lineRule="auto"/>
        <w:rPr>
          <w:rFonts w:ascii="Palatino Linotype" w:hAnsi="Palatino Linotype" w:eastAsia="Palatino Linotype" w:cs="Times New Roman"/>
          <w:kern w:val="0"/>
          <w14:ligatures w14:val="none"/>
        </w:rPr>
      </w:pPr>
    </w:p>
    <w:p w:rsidR="0048475B" w:rsidP="0048475B" w:rsidRDefault="0048475B" w14:paraId="1E1BAF4E" w14:textId="06A88A8F">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Vehicle Grid Integration Counsel (</w:t>
      </w:r>
      <w:r>
        <w:rPr>
          <w:rFonts w:ascii="Palatino Linotype" w:hAnsi="Palatino Linotype" w:eastAsia="Palatino Linotype" w:cs="Times New Roman"/>
          <w:kern w:val="0"/>
          <w14:ligatures w14:val="none"/>
        </w:rPr>
        <w:t>VGIC</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recommends i</w:t>
      </w:r>
      <w:r w:rsidRPr="00D125F8">
        <w:rPr>
          <w:rFonts w:ascii="Palatino Linotype" w:hAnsi="Palatino Linotype" w:eastAsia="Palatino Linotype" w:cs="Times New Roman"/>
          <w:kern w:val="0"/>
          <w14:ligatures w14:val="none"/>
        </w:rPr>
        <w:t>mplement</w:t>
      </w:r>
      <w:r>
        <w:rPr>
          <w:rFonts w:ascii="Palatino Linotype" w:hAnsi="Palatino Linotype" w:eastAsia="Palatino Linotype" w:cs="Times New Roman"/>
          <w:kern w:val="0"/>
          <w14:ligatures w14:val="none"/>
        </w:rPr>
        <w:t>ing</w:t>
      </w:r>
      <w:r w:rsidRPr="00D125F8">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Pr="00D125F8">
        <w:rPr>
          <w:rFonts w:ascii="Palatino Linotype" w:hAnsi="Palatino Linotype" w:eastAsia="Palatino Linotype" w:cs="Times New Roman"/>
          <w:kern w:val="0"/>
          <w14:ligatures w14:val="none"/>
        </w:rPr>
        <w:t xml:space="preserve"> compensation mechanism for “grid-parallel EV battery discharge</w:t>
      </w:r>
      <w:r>
        <w:rPr>
          <w:rFonts w:ascii="Palatino Linotype" w:hAnsi="Palatino Linotype" w:eastAsia="Palatino Linotype" w:cs="Times New Roman"/>
          <w:kern w:val="0"/>
          <w14:ligatures w14:val="none"/>
        </w:rPr>
        <w:t>,</w:t>
      </w:r>
      <w:r w:rsidRPr="00D125F8">
        <w:rPr>
          <w:rFonts w:ascii="Palatino Linotype" w:hAnsi="Palatino Linotype" w:eastAsia="Palatino Linotype" w:cs="Times New Roman"/>
          <w:kern w:val="0"/>
          <w14:ligatures w14:val="none"/>
        </w:rPr>
        <w:t>”</w:t>
      </w:r>
      <w:r w:rsidRPr="2128FA49">
        <w:rPr>
          <w:rFonts w:ascii="Palatino Linotype" w:hAnsi="Palatino Linotype" w:eastAsia="Palatino Linotype" w:cs="Times New Roman"/>
        </w:rPr>
        <w:t xml:space="preserve"> noting that the utility “has elected not to offer export compensation to EV customers in its new Expanded Dynamic Rate Pilot.”</w:t>
      </w:r>
      <w:r>
        <w:rPr>
          <w:rStyle w:val="FootnoteReference"/>
          <w:rFonts w:ascii="Palatino Linotype" w:hAnsi="Palatino Linotype" w:eastAsia="Palatino Linotype" w:cs="Times New Roman"/>
          <w:kern w:val="0"/>
          <w14:ligatures w14:val="none"/>
        </w:rPr>
        <w:footnoteReference w:id="25"/>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If SCE does not implement any such export compensation, VGIC advises raising the bidirectional equipment incentive.</w:t>
      </w:r>
      <w:r w:rsidRPr="00D125F8">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Finally, VGIC recommends offering bidirectional charging system incentives to MDHD vehicles </w:t>
      </w:r>
      <w:r w:rsidRPr="005C7AC0">
        <w:rPr>
          <w:rFonts w:ascii="Palatino Linotype" w:hAnsi="Palatino Linotype" w:eastAsia="Palatino Linotype" w:cs="Times New Roman"/>
          <w:kern w:val="0"/>
          <w14:ligatures w14:val="none"/>
        </w:rPr>
        <w:t xml:space="preserve">and commercial fleets, </w:t>
      </w:r>
      <w:r>
        <w:rPr>
          <w:rFonts w:ascii="Palatino Linotype" w:hAnsi="Palatino Linotype" w:eastAsia="Palatino Linotype" w:cs="Times New Roman"/>
          <w:kern w:val="0"/>
          <w14:ligatures w14:val="none"/>
        </w:rPr>
        <w:t xml:space="preserve">noting that while these customers </w:t>
      </w:r>
      <w:r w:rsidRPr="005C7AC0">
        <w:rPr>
          <w:rFonts w:ascii="Palatino Linotype" w:hAnsi="Palatino Linotype" w:eastAsia="Palatino Linotype" w:cs="Times New Roman"/>
          <w:kern w:val="0"/>
          <w14:ligatures w14:val="none"/>
        </w:rPr>
        <w:t xml:space="preserve">may </w:t>
      </w:r>
      <w:r>
        <w:rPr>
          <w:rFonts w:ascii="Palatino Linotype" w:hAnsi="Palatino Linotype" w:eastAsia="Palatino Linotype" w:cs="Times New Roman"/>
          <w:kern w:val="0"/>
          <w14:ligatures w14:val="none"/>
        </w:rPr>
        <w:t xml:space="preserve">have unique transportation characteristics, they </w:t>
      </w:r>
      <w:r w:rsidRPr="005C7AC0">
        <w:rPr>
          <w:rFonts w:ascii="Palatino Linotype" w:hAnsi="Palatino Linotype" w:eastAsia="Palatino Linotype" w:cs="Times New Roman"/>
          <w:kern w:val="0"/>
          <w14:ligatures w14:val="none"/>
        </w:rPr>
        <w:t xml:space="preserve">may </w:t>
      </w:r>
      <w:r>
        <w:rPr>
          <w:rFonts w:ascii="Palatino Linotype" w:hAnsi="Palatino Linotype" w:eastAsia="Palatino Linotype" w:cs="Times New Roman"/>
          <w:kern w:val="0"/>
          <w14:ligatures w14:val="none"/>
        </w:rPr>
        <w:t>be interested in the potential</w:t>
      </w:r>
      <w:r w:rsidRPr="005C7AC0">
        <w:rPr>
          <w:rFonts w:ascii="Palatino Linotype" w:hAnsi="Palatino Linotype" w:eastAsia="Palatino Linotype" w:cs="Times New Roman"/>
          <w:kern w:val="0"/>
          <w14:ligatures w14:val="none"/>
        </w:rPr>
        <w:t xml:space="preserve"> pathways to reducing the cost of owning an EV</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6"/>
      </w:r>
      <w:r w:rsidRPr="005C7AC0">
        <w:rPr>
          <w:rFonts w:ascii="Palatino Linotype" w:hAnsi="Palatino Linotype" w:eastAsia="Palatino Linotype" w:cs="Times New Roman"/>
          <w:kern w:val="0"/>
          <w14:ligatures w14:val="none"/>
        </w:rPr>
        <w:t xml:space="preserve"> </w:t>
      </w:r>
    </w:p>
    <w:p w:rsidR="0048475B" w:rsidP="00E763C1" w:rsidRDefault="0048475B" w14:paraId="7F78F5A8" w14:textId="77777777">
      <w:pPr>
        <w:spacing w:after="0" w:line="240" w:lineRule="auto"/>
        <w:rPr>
          <w:rFonts w:ascii="Palatino Linotype" w:hAnsi="Palatino Linotype" w:eastAsia="Palatino Linotype" w:cs="Times New Roman"/>
          <w:kern w:val="0"/>
          <w14:ligatures w14:val="none"/>
        </w:rPr>
      </w:pPr>
    </w:p>
    <w:p w:rsidRPr="000119A9" w:rsidR="008B7D99" w:rsidP="00E763C1" w:rsidRDefault="00D71C44" w14:paraId="1C291967" w14:textId="002720D6">
      <w:pPr>
        <w:spacing w:after="0" w:line="240" w:lineRule="auto"/>
        <w:rPr>
          <w:rFonts w:ascii="Palatino Linotype" w:hAnsi="Palatino Linotype" w:eastAsia="Palatino Linotype" w:cs="Times New Roman"/>
        </w:rPr>
      </w:pPr>
      <w:r w:rsidRPr="2128FA49">
        <w:rPr>
          <w:rFonts w:ascii="Palatino Linotype" w:hAnsi="Palatino Linotype" w:eastAsia="Palatino Linotype" w:cs="Times New Roman"/>
        </w:rPr>
        <w:t>Several party comments support ORCHARD for its potential to unlock customer savings. ATE notes that as a software, ORCHARD may demonstrate exponential savings with each additional customer.</w:t>
      </w:r>
      <w:r>
        <w:rPr>
          <w:rStyle w:val="FootnoteReference"/>
          <w:rFonts w:ascii="Palatino Linotype" w:hAnsi="Palatino Linotype" w:eastAsia="Palatino Linotype" w:cs="Times New Roman"/>
          <w:kern w:val="0"/>
          <w14:ligatures w14:val="none"/>
        </w:rPr>
        <w:footnoteReference w:id="27"/>
      </w:r>
      <w:r w:rsidRPr="2128FA49">
        <w:rPr>
          <w:rFonts w:ascii="Palatino Linotype" w:hAnsi="Palatino Linotype" w:eastAsia="Palatino Linotype" w:cs="Times New Roman"/>
        </w:rPr>
        <w:t xml:space="preserve"> </w:t>
      </w:r>
      <w:r>
        <w:rPr>
          <w:rFonts w:ascii="Palatino Linotype" w:hAnsi="Palatino Linotype" w:eastAsia="Palatino Linotype" w:cs="Times New Roman"/>
          <w:kern w:val="0"/>
          <w14:ligatures w14:val="none"/>
        </w:rPr>
        <w:t>Fermata</w:t>
      </w:r>
      <w:r w:rsidRPr="2128FA49">
        <w:rPr>
          <w:rFonts w:ascii="Palatino Linotype" w:hAnsi="Palatino Linotype" w:eastAsia="Palatino Linotype" w:cs="Times New Roman"/>
        </w:rPr>
        <w:t xml:space="preserve"> </w:t>
      </w:r>
      <w:r>
        <w:rPr>
          <w:rFonts w:ascii="Palatino Linotype" w:hAnsi="Palatino Linotype" w:eastAsia="Palatino Linotype" w:cs="Times New Roman"/>
        </w:rPr>
        <w:t xml:space="preserve">Energy </w:t>
      </w:r>
      <w:r w:rsidRPr="2128FA49">
        <w:rPr>
          <w:rFonts w:ascii="Palatino Linotype" w:hAnsi="Palatino Linotype" w:eastAsia="Palatino Linotype" w:cs="Times New Roman"/>
        </w:rPr>
        <w:t>also</w:t>
      </w:r>
      <w:r>
        <w:rPr>
          <w:rFonts w:ascii="Palatino Linotype" w:hAnsi="Palatino Linotype" w:eastAsia="Palatino Linotype" w:cs="Times New Roman"/>
          <w:kern w:val="0"/>
          <w14:ligatures w14:val="none"/>
        </w:rPr>
        <w:t xml:space="preserve"> supports</w:t>
      </w:r>
      <w:r w:rsidRPr="2128FA49">
        <w:rPr>
          <w:rFonts w:ascii="Palatino Linotype" w:hAnsi="Palatino Linotype" w:eastAsia="Palatino Linotype" w:cs="Times New Roman"/>
        </w:rPr>
        <w:t xml:space="preserve"> the use of</w:t>
      </w:r>
      <w:r>
        <w:rPr>
          <w:rFonts w:ascii="Palatino Linotype" w:hAnsi="Palatino Linotype" w:eastAsia="Palatino Linotype" w:cs="Times New Roman"/>
          <w:kern w:val="0"/>
          <w14:ligatures w14:val="none"/>
        </w:rPr>
        <w:t xml:space="preserve"> orchestrated load management as a “powerful and cost-effective tool” to “defer distribution system upgrades and limit ratepayer impacts.”</w:t>
      </w:r>
      <w:r>
        <w:rPr>
          <w:rStyle w:val="FootnoteReference"/>
          <w:rFonts w:ascii="Palatino Linotype" w:hAnsi="Palatino Linotype" w:eastAsia="Palatino Linotype" w:cs="Times New Roman"/>
          <w:kern w:val="0"/>
          <w14:ligatures w14:val="none"/>
        </w:rPr>
        <w:footnoteReference w:id="28"/>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Green Power Institute (</w:t>
      </w:r>
      <w:r>
        <w:rPr>
          <w:rFonts w:ascii="Palatino Linotype" w:hAnsi="Palatino Linotype" w:eastAsia="Palatino Linotype" w:cs="Times New Roman"/>
          <w:kern w:val="0"/>
          <w14:ligatures w14:val="none"/>
        </w:rPr>
        <w:t>GPI</w:t>
      </w:r>
      <w:r w:rsidRPr="2128FA49">
        <w:rPr>
          <w:rFonts w:ascii="Palatino Linotype" w:hAnsi="Palatino Linotype" w:eastAsia="Palatino Linotype" w:cs="Times New Roman"/>
        </w:rPr>
        <w:t xml:space="preserve">) also commends the proposal, </w:t>
      </w:r>
      <w:r>
        <w:rPr>
          <w:rFonts w:ascii="Palatino Linotype" w:hAnsi="Palatino Linotype" w:eastAsia="Palatino Linotype" w:cs="Times New Roman"/>
          <w:kern w:val="0"/>
          <w14:ligatures w14:val="none"/>
        </w:rPr>
        <w:t>recommending establishing cost-effectiveness targets using the Total Resource Cost (TRC) test</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Specifically, GPI posits that if</w:t>
      </w:r>
      <w:r>
        <w:rPr>
          <w:rFonts w:ascii="Palatino Linotype" w:hAnsi="Palatino Linotype" w:eastAsia="Palatino Linotype" w:cs="Times New Roman"/>
          <w:kern w:val="0"/>
          <w14:ligatures w14:val="none"/>
        </w:rPr>
        <w:t xml:space="preserve"> after a full year of operation</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 xml:space="preserve"> the program achieves a TRC value exceeding 1.5, “SCE should be required to submit a plan to substantially increase program participation</w:t>
      </w:r>
      <w:r w:rsidRPr="2128FA49">
        <w:rPr>
          <w:rFonts w:ascii="Palatino Linotype" w:hAnsi="Palatino Linotype" w:eastAsia="Palatino Linotype" w:cs="Times New Roman"/>
        </w:rPr>
        <w:t>.</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29"/>
      </w:r>
      <w:r w:rsidR="008B7D99">
        <w:rPr>
          <w:rFonts w:ascii="Palatino Linotype" w:hAnsi="Palatino Linotype" w:eastAsia="Palatino Linotype" w:cs="Times New Roman"/>
          <w:kern w:val="0"/>
          <w14:ligatures w14:val="none"/>
        </w:rPr>
        <w:t xml:space="preserve"> GPI also recommends exploring other non-LCFS funding opportunities to guarantee the means to scale the program beyond 25,000 participants</w:t>
      </w:r>
      <w:r w:rsidRPr="2128FA49" w:rsidR="008B7D99">
        <w:rPr>
          <w:rFonts w:ascii="Palatino Linotype" w:hAnsi="Palatino Linotype" w:eastAsia="Palatino Linotype" w:cs="Times New Roman"/>
        </w:rPr>
        <w:t>.</w:t>
      </w:r>
      <w:r w:rsidR="008B7D99">
        <w:rPr>
          <w:rStyle w:val="FootnoteReference"/>
          <w:rFonts w:ascii="Palatino Linotype" w:hAnsi="Palatino Linotype" w:eastAsia="Palatino Linotype" w:cs="Times New Roman"/>
          <w:kern w:val="0"/>
          <w14:ligatures w14:val="none"/>
        </w:rPr>
        <w:footnoteReference w:id="30"/>
      </w:r>
      <w:r w:rsidR="008B7D99">
        <w:rPr>
          <w:rFonts w:ascii="Palatino Linotype" w:hAnsi="Palatino Linotype" w:eastAsia="Palatino Linotype" w:cs="Times New Roman"/>
        </w:rPr>
        <w:t xml:space="preserve"> </w:t>
      </w:r>
      <w:r w:rsidRPr="2128FA49" w:rsidR="008B7D99">
        <w:rPr>
          <w:rFonts w:ascii="Palatino Linotype" w:hAnsi="Palatino Linotype" w:eastAsia="Palatino Linotype" w:cs="Times New Roman"/>
        </w:rPr>
        <w:t>While</w:t>
      </w:r>
      <w:r w:rsidRPr="00181C31" w:rsidR="008B7D99">
        <w:rPr>
          <w:rFonts w:ascii="Palatino Linotype" w:hAnsi="Palatino Linotype" w:eastAsia="Palatino Linotype" w:cs="Times New Roman"/>
          <w:kern w:val="0"/>
          <w14:ligatures w14:val="none"/>
        </w:rPr>
        <w:t xml:space="preserve"> </w:t>
      </w:r>
      <w:r w:rsidRPr="2128FA49" w:rsidR="008B7D99">
        <w:rPr>
          <w:rFonts w:ascii="Palatino Linotype" w:hAnsi="Palatino Linotype" w:eastAsia="Palatino Linotype" w:cs="Times New Roman"/>
        </w:rPr>
        <w:t>ATE and VGIC support the 25,000-customer enrollment target, GPI asserts that this target is “too conservative in scale and scope relative to the maturity of some of the proposed technology.”</w:t>
      </w:r>
      <w:r w:rsidR="008B7D99">
        <w:rPr>
          <w:rStyle w:val="FootnoteReference"/>
          <w:rFonts w:ascii="Palatino Linotype" w:hAnsi="Palatino Linotype" w:eastAsia="Palatino Linotype" w:cs="Times New Roman"/>
          <w:kern w:val="0"/>
          <w14:ligatures w14:val="none"/>
        </w:rPr>
        <w:footnoteReference w:id="31"/>
      </w:r>
      <w:r w:rsidR="008B7D99">
        <w:rPr>
          <w:rFonts w:ascii="Palatino Linotype" w:hAnsi="Palatino Linotype" w:eastAsia="Palatino Linotype" w:cs="Times New Roman"/>
          <w:kern w:val="0"/>
          <w14:ligatures w14:val="none"/>
        </w:rPr>
        <w:t xml:space="preserve"> GPI </w:t>
      </w:r>
      <w:r w:rsidRPr="2128FA49" w:rsidR="008B7D99">
        <w:rPr>
          <w:rFonts w:ascii="Palatino Linotype" w:hAnsi="Palatino Linotype" w:eastAsia="Palatino Linotype" w:cs="Times New Roman"/>
        </w:rPr>
        <w:t xml:space="preserve">goes </w:t>
      </w:r>
      <w:r w:rsidRPr="2128FA49" w:rsidR="008B7D99">
        <w:rPr>
          <w:rFonts w:ascii="Palatino Linotype" w:hAnsi="Palatino Linotype" w:eastAsia="Palatino Linotype" w:cs="Times New Roman"/>
        </w:rPr>
        <w:lastRenderedPageBreak/>
        <w:t xml:space="preserve">on to </w:t>
      </w:r>
      <w:r w:rsidR="008B7D99">
        <w:rPr>
          <w:rFonts w:ascii="Palatino Linotype" w:hAnsi="Palatino Linotype" w:eastAsia="Palatino Linotype" w:cs="Times New Roman"/>
          <w:kern w:val="0"/>
          <w14:ligatures w14:val="none"/>
        </w:rPr>
        <w:t xml:space="preserve">recommend the CPUC require SCE to provide a roadmap that demonstrates program expansion to reach 100,000 </w:t>
      </w:r>
      <w:r w:rsidRPr="2128FA49" w:rsidR="008B7D99">
        <w:rPr>
          <w:rFonts w:ascii="Palatino Linotype" w:hAnsi="Palatino Linotype" w:eastAsia="Palatino Linotype" w:cs="Times New Roman"/>
        </w:rPr>
        <w:t xml:space="preserve">ORCHARD </w:t>
      </w:r>
      <w:r w:rsidR="008B7D99">
        <w:rPr>
          <w:rFonts w:ascii="Palatino Linotype" w:hAnsi="Palatino Linotype" w:eastAsia="Palatino Linotype" w:cs="Times New Roman"/>
          <w:kern w:val="0"/>
          <w14:ligatures w14:val="none"/>
        </w:rPr>
        <w:t>participants by 2030.</w:t>
      </w:r>
      <w:r w:rsidR="00C34A29">
        <w:rPr>
          <w:rFonts w:ascii="Palatino Linotype" w:hAnsi="Palatino Linotype" w:eastAsia="Palatino Linotype" w:cs="Times New Roman"/>
          <w:kern w:val="0"/>
          <w14:ligatures w14:val="none"/>
        </w:rPr>
        <w:t xml:space="preserve"> </w:t>
      </w:r>
    </w:p>
    <w:p w:rsidR="00C34A29" w:rsidP="00E763C1" w:rsidRDefault="00C34A29" w14:paraId="5FEADDA0" w14:textId="77777777">
      <w:pPr>
        <w:spacing w:after="0" w:line="240" w:lineRule="auto"/>
        <w:rPr>
          <w:rFonts w:ascii="Palatino Linotype" w:hAnsi="Palatino Linotype" w:eastAsia="Palatino Linotype" w:cs="Times New Roman"/>
          <w:kern w:val="0"/>
          <w14:ligatures w14:val="none"/>
        </w:rPr>
      </w:pPr>
    </w:p>
    <w:p w:rsidR="00964C53" w:rsidP="00E763C1" w:rsidRDefault="00964C53" w14:paraId="1F4971CF" w14:textId="2C5AEE0A">
      <w:pPr>
        <w:spacing w:after="0" w:line="240" w:lineRule="auto"/>
        <w:rPr>
          <w:rFonts w:ascii="Palatino Linotype" w:hAnsi="Palatino Linotype" w:eastAsia="Palatino Linotype" w:cs="Times New Roman"/>
          <w:kern w:val="0"/>
          <w14:ligatures w14:val="none"/>
        </w:rPr>
      </w:pPr>
      <w:r w:rsidRPr="000100BB">
        <w:rPr>
          <w:rFonts w:ascii="Palatino Linotype" w:hAnsi="Palatino Linotype" w:eastAsia="Palatino Linotype" w:cs="Times New Roman"/>
          <w:kern w:val="0"/>
          <w14:ligatures w14:val="none"/>
        </w:rPr>
        <w:t>WeaveGrid applauds SCE’s effort to integrate ORCHARD into its broader DERMS strategy</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2"/>
      </w:r>
      <w:r w:rsidRPr="000100BB">
        <w:rPr>
          <w:rFonts w:ascii="Palatino Linotype" w:hAnsi="Palatino Linotype" w:eastAsia="Palatino Linotype" w:cs="Times New Roman"/>
          <w:kern w:val="0"/>
          <w14:ligatures w14:val="none"/>
        </w:rPr>
        <w:t xml:space="preserve"> ChargeScape recommends SCE consider more cost-effective alternatives to </w:t>
      </w:r>
      <w:r>
        <w:rPr>
          <w:rFonts w:ascii="Palatino Linotype" w:hAnsi="Palatino Linotype" w:eastAsia="Palatino Linotype" w:cs="Times New Roman"/>
          <w:kern w:val="0"/>
          <w14:ligatures w14:val="none"/>
        </w:rPr>
        <w:t xml:space="preserve">support ORCHARD in </w:t>
      </w:r>
      <w:r w:rsidRPr="000100BB">
        <w:rPr>
          <w:rFonts w:ascii="Palatino Linotype" w:hAnsi="Palatino Linotype" w:eastAsia="Palatino Linotype" w:cs="Times New Roman"/>
          <w:kern w:val="0"/>
          <w14:ligatures w14:val="none"/>
        </w:rPr>
        <w:t>optimiz</w:t>
      </w:r>
      <w:r>
        <w:rPr>
          <w:rFonts w:ascii="Palatino Linotype" w:hAnsi="Palatino Linotype" w:eastAsia="Palatino Linotype" w:cs="Times New Roman"/>
          <w:kern w:val="0"/>
          <w14:ligatures w14:val="none"/>
        </w:rPr>
        <w:t>ing</w:t>
      </w:r>
      <w:r w:rsidRPr="000100BB">
        <w:rPr>
          <w:rFonts w:ascii="Palatino Linotype" w:hAnsi="Palatino Linotype" w:eastAsia="Palatino Linotype" w:cs="Times New Roman"/>
          <w:kern w:val="0"/>
          <w14:ligatures w14:val="none"/>
        </w:rPr>
        <w:t xml:space="preserve"> the distribution network, like the embedded functionality in the IOU’s Itron AMI meters.</w:t>
      </w:r>
      <w:r>
        <w:rPr>
          <w:rStyle w:val="FootnoteReference"/>
          <w:rFonts w:ascii="Palatino Linotype" w:hAnsi="Palatino Linotype" w:eastAsia="Palatino Linotype" w:cs="Times New Roman"/>
          <w:kern w:val="0"/>
          <w14:ligatures w14:val="none"/>
        </w:rPr>
        <w:footnoteReference w:id="33"/>
      </w:r>
      <w:r>
        <w:rPr>
          <w:rFonts w:ascii="Palatino Linotype" w:hAnsi="Palatino Linotype" w:eastAsia="Palatino Linotype" w:cs="Times New Roman"/>
          <w:kern w:val="0"/>
          <w14:ligatures w14:val="none"/>
        </w:rPr>
        <w:t xml:space="preserve"> </w:t>
      </w:r>
    </w:p>
    <w:p w:rsidR="00C92F5F" w:rsidP="00E763C1" w:rsidRDefault="00C92F5F" w14:paraId="08EC2DD6" w14:textId="77777777">
      <w:pPr>
        <w:spacing w:after="0" w:line="240" w:lineRule="auto"/>
        <w:rPr>
          <w:rFonts w:ascii="Palatino Linotype" w:hAnsi="Palatino Linotype" w:eastAsia="Palatino Linotype" w:cs="Times New Roman"/>
          <w:kern w:val="0"/>
          <w14:ligatures w14:val="none"/>
        </w:rPr>
      </w:pPr>
    </w:p>
    <w:p w:rsidR="00C92F5F" w:rsidP="00C92F5F" w:rsidRDefault="00C92F5F" w14:paraId="74EAC772" w14:textId="57642BC9">
      <w:pPr>
        <w:spacing w:after="0" w:line="240" w:lineRule="auto"/>
        <w:rPr>
          <w:rFonts w:ascii="Palatino Linotype" w:hAnsi="Palatino Linotype" w:eastAsia="Palatino Linotype" w:cs="Times New Roman"/>
          <w:kern w:val="0"/>
          <w14:ligatures w14:val="none"/>
        </w:rPr>
      </w:pPr>
      <w:r w:rsidRPr="000100BB">
        <w:rPr>
          <w:rFonts w:ascii="Palatino Linotype" w:hAnsi="Palatino Linotype" w:eastAsia="Palatino Linotype" w:cs="Times New Roman"/>
          <w:kern w:val="0"/>
          <w14:ligatures w14:val="none"/>
        </w:rPr>
        <w:t>Several parties commented on the benefits of establishing direct partnerships</w:t>
      </w:r>
      <w:r>
        <w:rPr>
          <w:rFonts w:ascii="Palatino Linotype" w:hAnsi="Palatino Linotype" w:eastAsia="Palatino Linotype" w:cs="Times New Roman"/>
          <w:kern w:val="0"/>
          <w14:ligatures w14:val="none"/>
        </w:rPr>
        <w:t xml:space="preserve"> between SCE and the other firms participating in the program implementation</w:t>
      </w:r>
      <w:r w:rsidRPr="000100BB">
        <w:rPr>
          <w:rFonts w:ascii="Palatino Linotype" w:hAnsi="Palatino Linotype" w:eastAsia="Palatino Linotype" w:cs="Times New Roman"/>
          <w:kern w:val="0"/>
          <w14:ligatures w14:val="none"/>
        </w:rPr>
        <w:t xml:space="preserve">. </w:t>
      </w:r>
      <w:r w:rsidRPr="005C7AC0">
        <w:rPr>
          <w:rFonts w:ascii="Palatino Linotype" w:hAnsi="Palatino Linotype" w:eastAsia="Palatino Linotype" w:cs="Times New Roman"/>
          <w:kern w:val="0"/>
          <w14:ligatures w14:val="none"/>
        </w:rPr>
        <w:t xml:space="preserve">ChargeScape recommends </w:t>
      </w:r>
      <w:r>
        <w:rPr>
          <w:rFonts w:ascii="Palatino Linotype" w:hAnsi="Palatino Linotype" w:eastAsia="Palatino Linotype" w:cs="Times New Roman"/>
          <w:kern w:val="0"/>
          <w14:ligatures w14:val="none"/>
        </w:rPr>
        <w:t xml:space="preserve">SCE to engage in </w:t>
      </w:r>
      <w:r w:rsidRPr="005C7AC0">
        <w:rPr>
          <w:rFonts w:ascii="Palatino Linotype" w:hAnsi="Palatino Linotype" w:eastAsia="Palatino Linotype" w:cs="Times New Roman"/>
          <w:kern w:val="0"/>
          <w14:ligatures w14:val="none"/>
        </w:rPr>
        <w:t xml:space="preserve">direct partnerships </w:t>
      </w:r>
      <w:r>
        <w:rPr>
          <w:rFonts w:ascii="Palatino Linotype" w:hAnsi="Palatino Linotype" w:eastAsia="Palatino Linotype" w:cs="Times New Roman"/>
          <w:kern w:val="0"/>
          <w14:ligatures w14:val="none"/>
        </w:rPr>
        <w:t>with automotive OEMs to promote ORCHARD at the point of purchase at the dealership, within the automotive OEMs’ apps, or other channels.</w:t>
      </w:r>
      <w:r>
        <w:rPr>
          <w:rStyle w:val="FootnoteReference"/>
          <w:rFonts w:ascii="Palatino Linotype" w:hAnsi="Palatino Linotype" w:eastAsia="Palatino Linotype" w:cs="Times New Roman"/>
          <w:kern w:val="0"/>
          <w14:ligatures w14:val="none"/>
        </w:rPr>
        <w:footnoteReference w:id="34"/>
      </w:r>
      <w:r>
        <w:rPr>
          <w:rFonts w:ascii="Palatino Linotype" w:hAnsi="Palatino Linotype" w:eastAsia="Palatino Linotype" w:cs="Times New Roman"/>
          <w:kern w:val="0"/>
          <w14:ligatures w14:val="none"/>
        </w:rPr>
        <w:t xml:space="preserve"> Fermata Energy also recommends collaborating with industry partners, including aggregators, </w:t>
      </w:r>
      <w:r w:rsidR="008C5183">
        <w:rPr>
          <w:rFonts w:ascii="Palatino Linotype" w:hAnsi="Palatino Linotype" w:eastAsia="Palatino Linotype" w:cs="Times New Roman"/>
          <w:kern w:val="0"/>
          <w14:ligatures w14:val="none"/>
        </w:rPr>
        <w:t>electric vehicle service providers (</w:t>
      </w:r>
      <w:r>
        <w:rPr>
          <w:rFonts w:ascii="Palatino Linotype" w:hAnsi="Palatino Linotype" w:eastAsia="Palatino Linotype" w:cs="Times New Roman"/>
          <w:kern w:val="0"/>
          <w14:ligatures w14:val="none"/>
        </w:rPr>
        <w:t>EVSPs</w:t>
      </w:r>
      <w:r w:rsidR="008C5183">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automotive OEMs, Community-Based Organizations (CBOs), and other relevant stakeholders, to conduct effective ME&amp;O.</w:t>
      </w:r>
      <w:r>
        <w:rPr>
          <w:rStyle w:val="FootnoteReference"/>
          <w:rFonts w:ascii="Palatino Linotype" w:hAnsi="Palatino Linotype" w:eastAsia="Palatino Linotype" w:cs="Times New Roman"/>
          <w:kern w:val="0"/>
          <w14:ligatures w14:val="none"/>
        </w:rPr>
        <w:footnoteReference w:id="35"/>
      </w:r>
      <w:r>
        <w:rPr>
          <w:rFonts w:ascii="Palatino Linotype" w:hAnsi="Palatino Linotype" w:eastAsia="Palatino Linotype" w:cs="Times New Roman"/>
          <w:kern w:val="0"/>
          <w14:ligatures w14:val="none"/>
        </w:rPr>
        <w:t xml:space="preserve"> Furthermore, Fermata Energy argues that contracting with multiple aggregators and charging service providers may “enhance program reliability, minimize interoperability risks, and ensure broad market participation” as well as “encourage greater diversity in compatible EV models and charging hardware,” which would ultimately ensure the program’s scalability and effectiveness.</w:t>
      </w:r>
      <w:r>
        <w:rPr>
          <w:rStyle w:val="FootnoteReference"/>
          <w:rFonts w:ascii="Palatino Linotype" w:hAnsi="Palatino Linotype" w:eastAsia="Palatino Linotype" w:cs="Times New Roman"/>
          <w:kern w:val="0"/>
          <w14:ligatures w14:val="none"/>
        </w:rPr>
        <w:footnoteReference w:id="36"/>
      </w:r>
      <w:r>
        <w:rPr>
          <w:rFonts w:ascii="Palatino Linotype" w:hAnsi="Palatino Linotype" w:eastAsia="Palatino Linotype" w:cs="Times New Roman"/>
          <w:kern w:val="0"/>
          <w14:ligatures w14:val="none"/>
        </w:rPr>
        <w:t xml:space="preserve"> VGIC proposes partnerships with more than one aggregator and software provider due to interoperability concerns mentioned in AL 5536-E.</w:t>
      </w:r>
      <w:r>
        <w:rPr>
          <w:rStyle w:val="FootnoteReference"/>
          <w:rFonts w:ascii="Palatino Linotype" w:hAnsi="Palatino Linotype" w:eastAsia="Palatino Linotype" w:cs="Times New Roman"/>
          <w:kern w:val="0"/>
          <w14:ligatures w14:val="none"/>
        </w:rPr>
        <w:footnoteReference w:id="37"/>
      </w:r>
      <w:r>
        <w:rPr>
          <w:rFonts w:ascii="Palatino Linotype" w:hAnsi="Palatino Linotype" w:eastAsia="Palatino Linotype" w:cs="Times New Roman"/>
          <w:kern w:val="0"/>
          <w14:ligatures w14:val="none"/>
        </w:rPr>
        <w:t xml:space="preserve"> </w:t>
      </w:r>
    </w:p>
    <w:p w:rsidR="00C92F5F" w:rsidP="00C92F5F" w:rsidRDefault="00C92F5F" w14:paraId="6DF2603D" w14:textId="77777777">
      <w:pPr>
        <w:spacing w:after="0" w:line="240" w:lineRule="auto"/>
        <w:rPr>
          <w:rFonts w:ascii="Palatino Linotype" w:hAnsi="Palatino Linotype" w:eastAsia="Palatino Linotype" w:cs="Times New Roman"/>
          <w:kern w:val="0"/>
          <w14:ligatures w14:val="none"/>
        </w:rPr>
      </w:pPr>
    </w:p>
    <w:p w:rsidR="009E07E2" w:rsidP="00E763C1" w:rsidRDefault="003A28EE" w14:paraId="09950592" w14:textId="13CFB97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ChargeScape states</w:t>
      </w:r>
      <w:r w:rsidRPr="000100BB">
        <w:rPr>
          <w:rFonts w:ascii="Palatino Linotype" w:hAnsi="Palatino Linotype" w:eastAsia="Palatino Linotype" w:cs="Times New Roman"/>
          <w:kern w:val="0"/>
          <w14:ligatures w14:val="none"/>
        </w:rPr>
        <w:t xml:space="preserve"> that </w:t>
      </w:r>
      <w:r>
        <w:rPr>
          <w:rFonts w:ascii="Palatino Linotype" w:hAnsi="Palatino Linotype" w:eastAsia="Palatino Linotype" w:cs="Times New Roman"/>
          <w:kern w:val="0"/>
          <w14:ligatures w14:val="none"/>
        </w:rPr>
        <w:t xml:space="preserve">evaluating </w:t>
      </w:r>
      <w:r w:rsidRPr="000100BB">
        <w:rPr>
          <w:rFonts w:ascii="Palatino Linotype" w:hAnsi="Palatino Linotype" w:eastAsia="Palatino Linotype" w:cs="Times New Roman"/>
          <w:kern w:val="0"/>
          <w14:ligatures w14:val="none"/>
        </w:rPr>
        <w:t xml:space="preserve">the </w:t>
      </w:r>
      <w:r>
        <w:rPr>
          <w:rFonts w:ascii="Palatino Linotype" w:hAnsi="Palatino Linotype" w:eastAsia="Palatino Linotype" w:cs="Times New Roman"/>
          <w:kern w:val="0"/>
          <w14:ligatures w14:val="none"/>
        </w:rPr>
        <w:t xml:space="preserve">program </w:t>
      </w:r>
      <w:r w:rsidRPr="000100BB">
        <w:rPr>
          <w:rFonts w:ascii="Palatino Linotype" w:hAnsi="Palatino Linotype" w:eastAsia="Palatino Linotype" w:cs="Times New Roman"/>
          <w:kern w:val="0"/>
          <w14:ligatures w14:val="none"/>
        </w:rPr>
        <w:t xml:space="preserve">with </w:t>
      </w:r>
      <w:r>
        <w:rPr>
          <w:rFonts w:ascii="Palatino Linotype" w:hAnsi="Palatino Linotype" w:eastAsia="Palatino Linotype" w:cs="Times New Roman"/>
          <w:kern w:val="0"/>
          <w14:ligatures w14:val="none"/>
        </w:rPr>
        <w:t xml:space="preserve">baseline and counterfactual data from the automotive OEMs </w:t>
      </w:r>
      <w:r w:rsidRPr="000100BB">
        <w:rPr>
          <w:rFonts w:ascii="Palatino Linotype" w:hAnsi="Palatino Linotype" w:eastAsia="Palatino Linotype" w:cs="Times New Roman"/>
          <w:kern w:val="0"/>
          <w14:ligatures w14:val="none"/>
        </w:rPr>
        <w:t>could guarantee a rigorous assessment</w:t>
      </w:r>
      <w:r w:rsidRPr="007607CC">
        <w:rPr>
          <w:rFonts w:ascii="Palatino Linotype" w:hAnsi="Palatino Linotype" w:eastAsia="Palatino Linotype" w:cs="Times New Roman"/>
          <w:kern w:val="0"/>
          <w14:ligatures w14:val="none"/>
        </w:rPr>
        <w:t xml:space="preserve"> of </w:t>
      </w:r>
      <w:r w:rsidRPr="000100BB">
        <w:rPr>
          <w:rFonts w:ascii="Palatino Linotype" w:hAnsi="Palatino Linotype" w:eastAsia="Palatino Linotype" w:cs="Times New Roman"/>
          <w:kern w:val="0"/>
          <w14:ligatures w14:val="none"/>
        </w:rPr>
        <w:t xml:space="preserve">the program’s efficacy, especially as it may </w:t>
      </w:r>
      <w:r w:rsidRPr="007607CC">
        <w:rPr>
          <w:rFonts w:ascii="Palatino Linotype" w:hAnsi="Palatino Linotype" w:eastAsia="Palatino Linotype" w:cs="Times New Roman"/>
          <w:kern w:val="0"/>
          <w14:ligatures w14:val="none"/>
        </w:rPr>
        <w:t>inform long-term planning</w:t>
      </w:r>
      <w:r w:rsidRPr="000100BB">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8"/>
      </w:r>
      <w:r w:rsidRPr="000100BB">
        <w:rPr>
          <w:rFonts w:ascii="Palatino Linotype" w:hAnsi="Palatino Linotype" w:eastAsia="Palatino Linotype" w:cs="Times New Roman"/>
          <w:kern w:val="0"/>
          <w14:ligatures w14:val="none"/>
        </w:rPr>
        <w:t xml:space="preserve"> </w:t>
      </w:r>
      <w:r w:rsidR="00B535C8">
        <w:rPr>
          <w:rFonts w:ascii="Palatino Linotype" w:hAnsi="Palatino Linotype" w:eastAsia="Palatino Linotype" w:cs="Times New Roman"/>
          <w:kern w:val="0"/>
          <w14:ligatures w14:val="none"/>
        </w:rPr>
        <w:t>They specifically state that</w:t>
      </w:r>
      <w:r>
        <w:rPr>
          <w:rFonts w:ascii="Palatino Linotype" w:hAnsi="Palatino Linotype" w:eastAsia="Palatino Linotype" w:cs="Times New Roman"/>
          <w:kern w:val="0"/>
          <w14:ligatures w14:val="none"/>
        </w:rPr>
        <w:t xml:space="preserve"> SCE can use data from customers who are not enrolled in ORCHARD as the representative control group and pre-enrollment data from customers enrolled in ORCHARD as the baseline. ChargeScape offers that its</w:t>
      </w:r>
      <w:r w:rsidRPr="007607CC">
        <w:rPr>
          <w:rFonts w:ascii="Palatino Linotype" w:hAnsi="Palatino Linotype" w:eastAsia="Palatino Linotype" w:cs="Times New Roman"/>
          <w:kern w:val="0"/>
          <w14:ligatures w14:val="none"/>
        </w:rPr>
        <w:t xml:space="preserve"> OEM partners can </w:t>
      </w:r>
      <w:r>
        <w:rPr>
          <w:rFonts w:ascii="Palatino Linotype" w:hAnsi="Palatino Linotype" w:eastAsia="Palatino Linotype" w:cs="Times New Roman"/>
          <w:kern w:val="0"/>
          <w14:ligatures w14:val="none"/>
        </w:rPr>
        <w:t>supply “</w:t>
      </w:r>
      <w:r w:rsidRPr="007607CC">
        <w:rPr>
          <w:rFonts w:ascii="Palatino Linotype" w:hAnsi="Palatino Linotype" w:eastAsia="Palatino Linotype" w:cs="Times New Roman"/>
          <w:kern w:val="0"/>
          <w14:ligatures w14:val="none"/>
        </w:rPr>
        <w:t xml:space="preserve">aggregated and anonymized demographic data sets to enable robust program evaluation of timer-peak mitigation, including data about consumer charging locations (i.e. home vs. away), level of charging (level 1, level 2 or DC fast), time of day, day of </w:t>
      </w:r>
      <w:r w:rsidRPr="007607CC">
        <w:rPr>
          <w:rFonts w:ascii="Palatino Linotype" w:hAnsi="Palatino Linotype" w:eastAsia="Palatino Linotype" w:cs="Times New Roman"/>
          <w:kern w:val="0"/>
          <w14:ligatures w14:val="none"/>
        </w:rPr>
        <w:lastRenderedPageBreak/>
        <w:t>week, seasonality and vehicle type (plug-in hybrid or full battery EV</w:t>
      </w:r>
      <w:r w:rsidRPr="00A7530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39"/>
      </w:r>
      <w:r w:rsidR="009E07E2">
        <w:rPr>
          <w:rFonts w:ascii="Palatino Linotype" w:hAnsi="Palatino Linotype" w:eastAsia="Palatino Linotype" w:cs="Times New Roman"/>
          <w:kern w:val="0"/>
          <w14:ligatures w14:val="none"/>
        </w:rPr>
        <w:t xml:space="preserve"> ChargeScape also recommends SCE to consider an approach that provides visibility into all EVs (not just ORCHARD enrollees) through smart meters and data from OEMs to more precisely estimate EV load flexibility and target high-priority customers in a more cost-effective manner.</w:t>
      </w:r>
    </w:p>
    <w:p w:rsidRPr="00E763C1" w:rsidR="00DE2FC4" w:rsidP="00E763C1" w:rsidRDefault="00DE2FC4" w14:paraId="26C5F586" w14:textId="77777777">
      <w:pPr>
        <w:spacing w:after="0" w:line="240" w:lineRule="auto"/>
        <w:rPr>
          <w:rFonts w:ascii="Palatino Linotype" w:hAnsi="Palatino Linotype" w:eastAsia="Palatino Linotype" w:cs="Times New Roman"/>
          <w:kern w:val="0"/>
          <w14:ligatures w14:val="none"/>
        </w:rPr>
      </w:pPr>
    </w:p>
    <w:p w:rsidRPr="001942D0" w:rsidR="00A76F4A" w:rsidP="5D16835D" w:rsidRDefault="00A76F4A" w14:paraId="52F8DB71"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D16835D">
        <w:rPr>
          <w:rFonts w:ascii="Palatino Linotype" w:hAnsi="Palatino Linotype" w:eastAsia="Palatino Linotype" w:cs="Times New Roman"/>
          <w:b/>
          <w:bCs/>
          <w:caps/>
          <w:kern w:val="28"/>
          <w:u w:val="single"/>
          <w14:ligatures w14:val="none"/>
        </w:rPr>
        <w:t>Discussion</w:t>
      </w:r>
    </w:p>
    <w:p w:rsidR="005E1EF8" w:rsidP="00035EBF" w:rsidRDefault="00BA7644" w14:paraId="0D7730FA" w14:textId="3B4F9D5B">
      <w:pPr>
        <w:spacing w:after="0" w:line="240" w:lineRule="auto"/>
        <w:rPr>
          <w:rFonts w:ascii="Palatino Linotype" w:hAnsi="Palatino Linotype" w:eastAsia="Palatino Linotype" w:cs="Times New Roman"/>
          <w:kern w:val="0"/>
          <w14:ligatures w14:val="none"/>
        </w:rPr>
      </w:pPr>
      <w:r w:rsidRPr="00BA7644">
        <w:rPr>
          <w:rFonts w:ascii="Palatino Linotype" w:hAnsi="Palatino Linotype" w:eastAsia="Palatino Linotype" w:cs="Times New Roman"/>
          <w:kern w:val="0"/>
          <w14:ligatures w14:val="none"/>
        </w:rPr>
        <w:t xml:space="preserve">This section of the Resolution identifies how the CPUC will dispose of the issues associated with the authorization of SCE’s LCFS Implementation Plan. We will dispose of these issues based on consistency with CARB’s LCFS regulation and compliance with </w:t>
      </w:r>
      <w:r w:rsidR="00314720">
        <w:rPr>
          <w:rFonts w:ascii="Palatino Linotype" w:hAnsi="Palatino Linotype" w:eastAsia="Palatino Linotype" w:cs="Times New Roman"/>
          <w:kern w:val="0"/>
          <w14:ligatures w14:val="none"/>
        </w:rPr>
        <w:t>D.20-12-027</w:t>
      </w:r>
      <w:r w:rsidRPr="00BA7644">
        <w:rPr>
          <w:rFonts w:ascii="Palatino Linotype" w:hAnsi="Palatino Linotype" w:eastAsia="Palatino Linotype" w:cs="Times New Roman"/>
          <w:kern w:val="0"/>
          <w14:ligatures w14:val="none"/>
        </w:rPr>
        <w:t xml:space="preserve">. </w:t>
      </w:r>
    </w:p>
    <w:p w:rsidR="005E1EF8" w:rsidP="00035EBF" w:rsidRDefault="005E1EF8" w14:paraId="098DC5B1" w14:textId="77777777">
      <w:pPr>
        <w:spacing w:after="0" w:line="240" w:lineRule="auto"/>
        <w:rPr>
          <w:rFonts w:ascii="Palatino Linotype" w:hAnsi="Palatino Linotype" w:eastAsia="Palatino Linotype" w:cs="Times New Roman"/>
          <w:kern w:val="0"/>
          <w14:ligatures w14:val="none"/>
        </w:rPr>
      </w:pPr>
    </w:p>
    <w:p w:rsidR="00D54876" w:rsidP="00035EBF" w:rsidRDefault="00827A05" w14:paraId="6CF4E0EE" w14:textId="56C654D9">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SCE’s AL 5536</w:t>
      </w:r>
      <w:r w:rsidR="000810AA">
        <w:rPr>
          <w:rFonts w:ascii="Palatino Linotype" w:hAnsi="Palatino Linotype" w:eastAsia="Palatino Linotype" w:cs="Times New Roman"/>
          <w:kern w:val="0"/>
          <w14:ligatures w14:val="none"/>
        </w:rPr>
        <w:t xml:space="preserve">-E </w:t>
      </w:r>
      <w:r w:rsidRPr="00BA7644" w:rsidR="00BA7644">
        <w:rPr>
          <w:rFonts w:ascii="Palatino Linotype" w:hAnsi="Palatino Linotype" w:eastAsia="Palatino Linotype" w:cs="Times New Roman"/>
          <w:kern w:val="0"/>
          <w14:ligatures w14:val="none"/>
        </w:rPr>
        <w:t xml:space="preserve">is approved with modifications, as discussed in this section. We note here that while we have performed due diligence, this Resolution does not constitute CARB’s approval of SCE’s LCFS Holdback programs. </w:t>
      </w:r>
      <w:r w:rsidRPr="00D54876" w:rsidR="00D54876">
        <w:rPr>
          <w:rFonts w:ascii="Palatino Linotype" w:hAnsi="Palatino Linotype" w:eastAsia="Palatino Linotype" w:cs="Times New Roman"/>
          <w:kern w:val="0"/>
          <w14:ligatures w14:val="none"/>
        </w:rPr>
        <w:t xml:space="preserve"> </w:t>
      </w:r>
      <w:r w:rsidR="00984B2B">
        <w:rPr>
          <w:rFonts w:ascii="Palatino Linotype" w:hAnsi="Palatino Linotype" w:eastAsia="Palatino Linotype" w:cs="Times New Roman"/>
          <w:kern w:val="0"/>
          <w14:ligatures w14:val="none"/>
        </w:rPr>
        <w:t xml:space="preserve"> </w:t>
      </w:r>
    </w:p>
    <w:p w:rsidR="00A13F84" w:rsidP="00A13F84" w:rsidRDefault="00A13F84" w14:paraId="4BFBAE35" w14:textId="77777777">
      <w:pPr>
        <w:spacing w:after="0" w:line="240" w:lineRule="auto"/>
        <w:rPr>
          <w:rFonts w:ascii="Palatino Linotype" w:hAnsi="Palatino Linotype" w:eastAsia="Palatino Linotype" w:cs="Times New Roman"/>
          <w:kern w:val="0"/>
          <w14:ligatures w14:val="none"/>
        </w:rPr>
      </w:pPr>
    </w:p>
    <w:p w:rsidRPr="005A35A2" w:rsidR="005A35A2" w:rsidP="00E6107E" w:rsidRDefault="005A35A2" w14:paraId="4CC31A61" w14:textId="7F3CD075">
      <w:pPr>
        <w:pStyle w:val="Heading3"/>
        <w:numPr>
          <w:ilvl w:val="0"/>
          <w:numId w:val="21"/>
        </w:numPr>
        <w:spacing w:before="0" w:after="120" w:line="240" w:lineRule="auto"/>
        <w:rPr>
          <w:rFonts w:ascii="Palatino Linotype" w:hAnsi="Palatino Linotype" w:eastAsia="Palatino Linotype"/>
          <w:sz w:val="24"/>
          <w:szCs w:val="24"/>
        </w:rPr>
      </w:pPr>
      <w:r w:rsidRPr="005A35A2">
        <w:rPr>
          <w:rFonts w:ascii="Palatino Linotype" w:hAnsi="Palatino Linotype" w:eastAsia="Palatino Linotype"/>
          <w:sz w:val="24"/>
          <w:szCs w:val="24"/>
        </w:rPr>
        <w:t>O</w:t>
      </w:r>
      <w:r w:rsidR="006559A3">
        <w:rPr>
          <w:rFonts w:ascii="Palatino Linotype" w:hAnsi="Palatino Linotype" w:eastAsia="Palatino Linotype"/>
          <w:sz w:val="24"/>
          <w:szCs w:val="24"/>
        </w:rPr>
        <w:t xml:space="preserve">rchestrated </w:t>
      </w:r>
      <w:r w:rsidR="00896A15">
        <w:rPr>
          <w:rFonts w:ascii="Palatino Linotype" w:hAnsi="Palatino Linotype" w:eastAsia="Palatino Linotype"/>
          <w:sz w:val="24"/>
          <w:szCs w:val="24"/>
        </w:rPr>
        <w:t xml:space="preserve">Charging and Advanced Resiliency for Distribution (ORCHARD) </w:t>
      </w:r>
      <w:r w:rsidR="002407F6">
        <w:rPr>
          <w:rFonts w:ascii="Palatino Linotype" w:hAnsi="Palatino Linotype" w:eastAsia="Palatino Linotype"/>
          <w:sz w:val="24"/>
          <w:szCs w:val="24"/>
        </w:rPr>
        <w:t xml:space="preserve">Program </w:t>
      </w:r>
      <w:r w:rsidR="00C56288">
        <w:rPr>
          <w:rFonts w:ascii="Palatino Linotype" w:hAnsi="Palatino Linotype" w:eastAsia="Palatino Linotype"/>
          <w:sz w:val="24"/>
          <w:szCs w:val="24"/>
        </w:rPr>
        <w:t xml:space="preserve"> </w:t>
      </w:r>
    </w:p>
    <w:p w:rsidRPr="00BF7024" w:rsidR="008B0A28" w:rsidP="00CF4F01" w:rsidRDefault="002407F6" w14:paraId="5E0D5CC1" w14:textId="0B75FB6D">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SCE proposes </w:t>
      </w:r>
      <w:r w:rsidRPr="2128FA49" w:rsidR="00125D38">
        <w:rPr>
          <w:rFonts w:ascii="Palatino Linotype" w:hAnsi="Palatino Linotype" w:eastAsia="Palatino Linotype" w:cs="Times New Roman"/>
        </w:rPr>
        <w:t xml:space="preserve">implementing an </w:t>
      </w:r>
      <w:r w:rsidR="00A47A85">
        <w:rPr>
          <w:rFonts w:ascii="Palatino Linotype" w:hAnsi="Palatino Linotype" w:eastAsia="Times New Roman" w:cs="Times New Roman"/>
          <w:kern w:val="0"/>
          <w14:ligatures w14:val="none"/>
        </w:rPr>
        <w:t>orchestrated load management</w:t>
      </w:r>
      <w:r w:rsidRPr="2128FA49" w:rsidR="00A47A85">
        <w:rPr>
          <w:rFonts w:ascii="Palatino Linotype" w:hAnsi="Palatino Linotype" w:eastAsia="Palatino Linotype" w:cs="Times New Roman"/>
        </w:rPr>
        <w:t xml:space="preserve"> </w:t>
      </w:r>
      <w:r w:rsidRPr="2128FA49" w:rsidR="00125D38">
        <w:rPr>
          <w:rFonts w:ascii="Palatino Linotype" w:hAnsi="Palatino Linotype" w:eastAsia="Palatino Linotype" w:cs="Times New Roman"/>
        </w:rPr>
        <w:t xml:space="preserve">program </w:t>
      </w:r>
      <w:r w:rsidRPr="2128FA49" w:rsidR="00E67391">
        <w:rPr>
          <w:rFonts w:ascii="Palatino Linotype" w:hAnsi="Palatino Linotype" w:eastAsia="Palatino Linotype" w:cs="Times New Roman"/>
        </w:rPr>
        <w:t xml:space="preserve">that would </w:t>
      </w:r>
      <w:r w:rsidRPr="2128FA49" w:rsidR="003D172C">
        <w:rPr>
          <w:rFonts w:ascii="Palatino Linotype" w:hAnsi="Palatino Linotype" w:eastAsia="Palatino Linotype" w:cs="Times New Roman"/>
        </w:rPr>
        <w:t xml:space="preserve">grant the IOU direct control of customer EV charging schedules </w:t>
      </w:r>
      <w:r w:rsidRPr="2128FA49" w:rsidR="00464E2F">
        <w:rPr>
          <w:rFonts w:ascii="Palatino Linotype" w:hAnsi="Palatino Linotype" w:eastAsia="Palatino Linotype" w:cs="Times New Roman"/>
        </w:rPr>
        <w:t xml:space="preserve">to mitigate </w:t>
      </w:r>
      <w:r w:rsidRPr="2128FA49" w:rsidR="00464E2F">
        <w:rPr>
          <w:rFonts w:ascii="Palatino Linotype" w:hAnsi="Palatino Linotype" w:eastAsia="Times New Roman" w:cs="Times New Roman"/>
        </w:rPr>
        <w:t>secondary local grid constraints</w:t>
      </w:r>
      <w:r w:rsidRPr="2128FA49" w:rsidR="005456EC">
        <w:rPr>
          <w:rFonts w:ascii="Palatino Linotype" w:hAnsi="Palatino Linotype" w:eastAsia="Times New Roman" w:cs="Times New Roman"/>
        </w:rPr>
        <w:t xml:space="preserve"> resulting from </w:t>
      </w:r>
      <w:r w:rsidRPr="2128FA49" w:rsidR="004F41B5">
        <w:rPr>
          <w:rFonts w:ascii="Palatino Linotype" w:hAnsi="Palatino Linotype" w:eastAsia="Times New Roman" w:cs="Times New Roman"/>
        </w:rPr>
        <w:t>TOU rate</w:t>
      </w:r>
      <w:r w:rsidRPr="2128FA49" w:rsidR="00A22088">
        <w:rPr>
          <w:rFonts w:ascii="Palatino Linotype" w:hAnsi="Palatino Linotype" w:eastAsia="Times New Roman" w:cs="Times New Roman"/>
        </w:rPr>
        <w:t>-induced</w:t>
      </w:r>
      <w:r w:rsidRPr="2128FA49" w:rsidR="004F41B5">
        <w:rPr>
          <w:rFonts w:ascii="Palatino Linotype" w:hAnsi="Palatino Linotype" w:eastAsia="Times New Roman" w:cs="Times New Roman"/>
        </w:rPr>
        <w:t xml:space="preserve"> demand peaks. </w:t>
      </w:r>
      <w:r w:rsidRPr="2128FA49" w:rsidR="00BE20A2">
        <w:rPr>
          <w:rFonts w:ascii="Palatino Linotype" w:hAnsi="Palatino Linotype" w:eastAsia="Palatino Linotype" w:cs="Times New Roman"/>
        </w:rPr>
        <w:t>Implementing ORCHARD would</w:t>
      </w:r>
      <w:r w:rsidRPr="2128FA49" w:rsidR="002A5511">
        <w:rPr>
          <w:rFonts w:ascii="Palatino Linotype" w:hAnsi="Palatino Linotype" w:eastAsia="Palatino Linotype" w:cs="Times New Roman"/>
        </w:rPr>
        <w:t xml:space="preserve"> include the </w:t>
      </w:r>
      <w:r w:rsidRPr="2128FA49" w:rsidR="00BE20A2">
        <w:rPr>
          <w:rFonts w:ascii="Palatino Linotype" w:hAnsi="Palatino Linotype" w:eastAsia="Palatino Linotype" w:cs="Times New Roman"/>
        </w:rPr>
        <w:t>deployment</w:t>
      </w:r>
      <w:r w:rsidRPr="2128FA49" w:rsidR="002A5511">
        <w:rPr>
          <w:rFonts w:ascii="Palatino Linotype" w:hAnsi="Palatino Linotype" w:eastAsia="Palatino Linotype" w:cs="Times New Roman"/>
        </w:rPr>
        <w:t xml:space="preserve"> of a software layer in the IOU’s DERMS</w:t>
      </w:r>
      <w:r w:rsidRPr="2128FA49" w:rsidR="00667417">
        <w:rPr>
          <w:rFonts w:ascii="Palatino Linotype" w:hAnsi="Palatino Linotype" w:eastAsia="Palatino Linotype" w:cs="Times New Roman"/>
        </w:rPr>
        <w:t xml:space="preserve"> as well as coordination with </w:t>
      </w:r>
      <w:r w:rsidRPr="2128FA49" w:rsidR="003D0965">
        <w:rPr>
          <w:rFonts w:ascii="Palatino Linotype" w:hAnsi="Palatino Linotype" w:eastAsia="Palatino Linotype" w:cs="Times New Roman"/>
        </w:rPr>
        <w:t xml:space="preserve">a </w:t>
      </w:r>
      <w:r w:rsidRPr="2128FA49" w:rsidR="00667417">
        <w:rPr>
          <w:rFonts w:ascii="Palatino Linotype" w:hAnsi="Palatino Linotype" w:eastAsia="Palatino Linotype" w:cs="Times New Roman"/>
        </w:rPr>
        <w:t>third-party aggregator</w:t>
      </w:r>
      <w:r w:rsidRPr="2128FA49" w:rsidR="00A01958">
        <w:rPr>
          <w:rFonts w:ascii="Palatino Linotype" w:hAnsi="Palatino Linotype" w:eastAsia="Palatino Linotype" w:cs="Times New Roman"/>
        </w:rPr>
        <w:t xml:space="preserve"> (or potentially multiple aggregators)</w:t>
      </w:r>
      <w:r w:rsidRPr="2128FA49" w:rsidR="00667417">
        <w:rPr>
          <w:rFonts w:ascii="Palatino Linotype" w:hAnsi="Palatino Linotype" w:eastAsia="Palatino Linotype" w:cs="Times New Roman"/>
        </w:rPr>
        <w:t xml:space="preserve"> </w:t>
      </w:r>
      <w:r w:rsidRPr="2128FA49" w:rsidR="009D7056">
        <w:rPr>
          <w:rFonts w:ascii="Palatino Linotype" w:hAnsi="Palatino Linotype" w:eastAsia="Palatino Linotype" w:cs="Times New Roman"/>
        </w:rPr>
        <w:t xml:space="preserve">to emit and receive </w:t>
      </w:r>
      <w:r w:rsidRPr="2128FA49" w:rsidR="009121DC">
        <w:rPr>
          <w:rFonts w:ascii="Palatino Linotype" w:hAnsi="Palatino Linotype" w:eastAsia="Palatino Linotype" w:cs="Times New Roman"/>
        </w:rPr>
        <w:t xml:space="preserve">charging </w:t>
      </w:r>
      <w:r w:rsidRPr="2128FA49" w:rsidR="009D7056">
        <w:rPr>
          <w:rFonts w:ascii="Palatino Linotype" w:hAnsi="Palatino Linotype" w:eastAsia="Palatino Linotype" w:cs="Times New Roman"/>
        </w:rPr>
        <w:t>signals to and from the EVs and/or EVSE</w:t>
      </w:r>
      <w:r w:rsidRPr="2128FA49" w:rsidR="002A5511">
        <w:rPr>
          <w:rFonts w:ascii="Palatino Linotype" w:hAnsi="Palatino Linotype" w:eastAsia="Palatino Linotype" w:cs="Times New Roman"/>
        </w:rPr>
        <w:t xml:space="preserve">. </w:t>
      </w:r>
      <w:r w:rsidRPr="2128FA49" w:rsidR="0046342F">
        <w:rPr>
          <w:rFonts w:ascii="Palatino Linotype" w:hAnsi="Palatino Linotype" w:eastAsia="Palatino Linotype" w:cs="Times New Roman"/>
        </w:rPr>
        <w:t xml:space="preserve">SCE proposes a </w:t>
      </w:r>
      <w:r w:rsidRPr="2128FA49" w:rsidR="00E12402">
        <w:rPr>
          <w:rFonts w:ascii="Palatino Linotype" w:hAnsi="Palatino Linotype" w:eastAsia="Palatino Linotype" w:cs="Times New Roman"/>
        </w:rPr>
        <w:t xml:space="preserve">total </w:t>
      </w:r>
      <w:r w:rsidRPr="2128FA49" w:rsidR="0046342F">
        <w:rPr>
          <w:rFonts w:ascii="Palatino Linotype" w:hAnsi="Palatino Linotype" w:eastAsia="Palatino Linotype" w:cs="Times New Roman"/>
        </w:rPr>
        <w:t>budget of $</w:t>
      </w:r>
      <w:r w:rsidRPr="2128FA49" w:rsidR="00E12402">
        <w:rPr>
          <w:rFonts w:ascii="Palatino Linotype" w:hAnsi="Palatino Linotype" w:eastAsia="Palatino Linotype" w:cs="Times New Roman"/>
        </w:rPr>
        <w:t xml:space="preserve">22,928,224 </w:t>
      </w:r>
      <w:r w:rsidRPr="2128FA49" w:rsidR="0046342F">
        <w:rPr>
          <w:rFonts w:ascii="Palatino Linotype" w:hAnsi="Palatino Linotype" w:eastAsia="Palatino Linotype" w:cs="Times New Roman"/>
        </w:rPr>
        <w:t>over four y</w:t>
      </w:r>
      <w:r w:rsidRPr="2128FA49" w:rsidR="00516157">
        <w:rPr>
          <w:rFonts w:ascii="Palatino Linotype" w:hAnsi="Palatino Linotype" w:eastAsia="Palatino Linotype" w:cs="Times New Roman"/>
        </w:rPr>
        <w:t>ears</w:t>
      </w:r>
      <w:r w:rsidR="00977769">
        <w:rPr>
          <w:rFonts w:ascii="Palatino Linotype" w:hAnsi="Palatino Linotype" w:eastAsia="Palatino Linotype" w:cs="Times New Roman"/>
          <w:kern w:val="0"/>
          <w14:ligatures w14:val="none"/>
        </w:rPr>
        <w:t xml:space="preserve">. </w:t>
      </w:r>
      <w:r w:rsidRPr="2128FA49" w:rsidR="00977769">
        <w:rPr>
          <w:rFonts w:ascii="Palatino Linotype" w:hAnsi="Palatino Linotype" w:eastAsia="Palatino Linotype" w:cs="Times New Roman"/>
        </w:rPr>
        <w:t>The budget would cover</w:t>
      </w:r>
      <w:r w:rsidRPr="2128FA49" w:rsidR="00516157">
        <w:rPr>
          <w:rFonts w:ascii="Palatino Linotype" w:hAnsi="Palatino Linotype" w:eastAsia="Palatino Linotype" w:cs="Times New Roman"/>
        </w:rPr>
        <w:t xml:space="preserve"> the</w:t>
      </w:r>
      <w:r w:rsidRPr="2128FA49" w:rsidR="00977769">
        <w:rPr>
          <w:rFonts w:ascii="Palatino Linotype" w:hAnsi="Palatino Linotype" w:eastAsia="Palatino Linotype" w:cs="Times New Roman"/>
        </w:rPr>
        <w:t xml:space="preserve"> costs associated with the </w:t>
      </w:r>
      <w:r w:rsidRPr="2128FA49" w:rsidR="00427853">
        <w:rPr>
          <w:rFonts w:ascii="Palatino Linotype" w:hAnsi="Palatino Linotype" w:eastAsia="Palatino Linotype" w:cs="Times New Roman"/>
        </w:rPr>
        <w:t xml:space="preserve">hardware and software </w:t>
      </w:r>
      <w:r w:rsidRPr="2128FA49" w:rsidR="008E6433">
        <w:rPr>
          <w:rFonts w:ascii="Palatino Linotype" w:hAnsi="Palatino Linotype" w:eastAsia="Palatino Linotype" w:cs="Times New Roman"/>
        </w:rPr>
        <w:t xml:space="preserve">needed to deploy the </w:t>
      </w:r>
      <w:r w:rsidR="00A47A85">
        <w:rPr>
          <w:rFonts w:ascii="Palatino Linotype" w:hAnsi="Palatino Linotype" w:eastAsia="Times New Roman" w:cs="Times New Roman"/>
          <w:kern w:val="0"/>
          <w14:ligatures w14:val="none"/>
        </w:rPr>
        <w:t>orchestrated load management</w:t>
      </w:r>
      <w:r w:rsidRPr="2128FA49" w:rsidR="009C4084">
        <w:rPr>
          <w:rFonts w:ascii="Palatino Linotype" w:hAnsi="Palatino Linotype" w:eastAsia="Palatino Linotype" w:cs="Times New Roman"/>
        </w:rPr>
        <w:t xml:space="preserve"> controls, </w:t>
      </w:r>
      <w:r w:rsidRPr="2128FA49" w:rsidR="00796BB2">
        <w:rPr>
          <w:rFonts w:ascii="Palatino Linotype" w:hAnsi="Palatino Linotype" w:eastAsia="Palatino Linotype" w:cs="Times New Roman"/>
        </w:rPr>
        <w:t xml:space="preserve">customer </w:t>
      </w:r>
      <w:r w:rsidRPr="2128FA49" w:rsidR="009C4084">
        <w:rPr>
          <w:rFonts w:ascii="Palatino Linotype" w:hAnsi="Palatino Linotype" w:eastAsia="Palatino Linotype" w:cs="Times New Roman"/>
        </w:rPr>
        <w:t>participation incentives, and</w:t>
      </w:r>
      <w:r w:rsidRPr="2128FA49" w:rsidR="00516157">
        <w:rPr>
          <w:rFonts w:ascii="Palatino Linotype" w:hAnsi="Palatino Linotype" w:eastAsia="Palatino Linotype" w:cs="Times New Roman"/>
        </w:rPr>
        <w:t xml:space="preserve"> </w:t>
      </w:r>
      <w:r w:rsidR="00494C91">
        <w:rPr>
          <w:rFonts w:ascii="Palatino Linotype" w:hAnsi="Palatino Linotype" w:eastAsia="Palatino Linotype" w:cs="Times New Roman"/>
        </w:rPr>
        <w:t>bidirectional</w:t>
      </w:r>
      <w:r w:rsidRPr="2128FA49" w:rsidR="00516157">
        <w:rPr>
          <w:rFonts w:ascii="Palatino Linotype" w:hAnsi="Palatino Linotype" w:eastAsia="Palatino Linotype" w:cs="Times New Roman"/>
        </w:rPr>
        <w:t xml:space="preserve"> equipment </w:t>
      </w:r>
      <w:r w:rsidRPr="2128FA49" w:rsidR="009C4084">
        <w:rPr>
          <w:rFonts w:ascii="Palatino Linotype" w:hAnsi="Palatino Linotype" w:eastAsia="Palatino Linotype" w:cs="Times New Roman"/>
        </w:rPr>
        <w:t>rebate</w:t>
      </w:r>
      <w:r w:rsidRPr="2128FA49" w:rsidR="00516157">
        <w:rPr>
          <w:rFonts w:ascii="Palatino Linotype" w:hAnsi="Palatino Linotype" w:eastAsia="Palatino Linotype" w:cs="Times New Roman"/>
        </w:rPr>
        <w:t xml:space="preserve">s </w:t>
      </w:r>
      <w:r w:rsidRPr="2128FA49" w:rsidR="00697D9F">
        <w:rPr>
          <w:rFonts w:ascii="Palatino Linotype" w:hAnsi="Palatino Linotype" w:eastAsia="Palatino Linotype" w:cs="Times New Roman"/>
        </w:rPr>
        <w:t xml:space="preserve">further </w:t>
      </w:r>
      <w:r w:rsidRPr="2128FA49" w:rsidR="00516157">
        <w:rPr>
          <w:rFonts w:ascii="Palatino Linotype" w:hAnsi="Palatino Linotype" w:eastAsia="Palatino Linotype" w:cs="Times New Roman"/>
        </w:rPr>
        <w:t>discussed in Section 3</w:t>
      </w:r>
      <w:r w:rsidRPr="2128FA49" w:rsidR="00686A73">
        <w:rPr>
          <w:rFonts w:ascii="Palatino Linotype" w:hAnsi="Palatino Linotype" w:eastAsia="Palatino Linotype" w:cs="Times New Roman"/>
        </w:rPr>
        <w:t xml:space="preserve"> below</w:t>
      </w:r>
      <w:r w:rsidRPr="2128FA49" w:rsidR="00516157">
        <w:rPr>
          <w:rFonts w:ascii="Palatino Linotype" w:hAnsi="Palatino Linotype" w:eastAsia="Palatino Linotype" w:cs="Times New Roman"/>
        </w:rPr>
        <w:t xml:space="preserve">. </w:t>
      </w:r>
      <w:r w:rsidR="00B951C7">
        <w:rPr>
          <w:rFonts w:ascii="Palatino Linotype" w:hAnsi="Palatino Linotype" w:eastAsia="Palatino Linotype" w:cs="Times New Roman"/>
        </w:rPr>
        <w:t xml:space="preserve">AL 5536-E </w:t>
      </w:r>
      <w:r w:rsidR="00543780">
        <w:rPr>
          <w:rFonts w:ascii="Palatino Linotype" w:hAnsi="Palatino Linotype" w:eastAsia="Palatino Linotype" w:cs="Times New Roman"/>
        </w:rPr>
        <w:t xml:space="preserve">notes that the budget would be allocated “nearly evenly” across the orchestrated load management component and the </w:t>
      </w:r>
      <w:r w:rsidR="00113FE8">
        <w:rPr>
          <w:rFonts w:ascii="Palatino Linotype" w:hAnsi="Palatino Linotype" w:eastAsia="Palatino Linotype" w:cs="Times New Roman"/>
        </w:rPr>
        <w:t>bidirectional equipment</w:t>
      </w:r>
      <w:r w:rsidR="00543780">
        <w:rPr>
          <w:rFonts w:ascii="Palatino Linotype" w:hAnsi="Palatino Linotype" w:eastAsia="Palatino Linotype" w:cs="Times New Roman"/>
        </w:rPr>
        <w:t xml:space="preserve"> component.</w:t>
      </w:r>
      <w:r w:rsidR="00543780">
        <w:rPr>
          <w:rStyle w:val="FootnoteReference"/>
          <w:rFonts w:ascii="Palatino Linotype" w:hAnsi="Palatino Linotype" w:eastAsia="Palatino Linotype" w:cs="Times New Roman"/>
        </w:rPr>
        <w:footnoteReference w:id="40"/>
      </w:r>
      <w:r w:rsidR="00543780">
        <w:rPr>
          <w:rFonts w:ascii="Palatino Linotype" w:hAnsi="Palatino Linotype" w:eastAsia="Palatino Linotype" w:cs="Times New Roman"/>
        </w:rPr>
        <w:t xml:space="preserve"> </w:t>
      </w:r>
      <w:r w:rsidRPr="2128FA49" w:rsidR="00667E2A">
        <w:rPr>
          <w:rFonts w:ascii="Palatino Linotype" w:hAnsi="Palatino Linotype" w:eastAsia="Palatino Linotype" w:cs="Times New Roman"/>
        </w:rPr>
        <w:t xml:space="preserve">SCE aims to enroll at least 25,000 EV customers </w:t>
      </w:r>
      <w:r w:rsidRPr="2128FA49" w:rsidR="009301CE">
        <w:rPr>
          <w:rFonts w:ascii="Palatino Linotype" w:hAnsi="Palatino Linotype" w:eastAsia="Palatino Linotype" w:cs="Times New Roman"/>
        </w:rPr>
        <w:t>on circuits that have</w:t>
      </w:r>
      <w:r w:rsidRPr="2128FA49" w:rsidR="0099312B">
        <w:rPr>
          <w:rFonts w:ascii="Palatino Linotype" w:hAnsi="Palatino Linotype" w:eastAsia="Palatino Linotype" w:cs="Times New Roman"/>
        </w:rPr>
        <w:t xml:space="preserve"> less</w:t>
      </w:r>
      <w:r w:rsidRPr="2128FA49" w:rsidR="009301CE">
        <w:rPr>
          <w:rFonts w:ascii="Palatino Linotype" w:hAnsi="Palatino Linotype" w:eastAsia="Palatino Linotype" w:cs="Times New Roman"/>
        </w:rPr>
        <w:t xml:space="preserve"> than one megawatt of available capacity and serve at least 100 EVs. </w:t>
      </w:r>
      <w:r w:rsidRPr="2128FA49" w:rsidR="003B0632">
        <w:rPr>
          <w:rFonts w:ascii="Palatino Linotype" w:hAnsi="Palatino Linotype" w:eastAsia="Palatino Linotype" w:cs="Times New Roman"/>
        </w:rPr>
        <w:t>Eligibility for ORCHARD includes</w:t>
      </w:r>
      <w:r w:rsidRPr="2128FA49" w:rsidR="00F41CB4">
        <w:rPr>
          <w:rFonts w:ascii="Palatino Linotype" w:hAnsi="Palatino Linotype" w:eastAsia="Palatino Linotype" w:cs="Times New Roman"/>
        </w:rPr>
        <w:t>, among other requirements,</w:t>
      </w:r>
      <w:r w:rsidRPr="2128FA49" w:rsidR="003B0632">
        <w:rPr>
          <w:rFonts w:ascii="Palatino Linotype" w:hAnsi="Palatino Linotype" w:eastAsia="Palatino Linotype" w:cs="Times New Roman"/>
        </w:rPr>
        <w:t xml:space="preserve"> </w:t>
      </w:r>
      <w:r w:rsidRPr="2128FA49" w:rsidR="0095339D">
        <w:rPr>
          <w:rFonts w:ascii="Palatino Linotype" w:hAnsi="Palatino Linotype" w:eastAsia="Palatino Linotype" w:cs="Times New Roman"/>
        </w:rPr>
        <w:t xml:space="preserve">submission of a </w:t>
      </w:r>
      <w:r w:rsidRPr="2128FA49" w:rsidR="003B0632">
        <w:rPr>
          <w:rFonts w:ascii="Palatino Linotype" w:hAnsi="Palatino Linotype" w:eastAsia="Palatino Linotype" w:cs="Times New Roman"/>
        </w:rPr>
        <w:t>R</w:t>
      </w:r>
      <w:r w:rsidRPr="2128FA49" w:rsidR="00F41CB4">
        <w:rPr>
          <w:rFonts w:ascii="Palatino Linotype" w:hAnsi="Palatino Linotype" w:eastAsia="Palatino Linotype" w:cs="Times New Roman"/>
        </w:rPr>
        <w:t xml:space="preserve">ule </w:t>
      </w:r>
      <w:r w:rsidRPr="2128FA49" w:rsidR="003B0632">
        <w:rPr>
          <w:rFonts w:ascii="Palatino Linotype" w:hAnsi="Palatino Linotype" w:eastAsia="Palatino Linotype" w:cs="Times New Roman"/>
        </w:rPr>
        <w:t>21</w:t>
      </w:r>
      <w:r w:rsidRPr="2128FA49" w:rsidR="00F41CB4">
        <w:rPr>
          <w:rFonts w:ascii="Palatino Linotype" w:hAnsi="Palatino Linotype" w:eastAsia="Palatino Linotype" w:cs="Times New Roman"/>
        </w:rPr>
        <w:t xml:space="preserve"> interconnection</w:t>
      </w:r>
      <w:r w:rsidRPr="2128FA49" w:rsidR="003B0632">
        <w:rPr>
          <w:rFonts w:ascii="Palatino Linotype" w:hAnsi="Palatino Linotype" w:eastAsia="Palatino Linotype" w:cs="Times New Roman"/>
        </w:rPr>
        <w:t xml:space="preserve"> application</w:t>
      </w:r>
      <w:r w:rsidRPr="2128FA49" w:rsidR="00F41CB4">
        <w:rPr>
          <w:rFonts w:ascii="Palatino Linotype" w:hAnsi="Palatino Linotype" w:eastAsia="Palatino Linotype" w:cs="Times New Roman"/>
        </w:rPr>
        <w:t>.</w:t>
      </w:r>
      <w:r w:rsidR="00F41CB4">
        <w:rPr>
          <w:rStyle w:val="FootnoteReference"/>
          <w:rFonts w:ascii="Palatino Linotype" w:hAnsi="Palatino Linotype" w:eastAsia="Palatino Linotype" w:cs="Times New Roman"/>
          <w:kern w:val="0"/>
          <w14:ligatures w14:val="none"/>
        </w:rPr>
        <w:footnoteReference w:id="41"/>
      </w:r>
      <w:r w:rsidRPr="2128FA49" w:rsidR="003B0632">
        <w:rPr>
          <w:rFonts w:ascii="Palatino Linotype" w:hAnsi="Palatino Linotype" w:eastAsia="Palatino Linotype" w:cs="Times New Roman"/>
        </w:rPr>
        <w:t xml:space="preserve"> </w:t>
      </w:r>
    </w:p>
    <w:p w:rsidR="005D145D" w:rsidP="002E17F8" w:rsidRDefault="005D145D" w14:paraId="4D512172" w14:textId="77777777">
      <w:pPr>
        <w:spacing w:after="0" w:line="240" w:lineRule="auto"/>
        <w:rPr>
          <w:rFonts w:ascii="Palatino Linotype" w:hAnsi="Palatino Linotype" w:eastAsia="Palatino Linotype" w:cs="Times New Roman"/>
          <w:kern w:val="0"/>
          <w14:ligatures w14:val="none"/>
        </w:rPr>
      </w:pPr>
    </w:p>
    <w:p w:rsidR="00D00635" w:rsidP="00D53A12" w:rsidRDefault="00052DE4" w14:paraId="3EBB2B77" w14:textId="6CEA0F1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We find </w:t>
      </w:r>
      <w:r w:rsidR="00E066D2">
        <w:rPr>
          <w:rFonts w:ascii="Palatino Linotype" w:hAnsi="Palatino Linotype" w:eastAsia="Palatino Linotype" w:cs="Times New Roman"/>
          <w:kern w:val="0"/>
          <w14:ligatures w14:val="none"/>
        </w:rPr>
        <w:t xml:space="preserve">SCE’s ORCHARD </w:t>
      </w:r>
      <w:r w:rsidRPr="00CF4F01" w:rsidR="00E06E51">
        <w:rPr>
          <w:rFonts w:ascii="Palatino Linotype" w:hAnsi="Palatino Linotype" w:eastAsia="Palatino Linotype" w:cs="Times New Roman"/>
          <w:kern w:val="0"/>
          <w14:ligatures w14:val="none"/>
        </w:rPr>
        <w:t>proposal aligns wit</w:t>
      </w:r>
      <w:r w:rsidRPr="00CF4F01" w:rsidR="00202A4C">
        <w:rPr>
          <w:rFonts w:ascii="Palatino Linotype" w:hAnsi="Palatino Linotype" w:eastAsia="Palatino Linotype" w:cs="Times New Roman"/>
          <w:kern w:val="0"/>
          <w14:ligatures w14:val="none"/>
        </w:rPr>
        <w:t>h D.20-12-027 and the LCFS regulations</w:t>
      </w:r>
      <w:r w:rsidRPr="00CF4F01" w:rsidR="00F656AA">
        <w:rPr>
          <w:rFonts w:ascii="Palatino Linotype" w:hAnsi="Palatino Linotype" w:eastAsia="Palatino Linotype" w:cs="Times New Roman"/>
          <w:kern w:val="0"/>
          <w14:ligatures w14:val="none"/>
        </w:rPr>
        <w:t xml:space="preserve">, </w:t>
      </w:r>
      <w:r w:rsidR="00C037CC">
        <w:rPr>
          <w:rFonts w:ascii="Palatino Linotype" w:hAnsi="Palatino Linotype" w:eastAsia="Palatino Linotype" w:cs="Times New Roman"/>
          <w:kern w:val="0"/>
          <w14:ligatures w14:val="none"/>
        </w:rPr>
        <w:t>and</w:t>
      </w:r>
      <w:r w:rsidR="00B21133">
        <w:rPr>
          <w:rFonts w:ascii="Palatino Linotype" w:hAnsi="Palatino Linotype" w:eastAsia="Palatino Linotype" w:cs="Times New Roman"/>
          <w:kern w:val="0"/>
          <w14:ligatures w14:val="none"/>
        </w:rPr>
        <w:t xml:space="preserve"> is approved with modifications</w:t>
      </w:r>
      <w:r w:rsidRPr="00CF4F01" w:rsidR="00D81682">
        <w:rPr>
          <w:rFonts w:ascii="Palatino Linotype" w:hAnsi="Palatino Linotype" w:eastAsia="Palatino Linotype" w:cs="Times New Roman"/>
          <w:kern w:val="0"/>
          <w14:ligatures w14:val="none"/>
        </w:rPr>
        <w:t>.</w:t>
      </w:r>
      <w:r w:rsidRPr="00CF4F01" w:rsidR="00202A4C">
        <w:rPr>
          <w:rFonts w:ascii="Palatino Linotype" w:hAnsi="Palatino Linotype" w:eastAsia="Palatino Linotype" w:cs="Times New Roman"/>
          <w:kern w:val="0"/>
          <w14:ligatures w14:val="none"/>
        </w:rPr>
        <w:t xml:space="preserve"> </w:t>
      </w:r>
      <w:r w:rsidR="009F470A">
        <w:rPr>
          <w:rFonts w:ascii="Palatino Linotype" w:hAnsi="Palatino Linotype" w:eastAsia="Palatino Linotype" w:cs="Times New Roman"/>
          <w:kern w:val="0"/>
          <w14:ligatures w14:val="none"/>
        </w:rPr>
        <w:t xml:space="preserve">Ordering Paragraph 1 of </w:t>
      </w:r>
      <w:r w:rsidR="00E814ED">
        <w:rPr>
          <w:rFonts w:ascii="Palatino Linotype" w:hAnsi="Palatino Linotype" w:eastAsia="Palatino Linotype" w:cs="Times New Roman"/>
          <w:kern w:val="0"/>
          <w14:ligatures w14:val="none"/>
        </w:rPr>
        <w:t xml:space="preserve">D.20-12-027 requires </w:t>
      </w:r>
      <w:r w:rsidR="00250480">
        <w:rPr>
          <w:rFonts w:ascii="Palatino Linotype" w:hAnsi="Palatino Linotype" w:eastAsia="Palatino Linotype" w:cs="Times New Roman"/>
          <w:kern w:val="0"/>
          <w14:ligatures w14:val="none"/>
        </w:rPr>
        <w:t xml:space="preserve">the </w:t>
      </w:r>
      <w:r w:rsidR="00727721">
        <w:rPr>
          <w:rFonts w:ascii="Palatino Linotype" w:hAnsi="Palatino Linotype" w:eastAsia="Palatino Linotype" w:cs="Times New Roman"/>
          <w:kern w:val="0"/>
          <w14:ligatures w14:val="none"/>
        </w:rPr>
        <w:t xml:space="preserve">IOUs to allocate at least 75 percent of their </w:t>
      </w:r>
      <w:r w:rsidR="0059046D">
        <w:rPr>
          <w:rFonts w:ascii="Palatino Linotype" w:hAnsi="Palatino Linotype" w:eastAsia="Palatino Linotype" w:cs="Times New Roman"/>
          <w:kern w:val="0"/>
          <w14:ligatures w14:val="none"/>
        </w:rPr>
        <w:t xml:space="preserve">total </w:t>
      </w:r>
      <w:r w:rsidR="00727721">
        <w:rPr>
          <w:rFonts w:ascii="Palatino Linotype" w:hAnsi="Palatino Linotype" w:eastAsia="Palatino Linotype" w:cs="Times New Roman"/>
          <w:kern w:val="0"/>
          <w14:ligatures w14:val="none"/>
        </w:rPr>
        <w:t xml:space="preserve">holdback expenditures toward equity projects and up to 20 percent of their </w:t>
      </w:r>
      <w:r w:rsidR="0059046D">
        <w:rPr>
          <w:rFonts w:ascii="Palatino Linotype" w:hAnsi="Palatino Linotype" w:eastAsia="Palatino Linotype" w:cs="Times New Roman"/>
          <w:kern w:val="0"/>
          <w14:ligatures w14:val="none"/>
        </w:rPr>
        <w:t xml:space="preserve">total </w:t>
      </w:r>
      <w:r w:rsidR="00727721">
        <w:rPr>
          <w:rFonts w:ascii="Palatino Linotype" w:hAnsi="Palatino Linotype" w:eastAsia="Palatino Linotype" w:cs="Times New Roman"/>
          <w:kern w:val="0"/>
          <w14:ligatures w14:val="none"/>
        </w:rPr>
        <w:t xml:space="preserve">holdback expenditures toward resiliency projects. </w:t>
      </w:r>
      <w:r w:rsidR="0039701D">
        <w:rPr>
          <w:rFonts w:ascii="Palatino Linotype" w:hAnsi="Palatino Linotype" w:eastAsia="Palatino Linotype" w:cs="Times New Roman"/>
          <w:kern w:val="0"/>
          <w14:ligatures w14:val="none"/>
        </w:rPr>
        <w:t xml:space="preserve">D.20-12-027 adds that if the </w:t>
      </w:r>
      <w:r w:rsidR="007C2101">
        <w:rPr>
          <w:rFonts w:ascii="Palatino Linotype" w:hAnsi="Palatino Linotype" w:eastAsia="Palatino Linotype" w:cs="Times New Roman"/>
          <w:kern w:val="0"/>
          <w14:ligatures w14:val="none"/>
        </w:rPr>
        <w:t>IOU cannot meet the 20 percent resiliency threshold, the Implementation Plan must address why t</w:t>
      </w:r>
      <w:r w:rsidR="0059046D">
        <w:rPr>
          <w:rFonts w:ascii="Palatino Linotype" w:hAnsi="Palatino Linotype" w:eastAsia="Palatino Linotype" w:cs="Times New Roman"/>
          <w:kern w:val="0"/>
          <w14:ligatures w14:val="none"/>
        </w:rPr>
        <w:t xml:space="preserve">his is the case and what the IOU did to try to meet this target. </w:t>
      </w:r>
      <w:r w:rsidR="00665012">
        <w:rPr>
          <w:rFonts w:ascii="Palatino Linotype" w:hAnsi="Palatino Linotype" w:eastAsia="Palatino Linotype" w:cs="Times New Roman"/>
          <w:kern w:val="0"/>
          <w14:ligatures w14:val="none"/>
        </w:rPr>
        <w:t xml:space="preserve">Although SCE does not consider ORCHARD an </w:t>
      </w:r>
      <w:r w:rsidR="00EA32FC">
        <w:rPr>
          <w:rFonts w:ascii="Palatino Linotype" w:hAnsi="Palatino Linotype" w:eastAsia="Palatino Linotype" w:cs="Times New Roman"/>
          <w:kern w:val="0"/>
          <w14:ligatures w14:val="none"/>
        </w:rPr>
        <w:t xml:space="preserve">equity </w:t>
      </w:r>
      <w:r w:rsidR="00DB620F">
        <w:rPr>
          <w:rFonts w:ascii="Palatino Linotype" w:hAnsi="Palatino Linotype" w:eastAsia="Palatino Linotype" w:cs="Times New Roman"/>
          <w:kern w:val="0"/>
          <w14:ligatures w14:val="none"/>
        </w:rPr>
        <w:t xml:space="preserve">or resiliency </w:t>
      </w:r>
      <w:r w:rsidR="00EA32FC">
        <w:rPr>
          <w:rFonts w:ascii="Palatino Linotype" w:hAnsi="Palatino Linotype" w:eastAsia="Palatino Linotype" w:cs="Times New Roman"/>
          <w:kern w:val="0"/>
          <w14:ligatures w14:val="none"/>
        </w:rPr>
        <w:t>project,</w:t>
      </w:r>
      <w:r w:rsidR="007571B1">
        <w:rPr>
          <w:rStyle w:val="FootnoteReference"/>
          <w:rFonts w:ascii="Palatino Linotype" w:hAnsi="Palatino Linotype" w:eastAsia="Palatino Linotype" w:cs="Times New Roman"/>
          <w:kern w:val="0"/>
          <w14:ligatures w14:val="none"/>
        </w:rPr>
        <w:footnoteReference w:id="42"/>
      </w:r>
      <w:r w:rsidR="00EA32FC">
        <w:rPr>
          <w:rFonts w:ascii="Palatino Linotype" w:hAnsi="Palatino Linotype" w:eastAsia="Palatino Linotype" w:cs="Times New Roman"/>
          <w:kern w:val="0"/>
          <w14:ligatures w14:val="none"/>
        </w:rPr>
        <w:t xml:space="preserve"> </w:t>
      </w:r>
      <w:r w:rsidR="00D30719">
        <w:rPr>
          <w:rFonts w:ascii="Palatino Linotype" w:hAnsi="Palatino Linotype" w:eastAsia="Palatino Linotype" w:cs="Times New Roman"/>
          <w:kern w:val="0"/>
          <w14:ligatures w14:val="none"/>
        </w:rPr>
        <w:t xml:space="preserve">we find the </w:t>
      </w:r>
      <w:r w:rsidR="00A47A85">
        <w:rPr>
          <w:rFonts w:ascii="Palatino Linotype" w:hAnsi="Palatino Linotype" w:eastAsia="Times New Roman" w:cs="Times New Roman"/>
          <w:kern w:val="0"/>
          <w14:ligatures w14:val="none"/>
        </w:rPr>
        <w:t>orchestrated load management</w:t>
      </w:r>
      <w:r w:rsidR="006925D0">
        <w:rPr>
          <w:rFonts w:ascii="Palatino Linotype" w:hAnsi="Palatino Linotype" w:eastAsia="Palatino Linotype" w:cs="Times New Roman"/>
          <w:kern w:val="0"/>
          <w14:ligatures w14:val="none"/>
        </w:rPr>
        <w:t xml:space="preserve"> component of ORCHARD </w:t>
      </w:r>
      <w:r w:rsidR="00CD016F">
        <w:rPr>
          <w:rFonts w:ascii="Palatino Linotype" w:hAnsi="Palatino Linotype" w:eastAsia="Palatino Linotype" w:cs="Times New Roman"/>
          <w:kern w:val="0"/>
          <w14:ligatures w14:val="none"/>
        </w:rPr>
        <w:t xml:space="preserve">does comply </w:t>
      </w:r>
      <w:r w:rsidR="006925D0">
        <w:rPr>
          <w:rFonts w:ascii="Palatino Linotype" w:hAnsi="Palatino Linotype" w:eastAsia="Palatino Linotype" w:cs="Times New Roman"/>
          <w:kern w:val="0"/>
          <w14:ligatures w14:val="none"/>
        </w:rPr>
        <w:t xml:space="preserve">with </w:t>
      </w:r>
      <w:r w:rsidR="006C2787">
        <w:rPr>
          <w:rFonts w:ascii="Palatino Linotype" w:hAnsi="Palatino Linotype" w:eastAsia="Palatino Linotype" w:cs="Times New Roman"/>
          <w:kern w:val="0"/>
          <w14:ligatures w14:val="none"/>
        </w:rPr>
        <w:t>CARB’s</w:t>
      </w:r>
      <w:r w:rsidR="006925D0">
        <w:rPr>
          <w:rFonts w:ascii="Palatino Linotype" w:hAnsi="Palatino Linotype" w:eastAsia="Palatino Linotype" w:cs="Times New Roman"/>
          <w:kern w:val="0"/>
          <w14:ligatures w14:val="none"/>
        </w:rPr>
        <w:t xml:space="preserve"> </w:t>
      </w:r>
      <w:r w:rsidR="00665B76">
        <w:rPr>
          <w:rFonts w:ascii="Palatino Linotype" w:hAnsi="Palatino Linotype" w:eastAsia="Palatino Linotype" w:cs="Times New Roman"/>
          <w:kern w:val="0"/>
          <w14:ligatures w14:val="none"/>
        </w:rPr>
        <w:t xml:space="preserve">other (non-equity) </w:t>
      </w:r>
      <w:r w:rsidR="00CD0345">
        <w:rPr>
          <w:rFonts w:ascii="Palatino Linotype" w:hAnsi="Palatino Linotype" w:eastAsia="Palatino Linotype" w:cs="Times New Roman"/>
          <w:kern w:val="0"/>
          <w14:ligatures w14:val="none"/>
        </w:rPr>
        <w:t xml:space="preserve">pre-approved </w:t>
      </w:r>
      <w:r w:rsidR="00665B76">
        <w:rPr>
          <w:rFonts w:ascii="Palatino Linotype" w:hAnsi="Palatino Linotype" w:eastAsia="Palatino Linotype" w:cs="Times New Roman"/>
          <w:kern w:val="0"/>
          <w14:ligatures w14:val="none"/>
        </w:rPr>
        <w:t>holdback project</w:t>
      </w:r>
      <w:r w:rsidR="00AB1579">
        <w:rPr>
          <w:rFonts w:ascii="Palatino Linotype" w:hAnsi="Palatino Linotype" w:eastAsia="Palatino Linotype" w:cs="Times New Roman"/>
          <w:kern w:val="0"/>
          <w14:ligatures w14:val="none"/>
        </w:rPr>
        <w:t xml:space="preserve"> type</w:t>
      </w:r>
      <w:r w:rsidR="00665B76">
        <w:rPr>
          <w:rFonts w:ascii="Palatino Linotype" w:hAnsi="Palatino Linotype" w:eastAsia="Palatino Linotype" w:cs="Times New Roman"/>
          <w:kern w:val="0"/>
          <w14:ligatures w14:val="none"/>
        </w:rPr>
        <w:t xml:space="preserve">s </w:t>
      </w:r>
      <w:r w:rsidR="002F02E1">
        <w:rPr>
          <w:rFonts w:ascii="Palatino Linotype" w:hAnsi="Palatino Linotype" w:eastAsia="Palatino Linotype" w:cs="Times New Roman"/>
          <w:kern w:val="0"/>
          <w14:ligatures w14:val="none"/>
        </w:rPr>
        <w:t xml:space="preserve">recently updated </w:t>
      </w:r>
      <w:r w:rsidR="00654786">
        <w:rPr>
          <w:rFonts w:ascii="Palatino Linotype" w:hAnsi="Palatino Linotype" w:eastAsia="Palatino Linotype" w:cs="Times New Roman"/>
          <w:kern w:val="0"/>
          <w14:ligatures w14:val="none"/>
        </w:rPr>
        <w:t>in</w:t>
      </w:r>
      <w:r w:rsidR="00166087">
        <w:rPr>
          <w:rFonts w:ascii="Palatino Linotype" w:hAnsi="Palatino Linotype" w:eastAsia="Palatino Linotype" w:cs="Times New Roman"/>
          <w:kern w:val="0"/>
          <w14:ligatures w14:val="none"/>
        </w:rPr>
        <w:t xml:space="preserve"> </w:t>
      </w:r>
      <w:r w:rsidR="005A5E2C">
        <w:rPr>
          <w:rFonts w:ascii="Palatino Linotype" w:hAnsi="Palatino Linotype" w:eastAsia="Palatino Linotype" w:cs="Times New Roman"/>
          <w:kern w:val="0"/>
          <w14:ligatures w14:val="none"/>
        </w:rPr>
        <w:t>the LCFS regulations.</w:t>
      </w:r>
      <w:r w:rsidR="002558B0">
        <w:rPr>
          <w:rStyle w:val="FootnoteReference"/>
          <w:rFonts w:ascii="Palatino Linotype" w:hAnsi="Palatino Linotype" w:eastAsia="Palatino Linotype" w:cs="Times New Roman"/>
          <w:kern w:val="0"/>
          <w14:ligatures w14:val="none"/>
        </w:rPr>
        <w:footnoteReference w:id="43"/>
      </w:r>
      <w:r w:rsidR="00634470">
        <w:rPr>
          <w:rFonts w:ascii="Palatino Linotype" w:hAnsi="Palatino Linotype" w:eastAsia="Palatino Linotype" w:cs="Times New Roman"/>
          <w:kern w:val="0"/>
          <w14:ligatures w14:val="none"/>
        </w:rPr>
        <w:t xml:space="preserve"> </w:t>
      </w:r>
      <w:r w:rsidR="00AB5715">
        <w:rPr>
          <w:rFonts w:ascii="Palatino Linotype" w:hAnsi="Palatino Linotype" w:eastAsia="Palatino Linotype" w:cs="Times New Roman"/>
          <w:kern w:val="0"/>
          <w14:ligatures w14:val="none"/>
        </w:rPr>
        <w:t xml:space="preserve">AL 5536-E notes that </w:t>
      </w:r>
      <w:r w:rsidR="00910F12">
        <w:rPr>
          <w:rFonts w:ascii="Palatino Linotype" w:hAnsi="Palatino Linotype" w:eastAsia="Palatino Linotype" w:cs="Times New Roman"/>
          <w:kern w:val="0"/>
          <w14:ligatures w14:val="none"/>
        </w:rPr>
        <w:t xml:space="preserve">90 percent of SCE’s expenditures across its entire holdback program portfolio </w:t>
      </w:r>
      <w:r w:rsidR="00141E7B">
        <w:rPr>
          <w:rFonts w:ascii="Palatino Linotype" w:hAnsi="Palatino Linotype" w:eastAsia="Palatino Linotype" w:cs="Times New Roman"/>
          <w:kern w:val="0"/>
          <w14:ligatures w14:val="none"/>
        </w:rPr>
        <w:t>is dedicated to supporting equity customers.</w:t>
      </w:r>
      <w:r w:rsidR="00141E7B">
        <w:rPr>
          <w:rStyle w:val="FootnoteReference"/>
          <w:rFonts w:ascii="Palatino Linotype" w:hAnsi="Palatino Linotype" w:eastAsia="Palatino Linotype" w:cs="Times New Roman"/>
          <w:kern w:val="0"/>
          <w14:ligatures w14:val="none"/>
        </w:rPr>
        <w:footnoteReference w:id="44"/>
      </w:r>
      <w:r w:rsidR="00D30AFC">
        <w:rPr>
          <w:rFonts w:ascii="Palatino Linotype" w:hAnsi="Palatino Linotype" w:eastAsia="Palatino Linotype" w:cs="Times New Roman"/>
          <w:kern w:val="0"/>
          <w14:ligatures w14:val="none"/>
        </w:rPr>
        <w:t xml:space="preserve"> AL 5536-E goes on to explain that</w:t>
      </w:r>
      <w:r w:rsidR="00EF0912">
        <w:rPr>
          <w:rFonts w:ascii="Palatino Linotype" w:hAnsi="Palatino Linotype" w:eastAsia="Palatino Linotype" w:cs="Times New Roman"/>
          <w:kern w:val="0"/>
          <w14:ligatures w14:val="none"/>
        </w:rPr>
        <w:t xml:space="preserve"> </w:t>
      </w:r>
      <w:r w:rsidR="00DD418F">
        <w:rPr>
          <w:rFonts w:ascii="Palatino Linotype" w:hAnsi="Palatino Linotype" w:eastAsia="Palatino Linotype" w:cs="Times New Roman"/>
          <w:kern w:val="0"/>
          <w14:ligatures w14:val="none"/>
        </w:rPr>
        <w:t>the resiliency requirement is “prohibitively difficult” to meet</w:t>
      </w:r>
      <w:r w:rsidR="000D2DBD">
        <w:rPr>
          <w:rFonts w:ascii="Palatino Linotype" w:hAnsi="Palatino Linotype" w:eastAsia="Palatino Linotype" w:cs="Times New Roman"/>
          <w:kern w:val="0"/>
          <w14:ligatures w14:val="none"/>
        </w:rPr>
        <w:t xml:space="preserve"> as D.20-12-027 narrowly defines </w:t>
      </w:r>
      <w:r w:rsidR="007A532B">
        <w:rPr>
          <w:rFonts w:ascii="Palatino Linotype" w:hAnsi="Palatino Linotype" w:eastAsia="Palatino Linotype" w:cs="Times New Roman"/>
          <w:kern w:val="0"/>
          <w14:ligatures w14:val="none"/>
        </w:rPr>
        <w:t xml:space="preserve">resiliency </w:t>
      </w:r>
      <w:r w:rsidR="002B27D6">
        <w:rPr>
          <w:rFonts w:ascii="Palatino Linotype" w:hAnsi="Palatino Linotype" w:eastAsia="Palatino Linotype" w:cs="Times New Roman"/>
          <w:kern w:val="0"/>
          <w14:ligatures w14:val="none"/>
        </w:rPr>
        <w:t>by</w:t>
      </w:r>
      <w:r w:rsidR="007A532B">
        <w:rPr>
          <w:rFonts w:ascii="Palatino Linotype" w:hAnsi="Palatino Linotype" w:eastAsia="Palatino Linotype" w:cs="Times New Roman"/>
          <w:kern w:val="0"/>
          <w14:ligatures w14:val="none"/>
        </w:rPr>
        <w:t xml:space="preserve"> </w:t>
      </w:r>
      <w:r w:rsidR="002B27D6">
        <w:rPr>
          <w:rFonts w:ascii="Palatino Linotype" w:hAnsi="Palatino Linotype" w:eastAsia="Palatino Linotype" w:cs="Times New Roman"/>
          <w:kern w:val="0"/>
          <w14:ligatures w14:val="none"/>
        </w:rPr>
        <w:t xml:space="preserve">deploying </w:t>
      </w:r>
      <w:r w:rsidR="007A532B">
        <w:rPr>
          <w:rFonts w:ascii="Palatino Linotype" w:hAnsi="Palatino Linotype" w:eastAsia="Palatino Linotype" w:cs="Times New Roman"/>
          <w:kern w:val="0"/>
          <w14:ligatures w14:val="none"/>
        </w:rPr>
        <w:t xml:space="preserve">TE infrastructure </w:t>
      </w:r>
      <w:r w:rsidR="002B27D6">
        <w:rPr>
          <w:rFonts w:ascii="Palatino Linotype" w:hAnsi="Palatino Linotype" w:eastAsia="Palatino Linotype" w:cs="Times New Roman"/>
          <w:kern w:val="0"/>
          <w14:ligatures w14:val="none"/>
        </w:rPr>
        <w:t>within the context of</w:t>
      </w:r>
      <w:r w:rsidR="007E0F55">
        <w:rPr>
          <w:rFonts w:ascii="Palatino Linotype" w:hAnsi="Palatino Linotype" w:eastAsia="Palatino Linotype" w:cs="Times New Roman"/>
          <w:kern w:val="0"/>
          <w14:ligatures w14:val="none"/>
        </w:rPr>
        <w:t xml:space="preserve"> grid outages</w:t>
      </w:r>
      <w:r w:rsidR="00766DBB">
        <w:rPr>
          <w:rFonts w:ascii="Palatino Linotype" w:hAnsi="Palatino Linotype" w:eastAsia="Palatino Linotype" w:cs="Times New Roman"/>
          <w:kern w:val="0"/>
          <w14:ligatures w14:val="none"/>
        </w:rPr>
        <w:t xml:space="preserve">, and ORCHARD </w:t>
      </w:r>
      <w:r w:rsidR="005D54E8">
        <w:rPr>
          <w:rFonts w:ascii="Palatino Linotype" w:hAnsi="Palatino Linotype" w:eastAsia="Palatino Linotype" w:cs="Times New Roman"/>
          <w:kern w:val="0"/>
          <w14:ligatures w14:val="none"/>
        </w:rPr>
        <w:t>is not focused on such backup use cases</w:t>
      </w:r>
      <w:r w:rsidR="002B27D6">
        <w:rPr>
          <w:rFonts w:ascii="Palatino Linotype" w:hAnsi="Palatino Linotype" w:eastAsia="Palatino Linotype" w:cs="Times New Roman"/>
          <w:kern w:val="0"/>
          <w14:ligatures w14:val="none"/>
        </w:rPr>
        <w:t>.</w:t>
      </w:r>
      <w:r w:rsidR="0046200B">
        <w:rPr>
          <w:rStyle w:val="FootnoteReference"/>
          <w:rFonts w:ascii="Palatino Linotype" w:hAnsi="Palatino Linotype" w:eastAsia="Palatino Linotype" w:cs="Times New Roman"/>
          <w:kern w:val="0"/>
          <w14:ligatures w14:val="none"/>
        </w:rPr>
        <w:footnoteReference w:id="45"/>
      </w:r>
      <w:r w:rsidR="00BE4C25">
        <w:rPr>
          <w:rFonts w:ascii="Palatino Linotype" w:hAnsi="Palatino Linotype" w:eastAsia="Palatino Linotype" w:cs="Times New Roman"/>
          <w:kern w:val="0"/>
          <w14:ligatures w14:val="none"/>
        </w:rPr>
        <w:t xml:space="preserve"> The </w:t>
      </w:r>
      <w:r w:rsidR="009F4205">
        <w:rPr>
          <w:rFonts w:ascii="Palatino Linotype" w:hAnsi="Palatino Linotype" w:eastAsia="Palatino Linotype" w:cs="Times New Roman"/>
          <w:kern w:val="0"/>
          <w14:ligatures w14:val="none"/>
        </w:rPr>
        <w:t xml:space="preserve">CPUC </w:t>
      </w:r>
      <w:r w:rsidR="00BE4C25">
        <w:rPr>
          <w:rFonts w:ascii="Palatino Linotype" w:hAnsi="Palatino Linotype" w:eastAsia="Palatino Linotype" w:cs="Times New Roman"/>
          <w:kern w:val="0"/>
          <w14:ligatures w14:val="none"/>
        </w:rPr>
        <w:t xml:space="preserve">finds that </w:t>
      </w:r>
      <w:r w:rsidR="006264A3">
        <w:rPr>
          <w:rFonts w:ascii="Palatino Linotype" w:hAnsi="Palatino Linotype" w:eastAsia="Palatino Linotype" w:cs="Times New Roman"/>
          <w:kern w:val="0"/>
          <w14:ligatures w14:val="none"/>
        </w:rPr>
        <w:t>SCE’s</w:t>
      </w:r>
      <w:r w:rsidR="00BE4C25">
        <w:rPr>
          <w:rFonts w:ascii="Palatino Linotype" w:hAnsi="Palatino Linotype" w:eastAsia="Palatino Linotype" w:cs="Times New Roman"/>
          <w:kern w:val="0"/>
          <w14:ligatures w14:val="none"/>
        </w:rPr>
        <w:t xml:space="preserve"> reasoning </w:t>
      </w:r>
      <w:r w:rsidR="006264A3">
        <w:rPr>
          <w:rFonts w:ascii="Palatino Linotype" w:hAnsi="Palatino Linotype" w:eastAsia="Palatino Linotype" w:cs="Times New Roman"/>
          <w:kern w:val="0"/>
          <w14:ligatures w14:val="none"/>
        </w:rPr>
        <w:t xml:space="preserve">for not meeting the 20 percent expenditure threshold for resiliency projects </w:t>
      </w:r>
      <w:r w:rsidR="00BE4C25">
        <w:rPr>
          <w:rFonts w:ascii="Palatino Linotype" w:hAnsi="Palatino Linotype" w:eastAsia="Palatino Linotype" w:cs="Times New Roman"/>
          <w:kern w:val="0"/>
          <w14:ligatures w14:val="none"/>
        </w:rPr>
        <w:t xml:space="preserve">is sufficient, especially in light of the recent </w:t>
      </w:r>
      <w:r w:rsidR="00DE41C0">
        <w:rPr>
          <w:rFonts w:ascii="Palatino Linotype" w:hAnsi="Palatino Linotype" w:eastAsia="Palatino Linotype" w:cs="Times New Roman"/>
          <w:kern w:val="0"/>
          <w14:ligatures w14:val="none"/>
        </w:rPr>
        <w:t xml:space="preserve">updates by CARB to include </w:t>
      </w:r>
      <w:r w:rsidR="00BE4C25">
        <w:rPr>
          <w:rFonts w:ascii="Palatino Linotype" w:hAnsi="Palatino Linotype" w:eastAsia="Palatino Linotype" w:cs="Times New Roman"/>
          <w:kern w:val="0"/>
          <w14:ligatures w14:val="none"/>
        </w:rPr>
        <w:t xml:space="preserve">VGI </w:t>
      </w:r>
      <w:r w:rsidR="00DE41C0">
        <w:rPr>
          <w:rFonts w:ascii="Palatino Linotype" w:hAnsi="Palatino Linotype" w:eastAsia="Palatino Linotype" w:cs="Times New Roman"/>
          <w:kern w:val="0"/>
          <w14:ligatures w14:val="none"/>
        </w:rPr>
        <w:t xml:space="preserve">in </w:t>
      </w:r>
      <w:r w:rsidR="00C2354C">
        <w:rPr>
          <w:rFonts w:ascii="Palatino Linotype" w:hAnsi="Palatino Linotype" w:eastAsia="Palatino Linotype" w:cs="Times New Roman"/>
          <w:kern w:val="0"/>
          <w14:ligatures w14:val="none"/>
        </w:rPr>
        <w:t>its preapproved list of</w:t>
      </w:r>
      <w:r w:rsidR="00DE41C0">
        <w:rPr>
          <w:rFonts w:ascii="Palatino Linotype" w:hAnsi="Palatino Linotype" w:eastAsia="Palatino Linotype" w:cs="Times New Roman"/>
          <w:kern w:val="0"/>
          <w14:ligatures w14:val="none"/>
        </w:rPr>
        <w:t xml:space="preserve"> non-equity holdback projects.</w:t>
      </w:r>
      <w:r w:rsidR="00D53A12">
        <w:rPr>
          <w:rFonts w:ascii="Palatino Linotype" w:hAnsi="Palatino Linotype" w:eastAsia="Palatino Linotype" w:cs="Times New Roman"/>
          <w:kern w:val="0"/>
          <w14:ligatures w14:val="none"/>
        </w:rPr>
        <w:t xml:space="preserve"> </w:t>
      </w:r>
      <w:r w:rsidR="00D01959">
        <w:rPr>
          <w:rFonts w:ascii="Palatino Linotype" w:hAnsi="Palatino Linotype" w:eastAsia="Palatino Linotype" w:cs="Times New Roman"/>
          <w:kern w:val="0"/>
          <w14:ligatures w14:val="none"/>
        </w:rPr>
        <w:t>Moreover, a</w:t>
      </w:r>
      <w:r w:rsidR="00420C53">
        <w:rPr>
          <w:rFonts w:ascii="Palatino Linotype" w:hAnsi="Palatino Linotype" w:eastAsia="Palatino Linotype" w:cs="Times New Roman"/>
          <w:kern w:val="0"/>
          <w14:ligatures w14:val="none"/>
        </w:rPr>
        <w:t xml:space="preserve">s several </w:t>
      </w:r>
      <w:r w:rsidR="00FA4D39">
        <w:rPr>
          <w:rFonts w:ascii="Palatino Linotype" w:hAnsi="Palatino Linotype" w:eastAsia="Palatino Linotype" w:cs="Times New Roman"/>
          <w:kern w:val="0"/>
          <w14:ligatures w14:val="none"/>
        </w:rPr>
        <w:t>intervenors point out, t</w:t>
      </w:r>
      <w:r w:rsidR="00BB4BF3">
        <w:rPr>
          <w:rFonts w:ascii="Palatino Linotype" w:hAnsi="Palatino Linotype" w:eastAsia="Palatino Linotype" w:cs="Times New Roman"/>
          <w:kern w:val="0"/>
          <w14:ligatures w14:val="none"/>
        </w:rPr>
        <w:t xml:space="preserve">he ORCHARD scheme addresses several statewide goals, including </w:t>
      </w:r>
      <w:r w:rsidR="00315544">
        <w:rPr>
          <w:rFonts w:ascii="Palatino Linotype" w:hAnsi="Palatino Linotype" w:eastAsia="Palatino Linotype" w:cs="Times New Roman"/>
          <w:kern w:val="0"/>
          <w14:ligatures w14:val="none"/>
        </w:rPr>
        <w:t>SB</w:t>
      </w:r>
      <w:r w:rsidR="00BB4BF3">
        <w:rPr>
          <w:rFonts w:ascii="Palatino Linotype" w:hAnsi="Palatino Linotype" w:eastAsia="Palatino Linotype" w:cs="Times New Roman"/>
          <w:kern w:val="0"/>
          <w14:ligatures w14:val="none"/>
        </w:rPr>
        <w:t xml:space="preserve"> 676</w:t>
      </w:r>
      <w:r w:rsidR="00111F62">
        <w:rPr>
          <w:rFonts w:ascii="Palatino Linotype" w:hAnsi="Palatino Linotype" w:eastAsia="Palatino Linotype" w:cs="Times New Roman"/>
          <w:kern w:val="0"/>
          <w14:ligatures w14:val="none"/>
        </w:rPr>
        <w:t>,</w:t>
      </w:r>
      <w:r w:rsidR="0073660E">
        <w:rPr>
          <w:rFonts w:ascii="Palatino Linotype" w:hAnsi="Palatino Linotype" w:eastAsia="Palatino Linotype" w:cs="Times New Roman"/>
          <w:kern w:val="0"/>
          <w14:ligatures w14:val="none"/>
        </w:rPr>
        <w:t xml:space="preserve"> SB 59</w:t>
      </w:r>
      <w:r w:rsidR="00111F62">
        <w:rPr>
          <w:rFonts w:ascii="Palatino Linotype" w:hAnsi="Palatino Linotype" w:eastAsia="Palatino Linotype" w:cs="Times New Roman"/>
          <w:kern w:val="0"/>
          <w14:ligatures w14:val="none"/>
        </w:rPr>
        <w:t>, and</w:t>
      </w:r>
      <w:r w:rsidR="001C62FC">
        <w:rPr>
          <w:rFonts w:ascii="Palatino Linotype" w:hAnsi="Palatino Linotype" w:eastAsia="Palatino Linotype" w:cs="Times New Roman"/>
          <w:kern w:val="0"/>
          <w14:ligatures w14:val="none"/>
        </w:rPr>
        <w:t xml:space="preserve"> SB 846</w:t>
      </w:r>
      <w:r w:rsidR="009A1317">
        <w:rPr>
          <w:rFonts w:ascii="Palatino Linotype" w:hAnsi="Palatino Linotype" w:eastAsia="Palatino Linotype" w:cs="Times New Roman"/>
          <w:kern w:val="0"/>
          <w14:ligatures w14:val="none"/>
        </w:rPr>
        <w:t>.</w:t>
      </w:r>
      <w:r w:rsidR="00D53A12">
        <w:rPr>
          <w:rFonts w:ascii="Palatino Linotype" w:hAnsi="Palatino Linotype" w:eastAsia="Palatino Linotype" w:cs="Times New Roman"/>
          <w:kern w:val="0"/>
          <w14:ligatures w14:val="none"/>
        </w:rPr>
        <w:t xml:space="preserve"> </w:t>
      </w:r>
      <w:r w:rsidR="00B85556">
        <w:rPr>
          <w:rFonts w:ascii="Palatino Linotype" w:hAnsi="Palatino Linotype" w:eastAsia="Palatino Linotype" w:cs="Times New Roman"/>
          <w:kern w:val="0"/>
          <w14:ligatures w14:val="none"/>
        </w:rPr>
        <w:t xml:space="preserve">The proposal </w:t>
      </w:r>
      <w:r w:rsidR="005F2970">
        <w:rPr>
          <w:rFonts w:ascii="Palatino Linotype" w:hAnsi="Palatino Linotype" w:eastAsia="Palatino Linotype" w:cs="Times New Roman"/>
          <w:kern w:val="0"/>
          <w14:ligatures w14:val="none"/>
        </w:rPr>
        <w:t xml:space="preserve">also </w:t>
      </w:r>
      <w:r w:rsidR="00B85556">
        <w:rPr>
          <w:rFonts w:ascii="Palatino Linotype" w:hAnsi="Palatino Linotype" w:eastAsia="Palatino Linotype" w:cs="Times New Roman"/>
          <w:kern w:val="0"/>
          <w14:ligatures w14:val="none"/>
        </w:rPr>
        <w:t xml:space="preserve">addresses </w:t>
      </w:r>
      <w:r w:rsidR="003C2AA3">
        <w:rPr>
          <w:rFonts w:ascii="Palatino Linotype" w:hAnsi="Palatino Linotype" w:eastAsia="Palatino Linotype" w:cs="Times New Roman"/>
          <w:kern w:val="0"/>
          <w14:ligatures w14:val="none"/>
        </w:rPr>
        <w:t xml:space="preserve">the </w:t>
      </w:r>
      <w:r w:rsidR="00B85556">
        <w:rPr>
          <w:rFonts w:ascii="Palatino Linotype" w:hAnsi="Palatino Linotype" w:eastAsia="Palatino Linotype" w:cs="Times New Roman"/>
          <w:kern w:val="0"/>
          <w14:ligatures w14:val="none"/>
        </w:rPr>
        <w:t xml:space="preserve">strategic focus areas </w:t>
      </w:r>
      <w:r w:rsidR="00A53CCC">
        <w:rPr>
          <w:rFonts w:ascii="Palatino Linotype" w:hAnsi="Palatino Linotype" w:eastAsia="Palatino Linotype" w:cs="Times New Roman"/>
          <w:kern w:val="0"/>
          <w14:ligatures w14:val="none"/>
        </w:rPr>
        <w:t>of</w:t>
      </w:r>
      <w:r w:rsidR="00BB1344">
        <w:rPr>
          <w:rFonts w:ascii="Palatino Linotype" w:hAnsi="Palatino Linotype" w:eastAsia="Palatino Linotype" w:cs="Times New Roman"/>
          <w:kern w:val="0"/>
          <w14:ligatures w14:val="none"/>
        </w:rPr>
        <w:t xml:space="preserve"> VGI </w:t>
      </w:r>
      <w:r w:rsidR="00781FFC">
        <w:rPr>
          <w:rFonts w:ascii="Palatino Linotype" w:hAnsi="Palatino Linotype" w:eastAsia="Palatino Linotype" w:cs="Times New Roman"/>
          <w:kern w:val="0"/>
          <w14:ligatures w14:val="none"/>
        </w:rPr>
        <w:t xml:space="preserve">outlined in D.22-11-040. </w:t>
      </w:r>
    </w:p>
    <w:p w:rsidR="00D00635" w:rsidP="00D53A12" w:rsidRDefault="00D00635" w14:paraId="358A5321" w14:textId="77777777">
      <w:pPr>
        <w:spacing w:after="0" w:line="240" w:lineRule="auto"/>
        <w:rPr>
          <w:rFonts w:ascii="Palatino Linotype" w:hAnsi="Palatino Linotype" w:eastAsia="Palatino Linotype" w:cs="Times New Roman"/>
          <w:kern w:val="0"/>
          <w14:ligatures w14:val="none"/>
        </w:rPr>
      </w:pPr>
    </w:p>
    <w:p w:rsidR="0026071D" w:rsidP="00D00635" w:rsidRDefault="006674A1" w14:paraId="3705F1D3" w14:textId="2CE8E3DC">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 </w:t>
      </w:r>
      <w:r w:rsidR="00F0216D">
        <w:rPr>
          <w:rFonts w:ascii="Palatino Linotype" w:hAnsi="Palatino Linotype" w:eastAsia="Palatino Linotype" w:cs="Times New Roman"/>
          <w:kern w:val="0"/>
          <w14:ligatures w14:val="none"/>
        </w:rPr>
        <w:t xml:space="preserve">CPUC </w:t>
      </w:r>
      <w:r>
        <w:rPr>
          <w:rFonts w:ascii="Palatino Linotype" w:hAnsi="Palatino Linotype" w:eastAsia="Palatino Linotype" w:cs="Times New Roman"/>
          <w:kern w:val="0"/>
          <w14:ligatures w14:val="none"/>
        </w:rPr>
        <w:t xml:space="preserve">approves 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component of ORCHARD for the reasons above,</w:t>
      </w:r>
      <w:r w:rsidR="00F74807">
        <w:rPr>
          <w:rFonts w:ascii="Palatino Linotype" w:hAnsi="Palatino Linotype" w:eastAsia="Palatino Linotype" w:cs="Times New Roman"/>
          <w:kern w:val="0"/>
          <w14:ligatures w14:val="none"/>
        </w:rPr>
        <w:t xml:space="preserve"> AL 5536-E lacks sufficient detail on the budget needed to implement the program.</w:t>
      </w:r>
      <w:r>
        <w:rPr>
          <w:rFonts w:ascii="Palatino Linotype" w:hAnsi="Palatino Linotype" w:eastAsia="Palatino Linotype" w:cs="Times New Roman"/>
          <w:kern w:val="0"/>
          <w14:ligatures w14:val="none"/>
        </w:rPr>
        <w:t xml:space="preserve"> </w:t>
      </w:r>
      <w:r w:rsidR="007311B5">
        <w:rPr>
          <w:rFonts w:ascii="Palatino Linotype" w:hAnsi="Palatino Linotype" w:eastAsia="Palatino Linotype" w:cs="Times New Roman"/>
          <w:kern w:val="0"/>
          <w14:ligatures w14:val="none"/>
        </w:rPr>
        <w:t xml:space="preserve">AL 5536-E states that the $22,928,224 would be </w:t>
      </w:r>
      <w:r w:rsidR="00A53D96">
        <w:rPr>
          <w:rFonts w:ascii="Palatino Linotype" w:hAnsi="Palatino Linotype" w:eastAsia="Palatino Linotype" w:cs="Times New Roman"/>
          <w:kern w:val="0"/>
          <w14:ligatures w14:val="none"/>
        </w:rPr>
        <w:t xml:space="preserve">split almost equally among the orchestrated load management component and the </w:t>
      </w:r>
      <w:r w:rsidR="00814B74">
        <w:rPr>
          <w:rFonts w:ascii="Palatino Linotype" w:hAnsi="Palatino Linotype" w:eastAsia="Palatino Linotype" w:cs="Times New Roman"/>
          <w:kern w:val="0"/>
          <w14:ligatures w14:val="none"/>
        </w:rPr>
        <w:t>bidirectional equipment</w:t>
      </w:r>
      <w:r w:rsidR="00A53D96">
        <w:rPr>
          <w:rFonts w:ascii="Palatino Linotype" w:hAnsi="Palatino Linotype" w:eastAsia="Palatino Linotype" w:cs="Times New Roman"/>
          <w:kern w:val="0"/>
          <w14:ligatures w14:val="none"/>
        </w:rPr>
        <w:t xml:space="preserve"> component. </w:t>
      </w:r>
      <w:r w:rsidR="0049481F">
        <w:rPr>
          <w:rFonts w:ascii="Palatino Linotype" w:hAnsi="Palatino Linotype" w:eastAsia="Palatino Linotype" w:cs="Times New Roman"/>
          <w:kern w:val="0"/>
          <w14:ligatures w14:val="none"/>
        </w:rPr>
        <w:t>As such, t</w:t>
      </w:r>
      <w:r w:rsidR="00F74807">
        <w:rPr>
          <w:rFonts w:ascii="Palatino Linotype" w:hAnsi="Palatino Linotype" w:eastAsia="Palatino Linotype" w:cs="Times New Roman"/>
          <w:kern w:val="0"/>
          <w14:ligatures w14:val="none"/>
        </w:rPr>
        <w:t xml:space="preserve">he </w:t>
      </w:r>
      <w:r w:rsidR="00F0216D">
        <w:rPr>
          <w:rFonts w:ascii="Palatino Linotype" w:hAnsi="Palatino Linotype" w:eastAsia="Palatino Linotype" w:cs="Times New Roman"/>
          <w:kern w:val="0"/>
          <w14:ligatures w14:val="none"/>
        </w:rPr>
        <w:t xml:space="preserve">CPUC </w:t>
      </w:r>
      <w:r w:rsidR="003A35AD">
        <w:rPr>
          <w:rFonts w:ascii="Palatino Linotype" w:hAnsi="Palatino Linotype" w:eastAsia="Palatino Linotype" w:cs="Times New Roman"/>
          <w:kern w:val="0"/>
          <w14:ligatures w14:val="none"/>
        </w:rPr>
        <w:t xml:space="preserve">authorizes $11,464,112 for SCE to implement the orchestrated load management scheme and </w:t>
      </w:r>
      <w:r w:rsidR="00883505">
        <w:rPr>
          <w:rFonts w:ascii="Palatino Linotype" w:hAnsi="Palatino Linotype" w:eastAsia="Palatino Linotype" w:cs="Times New Roman"/>
          <w:kern w:val="0"/>
          <w14:ligatures w14:val="none"/>
        </w:rPr>
        <w:t>direct</w:t>
      </w:r>
      <w:r w:rsidR="00F74807">
        <w:rPr>
          <w:rFonts w:ascii="Palatino Linotype" w:hAnsi="Palatino Linotype" w:eastAsia="Palatino Linotype" w:cs="Times New Roman"/>
          <w:kern w:val="0"/>
          <w14:ligatures w14:val="none"/>
        </w:rPr>
        <w:t>s</w:t>
      </w:r>
      <w:r w:rsidR="00857486">
        <w:rPr>
          <w:rFonts w:ascii="Palatino Linotype" w:hAnsi="Palatino Linotype" w:eastAsia="Palatino Linotype" w:cs="Times New Roman"/>
          <w:kern w:val="0"/>
          <w14:ligatures w14:val="none"/>
        </w:rPr>
        <w:t xml:space="preserve"> SCE to submit </w:t>
      </w:r>
      <w:r w:rsidRPr="00274C9D" w:rsidR="00857486">
        <w:rPr>
          <w:rFonts w:ascii="Palatino Linotype" w:hAnsi="Palatino Linotype" w:eastAsia="Palatino Linotype" w:cs="Times New Roman"/>
          <w:kern w:val="0"/>
          <w14:ligatures w14:val="none"/>
        </w:rPr>
        <w:t xml:space="preserve">a Tier </w:t>
      </w:r>
      <w:r w:rsidR="00044227">
        <w:rPr>
          <w:rFonts w:ascii="Palatino Linotype" w:hAnsi="Palatino Linotype" w:eastAsia="Palatino Linotype" w:cs="Times New Roman"/>
          <w:kern w:val="0"/>
          <w14:ligatures w14:val="none"/>
        </w:rPr>
        <w:t>2</w:t>
      </w:r>
      <w:r w:rsidRPr="00274C9D" w:rsidR="00857486">
        <w:rPr>
          <w:rFonts w:ascii="Palatino Linotype" w:hAnsi="Palatino Linotype" w:eastAsia="Palatino Linotype" w:cs="Times New Roman"/>
          <w:kern w:val="0"/>
          <w14:ligatures w14:val="none"/>
        </w:rPr>
        <w:t xml:space="preserve"> AL</w:t>
      </w:r>
      <w:r w:rsidR="00857486">
        <w:rPr>
          <w:rFonts w:ascii="Palatino Linotype" w:hAnsi="Palatino Linotype" w:eastAsia="Palatino Linotype" w:cs="Times New Roman"/>
          <w:kern w:val="0"/>
          <w14:ligatures w14:val="none"/>
        </w:rPr>
        <w:t xml:space="preserve"> </w:t>
      </w:r>
      <w:r w:rsidR="00ED209B">
        <w:rPr>
          <w:rFonts w:ascii="Palatino Linotype" w:hAnsi="Palatino Linotype" w:eastAsia="Palatino Linotype" w:cs="Times New Roman"/>
          <w:kern w:val="0"/>
          <w14:ligatures w14:val="none"/>
        </w:rPr>
        <w:t xml:space="preserve">within </w:t>
      </w:r>
      <w:r w:rsidRPr="003E297A" w:rsidR="00EF6812">
        <w:rPr>
          <w:rFonts w:ascii="Palatino Linotype" w:hAnsi="Palatino Linotype" w:eastAsia="Palatino Linotype" w:cs="Times New Roman"/>
          <w:kern w:val="0"/>
          <w14:ligatures w14:val="none"/>
        </w:rPr>
        <w:t>30</w:t>
      </w:r>
      <w:r w:rsidRPr="003E297A" w:rsidR="00ED209B">
        <w:rPr>
          <w:rFonts w:ascii="Palatino Linotype" w:hAnsi="Palatino Linotype" w:eastAsia="Palatino Linotype" w:cs="Times New Roman"/>
          <w:kern w:val="0"/>
          <w14:ligatures w14:val="none"/>
        </w:rPr>
        <w:t xml:space="preserve"> days </w:t>
      </w:r>
      <w:r w:rsidR="00ED209B">
        <w:rPr>
          <w:rFonts w:ascii="Palatino Linotype" w:hAnsi="Palatino Linotype" w:eastAsia="Palatino Linotype" w:cs="Times New Roman"/>
          <w:kern w:val="0"/>
          <w14:ligatures w14:val="none"/>
        </w:rPr>
        <w:t xml:space="preserve">of approval of this Resolution </w:t>
      </w:r>
      <w:r w:rsidR="00FA7923">
        <w:rPr>
          <w:rFonts w:ascii="Palatino Linotype" w:hAnsi="Palatino Linotype" w:eastAsia="Palatino Linotype" w:cs="Times New Roman"/>
          <w:kern w:val="0"/>
          <w14:ligatures w14:val="none"/>
        </w:rPr>
        <w:t>to provide more</w:t>
      </w:r>
      <w:r w:rsidR="00857486">
        <w:rPr>
          <w:rFonts w:ascii="Palatino Linotype" w:hAnsi="Palatino Linotype" w:eastAsia="Palatino Linotype" w:cs="Times New Roman"/>
          <w:kern w:val="0"/>
          <w14:ligatures w14:val="none"/>
        </w:rPr>
        <w:t xml:space="preserve"> </w:t>
      </w:r>
      <w:r w:rsidR="007B01B8">
        <w:rPr>
          <w:rFonts w:ascii="Palatino Linotype" w:hAnsi="Palatino Linotype" w:eastAsia="Palatino Linotype" w:cs="Times New Roman"/>
          <w:kern w:val="0"/>
          <w14:ligatures w14:val="none"/>
        </w:rPr>
        <w:t xml:space="preserve">details </w:t>
      </w:r>
      <w:r w:rsidR="00FA7923">
        <w:rPr>
          <w:rFonts w:ascii="Palatino Linotype" w:hAnsi="Palatino Linotype" w:eastAsia="Palatino Linotype" w:cs="Times New Roman"/>
          <w:kern w:val="0"/>
          <w14:ligatures w14:val="none"/>
        </w:rPr>
        <w:t xml:space="preserve">on </w:t>
      </w:r>
      <w:r w:rsidR="00857486">
        <w:rPr>
          <w:rFonts w:ascii="Palatino Linotype" w:hAnsi="Palatino Linotype" w:eastAsia="Palatino Linotype" w:cs="Times New Roman"/>
          <w:kern w:val="0"/>
          <w14:ligatures w14:val="none"/>
        </w:rPr>
        <w:t xml:space="preserve">the </w:t>
      </w:r>
      <w:r w:rsidR="00274C9D">
        <w:rPr>
          <w:rFonts w:ascii="Palatino Linotype" w:hAnsi="Palatino Linotype" w:eastAsia="Palatino Linotype" w:cs="Times New Roman"/>
          <w:kern w:val="0"/>
          <w14:ligatures w14:val="none"/>
        </w:rPr>
        <w:t xml:space="preserve">program </w:t>
      </w:r>
      <w:r w:rsidR="00857486">
        <w:rPr>
          <w:rFonts w:ascii="Palatino Linotype" w:hAnsi="Palatino Linotype" w:eastAsia="Palatino Linotype" w:cs="Times New Roman"/>
          <w:kern w:val="0"/>
          <w14:ligatures w14:val="none"/>
        </w:rPr>
        <w:t>budget</w:t>
      </w:r>
      <w:r w:rsidR="00421F6E">
        <w:rPr>
          <w:rFonts w:ascii="Palatino Linotype" w:hAnsi="Palatino Linotype" w:eastAsia="Palatino Linotype" w:cs="Times New Roman"/>
          <w:kern w:val="0"/>
          <w14:ligatures w14:val="none"/>
        </w:rPr>
        <w:t xml:space="preserve">. </w:t>
      </w:r>
      <w:r w:rsidR="00FA7923">
        <w:rPr>
          <w:rFonts w:ascii="Palatino Linotype" w:hAnsi="Palatino Linotype" w:eastAsia="Palatino Linotype" w:cs="Times New Roman"/>
          <w:kern w:val="0"/>
          <w14:ligatures w14:val="none"/>
        </w:rPr>
        <w:t>SCE’s AL must</w:t>
      </w:r>
      <w:r w:rsidR="002D50A0">
        <w:rPr>
          <w:rFonts w:ascii="Palatino Linotype" w:hAnsi="Palatino Linotype" w:eastAsia="Palatino Linotype" w:cs="Times New Roman"/>
          <w:kern w:val="0"/>
          <w14:ligatures w14:val="none"/>
        </w:rPr>
        <w:t xml:space="preserve"> </w:t>
      </w:r>
      <w:r w:rsidR="00C14FAB">
        <w:rPr>
          <w:rFonts w:ascii="Palatino Linotype" w:hAnsi="Palatino Linotype" w:eastAsia="Palatino Linotype" w:cs="Times New Roman"/>
          <w:kern w:val="0"/>
          <w14:ligatures w14:val="none"/>
        </w:rPr>
        <w:t>include budget details for</w:t>
      </w:r>
      <w:r w:rsidR="002D50A0">
        <w:rPr>
          <w:rFonts w:ascii="Palatino Linotype" w:hAnsi="Palatino Linotype" w:eastAsia="Palatino Linotype" w:cs="Times New Roman"/>
          <w:kern w:val="0"/>
          <w14:ligatures w14:val="none"/>
        </w:rPr>
        <w:t xml:space="preserve"> </w:t>
      </w:r>
      <w:r w:rsidR="00FF1053">
        <w:rPr>
          <w:rFonts w:ascii="Palatino Linotype" w:hAnsi="Palatino Linotype" w:eastAsia="Palatino Linotype" w:cs="Times New Roman"/>
          <w:kern w:val="0"/>
          <w14:ligatures w14:val="none"/>
        </w:rPr>
        <w:t>the following</w:t>
      </w:r>
      <w:r w:rsidR="00C14FAB">
        <w:rPr>
          <w:rFonts w:ascii="Palatino Linotype" w:hAnsi="Palatino Linotype" w:eastAsia="Palatino Linotype" w:cs="Times New Roman"/>
          <w:kern w:val="0"/>
          <w14:ligatures w14:val="none"/>
        </w:rPr>
        <w:t xml:space="preserve"> program</w:t>
      </w:r>
      <w:r w:rsidR="00FF1053">
        <w:rPr>
          <w:rFonts w:ascii="Palatino Linotype" w:hAnsi="Palatino Linotype" w:eastAsia="Palatino Linotype" w:cs="Times New Roman"/>
          <w:kern w:val="0"/>
          <w14:ligatures w14:val="none"/>
        </w:rPr>
        <w:t xml:space="preserve"> components: </w:t>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1) </w:t>
      </w:r>
      <w:r w:rsidR="004C315A">
        <w:rPr>
          <w:rFonts w:ascii="Palatino Linotype" w:hAnsi="Palatino Linotype" w:eastAsia="Palatino Linotype" w:cs="Times New Roman"/>
          <w:kern w:val="0"/>
          <w14:ligatures w14:val="none"/>
        </w:rPr>
        <w:t>administrative labor</w:t>
      </w:r>
      <w:r w:rsidR="00C14FAB">
        <w:rPr>
          <w:rFonts w:ascii="Palatino Linotype" w:hAnsi="Palatino Linotype" w:eastAsia="Palatino Linotype" w:cs="Times New Roman"/>
          <w:kern w:val="0"/>
          <w14:ligatures w14:val="none"/>
        </w:rPr>
        <w:t xml:space="preserve">, </w:t>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2)</w:t>
      </w:r>
      <w:r w:rsidR="004C315A">
        <w:rPr>
          <w:rFonts w:ascii="Palatino Linotype" w:hAnsi="Palatino Linotype" w:eastAsia="Palatino Linotype" w:cs="Times New Roman"/>
          <w:kern w:val="0"/>
          <w14:ligatures w14:val="none"/>
        </w:rPr>
        <w:t xml:space="preserve"> marketing labor</w:t>
      </w:r>
      <w:r w:rsidR="00C14FAB">
        <w:rPr>
          <w:rFonts w:ascii="Palatino Linotype" w:hAnsi="Palatino Linotype" w:eastAsia="Palatino Linotype" w:cs="Times New Roman"/>
          <w:kern w:val="0"/>
          <w14:ligatures w14:val="none"/>
        </w:rPr>
        <w:t xml:space="preserve">, </w:t>
      </w:r>
      <w:r w:rsidR="004E1987">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3)</w:t>
      </w:r>
      <w:r w:rsidR="004C315A">
        <w:rPr>
          <w:rFonts w:ascii="Palatino Linotype" w:hAnsi="Palatino Linotype" w:eastAsia="Palatino Linotype" w:cs="Times New Roman"/>
          <w:kern w:val="0"/>
          <w14:ligatures w14:val="none"/>
        </w:rPr>
        <w:t xml:space="preserve"> </w:t>
      </w:r>
      <w:r w:rsidR="00D82803">
        <w:rPr>
          <w:rFonts w:ascii="Palatino Linotype" w:hAnsi="Palatino Linotype" w:eastAsia="Palatino Linotype" w:cs="Times New Roman"/>
          <w:kern w:val="0"/>
          <w14:ligatures w14:val="none"/>
        </w:rPr>
        <w:t xml:space="preserve">program costs </w:t>
      </w:r>
      <w:r w:rsidR="00C14FAB">
        <w:rPr>
          <w:rFonts w:ascii="Palatino Linotype" w:hAnsi="Palatino Linotype" w:eastAsia="Palatino Linotype" w:cs="Times New Roman"/>
          <w:kern w:val="0"/>
          <w14:ligatures w14:val="none"/>
        </w:rPr>
        <w:t>(</w:t>
      </w:r>
      <w:r w:rsidR="000025E3">
        <w:rPr>
          <w:rFonts w:ascii="Palatino Linotype" w:hAnsi="Palatino Linotype" w:eastAsia="Palatino Linotype" w:cs="Times New Roman"/>
          <w:kern w:val="0"/>
          <w14:ligatures w14:val="none"/>
        </w:rPr>
        <w:t>IT</w:t>
      </w:r>
      <w:r w:rsidR="007D72E6">
        <w:rPr>
          <w:rFonts w:ascii="Palatino Linotype" w:hAnsi="Palatino Linotype" w:eastAsia="Palatino Linotype" w:cs="Times New Roman"/>
          <w:kern w:val="0"/>
          <w14:ligatures w14:val="none"/>
        </w:rPr>
        <w:t>,</w:t>
      </w:r>
      <w:r w:rsidR="009A05B3">
        <w:rPr>
          <w:rFonts w:ascii="Palatino Linotype" w:hAnsi="Palatino Linotype" w:eastAsia="Palatino Linotype" w:cs="Times New Roman"/>
          <w:kern w:val="0"/>
          <w14:ligatures w14:val="none"/>
        </w:rPr>
        <w:t xml:space="preserve"> third-party implementor costs</w:t>
      </w:r>
      <w:r w:rsidR="00C14FAB">
        <w:rPr>
          <w:rFonts w:ascii="Palatino Linotype" w:hAnsi="Palatino Linotype" w:eastAsia="Palatino Linotype" w:cs="Times New Roman"/>
          <w:kern w:val="0"/>
          <w14:ligatures w14:val="none"/>
        </w:rPr>
        <w:t>,</w:t>
      </w:r>
      <w:r w:rsidR="00320B49">
        <w:rPr>
          <w:rFonts w:ascii="Palatino Linotype" w:hAnsi="Palatino Linotype" w:eastAsia="Palatino Linotype" w:cs="Times New Roman"/>
          <w:kern w:val="0"/>
          <w14:ligatures w14:val="none"/>
        </w:rPr>
        <w:t xml:space="preserve"> </w:t>
      </w:r>
      <w:r w:rsidR="00C96DE4">
        <w:rPr>
          <w:rFonts w:ascii="Palatino Linotype" w:hAnsi="Palatino Linotype" w:eastAsia="Palatino Linotype" w:cs="Times New Roman"/>
          <w:kern w:val="0"/>
          <w14:ligatures w14:val="none"/>
        </w:rPr>
        <w:t>fees and subscriptions charged by OEMs</w:t>
      </w:r>
      <w:r w:rsidR="00A80BE5">
        <w:rPr>
          <w:rFonts w:ascii="Palatino Linotype" w:hAnsi="Palatino Linotype" w:eastAsia="Palatino Linotype" w:cs="Times New Roman"/>
          <w:kern w:val="0"/>
          <w14:ligatures w14:val="none"/>
        </w:rPr>
        <w:t xml:space="preserve"> </w:t>
      </w:r>
      <w:r w:rsidR="000B2CFE">
        <w:rPr>
          <w:rFonts w:ascii="Palatino Linotype" w:hAnsi="Palatino Linotype" w:eastAsia="Palatino Linotype" w:cs="Times New Roman"/>
          <w:kern w:val="0"/>
          <w14:ligatures w14:val="none"/>
        </w:rPr>
        <w:t>for SCE</w:t>
      </w:r>
      <w:r w:rsidR="006424CC">
        <w:rPr>
          <w:rFonts w:ascii="Palatino Linotype" w:hAnsi="Palatino Linotype" w:eastAsia="Palatino Linotype" w:cs="Times New Roman"/>
          <w:kern w:val="0"/>
          <w14:ligatures w14:val="none"/>
        </w:rPr>
        <w:t xml:space="preserve"> and/or </w:t>
      </w:r>
      <w:r w:rsidR="00D23D3D">
        <w:rPr>
          <w:rFonts w:ascii="Palatino Linotype" w:hAnsi="Palatino Linotype" w:eastAsia="Palatino Linotype" w:cs="Times New Roman"/>
          <w:kern w:val="0"/>
          <w14:ligatures w14:val="none"/>
        </w:rPr>
        <w:t>third-</w:t>
      </w:r>
      <w:r w:rsidR="00D23D3D">
        <w:rPr>
          <w:rFonts w:ascii="Palatino Linotype" w:hAnsi="Palatino Linotype" w:eastAsia="Palatino Linotype" w:cs="Times New Roman"/>
          <w:kern w:val="0"/>
          <w14:ligatures w14:val="none"/>
        </w:rPr>
        <w:lastRenderedPageBreak/>
        <w:t>party aggregators</w:t>
      </w:r>
      <w:r w:rsidR="000B2CFE">
        <w:rPr>
          <w:rFonts w:ascii="Palatino Linotype" w:hAnsi="Palatino Linotype" w:eastAsia="Palatino Linotype" w:cs="Times New Roman"/>
          <w:kern w:val="0"/>
          <w14:ligatures w14:val="none"/>
        </w:rPr>
        <w:t xml:space="preserve"> </w:t>
      </w:r>
      <w:r w:rsidR="00A80BE5">
        <w:rPr>
          <w:rFonts w:ascii="Palatino Linotype" w:hAnsi="Palatino Linotype" w:eastAsia="Palatino Linotype" w:cs="Times New Roman"/>
          <w:kern w:val="0"/>
          <w14:ligatures w14:val="none"/>
        </w:rPr>
        <w:t xml:space="preserve">to manage </w:t>
      </w:r>
      <w:r w:rsidR="00E23C3B">
        <w:rPr>
          <w:rFonts w:ascii="Palatino Linotype" w:hAnsi="Palatino Linotype" w:eastAsia="Palatino Linotype" w:cs="Times New Roman"/>
          <w:kern w:val="0"/>
          <w14:ligatures w14:val="none"/>
        </w:rPr>
        <w:t>the EV</w:t>
      </w:r>
      <w:r w:rsidR="00C56878">
        <w:rPr>
          <w:rFonts w:ascii="Palatino Linotype" w:hAnsi="Palatino Linotype" w:eastAsia="Palatino Linotype" w:cs="Times New Roman"/>
          <w:kern w:val="0"/>
          <w14:ligatures w14:val="none"/>
        </w:rPr>
        <w:t xml:space="preserve"> charging</w:t>
      </w:r>
      <w:r w:rsidR="00C96DE4">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 etc.),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4)</w:t>
      </w:r>
      <w:r w:rsidR="009A05B3">
        <w:rPr>
          <w:rFonts w:ascii="Palatino Linotype" w:hAnsi="Palatino Linotype" w:eastAsia="Palatino Linotype" w:cs="Times New Roman"/>
          <w:kern w:val="0"/>
          <w14:ligatures w14:val="none"/>
        </w:rPr>
        <w:t xml:space="preserve"> </w:t>
      </w:r>
      <w:r w:rsidR="00CC742D">
        <w:rPr>
          <w:rFonts w:ascii="Palatino Linotype" w:hAnsi="Palatino Linotype" w:eastAsia="Palatino Linotype" w:cs="Times New Roman"/>
          <w:kern w:val="0"/>
          <w14:ligatures w14:val="none"/>
        </w:rPr>
        <w:t>marketing, education, and outreach (</w:t>
      </w:r>
      <w:r w:rsidR="00D35F5A">
        <w:rPr>
          <w:rFonts w:ascii="Palatino Linotype" w:hAnsi="Palatino Linotype" w:eastAsia="Palatino Linotype" w:cs="Times New Roman"/>
          <w:kern w:val="0"/>
          <w14:ligatures w14:val="none"/>
        </w:rPr>
        <w:t>ME&amp;O</w:t>
      </w:r>
      <w:r w:rsidR="00CC742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5)</w:t>
      </w:r>
      <w:r w:rsidR="00D35F5A">
        <w:rPr>
          <w:rFonts w:ascii="Palatino Linotype" w:hAnsi="Palatino Linotype" w:eastAsia="Palatino Linotype" w:cs="Times New Roman"/>
          <w:kern w:val="0"/>
          <w14:ligatures w14:val="none"/>
        </w:rPr>
        <w:t xml:space="preserve"> program evaluation</w:t>
      </w:r>
      <w:r w:rsidR="00C14FAB">
        <w:rPr>
          <w:rFonts w:ascii="Palatino Linotype" w:hAnsi="Palatino Linotype" w:eastAsia="Palatino Linotype" w:cs="Times New Roman"/>
          <w:kern w:val="0"/>
          <w14:ligatures w14:val="none"/>
        </w:rPr>
        <w:t xml:space="preserve">, </w:t>
      </w:r>
      <w:r w:rsidR="00D35F5A">
        <w:rPr>
          <w:rFonts w:ascii="Palatino Linotype" w:hAnsi="Palatino Linotype" w:eastAsia="Palatino Linotype" w:cs="Times New Roman"/>
          <w:kern w:val="0"/>
          <w14:ligatures w14:val="none"/>
        </w:rPr>
        <w:t xml:space="preserve">and </w:t>
      </w:r>
      <w:r w:rsidR="003F73CD">
        <w:rPr>
          <w:rFonts w:ascii="Palatino Linotype" w:hAnsi="Palatino Linotype" w:eastAsia="Palatino Linotype" w:cs="Times New Roman"/>
          <w:kern w:val="0"/>
          <w14:ligatures w14:val="none"/>
        </w:rPr>
        <w:t>(</w:t>
      </w:r>
      <w:r w:rsidR="00C14FAB">
        <w:rPr>
          <w:rFonts w:ascii="Palatino Linotype" w:hAnsi="Palatino Linotype" w:eastAsia="Palatino Linotype" w:cs="Times New Roman"/>
          <w:kern w:val="0"/>
          <w14:ligatures w14:val="none"/>
        </w:rPr>
        <w:t xml:space="preserve">6) </w:t>
      </w:r>
      <w:r w:rsidR="00D35F5A">
        <w:rPr>
          <w:rFonts w:ascii="Palatino Linotype" w:hAnsi="Palatino Linotype" w:eastAsia="Palatino Linotype" w:cs="Times New Roman"/>
          <w:kern w:val="0"/>
          <w14:ligatures w14:val="none"/>
        </w:rPr>
        <w:t>customer participation incentives.</w:t>
      </w:r>
    </w:p>
    <w:p w:rsidR="00C24FAF" w:rsidP="00C24FAF" w:rsidRDefault="00C24FAF" w14:paraId="135678EB" w14:textId="77777777">
      <w:pPr>
        <w:spacing w:after="0" w:line="240" w:lineRule="auto"/>
        <w:rPr>
          <w:rFonts w:ascii="Palatino Linotype" w:hAnsi="Palatino Linotype" w:eastAsia="Palatino Linotype" w:cs="Times New Roman"/>
          <w:kern w:val="0"/>
          <w14:ligatures w14:val="none"/>
        </w:rPr>
      </w:pPr>
    </w:p>
    <w:p w:rsidRPr="00C24FAF" w:rsidR="00C24FAF" w:rsidP="00E6107E" w:rsidRDefault="00C24FAF" w14:paraId="087B6657" w14:textId="5C0408EB">
      <w:pPr>
        <w:pStyle w:val="Heading3"/>
        <w:numPr>
          <w:ilvl w:val="0"/>
          <w:numId w:val="21"/>
        </w:numPr>
        <w:spacing w:before="0" w:after="120" w:line="240" w:lineRule="auto"/>
        <w:rPr>
          <w:rFonts w:ascii="Palatino Linotype" w:hAnsi="Palatino Linotype" w:eastAsia="Palatino Linotype"/>
          <w:sz w:val="24"/>
          <w:szCs w:val="24"/>
        </w:rPr>
      </w:pPr>
      <w:r w:rsidRPr="00C24FAF">
        <w:rPr>
          <w:rFonts w:ascii="Palatino Linotype" w:hAnsi="Palatino Linotype" w:eastAsia="Palatino Linotype"/>
          <w:sz w:val="24"/>
          <w:szCs w:val="24"/>
        </w:rPr>
        <w:t xml:space="preserve">ORCHARD Incentives </w:t>
      </w:r>
    </w:p>
    <w:p w:rsidRPr="00292EEA" w:rsidR="00704B56" w:rsidP="006226D4" w:rsidRDefault="00252804" w14:paraId="26265597" w14:textId="6B9E5F23">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 xml:space="preserve">SCE proposes </w:t>
      </w:r>
      <w:r w:rsidRPr="006226D4" w:rsidR="0003597F">
        <w:rPr>
          <w:rFonts w:ascii="Palatino Linotype" w:hAnsi="Palatino Linotype" w:eastAsia="Palatino Linotype" w:cs="Times New Roman"/>
          <w:kern w:val="0"/>
          <w14:ligatures w14:val="none"/>
        </w:rPr>
        <w:t xml:space="preserve">providing </w:t>
      </w:r>
      <w:r w:rsidRPr="006226D4">
        <w:rPr>
          <w:rFonts w:ascii="Palatino Linotype" w:hAnsi="Palatino Linotype" w:eastAsia="Palatino Linotype" w:cs="Times New Roman"/>
          <w:kern w:val="0"/>
          <w14:ligatures w14:val="none"/>
        </w:rPr>
        <w:t xml:space="preserve">annually declining incentives to customers participating in the </w:t>
      </w:r>
      <w:r w:rsidR="00A47A85">
        <w:rPr>
          <w:rFonts w:ascii="Palatino Linotype" w:hAnsi="Palatino Linotype" w:eastAsia="Times New Roman" w:cs="Times New Roman"/>
          <w:kern w:val="0"/>
          <w14:ligatures w14:val="none"/>
        </w:rPr>
        <w:t>orchestrated load management</w:t>
      </w:r>
      <w:r w:rsidRPr="006226D4" w:rsidR="00A47A85">
        <w:rPr>
          <w:rFonts w:ascii="Palatino Linotype" w:hAnsi="Palatino Linotype" w:eastAsia="Palatino Linotype" w:cs="Times New Roman"/>
          <w:kern w:val="0"/>
          <w14:ligatures w14:val="none"/>
        </w:rPr>
        <w:t xml:space="preserve"> </w:t>
      </w:r>
      <w:r w:rsidRPr="006226D4">
        <w:rPr>
          <w:rFonts w:ascii="Palatino Linotype" w:hAnsi="Palatino Linotype" w:eastAsia="Palatino Linotype" w:cs="Times New Roman"/>
          <w:kern w:val="0"/>
          <w14:ligatures w14:val="none"/>
        </w:rPr>
        <w:t xml:space="preserve">component of ORCHARD. </w:t>
      </w:r>
      <w:r>
        <w:rPr>
          <w:rFonts w:ascii="Palatino Linotype" w:hAnsi="Palatino Linotype" w:eastAsia="Palatino Linotype" w:cs="Times New Roman"/>
          <w:kern w:val="0"/>
          <w14:ligatures w14:val="none"/>
        </w:rPr>
        <w:t xml:space="preserve">Specifically, </w:t>
      </w:r>
      <w:r w:rsidR="004D03AB">
        <w:rPr>
          <w:rFonts w:ascii="Palatino Linotype" w:hAnsi="Palatino Linotype" w:eastAsia="Palatino Linotype" w:cs="Times New Roman"/>
          <w:kern w:val="0"/>
          <w14:ligatures w14:val="none"/>
        </w:rPr>
        <w:t>there would be an initial sign-up incentive of $75 and a</w:t>
      </w:r>
      <w:r w:rsidR="00CF25E1">
        <w:rPr>
          <w:rFonts w:ascii="Palatino Linotype" w:hAnsi="Palatino Linotype" w:eastAsia="Palatino Linotype" w:cs="Times New Roman"/>
          <w:kern w:val="0"/>
          <w14:ligatures w14:val="none"/>
        </w:rPr>
        <w:t>n annual</w:t>
      </w:r>
      <w:r w:rsidR="004D03AB">
        <w:rPr>
          <w:rFonts w:ascii="Palatino Linotype" w:hAnsi="Palatino Linotype" w:eastAsia="Palatino Linotype" w:cs="Times New Roman"/>
          <w:kern w:val="0"/>
          <w14:ligatures w14:val="none"/>
        </w:rPr>
        <w:t xml:space="preserve"> participation incentive starting at $50, as seen in Table </w:t>
      </w:r>
      <w:r w:rsidR="00E75189">
        <w:rPr>
          <w:rFonts w:ascii="Palatino Linotype" w:hAnsi="Palatino Linotype" w:eastAsia="Palatino Linotype" w:cs="Times New Roman"/>
          <w:kern w:val="0"/>
          <w14:ligatures w14:val="none"/>
        </w:rPr>
        <w:t xml:space="preserve">1 </w:t>
      </w:r>
      <w:r w:rsidR="00961657">
        <w:rPr>
          <w:rFonts w:ascii="Palatino Linotype" w:hAnsi="Palatino Linotype" w:eastAsia="Palatino Linotype" w:cs="Times New Roman"/>
          <w:kern w:val="0"/>
          <w14:ligatures w14:val="none"/>
        </w:rPr>
        <w:t xml:space="preserve">below. </w:t>
      </w:r>
      <w:r w:rsidR="009B0BD4">
        <w:rPr>
          <w:rFonts w:ascii="Palatino Linotype" w:hAnsi="Palatino Linotype" w:eastAsia="Palatino Linotype" w:cs="Times New Roman"/>
          <w:kern w:val="0"/>
          <w14:ligatures w14:val="none"/>
        </w:rPr>
        <w:t xml:space="preserve">No parties commented on </w:t>
      </w:r>
      <w:r w:rsidR="0090140B">
        <w:rPr>
          <w:rFonts w:ascii="Palatino Linotype" w:hAnsi="Palatino Linotype" w:eastAsia="Palatino Linotype" w:cs="Times New Roman"/>
          <w:kern w:val="0"/>
          <w14:ligatures w14:val="none"/>
        </w:rPr>
        <w:t>the ORCHARD participation incentive</w:t>
      </w:r>
      <w:r w:rsidR="00B879FE">
        <w:rPr>
          <w:rFonts w:ascii="Palatino Linotype" w:hAnsi="Palatino Linotype" w:eastAsia="Palatino Linotype" w:cs="Times New Roman"/>
          <w:kern w:val="0"/>
          <w14:ligatures w14:val="none"/>
        </w:rPr>
        <w:t xml:space="preserve"> amount</w:t>
      </w:r>
      <w:r w:rsidR="0090140B">
        <w:rPr>
          <w:rFonts w:ascii="Palatino Linotype" w:hAnsi="Palatino Linotype" w:eastAsia="Palatino Linotype" w:cs="Times New Roman"/>
          <w:kern w:val="0"/>
          <w14:ligatures w14:val="none"/>
        </w:rPr>
        <w:t xml:space="preserve">s. </w:t>
      </w:r>
    </w:p>
    <w:p w:rsidR="00961657" w:rsidP="00961657" w:rsidRDefault="00961657" w14:paraId="58005E82" w14:textId="77777777">
      <w:pPr>
        <w:spacing w:after="0" w:line="240" w:lineRule="auto"/>
        <w:rPr>
          <w:rFonts w:ascii="Palatino Linotype" w:hAnsi="Palatino Linotype" w:eastAsia="Palatino Linotype" w:cs="Times New Roman"/>
          <w:kern w:val="0"/>
          <w14:ligatures w14:val="none"/>
        </w:rPr>
      </w:pPr>
    </w:p>
    <w:p w:rsidRPr="003A3CE8" w:rsidR="00F30672" w:rsidP="00F30672" w:rsidRDefault="00F30672" w14:paraId="5AF04F57" w14:textId="6FDDE8BF">
      <w:pPr>
        <w:pStyle w:val="Caption"/>
        <w:keepNext/>
        <w:rPr>
          <w:rFonts w:ascii="Palatino Linotype" w:hAnsi="Palatino Linotype"/>
          <w:sz w:val="24"/>
          <w:szCs w:val="24"/>
        </w:rPr>
      </w:pPr>
      <w:r w:rsidRPr="003A3CE8">
        <w:rPr>
          <w:rFonts w:ascii="Palatino Linotype" w:hAnsi="Palatino Linotype"/>
          <w:sz w:val="24"/>
          <w:szCs w:val="24"/>
        </w:rPr>
        <w:t xml:space="preserve">Table </w:t>
      </w:r>
      <w:r w:rsidRPr="003A3CE8">
        <w:rPr>
          <w:rFonts w:ascii="Palatino Linotype" w:hAnsi="Palatino Linotype"/>
          <w:sz w:val="24"/>
          <w:szCs w:val="24"/>
        </w:rPr>
        <w:fldChar w:fldCharType="begin"/>
      </w:r>
      <w:r w:rsidRPr="003A3CE8">
        <w:rPr>
          <w:rFonts w:ascii="Palatino Linotype" w:hAnsi="Palatino Linotype"/>
          <w:sz w:val="24"/>
          <w:szCs w:val="24"/>
        </w:rPr>
        <w:instrText xml:space="preserve"> SEQ Table \* ARABIC </w:instrText>
      </w:r>
      <w:r w:rsidRPr="003A3CE8">
        <w:rPr>
          <w:rFonts w:ascii="Palatino Linotype" w:hAnsi="Palatino Linotype"/>
          <w:sz w:val="24"/>
          <w:szCs w:val="24"/>
        </w:rPr>
        <w:fldChar w:fldCharType="separate"/>
      </w:r>
      <w:r w:rsidR="00AB5B2D">
        <w:rPr>
          <w:rFonts w:ascii="Palatino Linotype" w:hAnsi="Palatino Linotype"/>
          <w:noProof/>
          <w:sz w:val="24"/>
          <w:szCs w:val="24"/>
        </w:rPr>
        <w:t>1</w:t>
      </w:r>
      <w:r w:rsidRPr="003A3CE8">
        <w:rPr>
          <w:rFonts w:ascii="Palatino Linotype" w:hAnsi="Palatino Linotype"/>
          <w:sz w:val="24"/>
          <w:szCs w:val="24"/>
        </w:rPr>
        <w:fldChar w:fldCharType="end"/>
      </w:r>
      <w:r w:rsidRPr="003A3CE8">
        <w:rPr>
          <w:rFonts w:ascii="Palatino Linotype" w:hAnsi="Palatino Linotype"/>
          <w:sz w:val="24"/>
          <w:szCs w:val="24"/>
        </w:rPr>
        <w:t>: ORCHARD Participation Incentives</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961657" w:rsidTr="2128FA49" w14:paraId="75C11E37" w14:textId="77777777">
        <w:tc>
          <w:tcPr>
            <w:tcW w:w="1335" w:type="dxa"/>
          </w:tcPr>
          <w:p w:rsidR="00961657" w:rsidP="00704B56" w:rsidRDefault="00961657" w14:paraId="27EF2648" w14:textId="21E68CB1">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Year</w:t>
            </w:r>
          </w:p>
        </w:tc>
        <w:tc>
          <w:tcPr>
            <w:tcW w:w="1335" w:type="dxa"/>
          </w:tcPr>
          <w:p w:rsidR="00961657" w:rsidP="00704B56" w:rsidRDefault="00704B56" w14:paraId="1C9C54ED" w14:textId="1C8CED2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(Sign-Up)</w:t>
            </w:r>
          </w:p>
        </w:tc>
        <w:tc>
          <w:tcPr>
            <w:tcW w:w="1336" w:type="dxa"/>
          </w:tcPr>
          <w:p w:rsidR="00961657" w:rsidP="00704B56" w:rsidRDefault="00704B56" w14:paraId="3472C77D" w14:textId="6572FA9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1</w:t>
            </w:r>
          </w:p>
        </w:tc>
        <w:tc>
          <w:tcPr>
            <w:tcW w:w="1336" w:type="dxa"/>
          </w:tcPr>
          <w:p w:rsidR="00961657" w:rsidP="00704B56" w:rsidRDefault="00704B56" w14:paraId="325BD383" w14:textId="07042B4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2</w:t>
            </w:r>
          </w:p>
        </w:tc>
        <w:tc>
          <w:tcPr>
            <w:tcW w:w="1336" w:type="dxa"/>
          </w:tcPr>
          <w:p w:rsidR="00961657" w:rsidP="00704B56" w:rsidRDefault="00704B56" w14:paraId="07CE1EE9" w14:textId="45FD140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w:t>
            </w:r>
          </w:p>
        </w:tc>
        <w:tc>
          <w:tcPr>
            <w:tcW w:w="1336" w:type="dxa"/>
          </w:tcPr>
          <w:p w:rsidR="00961657" w:rsidP="00704B56" w:rsidRDefault="00704B56" w14:paraId="09848DB7" w14:textId="18F5B36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4</w:t>
            </w:r>
          </w:p>
        </w:tc>
        <w:tc>
          <w:tcPr>
            <w:tcW w:w="1336" w:type="dxa"/>
          </w:tcPr>
          <w:p w:rsidR="00961657" w:rsidP="00704B56" w:rsidRDefault="00704B56" w14:paraId="3D3D5A61" w14:textId="24F010A5">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5</w:t>
            </w:r>
          </w:p>
        </w:tc>
      </w:tr>
      <w:tr w:rsidR="00961657" w:rsidTr="2128FA49" w14:paraId="36FF9796" w14:textId="77777777">
        <w:tc>
          <w:tcPr>
            <w:tcW w:w="1335" w:type="dxa"/>
          </w:tcPr>
          <w:p w:rsidR="00961657" w:rsidP="00704B56" w:rsidRDefault="00704B56" w14:paraId="0CB1222A" w14:textId="40FABD6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Incentive</w:t>
            </w:r>
          </w:p>
        </w:tc>
        <w:tc>
          <w:tcPr>
            <w:tcW w:w="1335" w:type="dxa"/>
          </w:tcPr>
          <w:p w:rsidR="00961657" w:rsidP="00704B56" w:rsidRDefault="00704B56" w14:paraId="0278543E" w14:textId="71DDE950">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$75</w:t>
            </w:r>
          </w:p>
        </w:tc>
        <w:tc>
          <w:tcPr>
            <w:tcW w:w="1336" w:type="dxa"/>
          </w:tcPr>
          <w:p w:rsidR="00961657" w:rsidP="00704B56" w:rsidRDefault="00704B56" w14:paraId="5D447DBA" w14:textId="0BDD0E7B">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$50</w:t>
            </w:r>
          </w:p>
        </w:tc>
        <w:tc>
          <w:tcPr>
            <w:tcW w:w="1336" w:type="dxa"/>
          </w:tcPr>
          <w:p w:rsidR="00961657" w:rsidP="00704B56" w:rsidRDefault="00704B56" w14:paraId="2798330C" w14:textId="3D4E2D7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$40</w:t>
            </w:r>
          </w:p>
        </w:tc>
        <w:tc>
          <w:tcPr>
            <w:tcW w:w="1336" w:type="dxa"/>
          </w:tcPr>
          <w:p w:rsidR="00961657" w:rsidP="00704B56" w:rsidRDefault="00704B56" w14:paraId="14EB221D" w14:textId="4822F12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$30</w:t>
            </w:r>
          </w:p>
        </w:tc>
        <w:tc>
          <w:tcPr>
            <w:tcW w:w="1336" w:type="dxa"/>
          </w:tcPr>
          <w:p w:rsidR="00961657" w:rsidP="00704B56" w:rsidRDefault="00704B56" w14:paraId="1B886258" w14:textId="1D627E3E">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$20</w:t>
            </w:r>
          </w:p>
        </w:tc>
        <w:tc>
          <w:tcPr>
            <w:tcW w:w="1336" w:type="dxa"/>
          </w:tcPr>
          <w:p w:rsidR="00961657" w:rsidP="00704B56" w:rsidRDefault="00704B56" w14:paraId="5A317919" w14:textId="4E7FFF7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$0</w:t>
            </w:r>
          </w:p>
        </w:tc>
      </w:tr>
    </w:tbl>
    <w:p w:rsidRPr="00961657" w:rsidR="00961657" w:rsidP="00961657" w:rsidRDefault="00961657" w14:paraId="0457101A" w14:textId="77777777">
      <w:pPr>
        <w:spacing w:after="0" w:line="240" w:lineRule="auto"/>
        <w:rPr>
          <w:rFonts w:ascii="Palatino Linotype" w:hAnsi="Palatino Linotype" w:eastAsia="Palatino Linotype" w:cs="Times New Roman"/>
          <w:kern w:val="0"/>
          <w14:ligatures w14:val="none"/>
        </w:rPr>
      </w:pPr>
    </w:p>
    <w:p w:rsidRPr="00D30686" w:rsidR="00B02DD8" w:rsidP="006226D4" w:rsidRDefault="00AC0FB4" w14:paraId="2E67F1C3" w14:textId="3B1DC37A">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We find this financial incentive to be reasonable</w:t>
      </w:r>
      <w:r w:rsidR="00752B14">
        <w:rPr>
          <w:rFonts w:ascii="Palatino Linotype" w:hAnsi="Palatino Linotype" w:eastAsia="Palatino Linotype" w:cs="Times New Roman"/>
          <w:kern w:val="0"/>
          <w14:ligatures w14:val="none"/>
        </w:rPr>
        <w:t>.</w:t>
      </w:r>
      <w:r w:rsidRPr="006226D4">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As </w:t>
      </w:r>
      <w:r w:rsidR="00FF44CB">
        <w:rPr>
          <w:rFonts w:ascii="Palatino Linotype" w:hAnsi="Palatino Linotype" w:eastAsia="Palatino Linotype" w:cs="Times New Roman"/>
          <w:kern w:val="0"/>
          <w14:ligatures w14:val="none"/>
        </w:rPr>
        <w:t>VGIC acknowledges,</w:t>
      </w:r>
      <w:r w:rsidR="00FF44CB">
        <w:rPr>
          <w:rStyle w:val="FootnoteReference"/>
          <w:rFonts w:ascii="Palatino Linotype" w:hAnsi="Palatino Linotype" w:eastAsia="Palatino Linotype" w:cs="Times New Roman"/>
          <w:kern w:val="0"/>
          <w14:ligatures w14:val="none"/>
        </w:rPr>
        <w:footnoteReference w:id="46"/>
      </w:r>
      <w:r w:rsidR="00FF44CB">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sidR="00353BEA">
        <w:rPr>
          <w:rFonts w:ascii="Palatino Linotype" w:hAnsi="Palatino Linotype" w:eastAsia="Palatino Linotype" w:cs="Times New Roman"/>
          <w:kern w:val="0"/>
          <w14:ligatures w14:val="none"/>
        </w:rPr>
        <w:t xml:space="preserve">component of ORCHARD aligns with the pre-approved </w:t>
      </w:r>
      <w:r w:rsidR="00BB1811">
        <w:rPr>
          <w:rFonts w:ascii="Palatino Linotype" w:hAnsi="Palatino Linotype" w:eastAsia="Palatino Linotype" w:cs="Times New Roman"/>
          <w:kern w:val="0"/>
          <w14:ligatures w14:val="none"/>
        </w:rPr>
        <w:t xml:space="preserve">other </w:t>
      </w:r>
      <w:r w:rsidR="00C55300">
        <w:rPr>
          <w:rFonts w:ascii="Palatino Linotype" w:hAnsi="Palatino Linotype" w:eastAsia="Palatino Linotype" w:cs="Times New Roman"/>
          <w:kern w:val="0"/>
          <w14:ligatures w14:val="none"/>
        </w:rPr>
        <w:t xml:space="preserve">(non-equity) </w:t>
      </w:r>
      <w:r w:rsidR="00BB1811">
        <w:rPr>
          <w:rFonts w:ascii="Palatino Linotype" w:hAnsi="Palatino Linotype" w:eastAsia="Palatino Linotype" w:cs="Times New Roman"/>
          <w:kern w:val="0"/>
          <w14:ligatures w14:val="none"/>
        </w:rPr>
        <w:t xml:space="preserve">holdback </w:t>
      </w:r>
      <w:r w:rsidR="00353BEA">
        <w:rPr>
          <w:rFonts w:ascii="Palatino Linotype" w:hAnsi="Palatino Linotype" w:eastAsia="Palatino Linotype" w:cs="Times New Roman"/>
          <w:kern w:val="0"/>
          <w14:ligatures w14:val="none"/>
        </w:rPr>
        <w:t xml:space="preserve">projects </w:t>
      </w:r>
      <w:r w:rsidR="00BB1811">
        <w:rPr>
          <w:rFonts w:ascii="Palatino Linotype" w:hAnsi="Palatino Linotype" w:eastAsia="Palatino Linotype" w:cs="Times New Roman"/>
          <w:kern w:val="0"/>
          <w14:ligatures w14:val="none"/>
        </w:rPr>
        <w:t>category described</w:t>
      </w:r>
      <w:r w:rsidR="00353BEA">
        <w:rPr>
          <w:rFonts w:ascii="Palatino Linotype" w:hAnsi="Palatino Linotype" w:eastAsia="Palatino Linotype" w:cs="Times New Roman"/>
          <w:kern w:val="0"/>
          <w14:ligatures w14:val="none"/>
        </w:rPr>
        <w:t xml:space="preserve"> in </w:t>
      </w:r>
      <w:r w:rsidR="00E55CCA">
        <w:rPr>
          <w:rFonts w:ascii="Palatino Linotype" w:hAnsi="Palatino Linotype" w:eastAsia="Palatino Linotype" w:cs="Times New Roman"/>
          <w:kern w:val="0"/>
          <w14:ligatures w14:val="none"/>
        </w:rPr>
        <w:t xml:space="preserve">17 </w:t>
      </w:r>
      <w:r w:rsidRPr="00176F26" w:rsidR="00176F26">
        <w:rPr>
          <w:rFonts w:ascii="Palatino Linotype" w:hAnsi="Palatino Linotype" w:eastAsia="Palatino Linotype" w:cs="Times New Roman"/>
          <w:kern w:val="0"/>
          <w14:ligatures w14:val="none"/>
        </w:rPr>
        <w:t xml:space="preserve">Cal. </w:t>
      </w:r>
      <w:r w:rsidR="000119D2">
        <w:rPr>
          <w:rFonts w:ascii="Palatino Linotype" w:hAnsi="Palatino Linotype" w:eastAsia="Palatino Linotype" w:cs="Times New Roman"/>
          <w:kern w:val="0"/>
          <w14:ligatures w14:val="none"/>
        </w:rPr>
        <w:t>Code Regulation (CCR)</w:t>
      </w:r>
      <w:r w:rsidRPr="00176F26" w:rsidR="00176F26">
        <w:rPr>
          <w:rFonts w:ascii="Palatino Linotype" w:hAnsi="Palatino Linotype" w:eastAsia="Palatino Linotype" w:cs="Times New Roman"/>
          <w:kern w:val="0"/>
          <w14:ligatures w14:val="none"/>
        </w:rPr>
        <w:t xml:space="preserve">, </w:t>
      </w:r>
      <w:r w:rsidR="00176F26">
        <w:rPr>
          <w:rFonts w:ascii="Palatino Linotype" w:hAnsi="Palatino Linotype" w:eastAsia="Palatino Linotype" w:cs="Times New Roman"/>
          <w:kern w:val="0"/>
          <w14:ligatures w14:val="none"/>
        </w:rPr>
        <w:t xml:space="preserve">Section </w:t>
      </w:r>
      <w:r w:rsidRPr="00654786" w:rsidR="00353BEA">
        <w:rPr>
          <w:rFonts w:ascii="Palatino Linotype" w:hAnsi="Palatino Linotype" w:eastAsia="Palatino Linotype" w:cs="Times New Roman"/>
          <w:kern w:val="0"/>
          <w14:ligatures w14:val="none"/>
        </w:rPr>
        <w:t>95483(c)(1)(A)5.</w:t>
      </w:r>
      <w:r w:rsidR="00546210">
        <w:rPr>
          <w:rFonts w:ascii="Palatino Linotype" w:hAnsi="Palatino Linotype" w:eastAsia="Palatino Linotype" w:cs="Times New Roman"/>
          <w:kern w:val="0"/>
          <w14:ligatures w14:val="none"/>
        </w:rPr>
        <w:t>b</w:t>
      </w:r>
      <w:r w:rsidR="00437B97">
        <w:rPr>
          <w:rFonts w:ascii="Palatino Linotype" w:hAnsi="Palatino Linotype" w:eastAsia="Palatino Linotype" w:cs="Times New Roman"/>
          <w:kern w:val="0"/>
          <w14:ligatures w14:val="none"/>
        </w:rPr>
        <w:t>.</w:t>
      </w:r>
      <w:r w:rsidR="00353BEA">
        <w:rPr>
          <w:rStyle w:val="FootnoteReference"/>
          <w:rFonts w:ascii="Palatino Linotype" w:hAnsi="Palatino Linotype" w:eastAsia="Palatino Linotype" w:cs="Times New Roman"/>
          <w:kern w:val="0"/>
          <w14:ligatures w14:val="none"/>
        </w:rPr>
        <w:footnoteReference w:id="47"/>
      </w:r>
      <w:r w:rsidR="00353BEA">
        <w:rPr>
          <w:rFonts w:ascii="Palatino Linotype" w:hAnsi="Palatino Linotype" w:eastAsia="Palatino Linotype" w:cs="Times New Roman"/>
          <w:kern w:val="0"/>
          <w14:ligatures w14:val="none"/>
        </w:rPr>
        <w:t xml:space="preserve"> </w:t>
      </w:r>
      <w:r w:rsidR="00171BBE">
        <w:rPr>
          <w:rFonts w:ascii="Palatino Linotype" w:hAnsi="Palatino Linotype" w:eastAsia="Palatino Linotype" w:cs="Times New Roman"/>
          <w:kern w:val="0"/>
          <w14:ligatures w14:val="none"/>
        </w:rPr>
        <w:t xml:space="preserve">SCE intends to decrease the </w:t>
      </w:r>
      <w:r w:rsidR="00EC0506">
        <w:rPr>
          <w:rFonts w:ascii="Palatino Linotype" w:hAnsi="Palatino Linotype" w:eastAsia="Palatino Linotype" w:cs="Times New Roman"/>
          <w:kern w:val="0"/>
          <w14:ligatures w14:val="none"/>
        </w:rPr>
        <w:t>incentives</w:t>
      </w:r>
      <w:r w:rsidR="00752B14">
        <w:rPr>
          <w:rFonts w:ascii="Palatino Linotype" w:hAnsi="Palatino Linotype" w:eastAsia="Palatino Linotype" w:cs="Times New Roman"/>
          <w:kern w:val="0"/>
          <w14:ligatures w14:val="none"/>
        </w:rPr>
        <w:t xml:space="preserve"> annually</w:t>
      </w:r>
      <w:r w:rsidR="00EC0506">
        <w:rPr>
          <w:rFonts w:ascii="Palatino Linotype" w:hAnsi="Palatino Linotype" w:eastAsia="Palatino Linotype" w:cs="Times New Roman"/>
          <w:kern w:val="0"/>
          <w14:ligatures w14:val="none"/>
        </w:rPr>
        <w:t xml:space="preserve"> as illustrated </w:t>
      </w:r>
      <w:r w:rsidR="00DD2E88">
        <w:rPr>
          <w:rFonts w:ascii="Palatino Linotype" w:hAnsi="Palatino Linotype" w:eastAsia="Palatino Linotype" w:cs="Times New Roman"/>
          <w:kern w:val="0"/>
          <w14:ligatures w14:val="none"/>
        </w:rPr>
        <w:t>in Table 1</w:t>
      </w:r>
      <w:r w:rsidR="00EC0506">
        <w:rPr>
          <w:rFonts w:ascii="Palatino Linotype" w:hAnsi="Palatino Linotype" w:eastAsia="Palatino Linotype" w:cs="Times New Roman"/>
          <w:kern w:val="0"/>
          <w14:ligatures w14:val="none"/>
        </w:rPr>
        <w:t xml:space="preserve"> with the possibility of restoring the monetary amount to a previou</w:t>
      </w:r>
      <w:r w:rsidR="007E0E8E">
        <w:rPr>
          <w:rFonts w:ascii="Palatino Linotype" w:hAnsi="Palatino Linotype" w:eastAsia="Palatino Linotype" w:cs="Times New Roman"/>
          <w:kern w:val="0"/>
          <w14:ligatures w14:val="none"/>
        </w:rPr>
        <w:t xml:space="preserve">s level if enrollment targets warrant such an adjustment. SCE </w:t>
      </w:r>
      <w:r w:rsidR="001B5B1B">
        <w:rPr>
          <w:rFonts w:ascii="Palatino Linotype" w:hAnsi="Palatino Linotype" w:eastAsia="Palatino Linotype" w:cs="Times New Roman"/>
          <w:kern w:val="0"/>
          <w14:ligatures w14:val="none"/>
        </w:rPr>
        <w:t>confirms</w:t>
      </w:r>
      <w:r w:rsidR="007E0E8E">
        <w:rPr>
          <w:rFonts w:ascii="Palatino Linotype" w:hAnsi="Palatino Linotype" w:eastAsia="Palatino Linotype" w:cs="Times New Roman"/>
          <w:kern w:val="0"/>
          <w14:ligatures w14:val="none"/>
        </w:rPr>
        <w:t xml:space="preserve"> that</w:t>
      </w:r>
      <w:r w:rsidR="00D30686">
        <w:rPr>
          <w:rFonts w:ascii="Palatino Linotype" w:hAnsi="Palatino Linotype" w:eastAsia="Palatino Linotype" w:cs="Times New Roman"/>
          <w:kern w:val="0"/>
          <w14:ligatures w14:val="none"/>
        </w:rPr>
        <w:t xml:space="preserve"> “a </w:t>
      </w:r>
      <w:r w:rsidRPr="00D30686" w:rsidR="00D30686">
        <w:rPr>
          <w:rFonts w:ascii="Palatino Linotype" w:hAnsi="Palatino Linotype" w:eastAsia="Palatino Linotype" w:cs="Times New Roman"/>
          <w:kern w:val="0"/>
          <w14:ligatures w14:val="none"/>
        </w:rPr>
        <w:t>purpose of ORCHARD is to determine if incentives can modify customer behavior in</w:t>
      </w:r>
      <w:r w:rsidR="00D30686">
        <w:rPr>
          <w:rFonts w:ascii="Palatino Linotype" w:hAnsi="Palatino Linotype" w:eastAsia="Palatino Linotype" w:cs="Times New Roman"/>
          <w:kern w:val="0"/>
          <w14:ligatures w14:val="none"/>
        </w:rPr>
        <w:t xml:space="preserve"> </w:t>
      </w:r>
      <w:r w:rsidRPr="00D30686" w:rsidR="00D30686">
        <w:rPr>
          <w:rFonts w:ascii="Palatino Linotype" w:hAnsi="Palatino Linotype" w:eastAsia="Palatino Linotype" w:cs="Times New Roman"/>
          <w:kern w:val="0"/>
          <w14:ligatures w14:val="none"/>
        </w:rPr>
        <w:t>ways that will allow EVs to be a dependable flexible load resource for the grid, such as</w:t>
      </w:r>
      <w:r w:rsidR="00D30686">
        <w:rPr>
          <w:rFonts w:ascii="Palatino Linotype" w:hAnsi="Palatino Linotype" w:eastAsia="Palatino Linotype" w:cs="Times New Roman"/>
          <w:kern w:val="0"/>
          <w14:ligatures w14:val="none"/>
        </w:rPr>
        <w:t xml:space="preserve"> </w:t>
      </w:r>
      <w:r w:rsidRPr="00D30686" w:rsidR="00D30686">
        <w:rPr>
          <w:rFonts w:ascii="Palatino Linotype" w:hAnsi="Palatino Linotype" w:eastAsia="Palatino Linotype" w:cs="Times New Roman"/>
          <w:kern w:val="0"/>
          <w14:ligatures w14:val="none"/>
        </w:rPr>
        <w:t>plugging in every day</w:t>
      </w:r>
      <w:r w:rsidR="00D30686">
        <w:rPr>
          <w:rFonts w:ascii="Palatino Linotype" w:hAnsi="Palatino Linotype" w:eastAsia="Palatino Linotype" w:cs="Times New Roman"/>
          <w:kern w:val="0"/>
          <w14:ligatures w14:val="none"/>
        </w:rPr>
        <w:t>.”</w:t>
      </w:r>
      <w:r w:rsidR="00D30686">
        <w:rPr>
          <w:rStyle w:val="FootnoteReference"/>
          <w:rFonts w:ascii="Palatino Linotype" w:hAnsi="Palatino Linotype" w:eastAsia="Palatino Linotype" w:cs="Times New Roman"/>
          <w:kern w:val="0"/>
          <w14:ligatures w14:val="none"/>
        </w:rPr>
        <w:footnoteReference w:id="48"/>
      </w:r>
      <w:r w:rsidR="00D30686">
        <w:rPr>
          <w:rFonts w:ascii="Palatino Linotype" w:hAnsi="Palatino Linotype" w:eastAsia="Palatino Linotype" w:cs="Times New Roman"/>
          <w:kern w:val="0"/>
          <w14:ligatures w14:val="none"/>
        </w:rPr>
        <w:t xml:space="preserve"> </w:t>
      </w:r>
      <w:r w:rsidR="00805C28">
        <w:rPr>
          <w:rFonts w:ascii="Palatino Linotype" w:hAnsi="Palatino Linotype" w:eastAsia="Palatino Linotype" w:cs="Times New Roman"/>
          <w:kern w:val="0"/>
          <w14:ligatures w14:val="none"/>
        </w:rPr>
        <w:t xml:space="preserve">We </w:t>
      </w:r>
      <w:r w:rsidR="00B02DD8">
        <w:rPr>
          <w:rFonts w:ascii="Palatino Linotype" w:hAnsi="Palatino Linotype" w:eastAsia="Palatino Linotype" w:cs="Times New Roman"/>
          <w:kern w:val="0"/>
          <w14:ligatures w14:val="none"/>
        </w:rPr>
        <w:t xml:space="preserve">find that this commitment to continually assess the efficacy of </w:t>
      </w:r>
      <w:r w:rsidR="00C63032">
        <w:rPr>
          <w:rFonts w:ascii="Palatino Linotype" w:hAnsi="Palatino Linotype" w:eastAsia="Palatino Linotype" w:cs="Times New Roman"/>
          <w:kern w:val="0"/>
          <w14:ligatures w14:val="none"/>
        </w:rPr>
        <w:t>incentive amounts based on program attrition demonstrates a</w:t>
      </w:r>
      <w:r w:rsidR="003034D6">
        <w:rPr>
          <w:rFonts w:ascii="Palatino Linotype" w:hAnsi="Palatino Linotype" w:eastAsia="Palatino Linotype" w:cs="Times New Roman"/>
          <w:kern w:val="0"/>
          <w14:ligatures w14:val="none"/>
        </w:rPr>
        <w:t xml:space="preserve">n effort to maintain enrollment for </w:t>
      </w:r>
      <w:r w:rsidR="00E6444B">
        <w:rPr>
          <w:rFonts w:ascii="Palatino Linotype" w:hAnsi="Palatino Linotype" w:eastAsia="Palatino Linotype" w:cs="Times New Roman"/>
          <w:kern w:val="0"/>
          <w14:ligatures w14:val="none"/>
        </w:rPr>
        <w:t>adequate</w:t>
      </w:r>
      <w:r w:rsidR="00991B5C">
        <w:rPr>
          <w:rFonts w:ascii="Palatino Linotype" w:hAnsi="Palatino Linotype" w:eastAsia="Palatino Linotype" w:cs="Times New Roman"/>
          <w:kern w:val="0"/>
          <w14:ligatures w14:val="none"/>
        </w:rPr>
        <w:t xml:space="preserve"> program</w:t>
      </w:r>
      <w:r w:rsidR="003034D6">
        <w:rPr>
          <w:rFonts w:ascii="Palatino Linotype" w:hAnsi="Palatino Linotype" w:eastAsia="Palatino Linotype" w:cs="Times New Roman"/>
          <w:kern w:val="0"/>
          <w14:ligatures w14:val="none"/>
        </w:rPr>
        <w:t xml:space="preserve"> </w:t>
      </w:r>
      <w:r w:rsidR="00991B5C">
        <w:rPr>
          <w:rFonts w:ascii="Palatino Linotype" w:hAnsi="Palatino Linotype" w:eastAsia="Palatino Linotype" w:cs="Times New Roman"/>
          <w:kern w:val="0"/>
          <w14:ligatures w14:val="none"/>
        </w:rPr>
        <w:t xml:space="preserve">scaling and evaluation, both of which are needed to </w:t>
      </w:r>
      <w:r w:rsidR="008E738D">
        <w:rPr>
          <w:rFonts w:ascii="Palatino Linotype" w:hAnsi="Palatino Linotype" w:eastAsia="Palatino Linotype" w:cs="Times New Roman"/>
          <w:kern w:val="0"/>
          <w14:ligatures w14:val="none"/>
        </w:rPr>
        <w:t>achieve the objectives of the program</w:t>
      </w:r>
      <w:r w:rsidR="00991B5C">
        <w:rPr>
          <w:rFonts w:ascii="Palatino Linotype" w:hAnsi="Palatino Linotype" w:eastAsia="Palatino Linotype" w:cs="Times New Roman"/>
          <w:kern w:val="0"/>
          <w14:ligatures w14:val="none"/>
        </w:rPr>
        <w:t xml:space="preserve">. </w:t>
      </w:r>
      <w:r w:rsidR="00122E4D">
        <w:rPr>
          <w:rFonts w:ascii="Palatino Linotype" w:hAnsi="Palatino Linotype" w:eastAsia="Palatino Linotype" w:cs="Times New Roman"/>
          <w:kern w:val="0"/>
          <w14:ligatures w14:val="none"/>
        </w:rPr>
        <w:t xml:space="preserve">However, </w:t>
      </w:r>
      <w:r w:rsidR="002438FC">
        <w:rPr>
          <w:rFonts w:ascii="Palatino Linotype" w:hAnsi="Palatino Linotype" w:eastAsia="Palatino Linotype" w:cs="Times New Roman"/>
          <w:kern w:val="0"/>
          <w14:ligatures w14:val="none"/>
        </w:rPr>
        <w:t xml:space="preserve">more information is needed to understand how such an assessment will be conducted. </w:t>
      </w:r>
      <w:r w:rsidR="00DD74DA">
        <w:rPr>
          <w:rFonts w:ascii="Palatino Linotype" w:hAnsi="Palatino Linotype" w:eastAsia="Palatino Linotype" w:cs="Times New Roman"/>
          <w:kern w:val="0"/>
          <w14:ligatures w14:val="none"/>
        </w:rPr>
        <w:t>The C</w:t>
      </w:r>
      <w:r w:rsidR="00D573AE">
        <w:rPr>
          <w:rFonts w:ascii="Palatino Linotype" w:hAnsi="Palatino Linotype" w:eastAsia="Palatino Linotype" w:cs="Times New Roman"/>
          <w:kern w:val="0"/>
          <w14:ligatures w14:val="none"/>
        </w:rPr>
        <w:t>PUC</w:t>
      </w:r>
      <w:r w:rsidR="00DD74DA">
        <w:rPr>
          <w:rFonts w:ascii="Palatino Linotype" w:hAnsi="Palatino Linotype" w:eastAsia="Palatino Linotype" w:cs="Times New Roman"/>
          <w:kern w:val="0"/>
          <w14:ligatures w14:val="none"/>
        </w:rPr>
        <w:t xml:space="preserve"> directs SCE to describe the methodology </w:t>
      </w:r>
      <w:r w:rsidR="00212692">
        <w:rPr>
          <w:rFonts w:ascii="Palatino Linotype" w:hAnsi="Palatino Linotype" w:eastAsia="Palatino Linotype" w:cs="Times New Roman"/>
          <w:kern w:val="0"/>
          <w14:ligatures w14:val="none"/>
        </w:rPr>
        <w:t>that will be used to determine whether the incentive amounts should be modified</w:t>
      </w:r>
      <w:r w:rsidR="00C73C86">
        <w:rPr>
          <w:rFonts w:ascii="Palatino Linotype" w:hAnsi="Palatino Linotype" w:eastAsia="Palatino Linotype" w:cs="Times New Roman"/>
          <w:kern w:val="0"/>
          <w14:ligatures w14:val="none"/>
        </w:rPr>
        <w:t xml:space="preserve"> and</w:t>
      </w:r>
      <w:r w:rsidR="00952C7C">
        <w:rPr>
          <w:rFonts w:ascii="Palatino Linotype" w:hAnsi="Palatino Linotype" w:eastAsia="Palatino Linotype" w:cs="Times New Roman"/>
          <w:kern w:val="0"/>
          <w14:ligatures w14:val="none"/>
        </w:rPr>
        <w:t xml:space="preserve"> how frequently this assessment will occur</w:t>
      </w:r>
      <w:r w:rsidR="00C73C86">
        <w:rPr>
          <w:rFonts w:ascii="Palatino Linotype" w:hAnsi="Palatino Linotype" w:eastAsia="Palatino Linotype" w:cs="Times New Roman"/>
          <w:kern w:val="0"/>
          <w14:ligatures w14:val="none"/>
        </w:rPr>
        <w:t xml:space="preserve">. </w:t>
      </w:r>
      <w:r w:rsidR="00C66A13">
        <w:rPr>
          <w:rFonts w:ascii="Palatino Linotype" w:hAnsi="Palatino Linotype" w:eastAsia="Palatino Linotype" w:cs="Times New Roman"/>
          <w:kern w:val="0"/>
          <w14:ligatures w14:val="none"/>
        </w:rPr>
        <w:t xml:space="preserve">The methodology and frequency should be addressed in the same Tier 2 AL that will </w:t>
      </w:r>
      <w:r w:rsidR="00331FE5">
        <w:rPr>
          <w:rFonts w:ascii="Palatino Linotype" w:hAnsi="Palatino Linotype" w:eastAsia="Palatino Linotype" w:cs="Times New Roman"/>
          <w:kern w:val="0"/>
          <w14:ligatures w14:val="none"/>
        </w:rPr>
        <w:t>provide additional details on the orchestrated load management budget</w:t>
      </w:r>
      <w:r w:rsidR="00C66A13">
        <w:rPr>
          <w:rFonts w:ascii="Palatino Linotype" w:hAnsi="Palatino Linotype" w:eastAsia="Palatino Linotype" w:cs="Times New Roman"/>
          <w:kern w:val="0"/>
          <w14:ligatures w14:val="none"/>
        </w:rPr>
        <w:t xml:space="preserve">. </w:t>
      </w:r>
      <w:r w:rsidR="00144898">
        <w:rPr>
          <w:rFonts w:ascii="Palatino Linotype" w:hAnsi="Palatino Linotype" w:eastAsia="Palatino Linotype" w:cs="Times New Roman"/>
          <w:kern w:val="0"/>
          <w14:ligatures w14:val="none"/>
        </w:rPr>
        <w:t>The methodology should</w:t>
      </w:r>
      <w:r w:rsidR="00F51D88">
        <w:rPr>
          <w:rFonts w:ascii="Palatino Linotype" w:hAnsi="Palatino Linotype" w:eastAsia="Palatino Linotype" w:cs="Times New Roman"/>
          <w:kern w:val="0"/>
          <w14:ligatures w14:val="none"/>
        </w:rPr>
        <w:t>, at minimum,</w:t>
      </w:r>
      <w:r w:rsidR="00144898">
        <w:rPr>
          <w:rFonts w:ascii="Palatino Linotype" w:hAnsi="Palatino Linotype" w:eastAsia="Palatino Linotype" w:cs="Times New Roman"/>
          <w:kern w:val="0"/>
          <w14:ligatures w14:val="none"/>
        </w:rPr>
        <w:t xml:space="preserve"> address: </w:t>
      </w:r>
    </w:p>
    <w:p w:rsidR="00070517" w:rsidP="00144898" w:rsidRDefault="00070517" w14:paraId="370CB3D9" w14:textId="626108FA">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often SCE will </w:t>
      </w:r>
      <w:r w:rsidR="00B7069F">
        <w:rPr>
          <w:rFonts w:ascii="Palatino Linotype" w:hAnsi="Palatino Linotype" w:eastAsia="Palatino Linotype" w:cs="Times New Roman"/>
          <w:kern w:val="0"/>
          <w14:ligatures w14:val="none"/>
        </w:rPr>
        <w:t xml:space="preserve">assess </w:t>
      </w:r>
      <w:r w:rsidR="00F51D88">
        <w:rPr>
          <w:rFonts w:ascii="Palatino Linotype" w:hAnsi="Palatino Linotype" w:eastAsia="Palatino Linotype" w:cs="Times New Roman"/>
          <w:kern w:val="0"/>
          <w14:ligatures w14:val="none"/>
        </w:rPr>
        <w:t xml:space="preserve">ORCHARD </w:t>
      </w:r>
      <w:r w:rsidR="00B7069F">
        <w:rPr>
          <w:rFonts w:ascii="Palatino Linotype" w:hAnsi="Palatino Linotype" w:eastAsia="Palatino Linotype" w:cs="Times New Roman"/>
          <w:kern w:val="0"/>
          <w14:ligatures w14:val="none"/>
        </w:rPr>
        <w:t>enrollment numbers</w:t>
      </w:r>
      <w:r w:rsidR="00F51D88">
        <w:rPr>
          <w:rFonts w:ascii="Palatino Linotype" w:hAnsi="Palatino Linotype" w:eastAsia="Palatino Linotype" w:cs="Times New Roman"/>
          <w:kern w:val="0"/>
          <w14:ligatures w14:val="none"/>
        </w:rPr>
        <w:t>,</w:t>
      </w:r>
      <w:r w:rsidR="00B7069F">
        <w:rPr>
          <w:rFonts w:ascii="Palatino Linotype" w:hAnsi="Palatino Linotype" w:eastAsia="Palatino Linotype" w:cs="Times New Roman"/>
          <w:kern w:val="0"/>
          <w14:ligatures w14:val="none"/>
        </w:rPr>
        <w:t xml:space="preserve"> </w:t>
      </w:r>
    </w:p>
    <w:p w:rsidR="00120869" w:rsidP="00120869" w:rsidRDefault="005A78A9" w14:paraId="447C75D1" w14:textId="133690F0">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What </w:t>
      </w:r>
      <w:r w:rsidR="00487343">
        <w:rPr>
          <w:rFonts w:ascii="Palatino Linotype" w:hAnsi="Palatino Linotype" w:eastAsia="Palatino Linotype" w:cs="Times New Roman"/>
          <w:kern w:val="0"/>
          <w14:ligatures w14:val="none"/>
        </w:rPr>
        <w:t xml:space="preserve">participation or attrition threshold </w:t>
      </w:r>
      <w:r w:rsidR="00950660">
        <w:rPr>
          <w:rFonts w:ascii="Palatino Linotype" w:hAnsi="Palatino Linotype" w:eastAsia="Palatino Linotype" w:cs="Times New Roman"/>
          <w:kern w:val="0"/>
          <w14:ligatures w14:val="none"/>
        </w:rPr>
        <w:t>will warrant</w:t>
      </w:r>
      <w:r w:rsidR="00487343">
        <w:rPr>
          <w:rFonts w:ascii="Palatino Linotype" w:hAnsi="Palatino Linotype" w:eastAsia="Palatino Linotype" w:cs="Times New Roman"/>
          <w:kern w:val="0"/>
          <w14:ligatures w14:val="none"/>
        </w:rPr>
        <w:t xml:space="preserve"> modification of the incentive amounts, </w:t>
      </w:r>
    </w:p>
    <w:p w:rsidRPr="00493099" w:rsidR="00537113" w:rsidP="00537113" w:rsidRDefault="00537113" w14:paraId="3B5BAE8E" w14:textId="4E824BE9">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measures SCE will take if participants opt out of more than 25% of charging sessions, </w:t>
      </w:r>
    </w:p>
    <w:p w:rsidR="00BE5D59" w:rsidP="00493099" w:rsidRDefault="00456325" w14:paraId="6129DD77" w14:textId="7E10D9BB">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How, if applicable, participation or attriti</w:t>
      </w:r>
      <w:r w:rsidR="008B37E1">
        <w:rPr>
          <w:rFonts w:ascii="Palatino Linotype" w:hAnsi="Palatino Linotype" w:eastAsia="Palatino Linotype" w:cs="Times New Roman"/>
          <w:kern w:val="0"/>
          <w14:ligatures w14:val="none"/>
        </w:rPr>
        <w:t>on differ</w:t>
      </w:r>
      <w:r w:rsidR="0092141B">
        <w:rPr>
          <w:rFonts w:ascii="Palatino Linotype" w:hAnsi="Palatino Linotype" w:eastAsia="Palatino Linotype" w:cs="Times New Roman"/>
          <w:kern w:val="0"/>
          <w14:ligatures w14:val="none"/>
        </w:rPr>
        <w:t>s</w:t>
      </w:r>
      <w:r w:rsidR="008B37E1">
        <w:rPr>
          <w:rFonts w:ascii="Palatino Linotype" w:hAnsi="Palatino Linotype" w:eastAsia="Palatino Linotype" w:cs="Times New Roman"/>
          <w:kern w:val="0"/>
          <w14:ligatures w14:val="none"/>
        </w:rPr>
        <w:t xml:space="preserve"> among the tiers of incentive amounts (e.g., whether attrition is higher </w:t>
      </w:r>
      <w:r w:rsidR="0035615B">
        <w:rPr>
          <w:rFonts w:ascii="Palatino Linotype" w:hAnsi="Palatino Linotype" w:eastAsia="Palatino Linotype" w:cs="Times New Roman"/>
          <w:kern w:val="0"/>
          <w14:ligatures w14:val="none"/>
        </w:rPr>
        <w:t>at</w:t>
      </w:r>
      <w:r w:rsidR="008B37E1">
        <w:rPr>
          <w:rFonts w:ascii="Palatino Linotype" w:hAnsi="Palatino Linotype" w:eastAsia="Palatino Linotype" w:cs="Times New Roman"/>
          <w:kern w:val="0"/>
          <w14:ligatures w14:val="none"/>
        </w:rPr>
        <w:t xml:space="preserve"> the </w:t>
      </w:r>
      <w:r w:rsidR="0035615B">
        <w:rPr>
          <w:rFonts w:ascii="Palatino Linotype" w:hAnsi="Palatino Linotype" w:eastAsia="Palatino Linotype" w:cs="Times New Roman"/>
          <w:kern w:val="0"/>
          <w14:ligatures w14:val="none"/>
        </w:rPr>
        <w:t>fully reduced incentive level)</w:t>
      </w:r>
      <w:r w:rsidR="00C6471F">
        <w:rPr>
          <w:rFonts w:ascii="Palatino Linotype" w:hAnsi="Palatino Linotype" w:eastAsia="Palatino Linotype" w:cs="Times New Roman"/>
          <w:kern w:val="0"/>
          <w14:ligatures w14:val="none"/>
        </w:rPr>
        <w:t>,</w:t>
      </w:r>
      <w:r w:rsidR="00BE5D59">
        <w:rPr>
          <w:rFonts w:ascii="Palatino Linotype" w:hAnsi="Palatino Linotype" w:eastAsia="Palatino Linotype" w:cs="Times New Roman"/>
          <w:kern w:val="0"/>
          <w14:ligatures w14:val="none"/>
        </w:rPr>
        <w:t xml:space="preserve"> </w:t>
      </w:r>
    </w:p>
    <w:p w:rsidR="00B7069F" w:rsidP="00144898" w:rsidRDefault="00F645A1" w14:paraId="133B1A51" w14:textId="128F0BB9">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SCE will </w:t>
      </w:r>
      <w:r w:rsidR="00C6028A">
        <w:rPr>
          <w:rFonts w:ascii="Palatino Linotype" w:hAnsi="Palatino Linotype" w:eastAsia="Palatino Linotype" w:cs="Times New Roman"/>
          <w:kern w:val="0"/>
          <w14:ligatures w14:val="none"/>
        </w:rPr>
        <w:t xml:space="preserve">use a control group </w:t>
      </w:r>
      <w:r w:rsidR="00F51D88">
        <w:rPr>
          <w:rFonts w:ascii="Palatino Linotype" w:hAnsi="Palatino Linotype" w:eastAsia="Palatino Linotype" w:cs="Times New Roman"/>
          <w:kern w:val="0"/>
          <w14:ligatures w14:val="none"/>
        </w:rPr>
        <w:t xml:space="preserve">in its analysis, </w:t>
      </w:r>
    </w:p>
    <w:p w:rsidR="00BC1FDC" w:rsidP="009B2A7A" w:rsidRDefault="00C6028A" w14:paraId="13A7A964" w14:textId="1A4D6855">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SCE will conduct participant surveys </w:t>
      </w:r>
      <w:r w:rsidR="00BC1FDC">
        <w:rPr>
          <w:rFonts w:ascii="Palatino Linotype" w:hAnsi="Palatino Linotype" w:eastAsia="Palatino Linotype" w:cs="Times New Roman"/>
          <w:kern w:val="0"/>
          <w14:ligatures w14:val="none"/>
        </w:rPr>
        <w:t>to inform the modification of incentive amounts</w:t>
      </w:r>
      <w:r w:rsidR="00632D92">
        <w:rPr>
          <w:rFonts w:ascii="Palatino Linotype" w:hAnsi="Palatino Linotype" w:eastAsia="Palatino Linotype" w:cs="Times New Roman"/>
          <w:kern w:val="0"/>
          <w14:ligatures w14:val="none"/>
        </w:rPr>
        <w:t xml:space="preserve">, </w:t>
      </w:r>
    </w:p>
    <w:p w:rsidR="00632D92" w:rsidP="009B2A7A" w:rsidRDefault="00632D92" w14:paraId="41A3D358" w14:textId="1D736AEA">
      <w:pPr>
        <w:pStyle w:val="ListParagraph"/>
        <w:numPr>
          <w:ilvl w:val="0"/>
          <w:numId w:val="32"/>
        </w:numPr>
        <w:spacing w:after="0" w:line="240" w:lineRule="auto"/>
        <w:rPr>
          <w:rFonts w:ascii="Palatino Linotype" w:hAnsi="Palatino Linotype" w:eastAsia="Palatino Linotype" w:cs="Times New Roman"/>
          <w:kern w:val="0"/>
          <w14:ligatures w14:val="none"/>
        </w:rPr>
      </w:pPr>
      <w:r w:rsidRPr="00632D92">
        <w:rPr>
          <w:rFonts w:ascii="Palatino Linotype" w:hAnsi="Palatino Linotype" w:eastAsia="Palatino Linotype" w:cs="Times New Roman"/>
          <w:kern w:val="0"/>
          <w14:ligatures w14:val="none"/>
        </w:rPr>
        <w:t xml:space="preserve">How SCE will inform and educate </w:t>
      </w:r>
      <w:r w:rsidR="007E2922">
        <w:rPr>
          <w:rFonts w:ascii="Palatino Linotype" w:hAnsi="Palatino Linotype" w:eastAsia="Palatino Linotype" w:cs="Times New Roman"/>
          <w:kern w:val="0"/>
          <w14:ligatures w14:val="none"/>
        </w:rPr>
        <w:t>ORCHARD participants</w:t>
      </w:r>
      <w:r w:rsidRPr="00632D92">
        <w:rPr>
          <w:rFonts w:ascii="Palatino Linotype" w:hAnsi="Palatino Linotype" w:eastAsia="Palatino Linotype" w:cs="Times New Roman"/>
          <w:kern w:val="0"/>
          <w14:ligatures w14:val="none"/>
        </w:rPr>
        <w:t xml:space="preserve"> about additional financial </w:t>
      </w:r>
      <w:r w:rsidR="004921F9">
        <w:rPr>
          <w:rFonts w:ascii="Palatino Linotype" w:hAnsi="Palatino Linotype" w:eastAsia="Palatino Linotype" w:cs="Times New Roman"/>
          <w:kern w:val="0"/>
          <w14:ligatures w14:val="none"/>
        </w:rPr>
        <w:t xml:space="preserve">incentives made </w:t>
      </w:r>
      <w:r w:rsidR="00CB5671">
        <w:rPr>
          <w:rFonts w:ascii="Palatino Linotype" w:hAnsi="Palatino Linotype" w:eastAsia="Palatino Linotype" w:cs="Times New Roman"/>
          <w:kern w:val="0"/>
          <w14:ligatures w14:val="none"/>
        </w:rPr>
        <w:t>available through enrollment in</w:t>
      </w:r>
      <w:r w:rsidRPr="00632D92">
        <w:rPr>
          <w:rFonts w:ascii="Palatino Linotype" w:hAnsi="Palatino Linotype" w:eastAsia="Palatino Linotype" w:cs="Times New Roman"/>
          <w:kern w:val="0"/>
          <w14:ligatures w14:val="none"/>
        </w:rPr>
        <w:t xml:space="preserve"> dynamic </w:t>
      </w:r>
      <w:r w:rsidR="00751FFF">
        <w:rPr>
          <w:rFonts w:ascii="Palatino Linotype" w:hAnsi="Palatino Linotype" w:eastAsia="Palatino Linotype" w:cs="Times New Roman"/>
          <w:kern w:val="0"/>
          <w14:ligatures w14:val="none"/>
        </w:rPr>
        <w:t>rates</w:t>
      </w:r>
      <w:r w:rsidRPr="00632D92">
        <w:rPr>
          <w:rFonts w:ascii="Palatino Linotype" w:hAnsi="Palatino Linotype" w:eastAsia="Palatino Linotype" w:cs="Times New Roman"/>
          <w:kern w:val="0"/>
          <w14:ligatures w14:val="none"/>
        </w:rPr>
        <w:t>, after such rates are approved and implemented</w:t>
      </w:r>
      <w:r w:rsidR="00DE6989">
        <w:rPr>
          <w:rFonts w:ascii="Palatino Linotype" w:hAnsi="Palatino Linotype" w:eastAsia="Palatino Linotype" w:cs="Times New Roman"/>
          <w:kern w:val="0"/>
          <w14:ligatures w14:val="none"/>
        </w:rPr>
        <w:t xml:space="preserve">, </w:t>
      </w:r>
      <w:r w:rsidR="00D2454C">
        <w:rPr>
          <w:rFonts w:ascii="Palatino Linotype" w:hAnsi="Palatino Linotype" w:eastAsia="Palatino Linotype" w:cs="Times New Roman"/>
          <w:kern w:val="0"/>
          <w14:ligatures w14:val="none"/>
        </w:rPr>
        <w:t xml:space="preserve">and </w:t>
      </w:r>
    </w:p>
    <w:p w:rsidRPr="009B2A7A" w:rsidR="00DE6989" w:rsidP="009B2A7A" w:rsidRDefault="00D2454C" w14:paraId="7DF3BA30" w14:textId="74C2E18E">
      <w:pPr>
        <w:pStyle w:val="ListParagraph"/>
        <w:numPr>
          <w:ilvl w:val="0"/>
          <w:numId w:val="3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w:t>
      </w:r>
      <w:r w:rsidRPr="00E265F0" w:rsidR="00E265F0">
        <w:rPr>
          <w:rFonts w:ascii="Palatino Linotype" w:hAnsi="Palatino Linotype" w:eastAsia="Palatino Linotype" w:cs="Times New Roman"/>
          <w:kern w:val="0"/>
          <w14:ligatures w14:val="none"/>
        </w:rPr>
        <w:t xml:space="preserve">ow SCE will evaluate the potential bill impact of ORCHARD customers </w:t>
      </w:r>
      <w:r w:rsidR="0018799E">
        <w:rPr>
          <w:rFonts w:ascii="Palatino Linotype" w:hAnsi="Palatino Linotype" w:eastAsia="Palatino Linotype" w:cs="Times New Roman"/>
          <w:kern w:val="0"/>
          <w14:ligatures w14:val="none"/>
        </w:rPr>
        <w:t>concurrently enrolled in</w:t>
      </w:r>
      <w:r w:rsidRPr="00E265F0" w:rsidR="0018799E">
        <w:rPr>
          <w:rFonts w:ascii="Palatino Linotype" w:hAnsi="Palatino Linotype" w:eastAsia="Palatino Linotype" w:cs="Times New Roman"/>
          <w:kern w:val="0"/>
          <w14:ligatures w14:val="none"/>
        </w:rPr>
        <w:t xml:space="preserve"> dynamic rates</w:t>
      </w:r>
      <w:r w:rsidR="00E265F0">
        <w:rPr>
          <w:rFonts w:ascii="Palatino Linotype" w:hAnsi="Palatino Linotype" w:eastAsia="Palatino Linotype" w:cs="Times New Roman"/>
          <w:kern w:val="0"/>
          <w14:ligatures w14:val="none"/>
        </w:rPr>
        <w:t xml:space="preserve">. </w:t>
      </w:r>
    </w:p>
    <w:p w:rsidR="00017497" w:rsidP="0050462C" w:rsidRDefault="00017497" w14:paraId="34273E59" w14:textId="77777777">
      <w:pPr>
        <w:spacing w:after="0" w:line="240" w:lineRule="auto"/>
        <w:rPr>
          <w:rFonts w:ascii="Palatino Linotype" w:hAnsi="Palatino Linotype" w:eastAsia="Palatino Linotype" w:cs="Times New Roman"/>
          <w:kern w:val="0"/>
          <w14:ligatures w14:val="none"/>
        </w:rPr>
      </w:pPr>
    </w:p>
    <w:p w:rsidRPr="00E55ABA" w:rsidR="00D32984" w:rsidP="00E6107E" w:rsidRDefault="00D32984" w14:paraId="1D0EE4FD" w14:textId="4445D075">
      <w:pPr>
        <w:pStyle w:val="Heading3"/>
        <w:numPr>
          <w:ilvl w:val="0"/>
          <w:numId w:val="29"/>
        </w:numPr>
        <w:spacing w:before="0" w:after="120" w:line="240" w:lineRule="auto"/>
        <w:rPr>
          <w:rFonts w:ascii="Palatino Linotype" w:hAnsi="Palatino Linotype"/>
          <w:sz w:val="24"/>
          <w:szCs w:val="24"/>
        </w:rPr>
      </w:pPr>
      <w:r w:rsidRPr="00E55ABA">
        <w:rPr>
          <w:rFonts w:ascii="Palatino Linotype" w:hAnsi="Palatino Linotype"/>
          <w:sz w:val="24"/>
          <w:szCs w:val="24"/>
        </w:rPr>
        <w:t>MDHD Participation</w:t>
      </w:r>
      <w:r w:rsidR="00C410D6">
        <w:rPr>
          <w:rFonts w:ascii="Palatino Linotype" w:hAnsi="Palatino Linotype"/>
          <w:sz w:val="24"/>
          <w:szCs w:val="24"/>
        </w:rPr>
        <w:t xml:space="preserve"> </w:t>
      </w:r>
    </w:p>
    <w:p w:rsidRPr="005C7AC0" w:rsidR="00D32984" w:rsidP="00A8350E" w:rsidRDefault="00435EA1" w14:paraId="5F73756E" w14:textId="77AD1DCA">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 5536-E </w:t>
      </w:r>
      <w:r w:rsidR="005D04A0">
        <w:rPr>
          <w:rFonts w:ascii="Palatino Linotype" w:hAnsi="Palatino Linotype" w:eastAsia="Palatino Linotype" w:cs="Times New Roman"/>
          <w:kern w:val="0"/>
          <w14:ligatures w14:val="none"/>
        </w:rPr>
        <w:t>limits the program to</w:t>
      </w:r>
      <w:r w:rsidR="00A97501">
        <w:rPr>
          <w:rFonts w:ascii="Palatino Linotype" w:hAnsi="Palatino Linotype" w:eastAsia="Palatino Linotype" w:cs="Times New Roman"/>
          <w:kern w:val="0"/>
          <w14:ligatures w14:val="none"/>
        </w:rPr>
        <w:t xml:space="preserve"> residential drivers, arguing that </w:t>
      </w:r>
      <w:r w:rsidR="000D45BB">
        <w:rPr>
          <w:rFonts w:ascii="Palatino Linotype" w:hAnsi="Palatino Linotype" w:eastAsia="Palatino Linotype" w:cs="Times New Roman"/>
          <w:kern w:val="0"/>
          <w14:ligatures w14:val="none"/>
        </w:rPr>
        <w:t xml:space="preserve">mitigating </w:t>
      </w:r>
      <w:r w:rsidR="00F9559C">
        <w:rPr>
          <w:rFonts w:ascii="Palatino Linotype" w:hAnsi="Palatino Linotype" w:eastAsia="Palatino Linotype" w:cs="Times New Roman"/>
          <w:kern w:val="0"/>
          <w14:ligatures w14:val="none"/>
        </w:rPr>
        <w:t xml:space="preserve">distribution system upgrades </w:t>
      </w:r>
      <w:r w:rsidR="00F6486C">
        <w:rPr>
          <w:rFonts w:ascii="Palatino Linotype" w:hAnsi="Palatino Linotype" w:eastAsia="Palatino Linotype" w:cs="Times New Roman"/>
          <w:kern w:val="0"/>
          <w14:ligatures w14:val="none"/>
        </w:rPr>
        <w:t xml:space="preserve">due to increased residential EV load would in turn allow SCE to </w:t>
      </w:r>
      <w:r w:rsidR="00A8350E">
        <w:rPr>
          <w:rFonts w:ascii="Palatino Linotype" w:hAnsi="Palatino Linotype" w:eastAsia="Palatino Linotype" w:cs="Times New Roman"/>
          <w:kern w:val="0"/>
          <w14:ligatures w14:val="none"/>
        </w:rPr>
        <w:t>“direct grid resources toward new electrification goals in the medium- and heavy-duty vehicle sectors.”</w:t>
      </w:r>
      <w:r w:rsidR="00AA0F27">
        <w:rPr>
          <w:rStyle w:val="FootnoteReference"/>
          <w:rFonts w:ascii="Palatino Linotype" w:hAnsi="Palatino Linotype" w:eastAsia="Palatino Linotype" w:cs="Times New Roman"/>
          <w:kern w:val="0"/>
          <w14:ligatures w14:val="none"/>
        </w:rPr>
        <w:footnoteReference w:id="49"/>
      </w:r>
      <w:r w:rsidR="00A8350E">
        <w:rPr>
          <w:rFonts w:ascii="Palatino Linotype" w:hAnsi="Palatino Linotype" w:eastAsia="Palatino Linotype" w:cs="Times New Roman"/>
          <w:kern w:val="0"/>
          <w14:ligatures w14:val="none"/>
        </w:rPr>
        <w:t xml:space="preserve"> </w:t>
      </w:r>
      <w:r w:rsidR="00072A31">
        <w:rPr>
          <w:rFonts w:ascii="Palatino Linotype" w:hAnsi="Palatino Linotype" w:eastAsia="Palatino Linotype" w:cs="Times New Roman"/>
          <w:kern w:val="0"/>
          <w14:ligatures w14:val="none"/>
        </w:rPr>
        <w:t>T</w:t>
      </w:r>
      <w:r w:rsidR="00D32984">
        <w:rPr>
          <w:rFonts w:ascii="Palatino Linotype" w:hAnsi="Palatino Linotype" w:eastAsia="Palatino Linotype" w:cs="Times New Roman"/>
          <w:kern w:val="0"/>
          <w14:ligatures w14:val="none"/>
        </w:rPr>
        <w:t>he C</w:t>
      </w:r>
      <w:r w:rsidR="00D573AE">
        <w:rPr>
          <w:rFonts w:ascii="Palatino Linotype" w:hAnsi="Palatino Linotype" w:eastAsia="Palatino Linotype" w:cs="Times New Roman"/>
          <w:kern w:val="0"/>
          <w14:ligatures w14:val="none"/>
        </w:rPr>
        <w:t>PUC</w:t>
      </w:r>
      <w:r w:rsidR="00D32984">
        <w:rPr>
          <w:rFonts w:ascii="Palatino Linotype" w:hAnsi="Palatino Linotype" w:eastAsia="Palatino Linotype" w:cs="Times New Roman"/>
          <w:kern w:val="0"/>
          <w14:ligatures w14:val="none"/>
        </w:rPr>
        <w:t xml:space="preserve"> does not require SCE to include MDHD customers in the </w:t>
      </w:r>
      <w:r w:rsidR="00D32984">
        <w:rPr>
          <w:rFonts w:ascii="Palatino Linotype" w:hAnsi="Palatino Linotype" w:eastAsia="Times New Roman" w:cs="Times New Roman"/>
          <w:kern w:val="0"/>
          <w14:ligatures w14:val="none"/>
        </w:rPr>
        <w:t>orchestrated load management</w:t>
      </w:r>
      <w:r w:rsidR="00D32984">
        <w:rPr>
          <w:rFonts w:ascii="Palatino Linotype" w:hAnsi="Palatino Linotype" w:eastAsia="Palatino Linotype" w:cs="Times New Roman"/>
          <w:kern w:val="0"/>
          <w14:ligatures w14:val="none"/>
        </w:rPr>
        <w:t xml:space="preserve"> portion of ORCHARD as the proposal focus</w:t>
      </w:r>
      <w:r w:rsidR="00C410D6">
        <w:rPr>
          <w:rFonts w:ascii="Palatino Linotype" w:hAnsi="Palatino Linotype" w:eastAsia="Palatino Linotype" w:cs="Times New Roman"/>
          <w:kern w:val="0"/>
          <w14:ligatures w14:val="none"/>
        </w:rPr>
        <w:t>es</w:t>
      </w:r>
      <w:r w:rsidR="00D32984">
        <w:rPr>
          <w:rFonts w:ascii="Palatino Linotype" w:hAnsi="Palatino Linotype" w:eastAsia="Palatino Linotype" w:cs="Times New Roman"/>
          <w:kern w:val="0"/>
          <w14:ligatures w14:val="none"/>
        </w:rPr>
        <w:t xml:space="preserve"> the program learnings on </w:t>
      </w:r>
      <w:r w:rsidR="00B17DFB">
        <w:rPr>
          <w:rFonts w:ascii="Palatino Linotype" w:hAnsi="Palatino Linotype" w:eastAsia="Palatino Linotype" w:cs="Times New Roman"/>
          <w:kern w:val="0"/>
          <w14:ligatures w14:val="none"/>
        </w:rPr>
        <w:t xml:space="preserve">light-duty, </w:t>
      </w:r>
      <w:r w:rsidR="00D32984">
        <w:rPr>
          <w:rFonts w:ascii="Palatino Linotype" w:hAnsi="Palatino Linotype" w:eastAsia="Palatino Linotype" w:cs="Times New Roman"/>
          <w:kern w:val="0"/>
          <w14:ligatures w14:val="none"/>
        </w:rPr>
        <w:t>residential drivers.</w:t>
      </w:r>
      <w:r w:rsidRPr="00C644C3" w:rsidR="00D32984">
        <w:rPr>
          <w:rFonts w:ascii="Palatino Linotype" w:hAnsi="Palatino Linotype" w:eastAsia="Palatino Linotype" w:cs="Times New Roman"/>
          <w:kern w:val="0"/>
          <w14:ligatures w14:val="none"/>
        </w:rPr>
        <w:t xml:space="preserve"> </w:t>
      </w:r>
    </w:p>
    <w:p w:rsidR="00D32984" w:rsidP="0050462C" w:rsidRDefault="00D32984" w14:paraId="27828B93" w14:textId="77777777">
      <w:pPr>
        <w:spacing w:after="0" w:line="240" w:lineRule="auto"/>
        <w:rPr>
          <w:rFonts w:ascii="Palatino Linotype" w:hAnsi="Palatino Linotype" w:eastAsia="Palatino Linotype" w:cs="Times New Roman"/>
          <w:kern w:val="0"/>
          <w14:ligatures w14:val="none"/>
        </w:rPr>
      </w:pPr>
    </w:p>
    <w:p w:rsidRPr="00F8543A" w:rsidR="0050462C" w:rsidP="00E6107E" w:rsidRDefault="00BB6BCA" w14:paraId="6C4FBD6B" w14:textId="006153F1">
      <w:pPr>
        <w:pStyle w:val="Heading3"/>
        <w:numPr>
          <w:ilvl w:val="0"/>
          <w:numId w:val="28"/>
        </w:numPr>
        <w:spacing w:before="0" w:after="120" w:line="240" w:lineRule="auto"/>
        <w:rPr>
          <w:rFonts w:ascii="Palatino Linotype" w:hAnsi="Palatino Linotype" w:eastAsia="Palatino Linotype"/>
          <w:sz w:val="24"/>
          <w:szCs w:val="24"/>
        </w:rPr>
      </w:pPr>
      <w:r>
        <w:rPr>
          <w:rFonts w:ascii="Palatino Linotype" w:hAnsi="Palatino Linotype" w:eastAsia="Palatino Linotype"/>
          <w:sz w:val="24"/>
          <w:szCs w:val="24"/>
        </w:rPr>
        <w:t xml:space="preserve">Bidirectional </w:t>
      </w:r>
      <w:r w:rsidR="007E650B">
        <w:rPr>
          <w:rFonts w:ascii="Palatino Linotype" w:hAnsi="Palatino Linotype" w:eastAsia="Palatino Linotype"/>
          <w:sz w:val="24"/>
          <w:szCs w:val="24"/>
        </w:rPr>
        <w:t>Equipment</w:t>
      </w:r>
      <w:r w:rsidRPr="00F8543A" w:rsidR="0050462C">
        <w:rPr>
          <w:rFonts w:ascii="Palatino Linotype" w:hAnsi="Palatino Linotype" w:eastAsia="Palatino Linotype"/>
          <w:sz w:val="24"/>
          <w:szCs w:val="24"/>
        </w:rPr>
        <w:t xml:space="preserve"> Incentives</w:t>
      </w:r>
      <w:r w:rsidRPr="00F8543A" w:rsidR="00F8543A">
        <w:rPr>
          <w:rFonts w:ascii="Palatino Linotype" w:hAnsi="Palatino Linotype" w:eastAsia="Palatino Linotype"/>
          <w:sz w:val="24"/>
          <w:szCs w:val="24"/>
        </w:rPr>
        <w:t xml:space="preserve"> </w:t>
      </w:r>
    </w:p>
    <w:p w:rsidR="000F25CF" w:rsidP="006226D4" w:rsidRDefault="0056402B" w14:paraId="16641126" w14:textId="1954B4A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 5536-E proposes two tiers of incentives </w:t>
      </w:r>
      <w:r w:rsidRPr="006226D4" w:rsidR="004A5A0B">
        <w:rPr>
          <w:rFonts w:ascii="Palatino Linotype" w:hAnsi="Palatino Linotype" w:eastAsia="Palatino Linotype" w:cs="Times New Roman"/>
          <w:kern w:val="0"/>
          <w14:ligatures w14:val="none"/>
        </w:rPr>
        <w:t>illustrated in Table 2</w:t>
      </w:r>
      <w:r w:rsidR="00E13040">
        <w:rPr>
          <w:rFonts w:ascii="Palatino Linotype" w:hAnsi="Palatino Linotype" w:eastAsia="Palatino Linotype" w:cs="Times New Roman"/>
          <w:kern w:val="0"/>
          <w14:ligatures w14:val="none"/>
        </w:rPr>
        <w:t>, which they call V2X incentives</w:t>
      </w:r>
      <w:r w:rsidRPr="006226D4" w:rsidR="004A5A0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The first tier </w:t>
      </w:r>
      <w:r w:rsidR="000F25CF">
        <w:rPr>
          <w:rFonts w:ascii="Palatino Linotype" w:hAnsi="Palatino Linotype" w:eastAsia="Palatino Linotype" w:cs="Times New Roman"/>
          <w:kern w:val="0"/>
          <w14:ligatures w14:val="none"/>
        </w:rPr>
        <w:t xml:space="preserve">would provide </w:t>
      </w:r>
      <w:r w:rsidR="00A568B8">
        <w:rPr>
          <w:rFonts w:ascii="Palatino Linotype" w:hAnsi="Palatino Linotype" w:eastAsia="Palatino Linotype" w:cs="Times New Roman"/>
          <w:kern w:val="0"/>
          <w14:ligatures w14:val="none"/>
        </w:rPr>
        <w:t>most</w:t>
      </w:r>
      <w:r w:rsidR="00886595">
        <w:rPr>
          <w:rFonts w:ascii="Palatino Linotype" w:hAnsi="Palatino Linotype" w:eastAsia="Palatino Linotype" w:cs="Times New Roman"/>
          <w:kern w:val="0"/>
          <w14:ligatures w14:val="none"/>
        </w:rPr>
        <w:t xml:space="preserve"> </w:t>
      </w:r>
      <w:r w:rsidR="00E874A2">
        <w:rPr>
          <w:rFonts w:ascii="Palatino Linotype" w:hAnsi="Palatino Linotype" w:eastAsia="Palatino Linotype" w:cs="Times New Roman"/>
          <w:kern w:val="0"/>
          <w14:ligatures w14:val="none"/>
        </w:rPr>
        <w:t>participants with</w:t>
      </w:r>
      <w:r w:rsidR="000F25CF">
        <w:rPr>
          <w:rFonts w:ascii="Palatino Linotype" w:hAnsi="Palatino Linotype" w:eastAsia="Palatino Linotype" w:cs="Times New Roman"/>
          <w:kern w:val="0"/>
          <w14:ligatures w14:val="none"/>
        </w:rPr>
        <w:t xml:space="preserve"> </w:t>
      </w:r>
      <w:r w:rsidR="00C6055D">
        <w:rPr>
          <w:rFonts w:ascii="Palatino Linotype" w:hAnsi="Palatino Linotype" w:eastAsia="Palatino Linotype" w:cs="Times New Roman"/>
          <w:kern w:val="0"/>
          <w14:ligatures w14:val="none"/>
        </w:rPr>
        <w:t>an</w:t>
      </w:r>
      <w:r w:rsidR="000F25CF">
        <w:rPr>
          <w:rFonts w:ascii="Palatino Linotype" w:hAnsi="Palatino Linotype" w:eastAsia="Palatino Linotype" w:cs="Times New Roman"/>
          <w:kern w:val="0"/>
          <w14:ligatures w14:val="none"/>
        </w:rPr>
        <w:t xml:space="preserve"> $800 rebate to offset the cost of the Rule 21 interconnection application</w:t>
      </w:r>
      <w:r w:rsidR="000A4BE6">
        <w:rPr>
          <w:rFonts w:ascii="Palatino Linotype" w:hAnsi="Palatino Linotype" w:eastAsia="Palatino Linotype" w:cs="Times New Roman"/>
          <w:kern w:val="0"/>
          <w14:ligatures w14:val="none"/>
        </w:rPr>
        <w:t>.</w:t>
      </w:r>
      <w:r w:rsidR="006226D4">
        <w:rPr>
          <w:rFonts w:ascii="Palatino Linotype" w:hAnsi="Palatino Linotype" w:eastAsia="Palatino Linotype" w:cs="Times New Roman"/>
          <w:kern w:val="0"/>
          <w14:ligatures w14:val="none"/>
        </w:rPr>
        <w:t xml:space="preserve"> </w:t>
      </w:r>
      <w:r w:rsidR="000F25CF">
        <w:rPr>
          <w:rFonts w:ascii="Palatino Linotype" w:hAnsi="Palatino Linotype" w:eastAsia="Palatino Linotype" w:cs="Times New Roman"/>
          <w:kern w:val="0"/>
          <w14:ligatures w14:val="none"/>
        </w:rPr>
        <w:t xml:space="preserve">The second tier would provide </w:t>
      </w:r>
      <w:r w:rsidR="00AF59E3">
        <w:rPr>
          <w:rFonts w:ascii="Palatino Linotype" w:hAnsi="Palatino Linotype" w:eastAsia="Palatino Linotype" w:cs="Times New Roman"/>
          <w:kern w:val="0"/>
          <w14:ligatures w14:val="none"/>
        </w:rPr>
        <w:t xml:space="preserve">income-qualified </w:t>
      </w:r>
      <w:r w:rsidR="00E21A4C">
        <w:rPr>
          <w:rFonts w:ascii="Palatino Linotype" w:hAnsi="Palatino Linotype" w:eastAsia="Palatino Linotype" w:cs="Times New Roman"/>
          <w:kern w:val="0"/>
          <w14:ligatures w14:val="none"/>
        </w:rPr>
        <w:t>customers with</w:t>
      </w:r>
      <w:r w:rsidR="00AF59E3">
        <w:rPr>
          <w:rFonts w:ascii="Palatino Linotype" w:hAnsi="Palatino Linotype" w:eastAsia="Palatino Linotype" w:cs="Times New Roman"/>
          <w:kern w:val="0"/>
          <w14:ligatures w14:val="none"/>
        </w:rPr>
        <w:t xml:space="preserve"> additional incentives </w:t>
      </w:r>
      <w:r w:rsidR="00D42C95">
        <w:rPr>
          <w:rFonts w:ascii="Palatino Linotype" w:hAnsi="Palatino Linotype" w:eastAsia="Palatino Linotype" w:cs="Times New Roman"/>
          <w:kern w:val="0"/>
          <w14:ligatures w14:val="none"/>
        </w:rPr>
        <w:t xml:space="preserve">to offset costs incurred by the installation of bidirectional EVSE, such as </w:t>
      </w:r>
      <w:r w:rsidRPr="00761432" w:rsidR="00761432">
        <w:rPr>
          <w:rFonts w:ascii="Palatino Linotype" w:hAnsi="Palatino Linotype" w:eastAsia="Palatino Linotype" w:cs="Times New Roman"/>
          <w:kern w:val="0"/>
          <w14:ligatures w14:val="none"/>
        </w:rPr>
        <w:t>bidirectional inverters, transfer switches, and companion energy storage systems</w:t>
      </w:r>
      <w:r w:rsidRPr="006226D4" w:rsidR="00005D4F">
        <w:rPr>
          <w:rFonts w:ascii="Palatino Linotype" w:hAnsi="Palatino Linotype" w:eastAsia="Palatino Linotype" w:cs="Times New Roman"/>
          <w:kern w:val="0"/>
          <w14:ligatures w14:val="none"/>
        </w:rPr>
        <w:t>.</w:t>
      </w:r>
      <w:r w:rsidR="00E33EF9">
        <w:rPr>
          <w:rFonts w:ascii="Palatino Linotype" w:hAnsi="Palatino Linotype" w:eastAsia="Palatino Linotype" w:cs="Times New Roman"/>
          <w:kern w:val="0"/>
          <w14:ligatures w14:val="none"/>
        </w:rPr>
        <w:t xml:space="preserve"> </w:t>
      </w:r>
    </w:p>
    <w:p w:rsidR="00E6107E" w:rsidRDefault="00E6107E" w14:paraId="219C9196" w14:textId="1A96A909">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AB5B2D" w:rsidR="00AB5B2D" w:rsidP="00AB5B2D" w:rsidRDefault="00AB5B2D" w14:paraId="0A192FDE" w14:textId="1EBF1B63">
      <w:pPr>
        <w:pStyle w:val="Caption"/>
        <w:keepNext/>
        <w:rPr>
          <w:rFonts w:ascii="Palatino Linotype" w:hAnsi="Palatino Linotype"/>
          <w:sz w:val="24"/>
          <w:szCs w:val="24"/>
        </w:rPr>
      </w:pPr>
      <w:r w:rsidRPr="00AB5B2D">
        <w:rPr>
          <w:rFonts w:ascii="Palatino Linotype" w:hAnsi="Palatino Linotype"/>
          <w:sz w:val="24"/>
          <w:szCs w:val="24"/>
        </w:rPr>
        <w:lastRenderedPageBreak/>
        <w:t xml:space="preserve">Table </w:t>
      </w:r>
      <w:r w:rsidRPr="00AB5B2D">
        <w:rPr>
          <w:rFonts w:ascii="Palatino Linotype" w:hAnsi="Palatino Linotype"/>
          <w:sz w:val="24"/>
          <w:szCs w:val="24"/>
        </w:rPr>
        <w:fldChar w:fldCharType="begin"/>
      </w:r>
      <w:r w:rsidRPr="00AB5B2D">
        <w:rPr>
          <w:rFonts w:ascii="Palatino Linotype" w:hAnsi="Palatino Linotype"/>
          <w:sz w:val="24"/>
          <w:szCs w:val="24"/>
        </w:rPr>
        <w:instrText xml:space="preserve"> SEQ Table \* ARABIC </w:instrText>
      </w:r>
      <w:r w:rsidRPr="00AB5B2D">
        <w:rPr>
          <w:rFonts w:ascii="Palatino Linotype" w:hAnsi="Palatino Linotype"/>
          <w:sz w:val="24"/>
          <w:szCs w:val="24"/>
        </w:rPr>
        <w:fldChar w:fldCharType="separate"/>
      </w:r>
      <w:r w:rsidRPr="00AB5B2D">
        <w:rPr>
          <w:rFonts w:ascii="Palatino Linotype" w:hAnsi="Palatino Linotype"/>
          <w:noProof/>
          <w:sz w:val="24"/>
          <w:szCs w:val="24"/>
        </w:rPr>
        <w:t>2</w:t>
      </w:r>
      <w:r w:rsidRPr="00AB5B2D">
        <w:rPr>
          <w:rFonts w:ascii="Palatino Linotype" w:hAnsi="Palatino Linotype"/>
          <w:sz w:val="24"/>
          <w:szCs w:val="24"/>
        </w:rPr>
        <w:fldChar w:fldCharType="end"/>
      </w:r>
      <w:r w:rsidRPr="00AB5B2D">
        <w:rPr>
          <w:rFonts w:ascii="Palatino Linotype" w:hAnsi="Palatino Linotype"/>
          <w:sz w:val="24"/>
          <w:szCs w:val="24"/>
        </w:rPr>
        <w:t xml:space="preserve">: </w:t>
      </w:r>
      <w:r w:rsidR="007E650B">
        <w:rPr>
          <w:rFonts w:ascii="Palatino Linotype" w:hAnsi="Palatino Linotype"/>
          <w:sz w:val="24"/>
          <w:szCs w:val="24"/>
        </w:rPr>
        <w:t xml:space="preserve">Proposed </w:t>
      </w:r>
      <w:r w:rsidRPr="00AB5B2D">
        <w:rPr>
          <w:rFonts w:ascii="Palatino Linotype" w:hAnsi="Palatino Linotype"/>
          <w:sz w:val="24"/>
          <w:szCs w:val="24"/>
        </w:rPr>
        <w:t xml:space="preserve">Interconnection and </w:t>
      </w:r>
      <w:r w:rsidR="007E650B">
        <w:rPr>
          <w:rFonts w:ascii="Palatino Linotype" w:hAnsi="Palatino Linotype"/>
          <w:sz w:val="24"/>
          <w:szCs w:val="24"/>
        </w:rPr>
        <w:t xml:space="preserve">Bidirectional </w:t>
      </w:r>
      <w:r w:rsidRPr="00AB5B2D">
        <w:rPr>
          <w:rFonts w:ascii="Palatino Linotype" w:hAnsi="Palatino Linotype"/>
          <w:sz w:val="24"/>
          <w:szCs w:val="24"/>
        </w:rPr>
        <w:t>Equipment Incentives</w:t>
      </w:r>
    </w:p>
    <w:tbl>
      <w:tblPr>
        <w:tblStyle w:val="TableGrid"/>
        <w:tblW w:w="0" w:type="auto"/>
        <w:jc w:val="center"/>
        <w:tblLook w:val="04A0" w:firstRow="1" w:lastRow="0" w:firstColumn="1" w:lastColumn="0" w:noHBand="0" w:noVBand="1"/>
      </w:tblPr>
      <w:tblGrid>
        <w:gridCol w:w="1865"/>
        <w:gridCol w:w="1882"/>
        <w:gridCol w:w="1868"/>
        <w:gridCol w:w="1868"/>
        <w:gridCol w:w="1867"/>
      </w:tblGrid>
      <w:tr w:rsidR="00290A53" w:rsidTr="00703CB0" w14:paraId="593DAEB3" w14:textId="77777777">
        <w:trPr>
          <w:jc w:val="center"/>
        </w:trPr>
        <w:tc>
          <w:tcPr>
            <w:tcW w:w="1865" w:type="dxa"/>
            <w:vAlign w:val="center"/>
          </w:tcPr>
          <w:p w:rsidR="00290A53" w:rsidP="00D120F5" w:rsidRDefault="00290A53" w14:paraId="12437C12" w14:textId="77777777">
            <w:pPr>
              <w:jc w:val="center"/>
              <w:rPr>
                <w:rFonts w:ascii="Palatino Linotype" w:hAnsi="Palatino Linotype" w:eastAsia="Palatino Linotype" w:cs="Times New Roman"/>
                <w:kern w:val="0"/>
                <w14:ligatures w14:val="none"/>
              </w:rPr>
            </w:pPr>
          </w:p>
        </w:tc>
        <w:tc>
          <w:tcPr>
            <w:tcW w:w="1882" w:type="dxa"/>
            <w:vAlign w:val="center"/>
          </w:tcPr>
          <w:p w:rsidR="00290A53" w:rsidP="00D120F5" w:rsidRDefault="00290A53" w14:paraId="41FB722A" w14:textId="438FA76A">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Interconnection Discount</w:t>
            </w:r>
          </w:p>
        </w:tc>
        <w:tc>
          <w:tcPr>
            <w:tcW w:w="1868" w:type="dxa"/>
            <w:vAlign w:val="center"/>
          </w:tcPr>
          <w:p w:rsidR="00290A53" w:rsidP="00D120F5" w:rsidRDefault="00290A53" w14:paraId="665794DD" w14:textId="7458DB96">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Additional System Costs</w:t>
            </w:r>
          </w:p>
        </w:tc>
        <w:tc>
          <w:tcPr>
            <w:tcW w:w="1868" w:type="dxa"/>
            <w:vAlign w:val="center"/>
          </w:tcPr>
          <w:p w:rsidR="00290A53" w:rsidP="00D120F5" w:rsidRDefault="00290A53" w14:paraId="48F6D9CC" w14:textId="0D418EBD">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Covered by Other Programs</w:t>
            </w:r>
          </w:p>
        </w:tc>
        <w:tc>
          <w:tcPr>
            <w:tcW w:w="1867" w:type="dxa"/>
            <w:vAlign w:val="center"/>
          </w:tcPr>
          <w:p w:rsidR="00290A53" w:rsidP="00D120F5" w:rsidRDefault="0069066F" w14:paraId="410E3616" w14:textId="791657F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Total</w:t>
            </w:r>
          </w:p>
        </w:tc>
      </w:tr>
      <w:tr w:rsidR="00290A53" w:rsidTr="00703CB0" w14:paraId="76C58C7D" w14:textId="77777777">
        <w:trPr>
          <w:jc w:val="center"/>
        </w:trPr>
        <w:tc>
          <w:tcPr>
            <w:tcW w:w="1865" w:type="dxa"/>
            <w:vAlign w:val="center"/>
          </w:tcPr>
          <w:p w:rsidR="00290A53" w:rsidP="00D120F5" w:rsidRDefault="0069066F" w14:paraId="2E63F886" w14:textId="693A4D83">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Tier 1</w:t>
            </w:r>
          </w:p>
        </w:tc>
        <w:tc>
          <w:tcPr>
            <w:tcW w:w="1882" w:type="dxa"/>
            <w:vAlign w:val="center"/>
          </w:tcPr>
          <w:p w:rsidR="00290A53" w:rsidP="00D120F5" w:rsidRDefault="0069066F" w14:paraId="4C41EAF2" w14:textId="18D6CDC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c>
          <w:tcPr>
            <w:tcW w:w="1868" w:type="dxa"/>
            <w:vAlign w:val="center"/>
          </w:tcPr>
          <w:p w:rsidR="00290A53" w:rsidP="00D120F5" w:rsidRDefault="0069066F" w14:paraId="17DF1D95" w14:textId="0D9F41B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c>
          <w:tcPr>
            <w:tcW w:w="1868" w:type="dxa"/>
            <w:vAlign w:val="center"/>
          </w:tcPr>
          <w:p w:rsidR="00290A53" w:rsidP="00D120F5" w:rsidRDefault="0069066F" w14:paraId="657EA489" w14:textId="0B68ECEE">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n/a</w:t>
            </w:r>
          </w:p>
        </w:tc>
        <w:tc>
          <w:tcPr>
            <w:tcW w:w="1867" w:type="dxa"/>
            <w:vAlign w:val="center"/>
          </w:tcPr>
          <w:p w:rsidR="00290A53" w:rsidP="00D120F5" w:rsidRDefault="0069066F" w14:paraId="467AF994" w14:textId="7CBC9B3D">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r>
      <w:tr w:rsidR="00290A53" w:rsidTr="00703CB0" w14:paraId="7551F2DD" w14:textId="77777777">
        <w:trPr>
          <w:jc w:val="center"/>
        </w:trPr>
        <w:tc>
          <w:tcPr>
            <w:tcW w:w="1865" w:type="dxa"/>
            <w:vAlign w:val="center"/>
          </w:tcPr>
          <w:p w:rsidR="00290A53" w:rsidP="00D120F5" w:rsidRDefault="0069066F" w14:paraId="13AB7C91" w14:textId="6A9C6EA4">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Tier 2</w:t>
            </w:r>
          </w:p>
        </w:tc>
        <w:tc>
          <w:tcPr>
            <w:tcW w:w="1882" w:type="dxa"/>
            <w:vAlign w:val="center"/>
          </w:tcPr>
          <w:p w:rsidR="00290A53" w:rsidP="00D120F5" w:rsidRDefault="0069066F" w14:paraId="34D6828B" w14:textId="1C2D8E75">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$800</w:t>
            </w:r>
          </w:p>
        </w:tc>
        <w:tc>
          <w:tcPr>
            <w:tcW w:w="1868" w:type="dxa"/>
            <w:vAlign w:val="center"/>
          </w:tcPr>
          <w:p w:rsidR="00290A53" w:rsidP="00D120F5" w:rsidRDefault="0069066F" w14:paraId="245AED5B" w14:textId="59E668F9">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Up to $7,800</w:t>
            </w:r>
          </w:p>
        </w:tc>
        <w:tc>
          <w:tcPr>
            <w:tcW w:w="1868" w:type="dxa"/>
            <w:vAlign w:val="center"/>
          </w:tcPr>
          <w:p w:rsidR="00290A53" w:rsidP="00D120F5" w:rsidRDefault="0069066F" w14:paraId="4F509440" w14:textId="0E4D709C">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Up to $4,200 for panel </w:t>
            </w:r>
            <w:r w:rsidR="00D120F5">
              <w:rPr>
                <w:rFonts w:ascii="Palatino Linotype" w:hAnsi="Palatino Linotype" w:eastAsia="Palatino Linotype" w:cs="Times New Roman"/>
                <w:kern w:val="0"/>
                <w14:ligatures w14:val="none"/>
              </w:rPr>
              <w:t>(Charge Ready Home)</w:t>
            </w:r>
          </w:p>
        </w:tc>
        <w:tc>
          <w:tcPr>
            <w:tcW w:w="1867" w:type="dxa"/>
            <w:vAlign w:val="center"/>
          </w:tcPr>
          <w:p w:rsidR="00290A53" w:rsidP="00D120F5" w:rsidRDefault="00D120F5" w14:paraId="61542D12" w14:textId="4BE5BAC8">
            <w:pPr>
              <w:jc w:val="cente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Up to $12,800</w:t>
            </w:r>
          </w:p>
        </w:tc>
      </w:tr>
    </w:tbl>
    <w:p w:rsidR="00A46A7A" w:rsidP="00A1736C" w:rsidRDefault="00A46A7A" w14:paraId="746B7F49" w14:textId="77777777">
      <w:pPr>
        <w:spacing w:after="0" w:line="240" w:lineRule="auto"/>
        <w:rPr>
          <w:rFonts w:ascii="Palatino Linotype" w:hAnsi="Palatino Linotype" w:eastAsia="Palatino Linotype" w:cs="Times New Roman"/>
          <w:kern w:val="0"/>
          <w14:ligatures w14:val="none"/>
        </w:rPr>
      </w:pPr>
    </w:p>
    <w:p w:rsidRPr="000B16E8" w:rsidR="000523D2" w:rsidP="000523D2" w:rsidRDefault="000523D2" w14:paraId="5CFF5740" w14:textId="405D714A">
      <w:pPr>
        <w:spacing w:after="0" w:line="240" w:lineRule="auto"/>
        <w:rPr>
          <w:rFonts w:ascii="Palatino Linotype" w:hAnsi="Palatino Linotype" w:eastAsia="Palatino Linotype" w:cs="Times New Roman"/>
          <w:kern w:val="0"/>
          <w14:ligatures w14:val="none"/>
        </w:rPr>
      </w:pPr>
      <w:r w:rsidRPr="006226D4">
        <w:rPr>
          <w:rFonts w:ascii="Palatino Linotype" w:hAnsi="Palatino Linotype" w:eastAsia="Palatino Linotype" w:cs="Times New Roman"/>
          <w:kern w:val="0"/>
          <w14:ligatures w14:val="none"/>
        </w:rPr>
        <w:t>SCE</w:t>
      </w:r>
      <w:r>
        <w:rPr>
          <w:rFonts w:ascii="Palatino Linotype" w:hAnsi="Palatino Linotype" w:eastAsia="Palatino Linotype" w:cs="Times New Roman"/>
          <w:kern w:val="0"/>
          <w14:ligatures w14:val="none"/>
        </w:rPr>
        <w:t>’s AL 5536-E</w:t>
      </w:r>
      <w:r w:rsidRPr="006226D4">
        <w:rPr>
          <w:rFonts w:ascii="Palatino Linotype" w:hAnsi="Palatino Linotype" w:eastAsia="Palatino Linotype" w:cs="Times New Roman"/>
          <w:kern w:val="0"/>
          <w14:ligatures w14:val="none"/>
        </w:rPr>
        <w:t xml:space="preserve"> does not </w:t>
      </w:r>
      <w:r>
        <w:rPr>
          <w:rFonts w:ascii="Palatino Linotype" w:hAnsi="Palatino Linotype" w:eastAsia="Palatino Linotype" w:cs="Times New Roman"/>
          <w:kern w:val="0"/>
          <w14:ligatures w14:val="none"/>
        </w:rPr>
        <w:t>propose</w:t>
      </w:r>
      <w:r w:rsidRPr="006226D4">
        <w:rPr>
          <w:rFonts w:ascii="Palatino Linotype" w:hAnsi="Palatino Linotype" w:eastAsia="Palatino Linotype" w:cs="Times New Roman"/>
          <w:kern w:val="0"/>
          <w14:ligatures w14:val="none"/>
        </w:rPr>
        <w:t xml:space="preserve"> ORCHARD </w:t>
      </w:r>
      <w:r>
        <w:rPr>
          <w:rFonts w:ascii="Palatino Linotype" w:hAnsi="Palatino Linotype" w:eastAsia="Palatino Linotype" w:cs="Times New Roman"/>
          <w:kern w:val="0"/>
          <w14:ligatures w14:val="none"/>
        </w:rPr>
        <w:t xml:space="preserve">as </w:t>
      </w:r>
      <w:r w:rsidRPr="006226D4">
        <w:rPr>
          <w:rFonts w:ascii="Palatino Linotype" w:hAnsi="Palatino Linotype" w:eastAsia="Palatino Linotype" w:cs="Times New Roman"/>
          <w:kern w:val="0"/>
          <w14:ligatures w14:val="none"/>
        </w:rPr>
        <w:t>an equity program.</w:t>
      </w:r>
      <w:r>
        <w:rPr>
          <w:rFonts w:ascii="Palatino Linotype" w:hAnsi="Palatino Linotype" w:eastAsia="Palatino Linotype" w:cs="Times New Roman"/>
          <w:kern w:val="0"/>
          <w14:ligatures w14:val="none"/>
        </w:rPr>
        <w:t xml:space="preserve"> CARB’s LCFS regulations do not stipulate any requirements for non-equity holdback expenditures, other than obligating the funds to</w:t>
      </w:r>
      <w:r w:rsidRPr="00BA0410">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w:t>
      </w:r>
      <w:r w:rsidRPr="00BA0410">
        <w:rPr>
          <w:rFonts w:ascii="Palatino Linotype" w:hAnsi="Palatino Linotype" w:eastAsia="Palatino Linotype" w:cs="Times New Roman"/>
          <w:kern w:val="0"/>
          <w14:ligatures w14:val="none"/>
        </w:rPr>
        <w:t>further transportation electrification efforts in California</w:t>
      </w:r>
      <w:r>
        <w:rPr>
          <w:rFonts w:ascii="Palatino Linotype" w:hAnsi="Palatino Linotype" w:eastAsia="Palatino Linotype" w:cs="Times New Roman"/>
          <w:kern w:val="0"/>
          <w14:ligatures w14:val="none"/>
        </w:rPr>
        <w:t>.”</w:t>
      </w:r>
      <w:r>
        <w:rPr>
          <w:rStyle w:val="FootnoteReference"/>
          <w:rFonts w:ascii="Palatino Linotype" w:hAnsi="Palatino Linotype" w:eastAsia="Palatino Linotype" w:cs="Times New Roman"/>
          <w:kern w:val="0"/>
          <w14:ligatures w14:val="none"/>
        </w:rPr>
        <w:footnoteReference w:id="50"/>
      </w:r>
      <w:r>
        <w:rPr>
          <w:rFonts w:ascii="Palatino Linotype" w:hAnsi="Palatino Linotype" w:eastAsia="Palatino Linotype" w:cs="Times New Roman"/>
          <w:kern w:val="0"/>
          <w14:ligatures w14:val="none"/>
        </w:rPr>
        <w:t xml:space="preserve"> While the LCFS regulations do include “s</w:t>
      </w:r>
      <w:r w:rsidRPr="007B2A84">
        <w:rPr>
          <w:rFonts w:ascii="Palatino Linotype" w:hAnsi="Palatino Linotype" w:eastAsia="Palatino Linotype" w:cs="Times New Roman"/>
          <w:kern w:val="0"/>
          <w14:ligatures w14:val="none"/>
        </w:rPr>
        <w:t>upporting the deployment and installation of bidirectional charging equipment</w:t>
      </w:r>
      <w:r>
        <w:rPr>
          <w:rFonts w:ascii="Palatino Linotype" w:hAnsi="Palatino Linotype" w:eastAsia="Palatino Linotype" w:cs="Times New Roman"/>
          <w:kern w:val="0"/>
          <w14:ligatures w14:val="none"/>
        </w:rPr>
        <w:t xml:space="preserve">” on the list of pre-approved non-equity projects, we find that SCE’s proposal for the </w:t>
      </w:r>
      <w:r w:rsidR="007E21A6">
        <w:rPr>
          <w:rFonts w:ascii="Palatino Linotype" w:hAnsi="Palatino Linotype" w:eastAsia="Palatino Linotype" w:cs="Times New Roman"/>
          <w:kern w:val="0"/>
          <w14:ligatures w14:val="none"/>
        </w:rPr>
        <w:t xml:space="preserve">bidirectional equipment </w:t>
      </w:r>
      <w:r>
        <w:rPr>
          <w:rFonts w:ascii="Palatino Linotype" w:hAnsi="Palatino Linotype" w:eastAsia="Palatino Linotype" w:cs="Times New Roman"/>
          <w:kern w:val="0"/>
          <w14:ligatures w14:val="none"/>
        </w:rPr>
        <w:t xml:space="preserve">incentives is not sufficiently justified for the reasons listed below. </w:t>
      </w:r>
    </w:p>
    <w:p w:rsidRPr="00A1736C" w:rsidR="000523D2" w:rsidP="00A1736C" w:rsidRDefault="000523D2" w14:paraId="614ADA29" w14:textId="77777777">
      <w:pPr>
        <w:spacing w:after="0" w:line="240" w:lineRule="auto"/>
        <w:rPr>
          <w:rFonts w:ascii="Palatino Linotype" w:hAnsi="Palatino Linotype" w:eastAsia="Palatino Linotype" w:cs="Times New Roman"/>
          <w:kern w:val="0"/>
          <w14:ligatures w14:val="none"/>
        </w:rPr>
      </w:pPr>
    </w:p>
    <w:p w:rsidR="00401BAF" w:rsidP="006226D4" w:rsidRDefault="0094314A" w14:paraId="046DC419" w14:textId="19963142">
      <w:pPr>
        <w:spacing w:after="0" w:line="240" w:lineRule="auto"/>
        <w:rPr>
          <w:rFonts w:ascii="Palatino Linotype" w:hAnsi="Palatino Linotype" w:eastAsia="Palatino Linotype" w:cs="Times New Roman"/>
        </w:rPr>
      </w:pPr>
      <w:r w:rsidRPr="006226D4">
        <w:rPr>
          <w:rFonts w:ascii="Palatino Linotype" w:hAnsi="Palatino Linotype" w:eastAsia="Palatino Linotype" w:cs="Times New Roman"/>
          <w:kern w:val="0"/>
          <w14:ligatures w14:val="none"/>
        </w:rPr>
        <w:t>AL 5536-E states that one of its three main goals is to enable “customer savings and/or potential revenue through optimized EV charging and discharging […]</w:t>
      </w:r>
      <w:r w:rsidR="0011072E">
        <w:rPr>
          <w:rFonts w:ascii="Palatino Linotype" w:hAnsi="Palatino Linotype" w:eastAsia="Palatino Linotype" w:cs="Times New Roman"/>
          <w:kern w:val="0"/>
          <w14:ligatures w14:val="none"/>
        </w:rPr>
        <w:t xml:space="preserve"> </w:t>
      </w:r>
      <w:r w:rsidRPr="006226D4">
        <w:rPr>
          <w:rFonts w:ascii="Palatino Linotype" w:hAnsi="Palatino Linotype" w:eastAsia="Palatino Linotype" w:cs="Times New Roman"/>
          <w:kern w:val="0"/>
          <w14:ligatures w14:val="none"/>
        </w:rPr>
        <w:t>during peak pricing periods.”</w:t>
      </w:r>
      <w:r>
        <w:rPr>
          <w:rStyle w:val="FootnoteReference"/>
          <w:rFonts w:ascii="Palatino Linotype" w:hAnsi="Palatino Linotype" w:eastAsia="Palatino Linotype" w:cs="Times New Roman"/>
          <w:kern w:val="0"/>
          <w14:ligatures w14:val="none"/>
        </w:rPr>
        <w:footnoteReference w:id="51"/>
      </w:r>
      <w:r w:rsidRPr="006226D4">
        <w:rPr>
          <w:rFonts w:ascii="Palatino Linotype" w:hAnsi="Palatino Linotype" w:eastAsia="Palatino Linotype" w:cs="Times New Roman"/>
          <w:kern w:val="0"/>
          <w14:ligatures w14:val="none"/>
        </w:rPr>
        <w:t xml:space="preserve"> </w:t>
      </w:r>
      <w:r w:rsidRPr="2128FA49" w:rsidR="0039072D">
        <w:rPr>
          <w:rFonts w:ascii="Palatino Linotype" w:hAnsi="Palatino Linotype" w:eastAsia="Palatino Linotype" w:cs="Times New Roman"/>
        </w:rPr>
        <w:t xml:space="preserve">However, </w:t>
      </w:r>
      <w:r w:rsidR="00132516">
        <w:rPr>
          <w:rFonts w:ascii="Palatino Linotype" w:hAnsi="Palatino Linotype" w:eastAsia="Palatino Linotype" w:cs="Times New Roman"/>
          <w:kern w:val="0"/>
          <w14:ligatures w14:val="none"/>
        </w:rPr>
        <w:t>AL 5536-E</w:t>
      </w:r>
      <w:r w:rsidR="009866B2">
        <w:rPr>
          <w:rFonts w:ascii="Palatino Linotype" w:hAnsi="Palatino Linotype" w:eastAsia="Palatino Linotype" w:cs="Times New Roman"/>
          <w:kern w:val="0"/>
          <w14:ligatures w14:val="none"/>
        </w:rPr>
        <w:t xml:space="preserve"> states that</w:t>
      </w:r>
      <w:r w:rsidR="00132516">
        <w:rPr>
          <w:rFonts w:ascii="Palatino Linotype" w:hAnsi="Palatino Linotype" w:eastAsia="Palatino Linotype" w:cs="Times New Roman"/>
          <w:kern w:val="0"/>
          <w14:ligatures w14:val="none"/>
        </w:rPr>
        <w:t xml:space="preserve"> </w:t>
      </w:r>
      <w:r w:rsidR="008017AC">
        <w:rPr>
          <w:rFonts w:ascii="Palatino Linotype" w:hAnsi="Palatino Linotype" w:eastAsia="Palatino Linotype" w:cs="Times New Roman"/>
          <w:kern w:val="0"/>
          <w14:ligatures w14:val="none"/>
        </w:rPr>
        <w:t>most</w:t>
      </w:r>
      <w:r w:rsidR="000C40E0">
        <w:rPr>
          <w:rFonts w:ascii="Palatino Linotype" w:hAnsi="Palatino Linotype" w:eastAsia="Palatino Linotype" w:cs="Times New Roman"/>
          <w:kern w:val="0"/>
          <w14:ligatures w14:val="none"/>
        </w:rPr>
        <w:t xml:space="preserve"> bidirectional-capable vehicles </w:t>
      </w:r>
      <w:r w:rsidR="00995B69">
        <w:rPr>
          <w:rFonts w:ascii="Palatino Linotype" w:hAnsi="Palatino Linotype" w:eastAsia="Palatino Linotype" w:cs="Times New Roman"/>
          <w:kern w:val="0"/>
          <w14:ligatures w14:val="none"/>
        </w:rPr>
        <w:t>“are being sold today as back-up only”</w:t>
      </w:r>
      <w:r w:rsidR="00306CE9">
        <w:rPr>
          <w:rFonts w:ascii="Palatino Linotype" w:hAnsi="Palatino Linotype" w:eastAsia="Palatino Linotype" w:cs="Times New Roman"/>
          <w:kern w:val="0"/>
          <w14:ligatures w14:val="none"/>
        </w:rPr>
        <w:t xml:space="preserve"> use cases</w:t>
      </w:r>
      <w:r w:rsidRPr="2128FA49" w:rsidR="00083BFD">
        <w:rPr>
          <w:rFonts w:ascii="Palatino Linotype" w:hAnsi="Palatino Linotype" w:eastAsia="Palatino Linotype" w:cs="Times New Roman"/>
        </w:rPr>
        <w:t xml:space="preserve">, </w:t>
      </w:r>
      <w:r w:rsidR="00780DA2">
        <w:rPr>
          <w:rFonts w:ascii="Palatino Linotype" w:hAnsi="Palatino Linotype" w:eastAsia="Palatino Linotype" w:cs="Times New Roman"/>
        </w:rPr>
        <w:t>m</w:t>
      </w:r>
      <w:r w:rsidR="00632B8A">
        <w:rPr>
          <w:rFonts w:ascii="Palatino Linotype" w:hAnsi="Palatino Linotype" w:eastAsia="Palatino Linotype" w:cs="Times New Roman"/>
        </w:rPr>
        <w:t>eaning</w:t>
      </w:r>
      <w:r w:rsidR="00780DA2">
        <w:rPr>
          <w:rFonts w:ascii="Palatino Linotype" w:hAnsi="Palatino Linotype" w:eastAsia="Palatino Linotype" w:cs="Times New Roman"/>
        </w:rPr>
        <w:t xml:space="preserve"> these systems </w:t>
      </w:r>
      <w:r w:rsidR="00BD646B">
        <w:rPr>
          <w:rFonts w:ascii="Palatino Linotype" w:hAnsi="Palatino Linotype" w:eastAsia="Palatino Linotype" w:cs="Times New Roman"/>
        </w:rPr>
        <w:t>will normally be operated only when SCE’s electric service is not available</w:t>
      </w:r>
      <w:r w:rsidR="0035426F">
        <w:rPr>
          <w:rFonts w:ascii="Palatino Linotype" w:hAnsi="Palatino Linotype" w:eastAsia="Palatino Linotype" w:cs="Times New Roman"/>
          <w:kern w:val="0"/>
          <w14:ligatures w14:val="none"/>
        </w:rPr>
        <w:t>.</w:t>
      </w:r>
      <w:r w:rsidR="00473BE9">
        <w:rPr>
          <w:rStyle w:val="FootnoteReference"/>
          <w:rFonts w:ascii="Palatino Linotype" w:hAnsi="Palatino Linotype" w:eastAsia="Palatino Linotype" w:cs="Times New Roman"/>
          <w:kern w:val="0"/>
          <w14:ligatures w14:val="none"/>
        </w:rPr>
        <w:footnoteReference w:id="52"/>
      </w:r>
      <w:r w:rsidR="00306CE9">
        <w:rPr>
          <w:rFonts w:ascii="Palatino Linotype" w:hAnsi="Palatino Linotype" w:eastAsia="Palatino Linotype" w:cs="Times New Roman"/>
          <w:kern w:val="0"/>
          <w14:ligatures w14:val="none"/>
        </w:rPr>
        <w:t xml:space="preserve"> </w:t>
      </w:r>
      <w:r w:rsidR="00567F03">
        <w:rPr>
          <w:rFonts w:ascii="Palatino Linotype" w:hAnsi="Palatino Linotype" w:eastAsia="Palatino Linotype" w:cs="Times New Roman"/>
          <w:kern w:val="0"/>
          <w14:ligatures w14:val="none"/>
        </w:rPr>
        <w:t>According</w:t>
      </w:r>
      <w:r w:rsidR="00A13350">
        <w:rPr>
          <w:rFonts w:ascii="Palatino Linotype" w:hAnsi="Palatino Linotype" w:eastAsia="Palatino Linotype" w:cs="Times New Roman"/>
          <w:kern w:val="0"/>
          <w14:ligatures w14:val="none"/>
        </w:rPr>
        <w:t xml:space="preserve"> to SCE’s website, </w:t>
      </w:r>
      <w:r w:rsidR="00F53D7E">
        <w:rPr>
          <w:rFonts w:ascii="Palatino Linotype" w:hAnsi="Palatino Linotype" w:eastAsia="Palatino Linotype" w:cs="Times New Roman"/>
          <w:kern w:val="0"/>
          <w14:ligatures w14:val="none"/>
        </w:rPr>
        <w:t xml:space="preserve">backup systems </w:t>
      </w:r>
      <w:r w:rsidR="00C403AD">
        <w:rPr>
          <w:rFonts w:ascii="Palatino Linotype" w:hAnsi="Palatino Linotype" w:eastAsia="Palatino Linotype" w:cs="Times New Roman"/>
          <w:kern w:val="0"/>
          <w14:ligatures w14:val="none"/>
        </w:rPr>
        <w:t xml:space="preserve">operate either </w:t>
      </w:r>
      <w:r w:rsidR="009F7822">
        <w:rPr>
          <w:rFonts w:ascii="Palatino Linotype" w:hAnsi="Palatino Linotype" w:eastAsia="Palatino Linotype" w:cs="Times New Roman"/>
          <w:kern w:val="0"/>
          <w14:ligatures w14:val="none"/>
        </w:rPr>
        <w:t>under</w:t>
      </w:r>
      <w:r w:rsidR="005E4713">
        <w:rPr>
          <w:rFonts w:ascii="Palatino Linotype" w:hAnsi="Palatino Linotype" w:eastAsia="Palatino Linotype" w:cs="Times New Roman"/>
          <w:kern w:val="0"/>
          <w14:ligatures w14:val="none"/>
        </w:rPr>
        <w:t xml:space="preserve"> a</w:t>
      </w:r>
      <w:r w:rsidR="00C403AD">
        <w:rPr>
          <w:rFonts w:ascii="Palatino Linotype" w:hAnsi="Palatino Linotype" w:eastAsia="Palatino Linotype" w:cs="Times New Roman"/>
          <w:kern w:val="0"/>
          <w14:ligatures w14:val="none"/>
        </w:rPr>
        <w:t xml:space="preserve"> </w:t>
      </w:r>
      <w:r w:rsidR="009F7822">
        <w:rPr>
          <w:rFonts w:ascii="Palatino Linotype" w:hAnsi="Palatino Linotype" w:eastAsia="Palatino Linotype" w:cs="Times New Roman"/>
          <w:kern w:val="0"/>
          <w14:ligatures w14:val="none"/>
        </w:rPr>
        <w:t>M</w:t>
      </w:r>
      <w:r w:rsidR="00C403AD">
        <w:rPr>
          <w:rFonts w:ascii="Palatino Linotype" w:hAnsi="Palatino Linotype" w:eastAsia="Palatino Linotype" w:cs="Times New Roman"/>
          <w:kern w:val="0"/>
          <w14:ligatures w14:val="none"/>
        </w:rPr>
        <w:t xml:space="preserve">omentary </w:t>
      </w:r>
      <w:r w:rsidR="009F7822">
        <w:rPr>
          <w:rFonts w:ascii="Palatino Linotype" w:hAnsi="Palatino Linotype" w:eastAsia="Palatino Linotype" w:cs="Times New Roman"/>
          <w:kern w:val="0"/>
          <w14:ligatures w14:val="none"/>
        </w:rPr>
        <w:t>P</w:t>
      </w:r>
      <w:r w:rsidR="00C403AD">
        <w:rPr>
          <w:rFonts w:ascii="Palatino Linotype" w:hAnsi="Palatino Linotype" w:eastAsia="Palatino Linotype" w:cs="Times New Roman"/>
          <w:kern w:val="0"/>
          <w14:ligatures w14:val="none"/>
        </w:rPr>
        <w:t>aralle</w:t>
      </w:r>
      <w:r w:rsidR="009F7822">
        <w:rPr>
          <w:rFonts w:ascii="Palatino Linotype" w:hAnsi="Palatino Linotype" w:eastAsia="Palatino Linotype" w:cs="Times New Roman"/>
          <w:kern w:val="0"/>
          <w14:ligatures w14:val="none"/>
        </w:rPr>
        <w:t>l</w:t>
      </w:r>
      <w:r w:rsidR="00CC530B">
        <w:rPr>
          <w:rFonts w:ascii="Palatino Linotype" w:hAnsi="Palatino Linotype" w:eastAsia="Palatino Linotype" w:cs="Times New Roman"/>
          <w:kern w:val="0"/>
          <w14:ligatures w14:val="none"/>
        </w:rPr>
        <w:t xml:space="preserve"> (MP)</w:t>
      </w:r>
      <w:r w:rsidR="00C403AD">
        <w:rPr>
          <w:rFonts w:ascii="Palatino Linotype" w:hAnsi="Palatino Linotype" w:eastAsia="Palatino Linotype" w:cs="Times New Roman"/>
          <w:kern w:val="0"/>
          <w14:ligatures w14:val="none"/>
        </w:rPr>
        <w:t xml:space="preserve"> </w:t>
      </w:r>
      <w:r w:rsidR="009F7822">
        <w:rPr>
          <w:rFonts w:ascii="Palatino Linotype" w:hAnsi="Palatino Linotype" w:eastAsia="Palatino Linotype" w:cs="Times New Roman"/>
          <w:kern w:val="0"/>
          <w14:ligatures w14:val="none"/>
        </w:rPr>
        <w:t>o</w:t>
      </w:r>
      <w:r w:rsidR="00C403AD">
        <w:rPr>
          <w:rFonts w:ascii="Palatino Linotype" w:hAnsi="Palatino Linotype" w:eastAsia="Palatino Linotype" w:cs="Times New Roman"/>
          <w:kern w:val="0"/>
          <w14:ligatures w14:val="none"/>
        </w:rPr>
        <w:t>peration mode, or Isolated operation mode.</w:t>
      </w:r>
      <w:r w:rsidR="00DB34C4">
        <w:rPr>
          <w:rStyle w:val="FootnoteReference"/>
          <w:rFonts w:ascii="Palatino Linotype" w:hAnsi="Palatino Linotype" w:eastAsia="Palatino Linotype" w:cs="Times New Roman"/>
          <w:kern w:val="0"/>
          <w14:ligatures w14:val="none"/>
        </w:rPr>
        <w:footnoteReference w:id="53"/>
      </w:r>
      <w:r w:rsidR="00C403AD">
        <w:rPr>
          <w:rFonts w:ascii="Palatino Linotype" w:hAnsi="Palatino Linotype" w:eastAsia="Palatino Linotype" w:cs="Times New Roman"/>
          <w:kern w:val="0"/>
          <w14:ligatures w14:val="none"/>
        </w:rPr>
        <w:t xml:space="preserve"> </w:t>
      </w:r>
      <w:r w:rsidR="00182709">
        <w:rPr>
          <w:rFonts w:ascii="Palatino Linotype" w:hAnsi="Palatino Linotype" w:eastAsia="Palatino Linotype" w:cs="Times New Roman"/>
          <w:kern w:val="0"/>
          <w14:ligatures w14:val="none"/>
        </w:rPr>
        <w:t xml:space="preserve">SCE defines MP as </w:t>
      </w:r>
      <w:r w:rsidR="005E366C">
        <w:rPr>
          <w:rFonts w:ascii="Palatino Linotype" w:hAnsi="Palatino Linotype" w:eastAsia="Palatino Linotype" w:cs="Times New Roman"/>
          <w:kern w:val="0"/>
          <w14:ligatures w14:val="none"/>
        </w:rPr>
        <w:t>a mode in which</w:t>
      </w:r>
      <w:r w:rsidR="00C03C73">
        <w:rPr>
          <w:rFonts w:ascii="Palatino Linotype" w:hAnsi="Palatino Linotype" w:eastAsia="Palatino Linotype" w:cs="Times New Roman"/>
          <w:kern w:val="0"/>
          <w14:ligatures w14:val="none"/>
        </w:rPr>
        <w:t xml:space="preserve"> </w:t>
      </w:r>
      <w:r w:rsidR="00757234">
        <w:rPr>
          <w:rFonts w:ascii="Palatino Linotype" w:hAnsi="Palatino Linotype" w:eastAsia="Palatino Linotype" w:cs="Times New Roman"/>
          <w:kern w:val="0"/>
          <w14:ligatures w14:val="none"/>
        </w:rPr>
        <w:t>a backup generator “</w:t>
      </w:r>
      <w:r w:rsidRPr="00182709" w:rsidR="00182709">
        <w:rPr>
          <w:rFonts w:ascii="Palatino Linotype" w:hAnsi="Palatino Linotype" w:eastAsia="Palatino Linotype" w:cs="Times New Roman"/>
          <w:kern w:val="0"/>
          <w14:ligatures w14:val="none"/>
        </w:rPr>
        <w:t>interconnects and operates on a momentary parallel basis with SCE’s electric system for a duration of one (1) second or less through transfer switches or operating schemes specifically designed and engineered for such operation.</w:t>
      </w:r>
      <w:r w:rsidR="005C1F25">
        <w:rPr>
          <w:rFonts w:ascii="Palatino Linotype" w:hAnsi="Palatino Linotype" w:eastAsia="Palatino Linotype" w:cs="Times New Roman"/>
          <w:kern w:val="0"/>
          <w14:ligatures w14:val="none"/>
        </w:rPr>
        <w:t>”</w:t>
      </w:r>
      <w:r w:rsidR="00F73C8B">
        <w:rPr>
          <w:rStyle w:val="FootnoteReference"/>
          <w:rFonts w:ascii="Palatino Linotype" w:hAnsi="Palatino Linotype" w:eastAsia="Palatino Linotype" w:cs="Times New Roman"/>
          <w:kern w:val="0"/>
          <w14:ligatures w14:val="none"/>
        </w:rPr>
        <w:footnoteReference w:id="54"/>
      </w:r>
      <w:r w:rsidR="005C1F25">
        <w:rPr>
          <w:rFonts w:ascii="Palatino Linotype" w:hAnsi="Palatino Linotype" w:eastAsia="Palatino Linotype" w:cs="Times New Roman"/>
          <w:kern w:val="0"/>
          <w14:ligatures w14:val="none"/>
        </w:rPr>
        <w:t xml:space="preserve"> </w:t>
      </w:r>
      <w:r w:rsidR="00FD1874">
        <w:rPr>
          <w:rFonts w:ascii="Palatino Linotype" w:hAnsi="Palatino Linotype" w:eastAsia="Palatino Linotype" w:cs="Times New Roman"/>
          <w:kern w:val="0"/>
          <w14:ligatures w14:val="none"/>
        </w:rPr>
        <w:t xml:space="preserve">SCE defines Isolated as a mode in which </w:t>
      </w:r>
      <w:r w:rsidR="00CF6E0D">
        <w:rPr>
          <w:rFonts w:ascii="Palatino Linotype" w:hAnsi="Palatino Linotype" w:eastAsia="Palatino Linotype" w:cs="Times New Roman"/>
          <w:kern w:val="0"/>
          <w14:ligatures w14:val="none"/>
        </w:rPr>
        <w:t xml:space="preserve">a backup generator </w:t>
      </w:r>
      <w:r w:rsidR="0047125A">
        <w:rPr>
          <w:rFonts w:ascii="Palatino Linotype" w:hAnsi="Palatino Linotype" w:eastAsia="Palatino Linotype" w:cs="Times New Roman"/>
          <w:kern w:val="0"/>
          <w14:ligatures w14:val="none"/>
        </w:rPr>
        <w:t xml:space="preserve">is </w:t>
      </w:r>
      <w:r w:rsidR="00CF6E0D">
        <w:rPr>
          <w:rFonts w:ascii="Palatino Linotype" w:hAnsi="Palatino Linotype" w:eastAsia="Palatino Linotype" w:cs="Times New Roman"/>
          <w:kern w:val="0"/>
          <w14:ligatures w14:val="none"/>
        </w:rPr>
        <w:t>“</w:t>
      </w:r>
      <w:r w:rsidRPr="00CF6E0D" w:rsidR="00CF6E0D">
        <w:rPr>
          <w:rFonts w:ascii="Palatino Linotype" w:hAnsi="Palatino Linotype" w:eastAsia="Palatino Linotype" w:cs="Times New Roman"/>
          <w:kern w:val="0"/>
          <w14:ligatures w14:val="none"/>
        </w:rPr>
        <w:t>isolated and prevented from becoming interconnected with SCE’s electric system through a transfer switch or operating scheme specifically designed and engineered for such operation</w:t>
      </w:r>
      <w:r w:rsidR="00CF6E0D">
        <w:rPr>
          <w:rFonts w:ascii="Palatino Linotype" w:hAnsi="Palatino Linotype" w:eastAsia="Palatino Linotype" w:cs="Times New Roman"/>
          <w:kern w:val="0"/>
          <w14:ligatures w14:val="none"/>
        </w:rPr>
        <w:t>.”</w:t>
      </w:r>
      <w:r w:rsidR="00F73C8B">
        <w:rPr>
          <w:rStyle w:val="FootnoteReference"/>
          <w:rFonts w:ascii="Palatino Linotype" w:hAnsi="Palatino Linotype" w:eastAsia="Palatino Linotype" w:cs="Times New Roman"/>
          <w:kern w:val="0"/>
          <w14:ligatures w14:val="none"/>
        </w:rPr>
        <w:footnoteReference w:id="55"/>
      </w:r>
      <w:r w:rsidR="00182709">
        <w:rPr>
          <w:rFonts w:ascii="Palatino Linotype" w:hAnsi="Palatino Linotype" w:eastAsia="Palatino Linotype" w:cs="Times New Roman"/>
          <w:kern w:val="0"/>
          <w14:ligatures w14:val="none"/>
        </w:rPr>
        <w:t xml:space="preserve"> </w:t>
      </w:r>
      <w:r w:rsidR="00581274">
        <w:rPr>
          <w:rFonts w:ascii="Palatino Linotype" w:hAnsi="Palatino Linotype" w:eastAsia="Palatino Linotype" w:cs="Times New Roman"/>
          <w:kern w:val="0"/>
          <w14:ligatures w14:val="none"/>
        </w:rPr>
        <w:t xml:space="preserve">SCE’s </w:t>
      </w:r>
      <w:r w:rsidR="00581274">
        <w:rPr>
          <w:rFonts w:ascii="Palatino Linotype" w:hAnsi="Palatino Linotype" w:eastAsia="Palatino Linotype" w:cs="Times New Roman"/>
          <w:kern w:val="0"/>
          <w14:ligatures w14:val="none"/>
        </w:rPr>
        <w:lastRenderedPageBreak/>
        <w:t>Form 14-</w:t>
      </w:r>
      <w:r w:rsidR="00D739B8">
        <w:rPr>
          <w:rFonts w:ascii="Palatino Linotype" w:hAnsi="Palatino Linotype" w:eastAsia="Palatino Linotype" w:cs="Times New Roman"/>
          <w:kern w:val="0"/>
          <w14:ligatures w14:val="none"/>
        </w:rPr>
        <w:t>732</w:t>
      </w:r>
      <w:r w:rsidR="00FE097A">
        <w:rPr>
          <w:rFonts w:ascii="Palatino Linotype" w:hAnsi="Palatino Linotype" w:eastAsia="Palatino Linotype" w:cs="Times New Roman"/>
          <w:kern w:val="0"/>
          <w14:ligatures w14:val="none"/>
        </w:rPr>
        <w:t xml:space="preserve"> (Request for Payment Instructions Rule 21 – Non-Exporting Generators)</w:t>
      </w:r>
      <w:r w:rsidR="00D739B8">
        <w:rPr>
          <w:rFonts w:ascii="Palatino Linotype" w:hAnsi="Palatino Linotype" w:eastAsia="Palatino Linotype" w:cs="Times New Roman"/>
          <w:kern w:val="0"/>
          <w14:ligatures w14:val="none"/>
        </w:rPr>
        <w:t xml:space="preserve"> clarifies that the </w:t>
      </w:r>
      <w:r w:rsidR="00DD1535">
        <w:rPr>
          <w:rFonts w:ascii="Palatino Linotype" w:hAnsi="Palatino Linotype" w:eastAsia="Palatino Linotype" w:cs="Times New Roman"/>
          <w:kern w:val="0"/>
          <w14:ligatures w14:val="none"/>
        </w:rPr>
        <w:t xml:space="preserve">$800 application fee applies </w:t>
      </w:r>
      <w:r w:rsidR="00EB629F">
        <w:rPr>
          <w:rFonts w:ascii="Palatino Linotype" w:hAnsi="Palatino Linotype" w:eastAsia="Palatino Linotype" w:cs="Times New Roman"/>
          <w:kern w:val="0"/>
          <w14:ligatures w14:val="none"/>
        </w:rPr>
        <w:t>only to Momentary Parallel operation, not Isolated operation</w:t>
      </w:r>
      <w:r w:rsidR="00D64350">
        <w:rPr>
          <w:rFonts w:ascii="Palatino Linotype" w:hAnsi="Palatino Linotype" w:eastAsia="Palatino Linotype" w:cs="Times New Roman"/>
          <w:kern w:val="0"/>
          <w14:ligatures w14:val="none"/>
        </w:rPr>
        <w:t xml:space="preserve"> mode</w:t>
      </w:r>
      <w:r w:rsidR="00EB629F">
        <w:rPr>
          <w:rFonts w:ascii="Palatino Linotype" w:hAnsi="Palatino Linotype" w:eastAsia="Palatino Linotype" w:cs="Times New Roman"/>
          <w:kern w:val="0"/>
          <w14:ligatures w14:val="none"/>
        </w:rPr>
        <w:t xml:space="preserve">. </w:t>
      </w:r>
      <w:r w:rsidR="00D30926">
        <w:rPr>
          <w:rFonts w:ascii="Palatino Linotype" w:hAnsi="Palatino Linotype" w:eastAsia="Palatino Linotype" w:cs="Times New Roman"/>
          <w:kern w:val="0"/>
          <w14:ligatures w14:val="none"/>
        </w:rPr>
        <w:t xml:space="preserve">AL 5536-E does not clearly explain whether participants will be required to </w:t>
      </w:r>
      <w:r w:rsidR="00AE42A0">
        <w:rPr>
          <w:rFonts w:ascii="Palatino Linotype" w:hAnsi="Palatino Linotype" w:eastAsia="Palatino Linotype" w:cs="Times New Roman"/>
          <w:kern w:val="0"/>
          <w14:ligatures w14:val="none"/>
        </w:rPr>
        <w:t>o</w:t>
      </w:r>
      <w:r w:rsidR="00E41AC3">
        <w:rPr>
          <w:rFonts w:ascii="Palatino Linotype" w:hAnsi="Palatino Linotype" w:eastAsia="Palatino Linotype" w:cs="Times New Roman"/>
          <w:kern w:val="0"/>
          <w14:ligatures w14:val="none"/>
        </w:rPr>
        <w:t>perate</w:t>
      </w:r>
      <w:r w:rsidR="00AE42A0">
        <w:rPr>
          <w:rFonts w:ascii="Palatino Linotype" w:hAnsi="Palatino Linotype" w:eastAsia="Palatino Linotype" w:cs="Times New Roman"/>
          <w:kern w:val="0"/>
          <w14:ligatures w14:val="none"/>
        </w:rPr>
        <w:t xml:space="preserve"> EVs that </w:t>
      </w:r>
      <w:r w:rsidR="00AB25CF">
        <w:rPr>
          <w:rFonts w:ascii="Palatino Linotype" w:hAnsi="Palatino Linotype" w:eastAsia="Palatino Linotype" w:cs="Times New Roman"/>
          <w:kern w:val="0"/>
          <w14:ligatures w14:val="none"/>
        </w:rPr>
        <w:t>discharge</w:t>
      </w:r>
      <w:r w:rsidR="00AE42A0">
        <w:rPr>
          <w:rFonts w:ascii="Palatino Linotype" w:hAnsi="Palatino Linotype" w:eastAsia="Palatino Linotype" w:cs="Times New Roman"/>
          <w:kern w:val="0"/>
          <w14:ligatures w14:val="none"/>
        </w:rPr>
        <w:t xml:space="preserve"> via</w:t>
      </w:r>
      <w:r w:rsidR="00830E17">
        <w:rPr>
          <w:rFonts w:ascii="Palatino Linotype" w:hAnsi="Palatino Linotype" w:eastAsia="Palatino Linotype" w:cs="Times New Roman"/>
          <w:kern w:val="0"/>
          <w14:ligatures w14:val="none"/>
        </w:rPr>
        <w:t xml:space="preserve"> MP or Isolated</w:t>
      </w:r>
      <w:r w:rsidR="00D64350">
        <w:rPr>
          <w:rFonts w:ascii="Palatino Linotype" w:hAnsi="Palatino Linotype" w:eastAsia="Palatino Linotype" w:cs="Times New Roman"/>
          <w:kern w:val="0"/>
          <w14:ligatures w14:val="none"/>
        </w:rPr>
        <w:t xml:space="preserve"> operation</w:t>
      </w:r>
      <w:r w:rsidR="00830E17">
        <w:rPr>
          <w:rFonts w:ascii="Palatino Linotype" w:hAnsi="Palatino Linotype" w:eastAsia="Palatino Linotype" w:cs="Times New Roman"/>
          <w:kern w:val="0"/>
          <w14:ligatures w14:val="none"/>
        </w:rPr>
        <w:t xml:space="preserve"> mode.</w:t>
      </w:r>
      <w:r w:rsidR="00FA1506">
        <w:rPr>
          <w:rFonts w:ascii="Palatino Linotype" w:hAnsi="Palatino Linotype" w:eastAsia="Palatino Linotype" w:cs="Times New Roman"/>
          <w:kern w:val="0"/>
          <w14:ligatures w14:val="none"/>
        </w:rPr>
        <w:t xml:space="preserve">  Furthermore, if the </w:t>
      </w:r>
      <w:r w:rsidR="00CD3BBA">
        <w:rPr>
          <w:rFonts w:ascii="Palatino Linotype" w:hAnsi="Palatino Linotype" w:eastAsia="Palatino Linotype" w:cs="Times New Roman"/>
          <w:kern w:val="0"/>
          <w14:ligatures w14:val="none"/>
        </w:rPr>
        <w:t>EVs</w:t>
      </w:r>
      <w:r w:rsidR="00FA1506">
        <w:rPr>
          <w:rFonts w:ascii="Palatino Linotype" w:hAnsi="Palatino Linotype" w:eastAsia="Palatino Linotype" w:cs="Times New Roman"/>
          <w:kern w:val="0"/>
          <w14:ligatures w14:val="none"/>
        </w:rPr>
        <w:t xml:space="preserve"> will be connected as MP, AL 5536-</w:t>
      </w:r>
      <w:r w:rsidR="00CD3BBA">
        <w:rPr>
          <w:rFonts w:ascii="Palatino Linotype" w:hAnsi="Palatino Linotype" w:eastAsia="Palatino Linotype" w:cs="Times New Roman"/>
          <w:kern w:val="0"/>
          <w14:ligatures w14:val="none"/>
        </w:rPr>
        <w:t>E</w:t>
      </w:r>
      <w:r w:rsidR="00FA1506">
        <w:rPr>
          <w:rFonts w:ascii="Palatino Linotype" w:hAnsi="Palatino Linotype" w:eastAsia="Palatino Linotype" w:cs="Times New Roman"/>
          <w:kern w:val="0"/>
          <w14:ligatures w14:val="none"/>
        </w:rPr>
        <w:t xml:space="preserve"> does not justify why this operational state, rather than Isolated</w:t>
      </w:r>
      <w:r w:rsidR="00D64350">
        <w:rPr>
          <w:rFonts w:ascii="Palatino Linotype" w:hAnsi="Palatino Linotype" w:eastAsia="Palatino Linotype" w:cs="Times New Roman"/>
          <w:kern w:val="0"/>
          <w14:ligatures w14:val="none"/>
        </w:rPr>
        <w:t xml:space="preserve"> operation</w:t>
      </w:r>
      <w:r w:rsidR="00FA1506">
        <w:rPr>
          <w:rFonts w:ascii="Palatino Linotype" w:hAnsi="Palatino Linotype" w:eastAsia="Palatino Linotype" w:cs="Times New Roman"/>
          <w:kern w:val="0"/>
          <w14:ligatures w14:val="none"/>
        </w:rPr>
        <w:t xml:space="preserve"> mode, would be required.</w:t>
      </w:r>
      <w:r w:rsidR="00CC530B">
        <w:rPr>
          <w:rFonts w:ascii="Palatino Linotype" w:hAnsi="Palatino Linotype" w:eastAsia="Palatino Linotype" w:cs="Times New Roman"/>
        </w:rPr>
        <w:t xml:space="preserve"> </w:t>
      </w:r>
      <w:r w:rsidR="00CB20C1">
        <w:rPr>
          <w:rFonts w:ascii="Palatino Linotype" w:hAnsi="Palatino Linotype" w:eastAsia="Palatino Linotype" w:cs="Times New Roman"/>
        </w:rPr>
        <w:t>I</w:t>
      </w:r>
      <w:r w:rsidRPr="2128FA49" w:rsidR="004104E2">
        <w:rPr>
          <w:rFonts w:ascii="Palatino Linotype" w:hAnsi="Palatino Linotype" w:eastAsia="Palatino Linotype" w:cs="Times New Roman"/>
        </w:rPr>
        <w:t xml:space="preserve">t is </w:t>
      </w:r>
      <w:r w:rsidR="002F16F7">
        <w:rPr>
          <w:rFonts w:ascii="Palatino Linotype" w:hAnsi="Palatino Linotype" w:eastAsia="Palatino Linotype" w:cs="Times New Roman"/>
          <w:kern w:val="0"/>
          <w14:ligatures w14:val="none"/>
        </w:rPr>
        <w:t>u</w:t>
      </w:r>
      <w:r w:rsidR="001822CE">
        <w:rPr>
          <w:rFonts w:ascii="Palatino Linotype" w:hAnsi="Palatino Linotype" w:eastAsia="Palatino Linotype" w:cs="Times New Roman"/>
          <w:kern w:val="0"/>
          <w14:ligatures w14:val="none"/>
        </w:rPr>
        <w:t xml:space="preserve">nclear </w:t>
      </w:r>
      <w:r w:rsidRPr="2128FA49" w:rsidR="00C95F69">
        <w:rPr>
          <w:rFonts w:ascii="Palatino Linotype" w:hAnsi="Palatino Linotype" w:eastAsia="Palatino Linotype" w:cs="Times New Roman"/>
        </w:rPr>
        <w:t xml:space="preserve">why the IOU would encourage </w:t>
      </w:r>
      <w:r w:rsidRPr="2128FA49" w:rsidR="00FF71B9">
        <w:rPr>
          <w:rFonts w:ascii="Palatino Linotype" w:hAnsi="Palatino Linotype" w:eastAsia="Palatino Linotype" w:cs="Times New Roman"/>
        </w:rPr>
        <w:t xml:space="preserve">customers to </w:t>
      </w:r>
      <w:r w:rsidR="00CB20C1">
        <w:rPr>
          <w:rFonts w:ascii="Palatino Linotype" w:hAnsi="Palatino Linotype" w:eastAsia="Palatino Linotype" w:cs="Times New Roman"/>
        </w:rPr>
        <w:t>connect as MP mode and thus pay an $800 application fee.</w:t>
      </w:r>
      <w:r w:rsidRPr="2128FA49" w:rsidR="008225C0">
        <w:rPr>
          <w:rFonts w:ascii="Palatino Linotype" w:hAnsi="Palatino Linotype" w:eastAsia="Palatino Linotype" w:cs="Times New Roman"/>
        </w:rPr>
        <w:t xml:space="preserve"> </w:t>
      </w:r>
      <w:r w:rsidRPr="2128FA49" w:rsidR="00E052E5">
        <w:rPr>
          <w:rFonts w:ascii="Palatino Linotype" w:hAnsi="Palatino Linotype" w:eastAsia="Palatino Linotype" w:cs="Times New Roman"/>
        </w:rPr>
        <w:t>Given this context, AL 5536-E does not clearly explain</w:t>
      </w:r>
      <w:r w:rsidR="0052616A">
        <w:rPr>
          <w:rFonts w:ascii="Palatino Linotype" w:hAnsi="Palatino Linotype" w:eastAsia="Palatino Linotype" w:cs="Times New Roman"/>
          <w:kern w:val="0"/>
          <w14:ligatures w14:val="none"/>
        </w:rPr>
        <w:t xml:space="preserve"> </w:t>
      </w:r>
      <w:r w:rsidRPr="2128FA49" w:rsidR="00E052E5">
        <w:rPr>
          <w:rFonts w:ascii="Palatino Linotype" w:hAnsi="Palatino Linotype" w:eastAsia="Palatino Linotype" w:cs="Times New Roman"/>
        </w:rPr>
        <w:t xml:space="preserve">the benefit of offering such a significant financial incentive to customers </w:t>
      </w:r>
      <w:r w:rsidR="005A050D">
        <w:rPr>
          <w:rFonts w:ascii="Palatino Linotype" w:hAnsi="Palatino Linotype" w:eastAsia="Palatino Linotype" w:cs="Times New Roman"/>
        </w:rPr>
        <w:t>that may</w:t>
      </w:r>
      <w:r w:rsidRPr="2128FA49" w:rsidR="20529F9E">
        <w:rPr>
          <w:rFonts w:ascii="Palatino Linotype" w:hAnsi="Palatino Linotype" w:eastAsia="Palatino Linotype" w:cs="Times New Roman"/>
        </w:rPr>
        <w:t xml:space="preserve"> not </w:t>
      </w:r>
      <w:r w:rsidR="005A050D">
        <w:rPr>
          <w:rFonts w:ascii="Palatino Linotype" w:hAnsi="Palatino Linotype" w:eastAsia="Palatino Linotype" w:cs="Times New Roman"/>
        </w:rPr>
        <w:t>be</w:t>
      </w:r>
      <w:r w:rsidRPr="2128FA49" w:rsidR="20529F9E">
        <w:rPr>
          <w:rFonts w:ascii="Palatino Linotype" w:hAnsi="Palatino Linotype" w:eastAsia="Palatino Linotype" w:cs="Times New Roman"/>
        </w:rPr>
        <w:t xml:space="preserve"> required</w:t>
      </w:r>
      <w:r w:rsidRPr="2128FA49" w:rsidR="00214E03">
        <w:rPr>
          <w:rFonts w:ascii="Palatino Linotype" w:hAnsi="Palatino Linotype" w:eastAsia="Palatino Linotype" w:cs="Times New Roman"/>
        </w:rPr>
        <w:t xml:space="preserve"> to pay</w:t>
      </w:r>
      <w:r w:rsidRPr="2128FA49" w:rsidR="40D4F083">
        <w:rPr>
          <w:rFonts w:ascii="Palatino Linotype" w:hAnsi="Palatino Linotype" w:eastAsia="Palatino Linotype" w:cs="Times New Roman"/>
        </w:rPr>
        <w:t xml:space="preserve"> this application fee</w:t>
      </w:r>
      <w:r w:rsidRPr="2128FA49" w:rsidR="00214E03">
        <w:rPr>
          <w:rFonts w:ascii="Palatino Linotype" w:hAnsi="Palatino Linotype" w:eastAsia="Palatino Linotype" w:cs="Times New Roman"/>
        </w:rPr>
        <w:t xml:space="preserve"> </w:t>
      </w:r>
      <w:r w:rsidRPr="2128FA49" w:rsidR="00F37B82">
        <w:rPr>
          <w:rFonts w:ascii="Palatino Linotype" w:hAnsi="Palatino Linotype" w:eastAsia="Palatino Linotype" w:cs="Times New Roman"/>
        </w:rPr>
        <w:t>for home back-up purposes</w:t>
      </w:r>
      <w:r w:rsidRPr="2128FA49" w:rsidR="00E052E5">
        <w:rPr>
          <w:rFonts w:ascii="Palatino Linotype" w:hAnsi="Palatino Linotype" w:eastAsia="Palatino Linotype" w:cs="Times New Roman"/>
        </w:rPr>
        <w:t xml:space="preserve">. </w:t>
      </w:r>
    </w:p>
    <w:p w:rsidR="00401BAF" w:rsidP="006226D4" w:rsidRDefault="00401BAF" w14:paraId="0B10574A" w14:textId="77777777">
      <w:pPr>
        <w:spacing w:after="0" w:line="240" w:lineRule="auto"/>
        <w:rPr>
          <w:rFonts w:ascii="Palatino Linotype" w:hAnsi="Palatino Linotype" w:eastAsia="Palatino Linotype" w:cs="Times New Roman"/>
        </w:rPr>
      </w:pPr>
    </w:p>
    <w:p w:rsidR="00581853" w:rsidP="006226D4" w:rsidRDefault="001742A9" w14:paraId="5F236E9D" w14:textId="7420496C">
      <w:pPr>
        <w:spacing w:after="0" w:line="240" w:lineRule="auto"/>
        <w:rPr>
          <w:rFonts w:ascii="Palatino Linotype" w:hAnsi="Palatino Linotype" w:eastAsia="Palatino Linotype" w:cs="Times New Roman"/>
        </w:rPr>
      </w:pPr>
      <w:r w:rsidRPr="2128FA49">
        <w:rPr>
          <w:rFonts w:ascii="Palatino Linotype" w:hAnsi="Palatino Linotype" w:eastAsia="Palatino Linotype" w:cs="Times New Roman"/>
        </w:rPr>
        <w:t xml:space="preserve">SCE states in the AL that </w:t>
      </w:r>
      <w:r w:rsidRPr="2128FA49" w:rsidR="005553D4">
        <w:rPr>
          <w:rFonts w:ascii="Palatino Linotype" w:hAnsi="Palatino Linotype" w:eastAsia="Palatino Linotype" w:cs="Times New Roman"/>
        </w:rPr>
        <w:t xml:space="preserve">enabling an EV’s grid-parallel functionality would only require </w:t>
      </w:r>
      <w:r w:rsidRPr="2128FA49" w:rsidR="00D43758">
        <w:rPr>
          <w:rFonts w:ascii="Palatino Linotype" w:hAnsi="Palatino Linotype" w:eastAsia="Palatino Linotype" w:cs="Times New Roman"/>
        </w:rPr>
        <w:t xml:space="preserve">“an over-the-air software update from the manufacturers,” and as such, </w:t>
      </w:r>
      <w:r w:rsidRPr="2128FA49" w:rsidR="002B080E">
        <w:rPr>
          <w:rFonts w:ascii="Palatino Linotype" w:hAnsi="Palatino Linotype" w:eastAsia="Palatino Linotype" w:cs="Times New Roman"/>
        </w:rPr>
        <w:t>it’s important to locate such systems on the grid for safety purposes.</w:t>
      </w:r>
      <w:r w:rsidR="00E84B94">
        <w:rPr>
          <w:rStyle w:val="FootnoteReference"/>
          <w:rFonts w:ascii="Palatino Linotype" w:hAnsi="Palatino Linotype" w:eastAsia="Palatino Linotype" w:cs="Times New Roman"/>
          <w:kern w:val="0"/>
          <w14:ligatures w14:val="none"/>
        </w:rPr>
        <w:footnoteReference w:id="56"/>
      </w:r>
      <w:r w:rsidRPr="2128FA49" w:rsidR="002B080E">
        <w:rPr>
          <w:rFonts w:ascii="Palatino Linotype" w:hAnsi="Palatino Linotype" w:eastAsia="Palatino Linotype" w:cs="Times New Roman"/>
        </w:rPr>
        <w:t xml:space="preserve"> </w:t>
      </w:r>
      <w:r w:rsidRPr="2128FA49" w:rsidR="00BE0F37">
        <w:rPr>
          <w:rFonts w:ascii="Palatino Linotype" w:hAnsi="Palatino Linotype" w:eastAsia="Palatino Linotype" w:cs="Times New Roman"/>
        </w:rPr>
        <w:t xml:space="preserve">However, </w:t>
      </w:r>
      <w:r w:rsidRPr="2128FA49" w:rsidR="001D77CD">
        <w:rPr>
          <w:rFonts w:ascii="Palatino Linotype" w:hAnsi="Palatino Linotype" w:eastAsia="Palatino Linotype" w:cs="Times New Roman"/>
        </w:rPr>
        <w:t xml:space="preserve">SCE does not attest to how likely </w:t>
      </w:r>
      <w:r w:rsidRPr="2128FA49" w:rsidR="003716FC">
        <w:rPr>
          <w:rFonts w:ascii="Palatino Linotype" w:hAnsi="Palatino Linotype" w:eastAsia="Palatino Linotype" w:cs="Times New Roman"/>
        </w:rPr>
        <w:t>auto</w:t>
      </w:r>
      <w:r w:rsidR="00C02E5D">
        <w:rPr>
          <w:rFonts w:ascii="Palatino Linotype" w:hAnsi="Palatino Linotype" w:eastAsia="Palatino Linotype" w:cs="Times New Roman"/>
        </w:rPr>
        <w:t>motive OEMs</w:t>
      </w:r>
      <w:r w:rsidRPr="2128FA49" w:rsidR="003716FC">
        <w:rPr>
          <w:rFonts w:ascii="Palatino Linotype" w:hAnsi="Palatino Linotype" w:eastAsia="Palatino Linotype" w:cs="Times New Roman"/>
        </w:rPr>
        <w:t xml:space="preserve"> are to enable </w:t>
      </w:r>
      <w:r w:rsidRPr="2128FA49" w:rsidR="001D77CD">
        <w:rPr>
          <w:rFonts w:ascii="Palatino Linotype" w:hAnsi="Palatino Linotype" w:eastAsia="Palatino Linotype" w:cs="Times New Roman"/>
        </w:rPr>
        <w:t xml:space="preserve">these software updates or </w:t>
      </w:r>
      <w:r w:rsidRPr="2128FA49" w:rsidR="00A71114">
        <w:rPr>
          <w:rFonts w:ascii="Palatino Linotype" w:hAnsi="Palatino Linotype" w:eastAsia="Palatino Linotype" w:cs="Times New Roman"/>
        </w:rPr>
        <w:t xml:space="preserve">whether there are any safeguards in place that would </w:t>
      </w:r>
      <w:r w:rsidRPr="2128FA49" w:rsidR="00A606DD">
        <w:rPr>
          <w:rFonts w:ascii="Palatino Linotype" w:hAnsi="Palatino Linotype" w:eastAsia="Palatino Linotype" w:cs="Times New Roman"/>
        </w:rPr>
        <w:t>prevent</w:t>
      </w:r>
      <w:r w:rsidRPr="2128FA49" w:rsidR="005A51F9">
        <w:rPr>
          <w:rFonts w:ascii="Palatino Linotype" w:hAnsi="Palatino Linotype" w:eastAsia="Palatino Linotype" w:cs="Times New Roman"/>
        </w:rPr>
        <w:t xml:space="preserve"> customers from receiving </w:t>
      </w:r>
      <w:r w:rsidRPr="2128FA49" w:rsidR="00B24699">
        <w:rPr>
          <w:rFonts w:ascii="Palatino Linotype" w:hAnsi="Palatino Linotype" w:eastAsia="Palatino Linotype" w:cs="Times New Roman"/>
        </w:rPr>
        <w:t xml:space="preserve">and </w:t>
      </w:r>
      <w:r w:rsidRPr="2128FA49" w:rsidR="00FD6C35">
        <w:rPr>
          <w:rFonts w:ascii="Palatino Linotype" w:hAnsi="Palatino Linotype" w:eastAsia="Palatino Linotype" w:cs="Times New Roman"/>
        </w:rPr>
        <w:t xml:space="preserve">enabling </w:t>
      </w:r>
      <w:r w:rsidRPr="2128FA49" w:rsidR="005A51F9">
        <w:rPr>
          <w:rFonts w:ascii="Palatino Linotype" w:hAnsi="Palatino Linotype" w:eastAsia="Palatino Linotype" w:cs="Times New Roman"/>
        </w:rPr>
        <w:t>the</w:t>
      </w:r>
      <w:r w:rsidRPr="2128FA49" w:rsidR="005F09CF">
        <w:rPr>
          <w:rFonts w:ascii="Palatino Linotype" w:hAnsi="Palatino Linotype" w:eastAsia="Palatino Linotype" w:cs="Times New Roman"/>
        </w:rPr>
        <w:t>se</w:t>
      </w:r>
      <w:r w:rsidRPr="2128FA49" w:rsidR="005A51F9">
        <w:rPr>
          <w:rFonts w:ascii="Palatino Linotype" w:hAnsi="Palatino Linotype" w:eastAsia="Palatino Linotype" w:cs="Times New Roman"/>
        </w:rPr>
        <w:t xml:space="preserve"> update</w:t>
      </w:r>
      <w:r w:rsidRPr="2128FA49" w:rsidR="005F09CF">
        <w:rPr>
          <w:rFonts w:ascii="Palatino Linotype" w:hAnsi="Palatino Linotype" w:eastAsia="Palatino Linotype" w:cs="Times New Roman"/>
        </w:rPr>
        <w:t>s</w:t>
      </w:r>
      <w:r w:rsidRPr="2128FA49" w:rsidR="000E0DBD">
        <w:rPr>
          <w:rFonts w:ascii="Palatino Linotype" w:hAnsi="Palatino Linotype" w:eastAsia="Palatino Linotype" w:cs="Times New Roman"/>
        </w:rPr>
        <w:t xml:space="preserve"> </w:t>
      </w:r>
      <w:r w:rsidRPr="2128FA49" w:rsidR="00A606DD">
        <w:rPr>
          <w:rFonts w:ascii="Palatino Linotype" w:hAnsi="Palatino Linotype" w:eastAsia="Palatino Linotype" w:cs="Times New Roman"/>
        </w:rPr>
        <w:t>and</w:t>
      </w:r>
      <w:r w:rsidRPr="2128FA49" w:rsidR="000E0DBD">
        <w:rPr>
          <w:rFonts w:ascii="Palatino Linotype" w:hAnsi="Palatino Linotype" w:eastAsia="Palatino Linotype" w:cs="Times New Roman"/>
        </w:rPr>
        <w:t xml:space="preserve"> export</w:t>
      </w:r>
      <w:r w:rsidRPr="2128FA49" w:rsidR="007E0253">
        <w:rPr>
          <w:rFonts w:ascii="Palatino Linotype" w:hAnsi="Palatino Linotype" w:eastAsia="Palatino Linotype" w:cs="Times New Roman"/>
        </w:rPr>
        <w:t>ing energy</w:t>
      </w:r>
      <w:r w:rsidRPr="2128FA49" w:rsidR="000E0DBD">
        <w:rPr>
          <w:rFonts w:ascii="Palatino Linotype" w:hAnsi="Palatino Linotype" w:eastAsia="Palatino Linotype" w:cs="Times New Roman"/>
        </w:rPr>
        <w:t xml:space="preserve"> while grid-tied</w:t>
      </w:r>
      <w:r w:rsidRPr="2128FA49" w:rsidR="005A51F9">
        <w:rPr>
          <w:rFonts w:ascii="Palatino Linotype" w:hAnsi="Palatino Linotype" w:eastAsia="Palatino Linotype" w:cs="Times New Roman"/>
        </w:rPr>
        <w:t>.</w:t>
      </w:r>
      <w:r w:rsidR="00E31FA1">
        <w:rPr>
          <w:rFonts w:ascii="Palatino Linotype" w:hAnsi="Palatino Linotype" w:eastAsia="Palatino Linotype" w:cs="Times New Roman"/>
        </w:rPr>
        <w:t xml:space="preserve"> SCE </w:t>
      </w:r>
      <w:r w:rsidR="00381E2B">
        <w:rPr>
          <w:rFonts w:ascii="Palatino Linotype" w:hAnsi="Palatino Linotype" w:eastAsia="Palatino Linotype" w:cs="Times New Roman"/>
        </w:rPr>
        <w:t xml:space="preserve">also </w:t>
      </w:r>
      <w:r w:rsidR="00E31FA1">
        <w:rPr>
          <w:rFonts w:ascii="Palatino Linotype" w:hAnsi="Palatino Linotype" w:eastAsia="Palatino Linotype" w:cs="Times New Roman"/>
        </w:rPr>
        <w:t xml:space="preserve">does not </w:t>
      </w:r>
      <w:r w:rsidR="00D54448">
        <w:rPr>
          <w:rFonts w:ascii="Palatino Linotype" w:hAnsi="Palatino Linotype" w:eastAsia="Palatino Linotype" w:cs="Times New Roman"/>
        </w:rPr>
        <w:t xml:space="preserve">demonstrate </w:t>
      </w:r>
      <w:r w:rsidR="006F0113">
        <w:rPr>
          <w:rFonts w:ascii="Palatino Linotype" w:hAnsi="Palatino Linotype" w:eastAsia="Palatino Linotype" w:cs="Times New Roman"/>
        </w:rPr>
        <w:t>any consideration of the likelihood of whether customers will wa</w:t>
      </w:r>
      <w:r w:rsidR="005F3AA5">
        <w:rPr>
          <w:rFonts w:ascii="Palatino Linotype" w:hAnsi="Palatino Linotype" w:eastAsia="Palatino Linotype" w:cs="Times New Roman"/>
        </w:rPr>
        <w:t>nt to enable the grid-parallel functionality</w:t>
      </w:r>
      <w:r w:rsidR="00AA1FA6">
        <w:rPr>
          <w:rFonts w:ascii="Palatino Linotype" w:hAnsi="Palatino Linotype" w:eastAsia="Palatino Linotype" w:cs="Times New Roman"/>
        </w:rPr>
        <w:t xml:space="preserve"> in addition to deferring </w:t>
      </w:r>
      <w:r w:rsidR="0089245E">
        <w:rPr>
          <w:rFonts w:ascii="Palatino Linotype" w:hAnsi="Palatino Linotype" w:eastAsia="Palatino Linotype" w:cs="Times New Roman"/>
        </w:rPr>
        <w:t>charging entirely to the IOU</w:t>
      </w:r>
      <w:r w:rsidR="005F3AA5">
        <w:rPr>
          <w:rFonts w:ascii="Palatino Linotype" w:hAnsi="Palatino Linotype" w:eastAsia="Palatino Linotype" w:cs="Times New Roman"/>
        </w:rPr>
        <w:t xml:space="preserve">. </w:t>
      </w:r>
    </w:p>
    <w:p w:rsidR="00581853" w:rsidP="006226D4" w:rsidRDefault="00581853" w14:paraId="4B1F9BE0" w14:textId="77777777">
      <w:pPr>
        <w:spacing w:after="0" w:line="240" w:lineRule="auto"/>
        <w:rPr>
          <w:rFonts w:ascii="Palatino Linotype" w:hAnsi="Palatino Linotype" w:eastAsia="Palatino Linotype" w:cs="Times New Roman"/>
        </w:rPr>
      </w:pPr>
    </w:p>
    <w:p w:rsidR="00C2690E" w:rsidP="006226D4" w:rsidRDefault="0080063D" w14:paraId="3CF3D1C3" w14:textId="098F999C">
      <w:pPr>
        <w:spacing w:after="0" w:line="240" w:lineRule="auto"/>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Moreover, </w:t>
      </w:r>
      <w:r w:rsidR="0039129E">
        <w:rPr>
          <w:rFonts w:ascii="Palatino Linotype" w:hAnsi="Palatino Linotype" w:eastAsia="Palatino Linotype" w:cs="Times New Roman"/>
          <w:kern w:val="0"/>
          <w14:ligatures w14:val="none"/>
        </w:rPr>
        <w:t>AL 5536-E makes clear that it is not proposing any export compensation mechanism</w:t>
      </w:r>
      <w:r w:rsidR="00AA76E9">
        <w:rPr>
          <w:rStyle w:val="FootnoteReference"/>
          <w:rFonts w:ascii="Palatino Linotype" w:hAnsi="Palatino Linotype" w:eastAsia="Palatino Linotype" w:cs="Times New Roman"/>
          <w:kern w:val="0"/>
          <w14:ligatures w14:val="none"/>
        </w:rPr>
        <w:footnoteReference w:id="57"/>
      </w:r>
      <w:r w:rsidR="00583E04">
        <w:rPr>
          <w:rFonts w:ascii="Palatino Linotype" w:hAnsi="Palatino Linotype" w:eastAsia="Palatino Linotype" w:cs="Times New Roman"/>
          <w:kern w:val="0"/>
          <w14:ligatures w14:val="none"/>
        </w:rPr>
        <w:t xml:space="preserve"> and instead relies on other</w:t>
      </w:r>
      <w:r w:rsidRPr="2128FA49" w:rsidR="00DE2243">
        <w:rPr>
          <w:rFonts w:ascii="Palatino Linotype" w:hAnsi="Palatino Linotype" w:eastAsia="Palatino Linotype" w:cs="Times New Roman"/>
        </w:rPr>
        <w:t xml:space="preserve"> provisional</w:t>
      </w:r>
      <w:r w:rsidR="007A243F">
        <w:rPr>
          <w:rFonts w:ascii="Palatino Linotype" w:hAnsi="Palatino Linotype" w:eastAsia="Palatino Linotype" w:cs="Times New Roman"/>
          <w:kern w:val="0"/>
          <w14:ligatures w14:val="none"/>
        </w:rPr>
        <w:t xml:space="preserve"> mechanisms</w:t>
      </w:r>
      <w:r w:rsidRPr="2128FA49" w:rsidR="009E6657">
        <w:rPr>
          <w:rFonts w:ascii="Palatino Linotype" w:hAnsi="Palatino Linotype" w:eastAsia="Palatino Linotype" w:cs="Times New Roman"/>
        </w:rPr>
        <w:t>, namely</w:t>
      </w:r>
      <w:r w:rsidRPr="2128FA49" w:rsidR="00F26A21">
        <w:rPr>
          <w:rFonts w:ascii="Palatino Linotype" w:hAnsi="Palatino Linotype" w:eastAsia="Palatino Linotype" w:cs="Times New Roman"/>
        </w:rPr>
        <w:t>,</w:t>
      </w:r>
      <w:r w:rsidR="007A243F">
        <w:rPr>
          <w:rFonts w:ascii="Palatino Linotype" w:hAnsi="Palatino Linotype" w:eastAsia="Palatino Linotype" w:cs="Times New Roman"/>
          <w:kern w:val="0"/>
          <w14:ligatures w14:val="none"/>
        </w:rPr>
        <w:t xml:space="preserve"> </w:t>
      </w:r>
      <w:r w:rsidR="005F5A2F">
        <w:rPr>
          <w:rFonts w:ascii="Palatino Linotype" w:hAnsi="Palatino Linotype" w:eastAsia="Palatino Linotype" w:cs="Times New Roman"/>
          <w:kern w:val="0"/>
          <w14:ligatures w14:val="none"/>
        </w:rPr>
        <w:t xml:space="preserve">the </w:t>
      </w:r>
      <w:r w:rsidR="004071A3">
        <w:rPr>
          <w:rFonts w:ascii="Palatino Linotype" w:hAnsi="Palatino Linotype" w:eastAsia="Palatino Linotype" w:cs="Times New Roman"/>
          <w:kern w:val="0"/>
          <w14:ligatures w14:val="none"/>
        </w:rPr>
        <w:t xml:space="preserve">pending </w:t>
      </w:r>
      <w:r w:rsidR="005F5A2F">
        <w:rPr>
          <w:rFonts w:ascii="Palatino Linotype" w:hAnsi="Palatino Linotype" w:eastAsia="Palatino Linotype" w:cs="Times New Roman"/>
          <w:kern w:val="0"/>
          <w14:ligatures w14:val="none"/>
        </w:rPr>
        <w:t>V</w:t>
      </w:r>
      <w:r w:rsidR="005238F7">
        <w:rPr>
          <w:rFonts w:ascii="Palatino Linotype" w:hAnsi="Palatino Linotype" w:eastAsia="Palatino Linotype" w:cs="Times New Roman"/>
          <w:kern w:val="0"/>
          <w14:ligatures w14:val="none"/>
        </w:rPr>
        <w:t xml:space="preserve">ehicle </w:t>
      </w:r>
      <w:r w:rsidR="005F5A2F">
        <w:rPr>
          <w:rFonts w:ascii="Palatino Linotype" w:hAnsi="Palatino Linotype" w:eastAsia="Palatino Linotype" w:cs="Times New Roman"/>
          <w:kern w:val="0"/>
          <w14:ligatures w14:val="none"/>
        </w:rPr>
        <w:t>G</w:t>
      </w:r>
      <w:r w:rsidR="005238F7">
        <w:rPr>
          <w:rFonts w:ascii="Palatino Linotype" w:hAnsi="Palatino Linotype" w:eastAsia="Palatino Linotype" w:cs="Times New Roman"/>
          <w:kern w:val="0"/>
          <w14:ligatures w14:val="none"/>
        </w:rPr>
        <w:t xml:space="preserve">rid </w:t>
      </w:r>
      <w:r w:rsidR="005F5A2F">
        <w:rPr>
          <w:rFonts w:ascii="Palatino Linotype" w:hAnsi="Palatino Linotype" w:eastAsia="Palatino Linotype" w:cs="Times New Roman"/>
          <w:kern w:val="0"/>
          <w14:ligatures w14:val="none"/>
        </w:rPr>
        <w:t>R</w:t>
      </w:r>
      <w:r w:rsidR="005238F7">
        <w:rPr>
          <w:rFonts w:ascii="Palatino Linotype" w:hAnsi="Palatino Linotype" w:eastAsia="Palatino Linotype" w:cs="Times New Roman"/>
          <w:kern w:val="0"/>
          <w14:ligatures w14:val="none"/>
        </w:rPr>
        <w:t xml:space="preserve">esource </w:t>
      </w:r>
      <w:r w:rsidR="005F5A2F">
        <w:rPr>
          <w:rFonts w:ascii="Palatino Linotype" w:hAnsi="Palatino Linotype" w:eastAsia="Palatino Linotype" w:cs="Times New Roman"/>
          <w:kern w:val="0"/>
          <w14:ligatures w14:val="none"/>
        </w:rPr>
        <w:t>P</w:t>
      </w:r>
      <w:r w:rsidR="005238F7">
        <w:rPr>
          <w:rFonts w:ascii="Palatino Linotype" w:hAnsi="Palatino Linotype" w:eastAsia="Palatino Linotype" w:cs="Times New Roman"/>
          <w:kern w:val="0"/>
          <w14:ligatures w14:val="none"/>
        </w:rPr>
        <w:t>roposal</w:t>
      </w:r>
      <w:r w:rsidR="005F5A2F">
        <w:rPr>
          <w:rFonts w:ascii="Palatino Linotype" w:hAnsi="Palatino Linotype" w:eastAsia="Palatino Linotype" w:cs="Times New Roman"/>
          <w:kern w:val="0"/>
          <w14:ligatures w14:val="none"/>
        </w:rPr>
        <w:t xml:space="preserve"> and the </w:t>
      </w:r>
      <w:r w:rsidR="00A87DE1">
        <w:rPr>
          <w:rFonts w:ascii="Palatino Linotype" w:hAnsi="Palatino Linotype" w:eastAsia="Palatino Linotype" w:cs="Times New Roman"/>
          <w:kern w:val="0"/>
          <w14:ligatures w14:val="none"/>
        </w:rPr>
        <w:t xml:space="preserve">Dynamic Rate Pilot that </w:t>
      </w:r>
      <w:r w:rsidR="00CF6CF1">
        <w:rPr>
          <w:rFonts w:ascii="Palatino Linotype" w:hAnsi="Palatino Linotype" w:eastAsia="Palatino Linotype" w:cs="Times New Roman"/>
          <w:kern w:val="0"/>
          <w14:ligatures w14:val="none"/>
        </w:rPr>
        <w:t>lacks</w:t>
      </w:r>
      <w:r w:rsidR="00A87DE1">
        <w:rPr>
          <w:rFonts w:ascii="Palatino Linotype" w:hAnsi="Palatino Linotype" w:eastAsia="Palatino Linotype" w:cs="Times New Roman"/>
          <w:kern w:val="0"/>
          <w14:ligatures w14:val="none"/>
        </w:rPr>
        <w:t xml:space="preserve"> sufficient funds to compensate </w:t>
      </w:r>
      <w:r w:rsidRPr="2128FA49" w:rsidR="002923A8">
        <w:rPr>
          <w:rFonts w:ascii="Palatino Linotype" w:hAnsi="Palatino Linotype" w:eastAsia="Palatino Linotype" w:cs="Times New Roman"/>
        </w:rPr>
        <w:t xml:space="preserve">the </w:t>
      </w:r>
      <w:r w:rsidR="00A87DE1">
        <w:rPr>
          <w:rFonts w:ascii="Palatino Linotype" w:hAnsi="Palatino Linotype" w:eastAsia="Palatino Linotype" w:cs="Times New Roman"/>
          <w:kern w:val="0"/>
          <w14:ligatures w14:val="none"/>
        </w:rPr>
        <w:t xml:space="preserve">8,700 </w:t>
      </w:r>
      <w:r w:rsidRPr="2128FA49" w:rsidR="000A02D7">
        <w:rPr>
          <w:rFonts w:ascii="Palatino Linotype" w:hAnsi="Palatino Linotype" w:eastAsia="Palatino Linotype" w:cs="Times New Roman"/>
        </w:rPr>
        <w:t>drivers to whom</w:t>
      </w:r>
      <w:r w:rsidRPr="2128FA49" w:rsidR="00EA3359">
        <w:rPr>
          <w:rFonts w:ascii="Palatino Linotype" w:hAnsi="Palatino Linotype" w:eastAsia="Palatino Linotype" w:cs="Times New Roman"/>
        </w:rPr>
        <w:t xml:space="preserve"> SCE is aiming to </w:t>
      </w:r>
      <w:r w:rsidRPr="2128FA49" w:rsidR="00073787">
        <w:rPr>
          <w:rFonts w:ascii="Palatino Linotype" w:hAnsi="Palatino Linotype" w:eastAsia="Palatino Linotype" w:cs="Times New Roman"/>
        </w:rPr>
        <w:t xml:space="preserve">issue </w:t>
      </w:r>
      <w:r w:rsidRPr="2128FA49" w:rsidR="000A02D7">
        <w:rPr>
          <w:rFonts w:ascii="Palatino Linotype" w:hAnsi="Palatino Linotype" w:eastAsia="Palatino Linotype" w:cs="Times New Roman"/>
        </w:rPr>
        <w:t xml:space="preserve">the </w:t>
      </w:r>
      <w:r w:rsidR="004A1889">
        <w:rPr>
          <w:rFonts w:ascii="Palatino Linotype" w:hAnsi="Palatino Linotype" w:eastAsia="Palatino Linotype" w:cs="Times New Roman"/>
        </w:rPr>
        <w:t>bidirectional charging equipment</w:t>
      </w:r>
      <w:r w:rsidRPr="2128FA49" w:rsidR="000A02D7">
        <w:rPr>
          <w:rFonts w:ascii="Palatino Linotype" w:hAnsi="Palatino Linotype" w:eastAsia="Palatino Linotype" w:cs="Times New Roman"/>
        </w:rPr>
        <w:t xml:space="preserve"> incentives</w:t>
      </w:r>
      <w:r w:rsidR="00AB2305">
        <w:rPr>
          <w:rFonts w:ascii="Palatino Linotype" w:hAnsi="Palatino Linotype" w:eastAsia="Palatino Linotype" w:cs="Times New Roman"/>
          <w:kern w:val="0"/>
          <w14:ligatures w14:val="none"/>
        </w:rPr>
        <w:t>.</w:t>
      </w:r>
      <w:r w:rsidR="001A3E9B">
        <w:rPr>
          <w:rStyle w:val="FootnoteReference"/>
          <w:rFonts w:ascii="Palatino Linotype" w:hAnsi="Palatino Linotype" w:eastAsia="Palatino Linotype" w:cs="Times New Roman"/>
          <w:kern w:val="0"/>
          <w14:ligatures w14:val="none"/>
        </w:rPr>
        <w:footnoteReference w:id="58"/>
      </w:r>
      <w:r w:rsidR="00A87DE1">
        <w:rPr>
          <w:rFonts w:ascii="Palatino Linotype" w:hAnsi="Palatino Linotype" w:eastAsia="Palatino Linotype" w:cs="Times New Roman"/>
          <w:kern w:val="0"/>
          <w14:ligatures w14:val="none"/>
        </w:rPr>
        <w:t xml:space="preserve"> </w:t>
      </w:r>
      <w:r w:rsidR="000013C9">
        <w:rPr>
          <w:rFonts w:ascii="Palatino Linotype" w:hAnsi="Palatino Linotype" w:eastAsia="Palatino Linotype" w:cs="Times New Roman"/>
        </w:rPr>
        <w:t>SCE’s proposal</w:t>
      </w:r>
      <w:r w:rsidR="00CD1E6C">
        <w:rPr>
          <w:rFonts w:ascii="Palatino Linotype" w:hAnsi="Palatino Linotype" w:eastAsia="Palatino Linotype" w:cs="Times New Roman"/>
        </w:rPr>
        <w:t xml:space="preserve"> does not clearly state why </w:t>
      </w:r>
      <w:r w:rsidR="004A1889">
        <w:rPr>
          <w:rFonts w:ascii="Palatino Linotype" w:hAnsi="Palatino Linotype" w:eastAsia="Palatino Linotype" w:cs="Times New Roman"/>
        </w:rPr>
        <w:t xml:space="preserve">bidirectional charging equipment </w:t>
      </w:r>
      <w:r w:rsidR="00CD1E6C">
        <w:rPr>
          <w:rFonts w:ascii="Palatino Linotype" w:hAnsi="Palatino Linotype" w:eastAsia="Palatino Linotype" w:cs="Times New Roman"/>
        </w:rPr>
        <w:t>incentives are necessary</w:t>
      </w:r>
      <w:r w:rsidR="008559F7">
        <w:rPr>
          <w:rFonts w:ascii="Palatino Linotype" w:hAnsi="Palatino Linotype" w:eastAsia="Palatino Linotype" w:cs="Times New Roman"/>
        </w:rPr>
        <w:t>.</w:t>
      </w:r>
      <w:r w:rsidRPr="2128FA49" w:rsidR="003D1325">
        <w:rPr>
          <w:rFonts w:ascii="Palatino Linotype" w:hAnsi="Palatino Linotype" w:eastAsia="Palatino Linotype" w:cs="Times New Roman"/>
        </w:rPr>
        <w:t xml:space="preserve"> </w:t>
      </w:r>
    </w:p>
    <w:p w:rsidR="00C2690E" w:rsidP="006226D4" w:rsidRDefault="00C2690E" w14:paraId="47502221" w14:textId="77777777">
      <w:pPr>
        <w:spacing w:after="0" w:line="240" w:lineRule="auto"/>
        <w:rPr>
          <w:rFonts w:ascii="Palatino Linotype" w:hAnsi="Palatino Linotype" w:eastAsia="Palatino Linotype" w:cs="Times New Roman"/>
        </w:rPr>
      </w:pPr>
    </w:p>
    <w:p w:rsidRPr="00565743" w:rsidR="00565743" w:rsidP="006226D4" w:rsidRDefault="00004B3B" w14:paraId="36F9301A" w14:textId="749F7E44">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We </w:t>
      </w:r>
      <w:r w:rsidRPr="2128FA49" w:rsidR="003A1303">
        <w:rPr>
          <w:rFonts w:ascii="Palatino Linotype" w:hAnsi="Palatino Linotype" w:eastAsia="Palatino Linotype" w:cs="Times New Roman"/>
        </w:rPr>
        <w:t xml:space="preserve">do not </w:t>
      </w:r>
      <w:r w:rsidRPr="2128FA49">
        <w:rPr>
          <w:rFonts w:ascii="Palatino Linotype" w:hAnsi="Palatino Linotype" w:eastAsia="Palatino Linotype" w:cs="Times New Roman"/>
        </w:rPr>
        <w:t xml:space="preserve">find the V2X </w:t>
      </w:r>
      <w:r w:rsidR="00D91EBC">
        <w:rPr>
          <w:rFonts w:ascii="Palatino Linotype" w:hAnsi="Palatino Linotype" w:eastAsia="Palatino Linotype" w:cs="Times New Roman"/>
        </w:rPr>
        <w:t>proposal</w:t>
      </w:r>
      <w:r w:rsidR="005516D4">
        <w:rPr>
          <w:rFonts w:ascii="Palatino Linotype" w:hAnsi="Palatino Linotype" w:eastAsia="Palatino Linotype" w:cs="Times New Roman"/>
        </w:rPr>
        <w:t xml:space="preserve">, including the </w:t>
      </w:r>
      <w:r w:rsidRPr="2128FA49">
        <w:rPr>
          <w:rFonts w:ascii="Palatino Linotype" w:hAnsi="Palatino Linotype" w:eastAsia="Palatino Linotype" w:cs="Times New Roman"/>
        </w:rPr>
        <w:t>incentives</w:t>
      </w:r>
      <w:r w:rsidR="005516D4">
        <w:rPr>
          <w:rFonts w:ascii="Palatino Linotype" w:hAnsi="Palatino Linotype" w:eastAsia="Palatino Linotype" w:cs="Times New Roman"/>
        </w:rPr>
        <w:t>,</w:t>
      </w:r>
      <w:r w:rsidRPr="2128FA49">
        <w:rPr>
          <w:rFonts w:ascii="Palatino Linotype" w:hAnsi="Palatino Linotype" w:eastAsia="Palatino Linotype" w:cs="Times New Roman"/>
        </w:rPr>
        <w:t xml:space="preserve"> </w:t>
      </w:r>
      <w:r w:rsidRPr="2128FA49" w:rsidR="009D0907">
        <w:rPr>
          <w:rFonts w:ascii="Palatino Linotype" w:hAnsi="Palatino Linotype" w:eastAsia="Palatino Linotype" w:cs="Times New Roman"/>
        </w:rPr>
        <w:t xml:space="preserve">to be </w:t>
      </w:r>
      <w:r w:rsidRPr="2128FA49">
        <w:rPr>
          <w:rFonts w:ascii="Palatino Linotype" w:hAnsi="Palatino Linotype" w:eastAsia="Palatino Linotype" w:cs="Times New Roman"/>
        </w:rPr>
        <w:t xml:space="preserve">reasonable and </w:t>
      </w:r>
      <w:r w:rsidRPr="2128FA49" w:rsidR="009D0907">
        <w:rPr>
          <w:rFonts w:ascii="Palatino Linotype" w:hAnsi="Palatino Linotype" w:eastAsia="Palatino Linotype" w:cs="Times New Roman"/>
        </w:rPr>
        <w:t xml:space="preserve">hereby </w:t>
      </w:r>
      <w:r w:rsidRPr="2128FA49">
        <w:rPr>
          <w:rFonts w:ascii="Palatino Linotype" w:hAnsi="Palatino Linotype" w:eastAsia="Palatino Linotype" w:cs="Times New Roman"/>
        </w:rPr>
        <w:t>reject the</w:t>
      </w:r>
      <w:r w:rsidRPr="2128FA49" w:rsidR="008B7D79">
        <w:rPr>
          <w:rFonts w:ascii="Palatino Linotype" w:hAnsi="Palatino Linotype" w:eastAsia="Palatino Linotype" w:cs="Times New Roman"/>
        </w:rPr>
        <w:t>m</w:t>
      </w:r>
      <w:r w:rsidRPr="2128FA49" w:rsidR="009D0907">
        <w:rPr>
          <w:rFonts w:ascii="Palatino Linotype" w:hAnsi="Palatino Linotype" w:eastAsia="Palatino Linotype" w:cs="Times New Roman"/>
        </w:rPr>
        <w:t xml:space="preserve"> without prejudice</w:t>
      </w:r>
      <w:r w:rsidRPr="2128FA49" w:rsidR="008B7D79">
        <w:rPr>
          <w:rFonts w:ascii="Palatino Linotype" w:hAnsi="Palatino Linotype" w:eastAsia="Palatino Linotype" w:cs="Times New Roman"/>
        </w:rPr>
        <w:t>.</w:t>
      </w:r>
      <w:r w:rsidRPr="2128FA49" w:rsidR="00930843">
        <w:rPr>
          <w:rFonts w:ascii="Palatino Linotype" w:hAnsi="Palatino Linotype" w:eastAsia="Palatino Linotype" w:cs="Times New Roman"/>
        </w:rPr>
        <w:t xml:space="preserve"> </w:t>
      </w:r>
      <w:r w:rsidRPr="00C2690E" w:rsidR="00C2690E">
        <w:rPr>
          <w:rFonts w:ascii="Palatino Linotype" w:hAnsi="Palatino Linotype" w:eastAsia="Palatino Linotype" w:cs="Times New Roman"/>
        </w:rPr>
        <w:t>In rejecting SCE’s V2X proposal, all outstanding comments and recommendations</w:t>
      </w:r>
      <w:r w:rsidR="00423268">
        <w:rPr>
          <w:rFonts w:ascii="Palatino Linotype" w:hAnsi="Palatino Linotype" w:eastAsia="Palatino Linotype" w:cs="Times New Roman"/>
        </w:rPr>
        <w:t xml:space="preserve"> on th</w:t>
      </w:r>
      <w:r w:rsidR="00D33F86">
        <w:rPr>
          <w:rFonts w:ascii="Palatino Linotype" w:hAnsi="Palatino Linotype" w:eastAsia="Palatino Linotype" w:cs="Times New Roman"/>
        </w:rPr>
        <w:t>is component</w:t>
      </w:r>
      <w:r w:rsidRPr="00C2690E" w:rsidR="00C2690E">
        <w:rPr>
          <w:rFonts w:ascii="Palatino Linotype" w:hAnsi="Palatino Linotype" w:eastAsia="Palatino Linotype" w:cs="Times New Roman"/>
        </w:rPr>
        <w:t xml:space="preserve"> are </w:t>
      </w:r>
      <w:r w:rsidR="00B44D89">
        <w:rPr>
          <w:rFonts w:ascii="Palatino Linotype" w:hAnsi="Palatino Linotype" w:eastAsia="Palatino Linotype" w:cs="Times New Roman"/>
        </w:rPr>
        <w:t>moot</w:t>
      </w:r>
      <w:r w:rsidRPr="00C2690E" w:rsidR="00C2690E">
        <w:rPr>
          <w:rFonts w:ascii="Palatino Linotype" w:hAnsi="Palatino Linotype" w:eastAsia="Palatino Linotype" w:cs="Times New Roman"/>
        </w:rPr>
        <w:t>.</w:t>
      </w:r>
    </w:p>
    <w:p w:rsidRPr="00A13F84" w:rsidR="00A13F84" w:rsidP="00A13F84" w:rsidRDefault="00A13F84" w14:paraId="65DE4E2A" w14:textId="77777777">
      <w:pPr>
        <w:spacing w:after="0" w:line="240" w:lineRule="auto"/>
        <w:rPr>
          <w:rFonts w:ascii="Palatino Linotype" w:hAnsi="Palatino Linotype" w:eastAsia="Palatino Linotype" w:cs="Times New Roman"/>
          <w:kern w:val="0"/>
          <w14:ligatures w14:val="none"/>
        </w:rPr>
      </w:pPr>
    </w:p>
    <w:p w:rsidRPr="003300B0" w:rsidR="00231368" w:rsidP="00D32984" w:rsidRDefault="00231368" w14:paraId="0BB8FC4F" w14:textId="77777777">
      <w:pPr>
        <w:pStyle w:val="Heading3"/>
        <w:numPr>
          <w:ilvl w:val="0"/>
          <w:numId w:val="28"/>
        </w:numPr>
        <w:spacing w:before="0" w:after="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Costs and Funding </w:t>
      </w:r>
    </w:p>
    <w:p w:rsidR="00EB66C0" w:rsidP="00181C31" w:rsidRDefault="0030471F" w14:paraId="3C5EC6FB" w14:textId="72AEA77B">
      <w:p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Although </w:t>
      </w:r>
      <w:r w:rsidRPr="2128FA49" w:rsidR="00CA180C">
        <w:rPr>
          <w:rFonts w:ascii="Palatino Linotype" w:hAnsi="Palatino Linotype" w:eastAsia="Palatino Linotype" w:cs="Times New Roman"/>
        </w:rPr>
        <w:t>cost effectiveness targets</w:t>
      </w:r>
      <w:r w:rsidR="00D71C44">
        <w:rPr>
          <w:rFonts w:ascii="Palatino Linotype" w:hAnsi="Palatino Linotype" w:eastAsia="Palatino Linotype" w:cs="Times New Roman"/>
        </w:rPr>
        <w:t>, as proposed by GPI,</w:t>
      </w:r>
      <w:r w:rsidRPr="2128FA49" w:rsidR="00CA180C">
        <w:rPr>
          <w:rFonts w:ascii="Palatino Linotype" w:hAnsi="Palatino Linotype" w:eastAsia="Palatino Linotype" w:cs="Times New Roman"/>
        </w:rPr>
        <w:t xml:space="preserve"> </w:t>
      </w:r>
      <w:r w:rsidRPr="2128FA49" w:rsidR="00D544CB">
        <w:rPr>
          <w:rFonts w:ascii="Palatino Linotype" w:hAnsi="Palatino Linotype" w:eastAsia="Palatino Linotype" w:cs="Times New Roman"/>
        </w:rPr>
        <w:t>seem</w:t>
      </w:r>
      <w:r w:rsidRPr="2128FA49" w:rsidR="00382789">
        <w:rPr>
          <w:rFonts w:ascii="Palatino Linotype" w:hAnsi="Palatino Linotype" w:eastAsia="Palatino Linotype" w:cs="Times New Roman"/>
        </w:rPr>
        <w:t xml:space="preserve"> reasonable, we find that</w:t>
      </w:r>
      <w:r w:rsidRPr="2128FA49" w:rsidR="006D7AFC">
        <w:rPr>
          <w:rFonts w:ascii="Palatino Linotype" w:hAnsi="Palatino Linotype" w:eastAsia="Palatino Linotype" w:cs="Times New Roman"/>
        </w:rPr>
        <w:t xml:space="preserve"> </w:t>
      </w:r>
      <w:r w:rsidRPr="00643758" w:rsidR="006D7AFC">
        <w:rPr>
          <w:rFonts w:ascii="Palatino Linotype" w:hAnsi="Palatino Linotype" w:eastAsia="Palatino Linotype" w:cs="Times New Roman"/>
          <w:kern w:val="0"/>
          <w14:ligatures w14:val="none"/>
        </w:rPr>
        <w:t xml:space="preserve">using </w:t>
      </w:r>
      <w:r w:rsidRPr="2128FA49" w:rsidR="00382789">
        <w:rPr>
          <w:rFonts w:ascii="Palatino Linotype" w:hAnsi="Palatino Linotype" w:eastAsia="Palatino Linotype" w:cs="Times New Roman"/>
        </w:rPr>
        <w:t xml:space="preserve">a </w:t>
      </w:r>
      <w:r w:rsidRPr="00643758" w:rsidR="006D7AFC">
        <w:rPr>
          <w:rFonts w:ascii="Palatino Linotype" w:hAnsi="Palatino Linotype" w:eastAsia="Palatino Linotype" w:cs="Times New Roman"/>
          <w:kern w:val="0"/>
          <w14:ligatures w14:val="none"/>
        </w:rPr>
        <w:t xml:space="preserve">TRC </w:t>
      </w:r>
      <w:r w:rsidRPr="2128FA49" w:rsidR="00382789">
        <w:rPr>
          <w:rFonts w:ascii="Palatino Linotype" w:hAnsi="Palatino Linotype" w:eastAsia="Palatino Linotype" w:cs="Times New Roman"/>
        </w:rPr>
        <w:t xml:space="preserve">metric </w:t>
      </w:r>
      <w:r w:rsidRPr="2128FA49" w:rsidR="002D0F9F">
        <w:rPr>
          <w:rFonts w:ascii="Palatino Linotype" w:hAnsi="Palatino Linotype" w:eastAsia="Palatino Linotype" w:cs="Times New Roman"/>
        </w:rPr>
        <w:t>after only</w:t>
      </w:r>
      <w:r w:rsidR="009B62C0">
        <w:rPr>
          <w:rFonts w:ascii="Palatino Linotype" w:hAnsi="Palatino Linotype" w:eastAsia="Palatino Linotype" w:cs="Times New Roman"/>
          <w:kern w:val="0"/>
          <w14:ligatures w14:val="none"/>
        </w:rPr>
        <w:t xml:space="preserve"> </w:t>
      </w:r>
      <w:r w:rsidRPr="00643758" w:rsidR="00643758">
        <w:rPr>
          <w:rFonts w:ascii="Palatino Linotype" w:hAnsi="Palatino Linotype" w:eastAsia="Palatino Linotype" w:cs="Times New Roman"/>
          <w:kern w:val="0"/>
          <w14:ligatures w14:val="none"/>
        </w:rPr>
        <w:t xml:space="preserve">one year </w:t>
      </w:r>
      <w:r w:rsidRPr="2128FA49" w:rsidR="00D544CB">
        <w:rPr>
          <w:rFonts w:ascii="Palatino Linotype" w:hAnsi="Palatino Linotype" w:eastAsia="Palatino Linotype" w:cs="Times New Roman"/>
        </w:rPr>
        <w:t xml:space="preserve">of program implementation </w:t>
      </w:r>
      <w:r w:rsidRPr="00643758" w:rsidR="00643758">
        <w:rPr>
          <w:rFonts w:ascii="Palatino Linotype" w:hAnsi="Palatino Linotype" w:eastAsia="Palatino Linotype" w:cs="Times New Roman"/>
          <w:kern w:val="0"/>
          <w14:ligatures w14:val="none"/>
        </w:rPr>
        <w:t>is</w:t>
      </w:r>
      <w:r w:rsidR="009B62C0">
        <w:rPr>
          <w:rFonts w:ascii="Palatino Linotype" w:hAnsi="Palatino Linotype" w:eastAsia="Palatino Linotype" w:cs="Times New Roman"/>
          <w:kern w:val="0"/>
          <w14:ligatures w14:val="none"/>
        </w:rPr>
        <w:t xml:space="preserve"> not</w:t>
      </w:r>
      <w:r w:rsidRPr="00643758" w:rsidR="00643758">
        <w:rPr>
          <w:rFonts w:ascii="Palatino Linotype" w:hAnsi="Palatino Linotype" w:eastAsia="Palatino Linotype" w:cs="Times New Roman"/>
          <w:kern w:val="0"/>
          <w14:ligatures w14:val="none"/>
        </w:rPr>
        <w:t xml:space="preserve"> enough time </w:t>
      </w:r>
      <w:r w:rsidRPr="00643758" w:rsidR="00643758">
        <w:rPr>
          <w:rFonts w:ascii="Palatino Linotype" w:hAnsi="Palatino Linotype" w:eastAsia="Palatino Linotype" w:cs="Times New Roman"/>
          <w:kern w:val="0"/>
          <w14:ligatures w14:val="none"/>
        </w:rPr>
        <w:lastRenderedPageBreak/>
        <w:t xml:space="preserve">to meaningfully </w:t>
      </w:r>
      <w:r w:rsidRPr="2128FA49" w:rsidR="00050DF7">
        <w:rPr>
          <w:rFonts w:ascii="Palatino Linotype" w:hAnsi="Palatino Linotype" w:eastAsia="Palatino Linotype" w:cs="Times New Roman"/>
        </w:rPr>
        <w:t xml:space="preserve">measure progress or </w:t>
      </w:r>
      <w:r w:rsidRPr="00643758" w:rsidR="00643758">
        <w:rPr>
          <w:rFonts w:ascii="Palatino Linotype" w:hAnsi="Palatino Linotype" w:eastAsia="Palatino Linotype" w:cs="Times New Roman"/>
          <w:kern w:val="0"/>
          <w14:ligatures w14:val="none"/>
        </w:rPr>
        <w:t xml:space="preserve">determine the cost-effectiveness of this program, especially since </w:t>
      </w:r>
      <w:r w:rsidR="009E3BAB">
        <w:rPr>
          <w:rFonts w:ascii="Palatino Linotype" w:hAnsi="Palatino Linotype" w:eastAsia="Palatino Linotype" w:cs="Times New Roman"/>
          <w:kern w:val="0"/>
          <w14:ligatures w14:val="none"/>
        </w:rPr>
        <w:t>SCE</w:t>
      </w:r>
      <w:r w:rsidRPr="00643758" w:rsidR="00643758">
        <w:rPr>
          <w:rFonts w:ascii="Palatino Linotype" w:hAnsi="Palatino Linotype" w:eastAsia="Palatino Linotype" w:cs="Times New Roman"/>
          <w:kern w:val="0"/>
          <w14:ligatures w14:val="none"/>
        </w:rPr>
        <w:t xml:space="preserve"> acknowledges</w:t>
      </w:r>
      <w:r w:rsidR="009E3BAB">
        <w:rPr>
          <w:rFonts w:ascii="Palatino Linotype" w:hAnsi="Palatino Linotype" w:eastAsia="Palatino Linotype" w:cs="Times New Roman"/>
          <w:kern w:val="0"/>
          <w14:ligatures w14:val="none"/>
        </w:rPr>
        <w:t xml:space="preserve"> in AL 5536-E</w:t>
      </w:r>
      <w:r w:rsidRPr="00643758" w:rsidR="00643758">
        <w:rPr>
          <w:rFonts w:ascii="Palatino Linotype" w:hAnsi="Palatino Linotype" w:eastAsia="Palatino Linotype" w:cs="Times New Roman"/>
          <w:kern w:val="0"/>
          <w14:ligatures w14:val="none"/>
        </w:rPr>
        <w:t xml:space="preserve"> that enrollment is expected to ramp up to ideal levels by the fourth year</w:t>
      </w:r>
      <w:r w:rsidRPr="2128FA49" w:rsidR="00CF2F55">
        <w:rPr>
          <w:rFonts w:ascii="Palatino Linotype" w:hAnsi="Palatino Linotype" w:eastAsia="Palatino Linotype" w:cs="Times New Roman"/>
        </w:rPr>
        <w:t>.</w:t>
      </w:r>
      <w:r w:rsidR="000A2CD8">
        <w:rPr>
          <w:rStyle w:val="FootnoteReference"/>
          <w:rFonts w:ascii="Palatino Linotype" w:hAnsi="Palatino Linotype" w:eastAsia="Palatino Linotype" w:cs="Times New Roman"/>
          <w:kern w:val="0"/>
          <w14:ligatures w14:val="none"/>
        </w:rPr>
        <w:footnoteReference w:id="59"/>
      </w:r>
      <w:r w:rsidRPr="0030471F" w:rsidR="009B62C0">
        <w:rPr>
          <w:rFonts w:ascii="Palatino Linotype" w:hAnsi="Palatino Linotype" w:eastAsia="Palatino Linotype" w:cs="Times New Roman"/>
          <w:kern w:val="0"/>
          <w14:ligatures w14:val="none"/>
        </w:rPr>
        <w:t xml:space="preserve"> </w:t>
      </w:r>
      <w:r w:rsidRPr="2128FA49" w:rsidR="00F816D2">
        <w:rPr>
          <w:rFonts w:ascii="Palatino Linotype" w:hAnsi="Palatino Linotype" w:eastAsia="Palatino Linotype" w:cs="Times New Roman"/>
        </w:rPr>
        <w:t>Moreover,</w:t>
      </w:r>
      <w:r w:rsidRPr="2128FA49" w:rsidR="00202179">
        <w:rPr>
          <w:rFonts w:ascii="Palatino Linotype" w:hAnsi="Palatino Linotype" w:eastAsia="Palatino Linotype" w:cs="Times New Roman"/>
        </w:rPr>
        <w:t xml:space="preserve"> </w:t>
      </w:r>
      <w:r w:rsidRPr="2128FA49" w:rsidR="00372B2A">
        <w:rPr>
          <w:rFonts w:ascii="Palatino Linotype" w:hAnsi="Palatino Linotype" w:eastAsia="Palatino Linotype" w:cs="Times New Roman"/>
        </w:rPr>
        <w:t>A</w:t>
      </w:r>
      <w:r w:rsidRPr="2128FA49" w:rsidR="006F0BB9">
        <w:rPr>
          <w:rFonts w:ascii="Palatino Linotype" w:hAnsi="Palatino Linotype" w:eastAsia="Palatino Linotype" w:cs="Times New Roman"/>
        </w:rPr>
        <w:t xml:space="preserve">L 5536-E asserts that SCE will </w:t>
      </w:r>
      <w:r w:rsidRPr="2128FA49" w:rsidR="00CA71AF">
        <w:rPr>
          <w:rFonts w:ascii="Palatino Linotype" w:hAnsi="Palatino Linotype" w:eastAsia="Palatino Linotype" w:cs="Times New Roman"/>
        </w:rPr>
        <w:t xml:space="preserve">use </w:t>
      </w:r>
      <w:r w:rsidRPr="2128FA49" w:rsidR="00054DE9">
        <w:rPr>
          <w:rFonts w:ascii="Palatino Linotype" w:hAnsi="Palatino Linotype" w:eastAsia="Palatino Linotype" w:cs="Times New Roman"/>
        </w:rPr>
        <w:t xml:space="preserve">cost-effectiveness </w:t>
      </w:r>
      <w:r w:rsidRPr="2128FA49" w:rsidR="00CA71AF">
        <w:rPr>
          <w:rFonts w:ascii="Palatino Linotype" w:hAnsi="Palatino Linotype" w:eastAsia="Palatino Linotype" w:cs="Times New Roman"/>
        </w:rPr>
        <w:t>tests in accordance with the California Standard Practice Manual</w:t>
      </w:r>
      <w:r w:rsidRPr="2128FA49" w:rsidR="00054DE9">
        <w:rPr>
          <w:rFonts w:ascii="Palatino Linotype" w:hAnsi="Palatino Linotype" w:eastAsia="Palatino Linotype" w:cs="Times New Roman"/>
        </w:rPr>
        <w:t>.</w:t>
      </w:r>
      <w:r w:rsidR="005562B9">
        <w:rPr>
          <w:rStyle w:val="FootnoteReference"/>
          <w:rFonts w:ascii="Palatino Linotype" w:hAnsi="Palatino Linotype" w:eastAsia="Palatino Linotype" w:cs="Times New Roman"/>
          <w:kern w:val="0"/>
          <w14:ligatures w14:val="none"/>
        </w:rPr>
        <w:footnoteReference w:id="60"/>
      </w:r>
      <w:r w:rsidRPr="2128FA49" w:rsidR="00054DE9">
        <w:rPr>
          <w:rFonts w:ascii="Palatino Linotype" w:hAnsi="Palatino Linotype" w:eastAsia="Palatino Linotype" w:cs="Times New Roman"/>
        </w:rPr>
        <w:t xml:space="preserve"> </w:t>
      </w:r>
      <w:r w:rsidRPr="2128FA49" w:rsidR="003B5193">
        <w:rPr>
          <w:rFonts w:ascii="Palatino Linotype" w:hAnsi="Palatino Linotype" w:eastAsia="Palatino Linotype" w:cs="Times New Roman"/>
        </w:rPr>
        <w:t>As neither CARB nor CPUC mandate specific cost-effectiveness targets</w:t>
      </w:r>
      <w:r w:rsidRPr="2128FA49" w:rsidR="00354320">
        <w:rPr>
          <w:rFonts w:ascii="Palatino Linotype" w:hAnsi="Palatino Linotype" w:eastAsia="Palatino Linotype" w:cs="Times New Roman"/>
        </w:rPr>
        <w:t xml:space="preserve"> for LCFS holdback programs, </w:t>
      </w:r>
      <w:r w:rsidR="00892B19">
        <w:rPr>
          <w:rFonts w:ascii="Palatino Linotype" w:hAnsi="Palatino Linotype" w:eastAsia="Palatino Linotype" w:cs="Times New Roman"/>
        </w:rPr>
        <w:t xml:space="preserve">we decline </w:t>
      </w:r>
      <w:r w:rsidRPr="2128FA49" w:rsidR="00354320">
        <w:rPr>
          <w:rFonts w:ascii="Palatino Linotype" w:hAnsi="Palatino Linotype" w:eastAsia="Palatino Linotype" w:cs="Times New Roman"/>
        </w:rPr>
        <w:t>to adopt GPI’s recommendation.</w:t>
      </w:r>
      <w:r w:rsidR="008B7D99">
        <w:rPr>
          <w:rFonts w:ascii="Palatino Linotype" w:hAnsi="Palatino Linotype" w:eastAsia="Palatino Linotype" w:cs="Times New Roman"/>
        </w:rPr>
        <w:t xml:space="preserve"> </w:t>
      </w:r>
      <w:r w:rsidR="001449D0">
        <w:rPr>
          <w:rFonts w:ascii="Palatino Linotype" w:hAnsi="Palatino Linotype" w:eastAsia="Palatino Linotype" w:cs="Times New Roman"/>
          <w:kern w:val="0"/>
          <w14:ligatures w14:val="none"/>
        </w:rPr>
        <w:t xml:space="preserve">We </w:t>
      </w:r>
      <w:r w:rsidR="008B7D99">
        <w:rPr>
          <w:rFonts w:ascii="Palatino Linotype" w:hAnsi="Palatino Linotype" w:eastAsia="Palatino Linotype" w:cs="Times New Roman"/>
          <w:kern w:val="0"/>
          <w14:ligatures w14:val="none"/>
        </w:rPr>
        <w:t xml:space="preserve">also </w:t>
      </w:r>
      <w:r w:rsidR="001449D0">
        <w:rPr>
          <w:rFonts w:ascii="Palatino Linotype" w:hAnsi="Palatino Linotype" w:eastAsia="Palatino Linotype" w:cs="Times New Roman"/>
          <w:kern w:val="0"/>
          <w14:ligatures w14:val="none"/>
        </w:rPr>
        <w:t>decline to adopt GPI’s recommendation</w:t>
      </w:r>
      <w:r w:rsidR="008B7D99">
        <w:rPr>
          <w:rFonts w:ascii="Palatino Linotype" w:hAnsi="Palatino Linotype" w:eastAsia="Palatino Linotype" w:cs="Times New Roman"/>
          <w:kern w:val="0"/>
          <w14:ligatures w14:val="none"/>
        </w:rPr>
        <w:t xml:space="preserve"> to explore non-LCFS funding opportunities</w:t>
      </w:r>
      <w:r w:rsidR="001449D0">
        <w:rPr>
          <w:rFonts w:ascii="Palatino Linotype" w:hAnsi="Palatino Linotype" w:eastAsia="Palatino Linotype" w:cs="Times New Roman"/>
          <w:kern w:val="0"/>
          <w14:ligatures w14:val="none"/>
        </w:rPr>
        <w:t xml:space="preserve"> as</w:t>
      </w:r>
      <w:r w:rsidR="006F3675">
        <w:rPr>
          <w:rFonts w:ascii="Palatino Linotype" w:hAnsi="Palatino Linotype" w:eastAsia="Palatino Linotype" w:cs="Times New Roman"/>
          <w:kern w:val="0"/>
          <w14:ligatures w14:val="none"/>
        </w:rPr>
        <w:t xml:space="preserve"> </w:t>
      </w:r>
      <w:r w:rsidRPr="2128FA49" w:rsidR="00CF6643">
        <w:rPr>
          <w:rFonts w:ascii="Palatino Linotype" w:hAnsi="Palatino Linotype" w:eastAsia="Palatino Linotype" w:cs="Times New Roman"/>
        </w:rPr>
        <w:t xml:space="preserve">we find that </w:t>
      </w:r>
      <w:r w:rsidR="00FB43A0">
        <w:rPr>
          <w:rFonts w:ascii="Palatino Linotype" w:hAnsi="Palatino Linotype" w:eastAsia="Palatino Linotype" w:cs="Times New Roman"/>
          <w:kern w:val="0"/>
          <w14:ligatures w14:val="none"/>
        </w:rPr>
        <w:t xml:space="preserve">the </w:t>
      </w:r>
      <w:r w:rsidR="0024786D">
        <w:rPr>
          <w:rFonts w:ascii="Palatino Linotype" w:hAnsi="Palatino Linotype" w:eastAsia="Palatino Linotype" w:cs="Times New Roman"/>
          <w:kern w:val="0"/>
          <w14:ligatures w14:val="none"/>
        </w:rPr>
        <w:t xml:space="preserve">nascency of the proposal and the </w:t>
      </w:r>
      <w:r w:rsidR="00FB43A0">
        <w:rPr>
          <w:rFonts w:ascii="Palatino Linotype" w:hAnsi="Palatino Linotype" w:eastAsia="Palatino Linotype" w:cs="Times New Roman"/>
          <w:kern w:val="0"/>
          <w14:ligatures w14:val="none"/>
        </w:rPr>
        <w:t>use of LCFS funds</w:t>
      </w:r>
      <w:r w:rsidRPr="2128FA49" w:rsidR="00FB43A0">
        <w:rPr>
          <w:rFonts w:ascii="Palatino Linotype" w:hAnsi="Palatino Linotype" w:eastAsia="Palatino Linotype" w:cs="Times New Roman"/>
        </w:rPr>
        <w:t xml:space="preserve"> for the </w:t>
      </w:r>
      <w:r w:rsidR="00FB43A0">
        <w:rPr>
          <w:rFonts w:ascii="Palatino Linotype" w:hAnsi="Palatino Linotype" w:eastAsia="Times New Roman" w:cs="Times New Roman"/>
          <w:kern w:val="0"/>
          <w14:ligatures w14:val="none"/>
        </w:rPr>
        <w:t>orchestrated load management</w:t>
      </w:r>
      <w:r w:rsidRPr="2128FA49" w:rsidR="00FB43A0">
        <w:rPr>
          <w:rFonts w:ascii="Palatino Linotype" w:hAnsi="Palatino Linotype" w:eastAsia="Palatino Linotype" w:cs="Times New Roman"/>
        </w:rPr>
        <w:t xml:space="preserve"> </w:t>
      </w:r>
      <w:r w:rsidRPr="2128FA49" w:rsidR="004874FF">
        <w:rPr>
          <w:rFonts w:ascii="Palatino Linotype" w:hAnsi="Palatino Linotype" w:eastAsia="Palatino Linotype" w:cs="Times New Roman"/>
        </w:rPr>
        <w:t>proposal</w:t>
      </w:r>
      <w:r w:rsidR="0024786D">
        <w:rPr>
          <w:rFonts w:ascii="Palatino Linotype" w:hAnsi="Palatino Linotype" w:eastAsia="Palatino Linotype" w:cs="Times New Roman"/>
        </w:rPr>
        <w:t xml:space="preserve"> to be reasonable and</w:t>
      </w:r>
      <w:r w:rsidR="0024786D">
        <w:rPr>
          <w:rFonts w:ascii="Palatino Linotype" w:hAnsi="Palatino Linotype" w:eastAsia="Palatino Linotype" w:cs="Times New Roman"/>
          <w:kern w:val="0"/>
          <w14:ligatures w14:val="none"/>
        </w:rPr>
        <w:t xml:space="preserve"> </w:t>
      </w:r>
      <w:r w:rsidRPr="2128FA49" w:rsidR="004874FF">
        <w:rPr>
          <w:rFonts w:ascii="Palatino Linotype" w:hAnsi="Palatino Linotype" w:eastAsia="Palatino Linotype" w:cs="Times New Roman"/>
        </w:rPr>
        <w:t>within the scope of the CARB</w:t>
      </w:r>
      <w:r w:rsidRPr="2128FA49" w:rsidR="004B5C0A">
        <w:rPr>
          <w:rFonts w:ascii="Palatino Linotype" w:hAnsi="Palatino Linotype" w:eastAsia="Palatino Linotype" w:cs="Times New Roman"/>
        </w:rPr>
        <w:t xml:space="preserve"> regulations and CPUC decisions</w:t>
      </w:r>
      <w:r w:rsidRPr="2128FA49" w:rsidR="00260958">
        <w:rPr>
          <w:rFonts w:ascii="Palatino Linotype" w:hAnsi="Palatino Linotype" w:eastAsia="Palatino Linotype" w:cs="Times New Roman"/>
        </w:rPr>
        <w:t>.</w:t>
      </w:r>
      <w:r w:rsidR="00FB43A0">
        <w:rPr>
          <w:rFonts w:ascii="Palatino Linotype" w:hAnsi="Palatino Linotype" w:eastAsia="Palatino Linotype" w:cs="Times New Roman"/>
          <w:kern w:val="0"/>
          <w14:ligatures w14:val="none"/>
        </w:rPr>
        <w:t xml:space="preserve"> </w:t>
      </w:r>
    </w:p>
    <w:p w:rsidRPr="00A13F84" w:rsidR="00A13F84" w:rsidP="00A13F84" w:rsidRDefault="00A13F84" w14:paraId="0B1A1B17" w14:textId="77777777">
      <w:pPr>
        <w:spacing w:after="0" w:line="240" w:lineRule="auto"/>
        <w:rPr>
          <w:rFonts w:ascii="Palatino Linotype" w:hAnsi="Palatino Linotype" w:eastAsia="Palatino Linotype" w:cs="Times New Roman"/>
          <w:kern w:val="0"/>
          <w14:ligatures w14:val="none"/>
        </w:rPr>
      </w:pPr>
    </w:p>
    <w:p w:rsidRPr="003300B0" w:rsidR="00231368" w:rsidP="00D32984" w:rsidRDefault="00231368" w14:paraId="1A5E7023" w14:textId="77777777">
      <w:pPr>
        <w:pStyle w:val="Heading3"/>
        <w:numPr>
          <w:ilvl w:val="0"/>
          <w:numId w:val="28"/>
        </w:numPr>
        <w:spacing w:before="0" w:after="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Scale </w:t>
      </w:r>
    </w:p>
    <w:p w:rsidRPr="00073766" w:rsidR="00E04D90" w:rsidP="00181C31" w:rsidRDefault="00A16748" w14:paraId="46DE0FFD" w14:textId="54E9568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W</w:t>
      </w:r>
      <w:r w:rsidRPr="2128FA49" w:rsidR="00A563FD">
        <w:rPr>
          <w:rFonts w:ascii="Palatino Linotype" w:hAnsi="Palatino Linotype" w:eastAsia="Palatino Linotype" w:cs="Times New Roman"/>
        </w:rPr>
        <w:t>e do not agree</w:t>
      </w:r>
      <w:r w:rsidR="00C34A29">
        <w:rPr>
          <w:rFonts w:ascii="Palatino Linotype" w:hAnsi="Palatino Linotype" w:eastAsia="Palatino Linotype" w:cs="Times New Roman"/>
        </w:rPr>
        <w:t xml:space="preserve"> with GPI</w:t>
      </w:r>
      <w:r w:rsidRPr="2128FA49" w:rsidR="00A563FD">
        <w:rPr>
          <w:rFonts w:ascii="Palatino Linotype" w:hAnsi="Palatino Linotype" w:eastAsia="Palatino Linotype" w:cs="Times New Roman"/>
        </w:rPr>
        <w:t xml:space="preserve"> that 25,000 participants would </w:t>
      </w:r>
      <w:r w:rsidRPr="2128FA49" w:rsidR="00E53BE9">
        <w:rPr>
          <w:rFonts w:ascii="Palatino Linotype" w:hAnsi="Palatino Linotype" w:eastAsia="Palatino Linotype" w:cs="Times New Roman"/>
        </w:rPr>
        <w:t>be a</w:t>
      </w:r>
      <w:r w:rsidRPr="2128FA49" w:rsidR="00A563FD">
        <w:rPr>
          <w:rFonts w:ascii="Palatino Linotype" w:hAnsi="Palatino Linotype" w:eastAsia="Palatino Linotype" w:cs="Times New Roman"/>
        </w:rPr>
        <w:t xml:space="preserve"> conservative enrollment</w:t>
      </w:r>
      <w:r w:rsidRPr="2128FA49" w:rsidR="00E53BE9">
        <w:rPr>
          <w:rFonts w:ascii="Palatino Linotype" w:hAnsi="Palatino Linotype" w:eastAsia="Palatino Linotype" w:cs="Times New Roman"/>
        </w:rPr>
        <w:t xml:space="preserve"> target</w:t>
      </w:r>
      <w:r w:rsidRPr="2128FA49" w:rsidR="00A563FD">
        <w:rPr>
          <w:rFonts w:ascii="Palatino Linotype" w:hAnsi="Palatino Linotype" w:eastAsia="Palatino Linotype" w:cs="Times New Roman"/>
        </w:rPr>
        <w:t xml:space="preserve">. As ORCHARD </w:t>
      </w:r>
      <w:r w:rsidRPr="2128FA49" w:rsidR="00C9643D">
        <w:rPr>
          <w:rFonts w:ascii="Palatino Linotype" w:hAnsi="Palatino Linotype" w:eastAsia="Palatino Linotype" w:cs="Times New Roman"/>
        </w:rPr>
        <w:t>would be</w:t>
      </w:r>
      <w:r w:rsidRPr="2128FA49" w:rsidR="00A563FD">
        <w:rPr>
          <w:rFonts w:ascii="Palatino Linotype" w:hAnsi="Palatino Linotype" w:eastAsia="Palatino Linotype" w:cs="Times New Roman"/>
        </w:rPr>
        <w:t xml:space="preserve"> the first program </w:t>
      </w:r>
      <w:r w:rsidR="004E66DC">
        <w:rPr>
          <w:rFonts w:ascii="Palatino Linotype" w:hAnsi="Palatino Linotype" w:eastAsia="Palatino Linotype" w:cs="Times New Roman"/>
        </w:rPr>
        <w:t xml:space="preserve">through which SCE </w:t>
      </w:r>
      <w:r w:rsidR="00FE06B1">
        <w:rPr>
          <w:rFonts w:ascii="Palatino Linotype" w:hAnsi="Palatino Linotype" w:eastAsia="Palatino Linotype" w:cs="Times New Roman"/>
        </w:rPr>
        <w:t>would conduct orchestrated load management at scale</w:t>
      </w:r>
      <w:r w:rsidRPr="2128FA49" w:rsidR="00A563FD">
        <w:rPr>
          <w:rFonts w:ascii="Palatino Linotype" w:hAnsi="Palatino Linotype" w:eastAsia="Palatino Linotype" w:cs="Times New Roman"/>
        </w:rPr>
        <w:t>, we find that 25,000 participants</w:t>
      </w:r>
      <w:r w:rsidRPr="2128FA49" w:rsidR="00C9643D">
        <w:rPr>
          <w:rFonts w:ascii="Palatino Linotype" w:hAnsi="Palatino Linotype" w:eastAsia="Palatino Linotype" w:cs="Times New Roman"/>
        </w:rPr>
        <w:t xml:space="preserve"> are sufficient</w:t>
      </w:r>
      <w:r w:rsidR="00936476">
        <w:rPr>
          <w:rFonts w:ascii="Palatino Linotype" w:hAnsi="Palatino Linotype" w:eastAsia="Palatino Linotype" w:cs="Times New Roman"/>
        </w:rPr>
        <w:t xml:space="preserve"> </w:t>
      </w:r>
      <w:r w:rsidR="002442F0">
        <w:rPr>
          <w:rFonts w:ascii="Palatino Linotype" w:hAnsi="Palatino Linotype" w:eastAsia="Palatino Linotype" w:cs="Times New Roman"/>
        </w:rPr>
        <w:t>to assess the feasibility of orchestrated load management in SCE’s territory</w:t>
      </w:r>
      <w:r w:rsidR="00251319">
        <w:rPr>
          <w:rFonts w:ascii="Palatino Linotype" w:hAnsi="Palatino Linotype" w:eastAsia="Palatino Linotype" w:cs="Times New Roman"/>
        </w:rPr>
        <w:t xml:space="preserve"> at such a nascent stage</w:t>
      </w:r>
      <w:r w:rsidRPr="2128FA49" w:rsidR="00A563FD">
        <w:rPr>
          <w:rFonts w:ascii="Palatino Linotype" w:hAnsi="Palatino Linotype" w:eastAsia="Palatino Linotype" w:cs="Times New Roman"/>
        </w:rPr>
        <w:t>.</w:t>
      </w:r>
      <w:r w:rsidR="00191094">
        <w:rPr>
          <w:rFonts w:ascii="Palatino Linotype" w:hAnsi="Palatino Linotype" w:eastAsia="Palatino Linotype" w:cs="Times New Roman"/>
        </w:rPr>
        <w:t xml:space="preserve"> As note</w:t>
      </w:r>
      <w:r w:rsidR="00D86248">
        <w:rPr>
          <w:rFonts w:ascii="Palatino Linotype" w:hAnsi="Palatino Linotype" w:eastAsia="Palatino Linotype" w:cs="Times New Roman"/>
        </w:rPr>
        <w:t>d</w:t>
      </w:r>
      <w:r w:rsidR="00191094">
        <w:rPr>
          <w:rFonts w:ascii="Palatino Linotype" w:hAnsi="Palatino Linotype" w:eastAsia="Palatino Linotype" w:cs="Times New Roman"/>
        </w:rPr>
        <w:t xml:space="preserve"> in AL 5536-E, </w:t>
      </w:r>
      <w:r w:rsidR="000E0B9F">
        <w:rPr>
          <w:rFonts w:ascii="Palatino Linotype" w:hAnsi="Palatino Linotype" w:eastAsia="Palatino Linotype" w:cs="Times New Roman"/>
        </w:rPr>
        <w:t xml:space="preserve">25,000 EVs </w:t>
      </w:r>
      <w:r w:rsidR="00AB45FB">
        <w:rPr>
          <w:rFonts w:ascii="Palatino Linotype" w:hAnsi="Palatino Linotype" w:eastAsia="Palatino Linotype" w:cs="Times New Roman"/>
        </w:rPr>
        <w:t>make up less than 5 percent of the total EV population in SCE’s territory.</w:t>
      </w:r>
      <w:r w:rsidR="00FE7999">
        <w:rPr>
          <w:rStyle w:val="FootnoteReference"/>
          <w:rFonts w:ascii="Palatino Linotype" w:hAnsi="Palatino Linotype" w:eastAsia="Palatino Linotype" w:cs="Times New Roman"/>
        </w:rPr>
        <w:footnoteReference w:id="61"/>
      </w:r>
      <w:r w:rsidR="00C9643D">
        <w:rPr>
          <w:rFonts w:ascii="Palatino Linotype" w:hAnsi="Palatino Linotype" w:eastAsia="Palatino Linotype" w:cs="Times New Roman"/>
          <w:kern w:val="0"/>
          <w14:ligatures w14:val="none"/>
        </w:rPr>
        <w:t xml:space="preserve"> </w:t>
      </w:r>
      <w:r w:rsidR="00C04C55">
        <w:rPr>
          <w:rFonts w:ascii="Palatino Linotype" w:hAnsi="Palatino Linotype" w:eastAsia="Palatino Linotype" w:cs="Times New Roman"/>
          <w:kern w:val="0"/>
          <w14:ligatures w14:val="none"/>
        </w:rPr>
        <w:t xml:space="preserve">Thousands of these EV drivers </w:t>
      </w:r>
      <w:r w:rsidR="006D3F1C">
        <w:rPr>
          <w:rFonts w:ascii="Palatino Linotype" w:hAnsi="Palatino Linotype" w:eastAsia="Palatino Linotype" w:cs="Times New Roman"/>
          <w:kern w:val="0"/>
          <w14:ligatures w14:val="none"/>
        </w:rPr>
        <w:t xml:space="preserve">have </w:t>
      </w:r>
      <w:r w:rsidR="00906DF3">
        <w:rPr>
          <w:rFonts w:ascii="Palatino Linotype" w:hAnsi="Palatino Linotype" w:eastAsia="Palatino Linotype" w:cs="Times New Roman"/>
          <w:kern w:val="0"/>
          <w14:ligatures w14:val="none"/>
        </w:rPr>
        <w:t xml:space="preserve">already </w:t>
      </w:r>
      <w:r w:rsidR="004A031C">
        <w:rPr>
          <w:rFonts w:ascii="Palatino Linotype" w:hAnsi="Palatino Linotype" w:eastAsia="Palatino Linotype" w:cs="Times New Roman"/>
          <w:kern w:val="0"/>
          <w14:ligatures w14:val="none"/>
        </w:rPr>
        <w:t>allowed</w:t>
      </w:r>
      <w:r w:rsidR="006D3F1C">
        <w:rPr>
          <w:rFonts w:ascii="Palatino Linotype" w:hAnsi="Palatino Linotype" w:eastAsia="Palatino Linotype" w:cs="Times New Roman"/>
          <w:kern w:val="0"/>
          <w14:ligatures w14:val="none"/>
        </w:rPr>
        <w:t xml:space="preserve"> OEMs or third-party apps to control</w:t>
      </w:r>
      <w:r w:rsidR="00C43CBD">
        <w:rPr>
          <w:rFonts w:ascii="Palatino Linotype" w:hAnsi="Palatino Linotype" w:eastAsia="Palatino Linotype" w:cs="Times New Roman"/>
          <w:kern w:val="0"/>
          <w14:ligatures w14:val="none"/>
        </w:rPr>
        <w:t xml:space="preserve"> and align</w:t>
      </w:r>
      <w:r w:rsidR="006D3F1C">
        <w:rPr>
          <w:rFonts w:ascii="Palatino Linotype" w:hAnsi="Palatino Linotype" w:eastAsia="Palatino Linotype" w:cs="Times New Roman"/>
          <w:kern w:val="0"/>
          <w14:ligatures w14:val="none"/>
        </w:rPr>
        <w:t xml:space="preserve"> </w:t>
      </w:r>
      <w:r w:rsidR="004A031C">
        <w:rPr>
          <w:rFonts w:ascii="Palatino Linotype" w:hAnsi="Palatino Linotype" w:eastAsia="Palatino Linotype" w:cs="Times New Roman"/>
          <w:kern w:val="0"/>
          <w14:ligatures w14:val="none"/>
        </w:rPr>
        <w:t>EV</w:t>
      </w:r>
      <w:r w:rsidR="006D3F1C">
        <w:rPr>
          <w:rFonts w:ascii="Palatino Linotype" w:hAnsi="Palatino Linotype" w:eastAsia="Palatino Linotype" w:cs="Times New Roman"/>
          <w:kern w:val="0"/>
          <w14:ligatures w14:val="none"/>
        </w:rPr>
        <w:t xml:space="preserve"> charging </w:t>
      </w:r>
      <w:r w:rsidR="00C43CBD">
        <w:rPr>
          <w:rFonts w:ascii="Palatino Linotype" w:hAnsi="Palatino Linotype" w:eastAsia="Palatino Linotype" w:cs="Times New Roman"/>
          <w:kern w:val="0"/>
          <w14:ligatures w14:val="none"/>
        </w:rPr>
        <w:t>with TOU periods.</w:t>
      </w:r>
      <w:r w:rsidR="00D24072">
        <w:rPr>
          <w:rFonts w:ascii="Palatino Linotype" w:hAnsi="Palatino Linotype" w:eastAsia="Palatino Linotype" w:cs="Times New Roman"/>
          <w:kern w:val="0"/>
          <w14:ligatures w14:val="none"/>
        </w:rPr>
        <w:t xml:space="preserve"> </w:t>
      </w:r>
      <w:r w:rsidR="00991BA4">
        <w:rPr>
          <w:rFonts w:ascii="Palatino Linotype" w:hAnsi="Palatino Linotype" w:eastAsia="Palatino Linotype" w:cs="Times New Roman"/>
          <w:kern w:val="0"/>
          <w14:ligatures w14:val="none"/>
        </w:rPr>
        <w:t xml:space="preserve">We direct SCE to </w:t>
      </w:r>
      <w:r w:rsidR="009D0C6A">
        <w:rPr>
          <w:rFonts w:ascii="Palatino Linotype" w:hAnsi="Palatino Linotype" w:eastAsia="Palatino Linotype" w:cs="Times New Roman"/>
          <w:kern w:val="0"/>
          <w14:ligatures w14:val="none"/>
        </w:rPr>
        <w:t>keep</w:t>
      </w:r>
      <w:r w:rsidR="00991BA4">
        <w:rPr>
          <w:rFonts w:ascii="Palatino Linotype" w:hAnsi="Palatino Linotype" w:eastAsia="Palatino Linotype" w:cs="Times New Roman"/>
          <w:kern w:val="0"/>
          <w14:ligatures w14:val="none"/>
        </w:rPr>
        <w:t xml:space="preserve"> the C</w:t>
      </w:r>
      <w:r w:rsidR="00D573AE">
        <w:rPr>
          <w:rFonts w:ascii="Palatino Linotype" w:hAnsi="Palatino Linotype" w:eastAsia="Palatino Linotype" w:cs="Times New Roman"/>
          <w:kern w:val="0"/>
          <w14:ligatures w14:val="none"/>
        </w:rPr>
        <w:t>PUC</w:t>
      </w:r>
      <w:r w:rsidR="00991BA4">
        <w:rPr>
          <w:rFonts w:ascii="Palatino Linotype" w:hAnsi="Palatino Linotype" w:eastAsia="Palatino Linotype" w:cs="Times New Roman"/>
          <w:kern w:val="0"/>
          <w14:ligatures w14:val="none"/>
        </w:rPr>
        <w:t xml:space="preserve">’s Energy Division staff </w:t>
      </w:r>
      <w:r w:rsidR="009D0C6A">
        <w:rPr>
          <w:rFonts w:ascii="Palatino Linotype" w:hAnsi="Palatino Linotype" w:eastAsia="Palatino Linotype" w:cs="Times New Roman"/>
          <w:kern w:val="0"/>
          <w14:ligatures w14:val="none"/>
        </w:rPr>
        <w:t>informed about how t</w:t>
      </w:r>
      <w:r w:rsidR="00AC1AB1">
        <w:rPr>
          <w:rFonts w:ascii="Palatino Linotype" w:hAnsi="Palatino Linotype" w:eastAsia="Palatino Linotype" w:cs="Times New Roman"/>
          <w:kern w:val="0"/>
          <w14:ligatures w14:val="none"/>
        </w:rPr>
        <w:t xml:space="preserve">he IOU will measure program success if participation is lower than expected. Specifically, </w:t>
      </w:r>
      <w:r w:rsidR="004D0471">
        <w:rPr>
          <w:rFonts w:ascii="Palatino Linotype" w:hAnsi="Palatino Linotype" w:eastAsia="Palatino Linotype" w:cs="Times New Roman"/>
          <w:kern w:val="0"/>
          <w14:ligatures w14:val="none"/>
        </w:rPr>
        <w:t xml:space="preserve">we </w:t>
      </w:r>
      <w:r w:rsidR="00AC1AB1">
        <w:rPr>
          <w:rFonts w:ascii="Palatino Linotype" w:hAnsi="Palatino Linotype" w:eastAsia="Palatino Linotype" w:cs="Times New Roman"/>
          <w:kern w:val="0"/>
          <w14:ligatures w14:val="none"/>
        </w:rPr>
        <w:t xml:space="preserve">direct SCE to </w:t>
      </w:r>
      <w:r w:rsidR="00EE28CB">
        <w:rPr>
          <w:rFonts w:ascii="Palatino Linotype" w:hAnsi="Palatino Linotype" w:eastAsia="Palatino Linotype" w:cs="Times New Roman"/>
          <w:kern w:val="0"/>
          <w14:ligatures w14:val="none"/>
        </w:rPr>
        <w:t>report on enrollment numbers and e</w:t>
      </w:r>
      <w:r w:rsidR="00ED6823">
        <w:rPr>
          <w:rFonts w:ascii="Palatino Linotype" w:hAnsi="Palatino Linotype" w:eastAsia="Palatino Linotype" w:cs="Times New Roman"/>
          <w:kern w:val="0"/>
          <w14:ligatures w14:val="none"/>
        </w:rPr>
        <w:t xml:space="preserve">valuation efforts </w:t>
      </w:r>
      <w:r w:rsidR="00DF6EBD">
        <w:rPr>
          <w:rFonts w:ascii="Palatino Linotype" w:hAnsi="Palatino Linotype" w:eastAsia="Palatino Linotype" w:cs="Times New Roman"/>
          <w:kern w:val="0"/>
          <w14:ligatures w14:val="none"/>
        </w:rPr>
        <w:t>every quarter once the program is open for enrollment.</w:t>
      </w:r>
      <w:r w:rsidR="00584C11">
        <w:rPr>
          <w:rFonts w:ascii="Palatino Linotype" w:hAnsi="Palatino Linotype" w:eastAsia="Palatino Linotype" w:cs="Times New Roman"/>
          <w:kern w:val="0"/>
          <w14:ligatures w14:val="none"/>
        </w:rPr>
        <w:t xml:space="preserve"> Such </w:t>
      </w:r>
      <w:r w:rsidR="00437F2D">
        <w:rPr>
          <w:rFonts w:ascii="Palatino Linotype" w:hAnsi="Palatino Linotype" w:eastAsia="Palatino Linotype" w:cs="Times New Roman"/>
          <w:kern w:val="0"/>
          <w14:ligatures w14:val="none"/>
        </w:rPr>
        <w:t>updates should be shared via email</w:t>
      </w:r>
      <w:r w:rsidR="00D562D1">
        <w:rPr>
          <w:rFonts w:ascii="Palatino Linotype" w:hAnsi="Palatino Linotype" w:eastAsia="Palatino Linotype" w:cs="Times New Roman"/>
          <w:kern w:val="0"/>
          <w14:ligatures w14:val="none"/>
        </w:rPr>
        <w:t xml:space="preserve"> with Energy Division staff</w:t>
      </w:r>
      <w:r w:rsidR="00C86E27">
        <w:rPr>
          <w:rFonts w:ascii="Palatino Linotype" w:hAnsi="Palatino Linotype" w:eastAsia="Palatino Linotype" w:cs="Times New Roman"/>
          <w:kern w:val="0"/>
          <w14:ligatures w14:val="none"/>
        </w:rPr>
        <w:t>.</w:t>
      </w:r>
      <w:r w:rsidR="00C43CBD">
        <w:rPr>
          <w:rFonts w:ascii="Palatino Linotype" w:hAnsi="Palatino Linotype" w:eastAsia="Palatino Linotype" w:cs="Times New Roman"/>
          <w:kern w:val="0"/>
          <w14:ligatures w14:val="none"/>
        </w:rPr>
        <w:t xml:space="preserve"> </w:t>
      </w:r>
    </w:p>
    <w:p w:rsidRPr="00A13F84" w:rsidR="00A13F84" w:rsidP="00A13F84" w:rsidRDefault="00A13F84" w14:paraId="49C5E954" w14:textId="77777777">
      <w:pPr>
        <w:spacing w:after="0" w:line="240" w:lineRule="auto"/>
        <w:rPr>
          <w:rFonts w:ascii="Palatino Linotype" w:hAnsi="Palatino Linotype" w:eastAsia="Palatino Linotype" w:cs="Times New Roman"/>
          <w:kern w:val="0"/>
          <w14:ligatures w14:val="none"/>
        </w:rPr>
      </w:pPr>
    </w:p>
    <w:p w:rsidRPr="003300B0" w:rsidR="00231368" w:rsidP="00D32984" w:rsidRDefault="00231368" w14:paraId="5AC82E96" w14:textId="77777777">
      <w:pPr>
        <w:pStyle w:val="Heading3"/>
        <w:numPr>
          <w:ilvl w:val="0"/>
          <w:numId w:val="28"/>
        </w:numPr>
        <w:spacing w:before="0" w:after="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DERMS and Utility Operations </w:t>
      </w:r>
    </w:p>
    <w:p w:rsidR="00460270" w:rsidP="000100BB" w:rsidRDefault="0069450F" w14:paraId="04EB366D" w14:textId="476F2412">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there may be value in </w:t>
      </w:r>
      <w:r w:rsidRPr="00794700" w:rsidR="00763788">
        <w:rPr>
          <w:rFonts w:ascii="Palatino Linotype" w:hAnsi="Palatino Linotype" w:eastAsia="Palatino Linotype" w:cs="Times New Roman"/>
          <w:kern w:val="0"/>
          <w14:ligatures w14:val="none"/>
        </w:rPr>
        <w:t>test</w:t>
      </w:r>
      <w:r>
        <w:rPr>
          <w:rFonts w:ascii="Palatino Linotype" w:hAnsi="Palatino Linotype" w:eastAsia="Palatino Linotype" w:cs="Times New Roman"/>
          <w:kern w:val="0"/>
          <w14:ligatures w14:val="none"/>
        </w:rPr>
        <w:t>ing</w:t>
      </w:r>
      <w:r w:rsidRPr="00794700" w:rsidR="00763788">
        <w:rPr>
          <w:rFonts w:ascii="Palatino Linotype" w:hAnsi="Palatino Linotype" w:eastAsia="Palatino Linotype" w:cs="Times New Roman"/>
          <w:kern w:val="0"/>
          <w14:ligatures w14:val="none"/>
        </w:rPr>
        <w:t xml:space="preserve"> w</w:t>
      </w:r>
      <w:r w:rsidRPr="00794700" w:rsidR="00CD6519">
        <w:rPr>
          <w:rFonts w:ascii="Palatino Linotype" w:hAnsi="Palatino Linotype" w:eastAsia="Palatino Linotype" w:cs="Times New Roman"/>
          <w:kern w:val="0"/>
          <w14:ligatures w14:val="none"/>
        </w:rPr>
        <w:t xml:space="preserve">hether an Itron AMI </w:t>
      </w:r>
      <w:r w:rsidRPr="00794700" w:rsidR="00763788">
        <w:rPr>
          <w:rFonts w:ascii="Palatino Linotype" w:hAnsi="Palatino Linotype" w:eastAsia="Palatino Linotype" w:cs="Times New Roman"/>
          <w:kern w:val="0"/>
          <w14:ligatures w14:val="none"/>
        </w:rPr>
        <w:t>approach</w:t>
      </w:r>
      <w:r w:rsidRPr="00794700" w:rsidR="00CD6519">
        <w:rPr>
          <w:rFonts w:ascii="Palatino Linotype" w:hAnsi="Palatino Linotype" w:eastAsia="Palatino Linotype" w:cs="Times New Roman"/>
          <w:kern w:val="0"/>
          <w14:ligatures w14:val="none"/>
        </w:rPr>
        <w:t xml:space="preserve"> is more cost effective</w:t>
      </w:r>
      <w:r w:rsidRPr="00794700" w:rsidR="00763788">
        <w:rPr>
          <w:rFonts w:ascii="Palatino Linotype" w:hAnsi="Palatino Linotype" w:eastAsia="Palatino Linotype" w:cs="Times New Roman"/>
          <w:kern w:val="0"/>
          <w14:ligatures w14:val="none"/>
        </w:rPr>
        <w:t xml:space="preserve"> than deploying a new software</w:t>
      </w:r>
      <w:r w:rsidR="00C249DF">
        <w:rPr>
          <w:rFonts w:ascii="Palatino Linotype" w:hAnsi="Palatino Linotype" w:eastAsia="Palatino Linotype" w:cs="Times New Roman"/>
          <w:kern w:val="0"/>
          <w14:ligatures w14:val="none"/>
        </w:rPr>
        <w:t xml:space="preserve"> in SCE’s DERMS</w:t>
      </w:r>
      <w:r w:rsidR="001C5110">
        <w:rPr>
          <w:rFonts w:ascii="Palatino Linotype" w:hAnsi="Palatino Linotype" w:eastAsia="Palatino Linotype" w:cs="Times New Roman"/>
          <w:kern w:val="0"/>
          <w14:ligatures w14:val="none"/>
        </w:rPr>
        <w:t xml:space="preserve">, </w:t>
      </w:r>
      <w:r w:rsidR="005D508A">
        <w:rPr>
          <w:rFonts w:ascii="Palatino Linotype" w:hAnsi="Palatino Linotype" w:eastAsia="Palatino Linotype" w:cs="Times New Roman"/>
          <w:kern w:val="0"/>
          <w14:ligatures w14:val="none"/>
        </w:rPr>
        <w:t xml:space="preserve">ChargeScape’s </w:t>
      </w:r>
      <w:r w:rsidR="00E70A98">
        <w:rPr>
          <w:rFonts w:ascii="Palatino Linotype" w:hAnsi="Palatino Linotype" w:eastAsia="Palatino Linotype" w:cs="Times New Roman"/>
          <w:kern w:val="0"/>
          <w14:ligatures w14:val="none"/>
        </w:rPr>
        <w:t>suggestion</w:t>
      </w:r>
      <w:r w:rsidR="005D508A">
        <w:rPr>
          <w:rFonts w:ascii="Palatino Linotype" w:hAnsi="Palatino Linotype" w:eastAsia="Palatino Linotype" w:cs="Times New Roman"/>
          <w:kern w:val="0"/>
          <w14:ligatures w14:val="none"/>
        </w:rPr>
        <w:t xml:space="preserve"> to consider more cost</w:t>
      </w:r>
      <w:r w:rsidR="004E561A">
        <w:rPr>
          <w:rFonts w:ascii="Palatino Linotype" w:hAnsi="Palatino Linotype" w:eastAsia="Palatino Linotype" w:cs="Times New Roman"/>
          <w:kern w:val="0"/>
          <w14:ligatures w14:val="none"/>
        </w:rPr>
        <w:t>-</w:t>
      </w:r>
      <w:r w:rsidR="005D508A">
        <w:rPr>
          <w:rFonts w:ascii="Palatino Linotype" w:hAnsi="Palatino Linotype" w:eastAsia="Palatino Linotype" w:cs="Times New Roman"/>
          <w:kern w:val="0"/>
          <w14:ligatures w14:val="none"/>
        </w:rPr>
        <w:t>effective alternatives</w:t>
      </w:r>
      <w:r w:rsidR="00807089">
        <w:rPr>
          <w:rFonts w:ascii="Palatino Linotype" w:hAnsi="Palatino Linotype" w:eastAsia="Palatino Linotype" w:cs="Times New Roman"/>
          <w:kern w:val="0"/>
          <w14:ligatures w14:val="none"/>
        </w:rPr>
        <w:t xml:space="preserve"> to optimize the distribution network</w:t>
      </w:r>
      <w:r w:rsidR="00E70A98">
        <w:rPr>
          <w:rFonts w:ascii="Palatino Linotype" w:hAnsi="Palatino Linotype" w:eastAsia="Palatino Linotype" w:cs="Times New Roman"/>
          <w:kern w:val="0"/>
          <w14:ligatures w14:val="none"/>
        </w:rPr>
        <w:t xml:space="preserve"> does not fall within the scope of SCE’s </w:t>
      </w:r>
      <w:r w:rsidR="00C04E08">
        <w:rPr>
          <w:rFonts w:ascii="Palatino Linotype" w:hAnsi="Palatino Linotype" w:eastAsia="Palatino Linotype" w:cs="Times New Roman"/>
          <w:kern w:val="0"/>
          <w14:ligatures w14:val="none"/>
        </w:rPr>
        <w:t>objectives</w:t>
      </w:r>
      <w:r w:rsidR="00860F25">
        <w:rPr>
          <w:rFonts w:ascii="Palatino Linotype" w:hAnsi="Palatino Linotype" w:eastAsia="Palatino Linotype" w:cs="Times New Roman"/>
          <w:kern w:val="0"/>
          <w14:ligatures w14:val="none"/>
        </w:rPr>
        <w:t>, nor is it required by CARB regulations or CPUC mandates</w:t>
      </w:r>
      <w:r w:rsidR="001C5110">
        <w:rPr>
          <w:rFonts w:ascii="Palatino Linotype" w:hAnsi="Palatino Linotype" w:eastAsia="Palatino Linotype" w:cs="Times New Roman"/>
          <w:kern w:val="0"/>
          <w14:ligatures w14:val="none"/>
        </w:rPr>
        <w:t>.</w:t>
      </w:r>
      <w:r w:rsidR="000100BB">
        <w:rPr>
          <w:rFonts w:ascii="Palatino Linotype" w:hAnsi="Palatino Linotype" w:eastAsia="Palatino Linotype" w:cs="Times New Roman"/>
          <w:kern w:val="0"/>
          <w14:ligatures w14:val="none"/>
        </w:rPr>
        <w:t xml:space="preserve"> </w:t>
      </w:r>
      <w:r w:rsidR="008463DC">
        <w:rPr>
          <w:rFonts w:ascii="Palatino Linotype" w:hAnsi="Palatino Linotype" w:eastAsia="Palatino Linotype" w:cs="Times New Roman"/>
          <w:kern w:val="0"/>
          <w14:ligatures w14:val="none"/>
        </w:rPr>
        <w:t xml:space="preserve">AL 5536-E makes it clear that </w:t>
      </w:r>
      <w:r w:rsidR="00CC4E62">
        <w:rPr>
          <w:rFonts w:ascii="Palatino Linotype" w:hAnsi="Palatino Linotype" w:eastAsia="Palatino Linotype" w:cs="Times New Roman"/>
          <w:kern w:val="0"/>
          <w14:ligatures w14:val="none"/>
        </w:rPr>
        <w:t>the status quo</w:t>
      </w:r>
      <w:r w:rsidR="00B57F14">
        <w:rPr>
          <w:rFonts w:ascii="Palatino Linotype" w:hAnsi="Palatino Linotype" w:eastAsia="Palatino Linotype" w:cs="Times New Roman"/>
          <w:kern w:val="0"/>
          <w14:ligatures w14:val="none"/>
        </w:rPr>
        <w:t xml:space="preserve"> (e.g., voluntary participation in load management strategies, system-wide </w:t>
      </w:r>
      <w:r w:rsidR="00B50CC2">
        <w:rPr>
          <w:rFonts w:ascii="Palatino Linotype" w:hAnsi="Palatino Linotype" w:eastAsia="Palatino Linotype" w:cs="Times New Roman"/>
          <w:kern w:val="0"/>
          <w14:ligatures w14:val="none"/>
        </w:rPr>
        <w:t xml:space="preserve">price and/or event signals) </w:t>
      </w:r>
      <w:r w:rsidR="00003508">
        <w:rPr>
          <w:rFonts w:ascii="Palatino Linotype" w:hAnsi="Palatino Linotype" w:eastAsia="Palatino Linotype" w:cs="Times New Roman"/>
          <w:kern w:val="0"/>
          <w14:ligatures w14:val="none"/>
        </w:rPr>
        <w:t>is</w:t>
      </w:r>
      <w:r w:rsidR="007E4863">
        <w:rPr>
          <w:rFonts w:ascii="Palatino Linotype" w:hAnsi="Palatino Linotype" w:eastAsia="Palatino Linotype" w:cs="Times New Roman"/>
          <w:kern w:val="0"/>
          <w14:ligatures w14:val="none"/>
        </w:rPr>
        <w:t xml:space="preserve"> untenable for t</w:t>
      </w:r>
      <w:r w:rsidR="0095733C">
        <w:rPr>
          <w:rFonts w:ascii="Palatino Linotype" w:hAnsi="Palatino Linotype" w:eastAsia="Palatino Linotype" w:cs="Times New Roman"/>
          <w:kern w:val="0"/>
          <w14:ligatures w14:val="none"/>
        </w:rPr>
        <w:t xml:space="preserve">he anticipated increase in </w:t>
      </w:r>
      <w:r w:rsidR="004B3791">
        <w:rPr>
          <w:rFonts w:ascii="Palatino Linotype" w:hAnsi="Palatino Linotype" w:eastAsia="Palatino Linotype" w:cs="Times New Roman"/>
          <w:kern w:val="0"/>
          <w14:ligatures w14:val="none"/>
        </w:rPr>
        <w:t>TE</w:t>
      </w:r>
      <w:r w:rsidR="0095733C">
        <w:rPr>
          <w:rFonts w:ascii="Palatino Linotype" w:hAnsi="Palatino Linotype" w:eastAsia="Palatino Linotype" w:cs="Times New Roman"/>
          <w:kern w:val="0"/>
          <w14:ligatures w14:val="none"/>
        </w:rPr>
        <w:t xml:space="preserve">. </w:t>
      </w:r>
      <w:r w:rsidR="00E46F91">
        <w:rPr>
          <w:rFonts w:ascii="Palatino Linotype" w:hAnsi="Palatino Linotype" w:eastAsia="Palatino Linotype" w:cs="Times New Roman"/>
          <w:kern w:val="0"/>
          <w14:ligatures w14:val="none"/>
        </w:rPr>
        <w:t xml:space="preserve">SCE asserts that </w:t>
      </w:r>
      <w:r w:rsidR="00FB2998">
        <w:rPr>
          <w:rFonts w:ascii="Palatino Linotype" w:hAnsi="Palatino Linotype" w:eastAsia="Palatino Linotype" w:cs="Times New Roman"/>
          <w:kern w:val="0"/>
          <w14:ligatures w14:val="none"/>
        </w:rPr>
        <w:t xml:space="preserve">enabling direct control of end use devices will allow ORCHARD to </w:t>
      </w:r>
      <w:r w:rsidR="000639AF">
        <w:rPr>
          <w:rFonts w:ascii="Palatino Linotype" w:hAnsi="Palatino Linotype" w:eastAsia="Palatino Linotype" w:cs="Times New Roman"/>
          <w:kern w:val="0"/>
          <w14:ligatures w14:val="none"/>
        </w:rPr>
        <w:t>enable</w:t>
      </w:r>
      <w:r w:rsidR="004B37ED">
        <w:rPr>
          <w:rFonts w:ascii="Palatino Linotype" w:hAnsi="Palatino Linotype" w:eastAsia="Palatino Linotype" w:cs="Times New Roman"/>
          <w:kern w:val="0"/>
          <w14:ligatures w14:val="none"/>
        </w:rPr>
        <w:t xml:space="preserve"> dynamic, localized load management</w:t>
      </w:r>
      <w:r w:rsidR="00382EE8">
        <w:rPr>
          <w:rFonts w:ascii="Palatino Linotype" w:hAnsi="Palatino Linotype" w:eastAsia="Palatino Linotype" w:cs="Times New Roman"/>
          <w:kern w:val="0"/>
          <w14:ligatures w14:val="none"/>
        </w:rPr>
        <w:t xml:space="preserve">. </w:t>
      </w:r>
      <w:r w:rsidR="00675D9C">
        <w:rPr>
          <w:rFonts w:ascii="Palatino Linotype" w:hAnsi="Palatino Linotype" w:eastAsia="Palatino Linotype" w:cs="Times New Roman"/>
          <w:kern w:val="0"/>
          <w14:ligatures w14:val="none"/>
        </w:rPr>
        <w:t>The C</w:t>
      </w:r>
      <w:r w:rsidR="00334FED">
        <w:rPr>
          <w:rFonts w:ascii="Palatino Linotype" w:hAnsi="Palatino Linotype" w:eastAsia="Palatino Linotype" w:cs="Times New Roman"/>
          <w:kern w:val="0"/>
          <w14:ligatures w14:val="none"/>
        </w:rPr>
        <w:t>PUC</w:t>
      </w:r>
      <w:r w:rsidR="00675D9C">
        <w:rPr>
          <w:rFonts w:ascii="Palatino Linotype" w:hAnsi="Palatino Linotype" w:eastAsia="Palatino Linotype" w:cs="Times New Roman"/>
          <w:kern w:val="0"/>
          <w14:ligatures w14:val="none"/>
        </w:rPr>
        <w:t xml:space="preserve"> finds that it is unnecessary to test the abilities of the AMI meters to achieve </w:t>
      </w:r>
      <w:r w:rsidR="00675D9C">
        <w:rPr>
          <w:rFonts w:ascii="Palatino Linotype" w:hAnsi="Palatino Linotype" w:eastAsia="Palatino Linotype" w:cs="Times New Roman"/>
          <w:kern w:val="0"/>
          <w14:ligatures w14:val="none"/>
        </w:rPr>
        <w:lastRenderedPageBreak/>
        <w:t>these objectives</w:t>
      </w:r>
      <w:r w:rsidR="00F10BB8">
        <w:rPr>
          <w:rFonts w:ascii="Palatino Linotype" w:hAnsi="Palatino Linotype" w:eastAsia="Palatino Linotype" w:cs="Times New Roman"/>
          <w:kern w:val="0"/>
          <w14:ligatures w14:val="none"/>
        </w:rPr>
        <w:t xml:space="preserve"> and would require SCE to make significant program modifications. </w:t>
      </w:r>
      <w:r w:rsidRPr="000100BB" w:rsidR="00E87CB2">
        <w:rPr>
          <w:rFonts w:ascii="Palatino Linotype" w:hAnsi="Palatino Linotype" w:eastAsia="Palatino Linotype" w:cs="Times New Roman"/>
          <w:kern w:val="0"/>
          <w14:ligatures w14:val="none"/>
        </w:rPr>
        <w:t xml:space="preserve">As such, </w:t>
      </w:r>
      <w:r w:rsidR="00974AE0">
        <w:rPr>
          <w:rFonts w:ascii="Palatino Linotype" w:hAnsi="Palatino Linotype" w:eastAsia="Palatino Linotype" w:cs="Times New Roman"/>
          <w:kern w:val="0"/>
          <w14:ligatures w14:val="none"/>
        </w:rPr>
        <w:t>we reject ChargeScape’s</w:t>
      </w:r>
      <w:r w:rsidRPr="000100BB" w:rsidR="00CD5E8A">
        <w:rPr>
          <w:rFonts w:ascii="Palatino Linotype" w:hAnsi="Palatino Linotype" w:eastAsia="Palatino Linotype" w:cs="Times New Roman"/>
          <w:kern w:val="0"/>
          <w14:ligatures w14:val="none"/>
        </w:rPr>
        <w:t xml:space="preserve"> </w:t>
      </w:r>
      <w:r w:rsidRPr="000100BB" w:rsidR="00E87CB2">
        <w:rPr>
          <w:rFonts w:ascii="Palatino Linotype" w:hAnsi="Palatino Linotype" w:eastAsia="Palatino Linotype" w:cs="Times New Roman"/>
          <w:kern w:val="0"/>
          <w14:ligatures w14:val="none"/>
        </w:rPr>
        <w:t xml:space="preserve">recommendation. </w:t>
      </w:r>
    </w:p>
    <w:p w:rsidR="007217D4" w:rsidP="000100BB" w:rsidRDefault="007217D4" w14:paraId="3602BEF2" w14:textId="77777777">
      <w:pPr>
        <w:spacing w:after="0" w:line="240" w:lineRule="auto"/>
        <w:rPr>
          <w:rFonts w:ascii="Palatino Linotype" w:hAnsi="Palatino Linotype" w:eastAsia="Palatino Linotype" w:cs="Times New Roman"/>
          <w:kern w:val="0"/>
          <w14:ligatures w14:val="none"/>
        </w:rPr>
      </w:pPr>
    </w:p>
    <w:p w:rsidR="00AF478D" w:rsidP="000100BB" w:rsidRDefault="00860F25" w14:paraId="76DDE637" w14:textId="7A191A8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Additionally, </w:t>
      </w:r>
      <w:r w:rsidR="00231368">
        <w:rPr>
          <w:rFonts w:ascii="Palatino Linotype" w:hAnsi="Palatino Linotype" w:eastAsia="Palatino Linotype" w:cs="Times New Roman"/>
          <w:kern w:val="0"/>
          <w14:ligatures w14:val="none"/>
        </w:rPr>
        <w:t xml:space="preserve">GPI </w:t>
      </w:r>
      <w:r w:rsidR="00D41A02">
        <w:rPr>
          <w:rFonts w:ascii="Palatino Linotype" w:hAnsi="Palatino Linotype" w:eastAsia="Palatino Linotype" w:cs="Times New Roman"/>
          <w:kern w:val="0"/>
          <w14:ligatures w14:val="none"/>
        </w:rPr>
        <w:t xml:space="preserve">suggested requiring SCE </w:t>
      </w:r>
      <w:r w:rsidRPr="00681C6C" w:rsidR="00231368">
        <w:rPr>
          <w:rFonts w:ascii="Palatino Linotype" w:hAnsi="Palatino Linotype" w:eastAsia="Palatino Linotype" w:cs="Times New Roman"/>
          <w:kern w:val="0"/>
          <w14:ligatures w14:val="none"/>
        </w:rPr>
        <w:t xml:space="preserve">to demonstrate how successful </w:t>
      </w:r>
      <w:r w:rsidR="00250382">
        <w:rPr>
          <w:rFonts w:ascii="Palatino Linotype" w:hAnsi="Palatino Linotype" w:eastAsia="Palatino Linotype" w:cs="Times New Roman"/>
          <w:kern w:val="0"/>
          <w14:ligatures w14:val="none"/>
        </w:rPr>
        <w:t xml:space="preserve">program </w:t>
      </w:r>
      <w:r w:rsidRPr="00681C6C" w:rsidR="00231368">
        <w:rPr>
          <w:rFonts w:ascii="Palatino Linotype" w:hAnsi="Palatino Linotype" w:eastAsia="Palatino Linotype" w:cs="Times New Roman"/>
          <w:kern w:val="0"/>
          <w14:ligatures w14:val="none"/>
        </w:rPr>
        <w:t>outcomes</w:t>
      </w:r>
      <w:r w:rsidR="00250382">
        <w:rPr>
          <w:rFonts w:ascii="Palatino Linotype" w:hAnsi="Palatino Linotype" w:eastAsia="Palatino Linotype" w:cs="Times New Roman"/>
          <w:kern w:val="0"/>
          <w14:ligatures w14:val="none"/>
        </w:rPr>
        <w:t xml:space="preserve"> could</w:t>
      </w:r>
      <w:r w:rsidRPr="00681C6C" w:rsidR="00231368">
        <w:rPr>
          <w:rFonts w:ascii="Palatino Linotype" w:hAnsi="Palatino Linotype" w:eastAsia="Palatino Linotype" w:cs="Times New Roman"/>
          <w:kern w:val="0"/>
          <w14:ligatures w14:val="none"/>
        </w:rPr>
        <w:t xml:space="preserve"> be incorporated into its broader operations and planning</w:t>
      </w:r>
      <w:r w:rsidR="007B464C">
        <w:rPr>
          <w:rFonts w:ascii="Palatino Linotype" w:hAnsi="Palatino Linotype" w:eastAsia="Palatino Linotype" w:cs="Times New Roman"/>
          <w:kern w:val="0"/>
          <w14:ligatures w14:val="none"/>
        </w:rPr>
        <w:t xml:space="preserve">. Specifically, </w:t>
      </w:r>
      <w:r w:rsidR="005B1BDB">
        <w:rPr>
          <w:rFonts w:ascii="Palatino Linotype" w:hAnsi="Palatino Linotype" w:eastAsia="Palatino Linotype" w:cs="Times New Roman"/>
          <w:kern w:val="0"/>
          <w14:ligatures w14:val="none"/>
        </w:rPr>
        <w:t>it</w:t>
      </w:r>
      <w:r w:rsidR="00460270">
        <w:rPr>
          <w:rFonts w:ascii="Palatino Linotype" w:hAnsi="Palatino Linotype" w:eastAsia="Palatino Linotype" w:cs="Times New Roman"/>
          <w:kern w:val="0"/>
          <w14:ligatures w14:val="none"/>
        </w:rPr>
        <w:t xml:space="preserve"> recommend</w:t>
      </w:r>
      <w:r w:rsidR="005B1BDB">
        <w:rPr>
          <w:rFonts w:ascii="Palatino Linotype" w:hAnsi="Palatino Linotype" w:eastAsia="Palatino Linotype" w:cs="Times New Roman"/>
          <w:kern w:val="0"/>
          <w14:ligatures w14:val="none"/>
        </w:rPr>
        <w:t>s</w:t>
      </w:r>
      <w:r w:rsidR="00460270">
        <w:rPr>
          <w:rFonts w:ascii="Palatino Linotype" w:hAnsi="Palatino Linotype" w:eastAsia="Palatino Linotype" w:cs="Times New Roman"/>
          <w:kern w:val="0"/>
          <w14:ligatures w14:val="none"/>
        </w:rPr>
        <w:t xml:space="preserve"> that </w:t>
      </w:r>
      <w:r w:rsidRPr="0078625B" w:rsidR="00231368">
        <w:rPr>
          <w:rFonts w:ascii="Palatino Linotype" w:hAnsi="Palatino Linotype" w:eastAsia="Palatino Linotype" w:cs="Times New Roman"/>
          <w:kern w:val="0"/>
          <w14:ligatures w14:val="none"/>
        </w:rPr>
        <w:t xml:space="preserve">SCE address how load flexibility capabilities as demonstrated by ORCHARD will be incorporated into distribution planning processes, how learnings from ORCHARD will inform future resource adequacy frameworks, and how </w:t>
      </w:r>
      <w:r w:rsidR="00066ABC">
        <w:rPr>
          <w:rFonts w:ascii="Palatino Linotype" w:hAnsi="Palatino Linotype" w:eastAsia="Palatino Linotype" w:cs="Times New Roman"/>
          <w:kern w:val="0"/>
          <w14:ligatures w14:val="none"/>
        </w:rPr>
        <w:t>SCE</w:t>
      </w:r>
      <w:r w:rsidRPr="0078625B" w:rsidR="00066ABC">
        <w:rPr>
          <w:rFonts w:ascii="Palatino Linotype" w:hAnsi="Palatino Linotype" w:eastAsia="Palatino Linotype" w:cs="Times New Roman"/>
          <w:kern w:val="0"/>
          <w14:ligatures w14:val="none"/>
        </w:rPr>
        <w:t xml:space="preserve"> </w:t>
      </w:r>
      <w:r w:rsidRPr="0078625B" w:rsidR="00231368">
        <w:rPr>
          <w:rFonts w:ascii="Palatino Linotype" w:hAnsi="Palatino Linotype" w:eastAsia="Palatino Linotype" w:cs="Times New Roman"/>
          <w:kern w:val="0"/>
          <w14:ligatures w14:val="none"/>
        </w:rPr>
        <w:t>will integrate VGI into standard operations instead of treating it as a program or resource</w:t>
      </w:r>
      <w:r w:rsidR="00066ABC">
        <w:rPr>
          <w:rFonts w:ascii="Palatino Linotype" w:hAnsi="Palatino Linotype" w:eastAsia="Palatino Linotype" w:cs="Times New Roman"/>
          <w:kern w:val="0"/>
          <w14:ligatures w14:val="none"/>
        </w:rPr>
        <w:t>.</w:t>
      </w:r>
      <w:r w:rsidR="00066ABC">
        <w:rPr>
          <w:rStyle w:val="FootnoteReference"/>
          <w:rFonts w:ascii="Palatino Linotype" w:hAnsi="Palatino Linotype" w:eastAsia="Palatino Linotype" w:cs="Times New Roman"/>
          <w:kern w:val="0"/>
          <w14:ligatures w14:val="none"/>
        </w:rPr>
        <w:footnoteReference w:id="62"/>
      </w:r>
      <w:r w:rsidRPr="0078625B" w:rsidR="00231368">
        <w:rPr>
          <w:rFonts w:ascii="Palatino Linotype" w:hAnsi="Palatino Linotype" w:eastAsia="Palatino Linotype" w:cs="Times New Roman"/>
          <w:kern w:val="0"/>
          <w14:ligatures w14:val="none"/>
        </w:rPr>
        <w:t xml:space="preserve"> </w:t>
      </w:r>
      <w:r w:rsidR="001875C0">
        <w:rPr>
          <w:rFonts w:ascii="Palatino Linotype" w:hAnsi="Palatino Linotype" w:eastAsia="Palatino Linotype" w:cs="Times New Roman"/>
          <w:kern w:val="0"/>
          <w14:ligatures w14:val="none"/>
        </w:rPr>
        <w:t>We decline to adopt GPI’s recommendations as</w:t>
      </w:r>
      <w:r w:rsidRPr="00A93265" w:rsidR="00F552AA">
        <w:rPr>
          <w:rFonts w:ascii="Palatino Linotype" w:hAnsi="Palatino Linotype" w:eastAsia="Palatino Linotype" w:cs="Times New Roman"/>
          <w:kern w:val="0"/>
          <w14:ligatures w14:val="none"/>
        </w:rPr>
        <w:t xml:space="preserve"> this resolution is not the appropriate venue for exploring the merits of this suggestion. </w:t>
      </w:r>
    </w:p>
    <w:p w:rsidRPr="005C7AC0" w:rsidR="00A13F84" w:rsidP="005C7AC0" w:rsidRDefault="00A13F84" w14:paraId="3BC012C1" w14:textId="77777777">
      <w:pPr>
        <w:spacing w:after="0" w:line="240" w:lineRule="auto"/>
        <w:rPr>
          <w:rFonts w:ascii="Palatino Linotype" w:hAnsi="Palatino Linotype" w:eastAsia="Palatino Linotype" w:cs="Times New Roman"/>
          <w:kern w:val="0"/>
          <w14:ligatures w14:val="none"/>
        </w:rPr>
      </w:pPr>
    </w:p>
    <w:p w:rsidRPr="005C7AC0" w:rsidR="00231368" w:rsidP="00866331" w:rsidRDefault="00231368" w14:paraId="56BDC8C3" w14:textId="77777777">
      <w:pPr>
        <w:pStyle w:val="Heading3"/>
        <w:numPr>
          <w:ilvl w:val="0"/>
          <w:numId w:val="28"/>
        </w:numPr>
        <w:spacing w:before="0" w:after="120" w:line="240" w:lineRule="auto"/>
        <w:rPr>
          <w:rFonts w:ascii="Palatino Linotype" w:hAnsi="Palatino Linotype" w:eastAsia="Palatino Linotype"/>
          <w:sz w:val="24"/>
          <w:szCs w:val="24"/>
        </w:rPr>
      </w:pPr>
      <w:r w:rsidRPr="005C7AC0">
        <w:rPr>
          <w:rFonts w:ascii="Palatino Linotype" w:hAnsi="Palatino Linotype" w:eastAsia="Palatino Linotype"/>
          <w:sz w:val="24"/>
          <w:szCs w:val="24"/>
        </w:rPr>
        <w:t xml:space="preserve">Partnerships </w:t>
      </w:r>
    </w:p>
    <w:p w:rsidR="00A13F84" w:rsidP="00A13F84" w:rsidRDefault="00F61AFB" w14:paraId="48A6B1DD" w14:textId="36D1F6E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We </w:t>
      </w:r>
      <w:r w:rsidR="00F420B3">
        <w:rPr>
          <w:rFonts w:ascii="Palatino Linotype" w:hAnsi="Palatino Linotype" w:eastAsia="Palatino Linotype" w:cs="Times New Roman"/>
          <w:kern w:val="0"/>
          <w14:ligatures w14:val="none"/>
        </w:rPr>
        <w:t>agree</w:t>
      </w:r>
      <w:r w:rsidR="00807089">
        <w:rPr>
          <w:rFonts w:ascii="Palatino Linotype" w:hAnsi="Palatino Linotype" w:eastAsia="Palatino Linotype" w:cs="Times New Roman"/>
          <w:kern w:val="0"/>
          <w14:ligatures w14:val="none"/>
        </w:rPr>
        <w:t xml:space="preserve"> with </w:t>
      </w:r>
      <w:r w:rsidR="00C92F5F">
        <w:rPr>
          <w:rFonts w:ascii="Palatino Linotype" w:hAnsi="Palatino Linotype" w:eastAsia="Palatino Linotype" w:cs="Times New Roman"/>
          <w:kern w:val="0"/>
          <w14:ligatures w14:val="none"/>
        </w:rPr>
        <w:t>ChargeScape, Fermata Energy, and VGIC</w:t>
      </w:r>
      <w:r w:rsidR="00F420B3">
        <w:rPr>
          <w:rFonts w:ascii="Palatino Linotype" w:hAnsi="Palatino Linotype" w:eastAsia="Palatino Linotype" w:cs="Times New Roman"/>
          <w:kern w:val="0"/>
          <w14:ligatures w14:val="none"/>
        </w:rPr>
        <w:t xml:space="preserve"> that direct partnerships with auto</w:t>
      </w:r>
      <w:r w:rsidR="00B945D7">
        <w:rPr>
          <w:rFonts w:ascii="Palatino Linotype" w:hAnsi="Palatino Linotype" w:eastAsia="Palatino Linotype" w:cs="Times New Roman"/>
          <w:kern w:val="0"/>
          <w14:ligatures w14:val="none"/>
        </w:rPr>
        <w:t>motive OEMs</w:t>
      </w:r>
      <w:r w:rsidR="00F420B3">
        <w:rPr>
          <w:rFonts w:ascii="Palatino Linotype" w:hAnsi="Palatino Linotype" w:eastAsia="Palatino Linotype" w:cs="Times New Roman"/>
          <w:kern w:val="0"/>
          <w14:ligatures w14:val="none"/>
        </w:rPr>
        <w:t>, EVSPs, and aggregators</w:t>
      </w:r>
      <w:r w:rsidR="0009477F">
        <w:rPr>
          <w:rFonts w:ascii="Palatino Linotype" w:hAnsi="Palatino Linotype" w:eastAsia="Palatino Linotype" w:cs="Times New Roman"/>
          <w:kern w:val="0"/>
          <w14:ligatures w14:val="none"/>
        </w:rPr>
        <w:t xml:space="preserve">, may </w:t>
      </w:r>
      <w:r w:rsidR="00F849B2">
        <w:rPr>
          <w:rFonts w:ascii="Palatino Linotype" w:hAnsi="Palatino Linotype" w:eastAsia="Palatino Linotype" w:cs="Times New Roman"/>
          <w:kern w:val="0"/>
          <w14:ligatures w14:val="none"/>
        </w:rPr>
        <w:t xml:space="preserve">help augment customer enrollment </w:t>
      </w:r>
      <w:r w:rsidR="006D593C">
        <w:rPr>
          <w:rFonts w:ascii="Palatino Linotype" w:hAnsi="Palatino Linotype" w:eastAsia="Palatino Linotype" w:cs="Times New Roman"/>
          <w:kern w:val="0"/>
          <w14:ligatures w14:val="none"/>
        </w:rPr>
        <w:t xml:space="preserve">and mitigate interoperability issues. </w:t>
      </w:r>
      <w:r w:rsidR="005E4058">
        <w:rPr>
          <w:rFonts w:ascii="Palatino Linotype" w:hAnsi="Palatino Linotype" w:eastAsia="Palatino Linotype" w:cs="Times New Roman"/>
          <w:kern w:val="0"/>
          <w14:ligatures w14:val="none"/>
        </w:rPr>
        <w:t>T</w:t>
      </w:r>
      <w:r w:rsidR="00EB70D6">
        <w:rPr>
          <w:rFonts w:ascii="Palatino Linotype" w:hAnsi="Palatino Linotype" w:eastAsia="Palatino Linotype" w:cs="Times New Roman"/>
          <w:kern w:val="0"/>
          <w14:ligatures w14:val="none"/>
        </w:rPr>
        <w:t xml:space="preserve">he </w:t>
      </w:r>
      <w:r w:rsidR="00FB77AF">
        <w:rPr>
          <w:rFonts w:ascii="Palatino Linotype" w:hAnsi="Palatino Linotype" w:eastAsia="Palatino Linotype" w:cs="Times New Roman"/>
          <w:kern w:val="0"/>
          <w14:ligatures w14:val="none"/>
        </w:rPr>
        <w:t xml:space="preserve">CPUC </w:t>
      </w:r>
      <w:r w:rsidR="005E4058">
        <w:rPr>
          <w:rFonts w:ascii="Palatino Linotype" w:hAnsi="Palatino Linotype" w:eastAsia="Palatino Linotype" w:cs="Times New Roman"/>
          <w:kern w:val="0"/>
          <w14:ligatures w14:val="none"/>
        </w:rPr>
        <w:t>encourages</w:t>
      </w:r>
      <w:r w:rsidR="00D44A3E">
        <w:rPr>
          <w:rFonts w:ascii="Palatino Linotype" w:hAnsi="Palatino Linotype" w:eastAsia="Palatino Linotype" w:cs="Times New Roman"/>
          <w:kern w:val="0"/>
          <w14:ligatures w14:val="none"/>
        </w:rPr>
        <w:t xml:space="preserve"> SCE to enter</w:t>
      </w:r>
      <w:r w:rsidR="00473A3E">
        <w:rPr>
          <w:rFonts w:ascii="Palatino Linotype" w:hAnsi="Palatino Linotype" w:eastAsia="Palatino Linotype" w:cs="Times New Roman"/>
          <w:kern w:val="0"/>
          <w14:ligatures w14:val="none"/>
        </w:rPr>
        <w:t xml:space="preserve"> into</w:t>
      </w:r>
      <w:r w:rsidR="00D44A3E">
        <w:rPr>
          <w:rFonts w:ascii="Palatino Linotype" w:hAnsi="Palatino Linotype" w:eastAsia="Palatino Linotype" w:cs="Times New Roman"/>
          <w:kern w:val="0"/>
          <w14:ligatures w14:val="none"/>
        </w:rPr>
        <w:t xml:space="preserve"> direct agreements with the necessary service provider</w:t>
      </w:r>
      <w:r w:rsidR="00575277">
        <w:rPr>
          <w:rFonts w:ascii="Palatino Linotype" w:hAnsi="Palatino Linotype" w:eastAsia="Palatino Linotype" w:cs="Times New Roman"/>
          <w:kern w:val="0"/>
          <w14:ligatures w14:val="none"/>
        </w:rPr>
        <w:t>(</w:t>
      </w:r>
      <w:r w:rsidR="00D44A3E">
        <w:rPr>
          <w:rFonts w:ascii="Palatino Linotype" w:hAnsi="Palatino Linotype" w:eastAsia="Palatino Linotype" w:cs="Times New Roman"/>
          <w:kern w:val="0"/>
          <w14:ligatures w14:val="none"/>
        </w:rPr>
        <w:t>s</w:t>
      </w:r>
      <w:r w:rsidR="00575277">
        <w:rPr>
          <w:rFonts w:ascii="Palatino Linotype" w:hAnsi="Palatino Linotype" w:eastAsia="Palatino Linotype" w:cs="Times New Roman"/>
          <w:kern w:val="0"/>
          <w14:ligatures w14:val="none"/>
        </w:rPr>
        <w:t>)</w:t>
      </w:r>
      <w:r w:rsidR="00D44A3E">
        <w:rPr>
          <w:rFonts w:ascii="Palatino Linotype" w:hAnsi="Palatino Linotype" w:eastAsia="Palatino Linotype" w:cs="Times New Roman"/>
          <w:kern w:val="0"/>
          <w14:ligatures w14:val="none"/>
        </w:rPr>
        <w:t xml:space="preserve"> to </w:t>
      </w:r>
      <w:r w:rsidR="00D30EE5">
        <w:rPr>
          <w:rFonts w:ascii="Palatino Linotype" w:hAnsi="Palatino Linotype" w:eastAsia="Palatino Linotype" w:cs="Times New Roman"/>
          <w:kern w:val="0"/>
          <w14:ligatures w14:val="none"/>
        </w:rPr>
        <w:t>implement ORCHARD</w:t>
      </w:r>
      <w:r w:rsidR="00522D1D">
        <w:rPr>
          <w:rFonts w:ascii="Palatino Linotype" w:hAnsi="Palatino Linotype" w:eastAsia="Palatino Linotype" w:cs="Times New Roman"/>
          <w:kern w:val="0"/>
          <w14:ligatures w14:val="none"/>
        </w:rPr>
        <w:t xml:space="preserve"> but</w:t>
      </w:r>
      <w:r w:rsidR="00D30EE5">
        <w:rPr>
          <w:rFonts w:ascii="Palatino Linotype" w:hAnsi="Palatino Linotype" w:eastAsia="Palatino Linotype" w:cs="Times New Roman"/>
          <w:kern w:val="0"/>
          <w14:ligatures w14:val="none"/>
        </w:rPr>
        <w:t xml:space="preserve"> </w:t>
      </w:r>
      <w:r w:rsidR="00B94AEA">
        <w:rPr>
          <w:rFonts w:ascii="Palatino Linotype" w:hAnsi="Palatino Linotype" w:eastAsia="Palatino Linotype" w:cs="Times New Roman"/>
          <w:kern w:val="0"/>
          <w14:ligatures w14:val="none"/>
        </w:rPr>
        <w:t>decline</w:t>
      </w:r>
      <w:r w:rsidR="003D66E5">
        <w:rPr>
          <w:rFonts w:ascii="Palatino Linotype" w:hAnsi="Palatino Linotype" w:eastAsia="Palatino Linotype" w:cs="Times New Roman"/>
          <w:kern w:val="0"/>
          <w14:ligatures w14:val="none"/>
        </w:rPr>
        <w:t>s</w:t>
      </w:r>
      <w:r w:rsidR="00B94AEA">
        <w:rPr>
          <w:rFonts w:ascii="Palatino Linotype" w:hAnsi="Palatino Linotype" w:eastAsia="Palatino Linotype" w:cs="Times New Roman"/>
          <w:kern w:val="0"/>
          <w14:ligatures w14:val="none"/>
        </w:rPr>
        <w:t xml:space="preserve"> to </w:t>
      </w:r>
      <w:r w:rsidR="00D30EE5">
        <w:rPr>
          <w:rFonts w:ascii="Palatino Linotype" w:hAnsi="Palatino Linotype" w:eastAsia="Palatino Linotype" w:cs="Times New Roman"/>
          <w:kern w:val="0"/>
          <w14:ligatures w14:val="none"/>
        </w:rPr>
        <w:t>requir</w:t>
      </w:r>
      <w:r w:rsidR="00B94AEA">
        <w:rPr>
          <w:rFonts w:ascii="Palatino Linotype" w:hAnsi="Palatino Linotype" w:eastAsia="Palatino Linotype" w:cs="Times New Roman"/>
          <w:kern w:val="0"/>
          <w14:ligatures w14:val="none"/>
        </w:rPr>
        <w:t>e</w:t>
      </w:r>
      <w:r w:rsidR="00D30EE5">
        <w:rPr>
          <w:rFonts w:ascii="Palatino Linotype" w:hAnsi="Palatino Linotype" w:eastAsia="Palatino Linotype" w:cs="Times New Roman"/>
          <w:kern w:val="0"/>
          <w14:ligatures w14:val="none"/>
        </w:rPr>
        <w:t xml:space="preserve"> SCE to partner with multiple aggregators. </w:t>
      </w:r>
      <w:r w:rsidR="006C7B54">
        <w:rPr>
          <w:rFonts w:ascii="Palatino Linotype" w:hAnsi="Palatino Linotype" w:eastAsia="Palatino Linotype" w:cs="Times New Roman"/>
          <w:kern w:val="0"/>
          <w14:ligatures w14:val="none"/>
        </w:rPr>
        <w:t>The C</w:t>
      </w:r>
      <w:r w:rsidR="00C74F71">
        <w:rPr>
          <w:rFonts w:ascii="Palatino Linotype" w:hAnsi="Palatino Linotype" w:eastAsia="Palatino Linotype" w:cs="Times New Roman"/>
          <w:kern w:val="0"/>
          <w14:ligatures w14:val="none"/>
        </w:rPr>
        <w:t>PUC</w:t>
      </w:r>
      <w:r w:rsidR="006C7B54">
        <w:rPr>
          <w:rFonts w:ascii="Palatino Linotype" w:hAnsi="Palatino Linotype" w:eastAsia="Palatino Linotype" w:cs="Times New Roman"/>
          <w:kern w:val="0"/>
          <w14:ligatures w14:val="none"/>
        </w:rPr>
        <w:t xml:space="preserve"> encourages </w:t>
      </w:r>
      <w:r w:rsidR="00D30EE5">
        <w:rPr>
          <w:rFonts w:ascii="Palatino Linotype" w:hAnsi="Palatino Linotype" w:eastAsia="Palatino Linotype" w:cs="Times New Roman"/>
          <w:kern w:val="0"/>
          <w14:ligatures w14:val="none"/>
        </w:rPr>
        <w:t xml:space="preserve">SCE </w:t>
      </w:r>
      <w:r w:rsidR="006C7B54">
        <w:rPr>
          <w:rFonts w:ascii="Palatino Linotype" w:hAnsi="Palatino Linotype" w:eastAsia="Palatino Linotype" w:cs="Times New Roman"/>
          <w:kern w:val="0"/>
          <w14:ligatures w14:val="none"/>
        </w:rPr>
        <w:t>to</w:t>
      </w:r>
      <w:r w:rsidR="00D30EE5">
        <w:rPr>
          <w:rFonts w:ascii="Palatino Linotype" w:hAnsi="Palatino Linotype" w:eastAsia="Palatino Linotype" w:cs="Times New Roman"/>
          <w:kern w:val="0"/>
          <w14:ligatures w14:val="none"/>
        </w:rPr>
        <w:t xml:space="preserve"> work with aggregators </w:t>
      </w:r>
      <w:r w:rsidR="00612ABB">
        <w:rPr>
          <w:rFonts w:ascii="Palatino Linotype" w:hAnsi="Palatino Linotype" w:eastAsia="Palatino Linotype" w:cs="Times New Roman"/>
          <w:kern w:val="0"/>
          <w14:ligatures w14:val="none"/>
        </w:rPr>
        <w:t xml:space="preserve"> </w:t>
      </w:r>
      <w:r w:rsidR="006C7B54">
        <w:rPr>
          <w:rFonts w:ascii="Palatino Linotype" w:hAnsi="Palatino Linotype" w:eastAsia="Palatino Linotype" w:cs="Times New Roman"/>
          <w:kern w:val="0"/>
          <w14:ligatures w14:val="none"/>
        </w:rPr>
        <w:t>if</w:t>
      </w:r>
      <w:r w:rsidR="00612ABB">
        <w:rPr>
          <w:rFonts w:ascii="Palatino Linotype" w:hAnsi="Palatino Linotype" w:eastAsia="Palatino Linotype" w:cs="Times New Roman"/>
          <w:kern w:val="0"/>
          <w14:ligatures w14:val="none"/>
        </w:rPr>
        <w:t xml:space="preserve"> </w:t>
      </w:r>
      <w:r w:rsidR="00D5633F">
        <w:rPr>
          <w:rFonts w:ascii="Palatino Linotype" w:hAnsi="Palatino Linotype" w:eastAsia="Palatino Linotype" w:cs="Times New Roman"/>
          <w:kern w:val="0"/>
          <w14:ligatures w14:val="none"/>
        </w:rPr>
        <w:t>they</w:t>
      </w:r>
      <w:r w:rsidR="00B30FD7">
        <w:rPr>
          <w:rFonts w:ascii="Palatino Linotype" w:hAnsi="Palatino Linotype" w:eastAsia="Palatino Linotype" w:cs="Times New Roman"/>
          <w:kern w:val="0"/>
          <w14:ligatures w14:val="none"/>
        </w:rPr>
        <w:t xml:space="preserve"> determine it</w:t>
      </w:r>
      <w:r w:rsidR="00FF4D30">
        <w:rPr>
          <w:rFonts w:ascii="Palatino Linotype" w:hAnsi="Palatino Linotype" w:eastAsia="Palatino Linotype" w:cs="Times New Roman"/>
          <w:kern w:val="0"/>
          <w14:ligatures w14:val="none"/>
        </w:rPr>
        <w:t>’s</w:t>
      </w:r>
      <w:r w:rsidR="00B30FD7">
        <w:rPr>
          <w:rFonts w:ascii="Palatino Linotype" w:hAnsi="Palatino Linotype" w:eastAsia="Palatino Linotype" w:cs="Times New Roman"/>
          <w:kern w:val="0"/>
          <w14:ligatures w14:val="none"/>
        </w:rPr>
        <w:t xml:space="preserve"> </w:t>
      </w:r>
      <w:r w:rsidR="00D30EE5">
        <w:rPr>
          <w:rFonts w:ascii="Palatino Linotype" w:hAnsi="Palatino Linotype" w:eastAsia="Palatino Linotype" w:cs="Times New Roman"/>
          <w:kern w:val="0"/>
          <w14:ligatures w14:val="none"/>
        </w:rPr>
        <w:t xml:space="preserve">necessary to </w:t>
      </w:r>
      <w:r w:rsidR="00F75EC2">
        <w:rPr>
          <w:rFonts w:ascii="Palatino Linotype" w:hAnsi="Palatino Linotype" w:eastAsia="Palatino Linotype" w:cs="Times New Roman"/>
          <w:kern w:val="0"/>
          <w14:ligatures w14:val="none"/>
        </w:rPr>
        <w:t>ensure interoperability</w:t>
      </w:r>
      <w:r w:rsidR="00575277">
        <w:rPr>
          <w:rFonts w:ascii="Palatino Linotype" w:hAnsi="Palatino Linotype" w:eastAsia="Palatino Linotype" w:cs="Times New Roman"/>
          <w:kern w:val="0"/>
          <w14:ligatures w14:val="none"/>
        </w:rPr>
        <w:t xml:space="preserve"> success</w:t>
      </w:r>
      <w:r w:rsidR="00F75EC2">
        <w:rPr>
          <w:rFonts w:ascii="Palatino Linotype" w:hAnsi="Palatino Linotype" w:eastAsia="Palatino Linotype" w:cs="Times New Roman"/>
          <w:kern w:val="0"/>
          <w14:ligatures w14:val="none"/>
        </w:rPr>
        <w:t xml:space="preserve">. </w:t>
      </w:r>
      <w:r w:rsidR="004E0305">
        <w:rPr>
          <w:rFonts w:ascii="Palatino Linotype" w:hAnsi="Palatino Linotype" w:eastAsia="Palatino Linotype" w:cs="Times New Roman"/>
          <w:kern w:val="0"/>
          <w14:ligatures w14:val="none"/>
        </w:rPr>
        <w:t xml:space="preserve">SCE </w:t>
      </w:r>
      <w:r w:rsidR="00693790">
        <w:rPr>
          <w:rFonts w:ascii="Palatino Linotype" w:hAnsi="Palatino Linotype" w:eastAsia="Palatino Linotype" w:cs="Times New Roman"/>
          <w:kern w:val="0"/>
          <w14:ligatures w14:val="none"/>
        </w:rPr>
        <w:t>must</w:t>
      </w:r>
      <w:r w:rsidR="004E0305">
        <w:rPr>
          <w:rFonts w:ascii="Palatino Linotype" w:hAnsi="Palatino Linotype" w:eastAsia="Palatino Linotype" w:cs="Times New Roman"/>
          <w:kern w:val="0"/>
          <w14:ligatures w14:val="none"/>
        </w:rPr>
        <w:t xml:space="preserve"> report </w:t>
      </w:r>
      <w:r w:rsidR="000A48E2">
        <w:rPr>
          <w:rFonts w:ascii="Palatino Linotype" w:hAnsi="Palatino Linotype" w:eastAsia="Palatino Linotype" w:cs="Times New Roman"/>
          <w:kern w:val="0"/>
          <w14:ligatures w14:val="none"/>
        </w:rPr>
        <w:t xml:space="preserve">on </w:t>
      </w:r>
      <w:r w:rsidR="000B54D3">
        <w:rPr>
          <w:rFonts w:ascii="Palatino Linotype" w:hAnsi="Palatino Linotype" w:eastAsia="Palatino Linotype" w:cs="Times New Roman"/>
          <w:kern w:val="0"/>
          <w14:ligatures w14:val="none"/>
        </w:rPr>
        <w:t xml:space="preserve">partnerships with </w:t>
      </w:r>
      <w:r w:rsidR="002F32D6">
        <w:rPr>
          <w:rFonts w:ascii="Palatino Linotype" w:hAnsi="Palatino Linotype" w:eastAsia="Palatino Linotype" w:cs="Times New Roman"/>
          <w:kern w:val="0"/>
          <w14:ligatures w14:val="none"/>
        </w:rPr>
        <w:t>aggregators, EVSPs, automotive OEMs, CBOs, and any other firms that help facilitate ORCHARD</w:t>
      </w:r>
      <w:r w:rsidR="000A48E2">
        <w:rPr>
          <w:rFonts w:ascii="Palatino Linotype" w:hAnsi="Palatino Linotype" w:eastAsia="Palatino Linotype" w:cs="Times New Roman"/>
          <w:kern w:val="0"/>
          <w14:ligatures w14:val="none"/>
        </w:rPr>
        <w:t xml:space="preserve">, including the number of </w:t>
      </w:r>
      <w:r w:rsidR="002F32D6">
        <w:rPr>
          <w:rFonts w:ascii="Palatino Linotype" w:hAnsi="Palatino Linotype" w:eastAsia="Palatino Linotype" w:cs="Times New Roman"/>
          <w:kern w:val="0"/>
          <w14:ligatures w14:val="none"/>
        </w:rPr>
        <w:t xml:space="preserve">partnerships, </w:t>
      </w:r>
      <w:r w:rsidR="00EA726C">
        <w:rPr>
          <w:rFonts w:ascii="Palatino Linotype" w:hAnsi="Palatino Linotype" w:eastAsia="Palatino Linotype" w:cs="Times New Roman"/>
          <w:kern w:val="0"/>
          <w14:ligatures w14:val="none"/>
        </w:rPr>
        <w:t xml:space="preserve">the names of the </w:t>
      </w:r>
      <w:r w:rsidR="00064FB8">
        <w:rPr>
          <w:rFonts w:ascii="Palatino Linotype" w:hAnsi="Palatino Linotype" w:eastAsia="Palatino Linotype" w:cs="Times New Roman"/>
          <w:kern w:val="0"/>
          <w14:ligatures w14:val="none"/>
        </w:rPr>
        <w:t>firms entering such partnerships with SCE</w:t>
      </w:r>
      <w:r w:rsidR="00EA726C">
        <w:rPr>
          <w:rFonts w:ascii="Palatino Linotype" w:hAnsi="Palatino Linotype" w:eastAsia="Palatino Linotype" w:cs="Times New Roman"/>
          <w:kern w:val="0"/>
          <w14:ligatures w14:val="none"/>
        </w:rPr>
        <w:t xml:space="preserve">, and any </w:t>
      </w:r>
      <w:r w:rsidR="00F62897">
        <w:rPr>
          <w:rFonts w:ascii="Palatino Linotype" w:hAnsi="Palatino Linotype" w:eastAsia="Palatino Linotype" w:cs="Times New Roman"/>
          <w:kern w:val="0"/>
          <w14:ligatures w14:val="none"/>
        </w:rPr>
        <w:t>opportunities and challenges</w:t>
      </w:r>
      <w:r w:rsidR="00064FB8">
        <w:rPr>
          <w:rFonts w:ascii="Palatino Linotype" w:hAnsi="Palatino Linotype" w:eastAsia="Palatino Linotype" w:cs="Times New Roman"/>
          <w:kern w:val="0"/>
          <w14:ligatures w14:val="none"/>
        </w:rPr>
        <w:t xml:space="preserve"> in establishing </w:t>
      </w:r>
      <w:r w:rsidR="00A2389A">
        <w:rPr>
          <w:rFonts w:ascii="Palatino Linotype" w:hAnsi="Palatino Linotype" w:eastAsia="Palatino Linotype" w:cs="Times New Roman"/>
          <w:kern w:val="0"/>
          <w14:ligatures w14:val="none"/>
        </w:rPr>
        <w:t>such partnerships</w:t>
      </w:r>
      <w:r w:rsidR="00A6287E">
        <w:rPr>
          <w:rFonts w:ascii="Palatino Linotype" w:hAnsi="Palatino Linotype" w:eastAsia="Palatino Linotype" w:cs="Times New Roman"/>
          <w:kern w:val="0"/>
          <w14:ligatures w14:val="none"/>
        </w:rPr>
        <w:t xml:space="preserve">. </w:t>
      </w:r>
      <w:r w:rsidR="004E0305">
        <w:rPr>
          <w:rFonts w:ascii="Palatino Linotype" w:hAnsi="Palatino Linotype" w:eastAsia="Palatino Linotype" w:cs="Times New Roman"/>
          <w:kern w:val="0"/>
          <w14:ligatures w14:val="none"/>
        </w:rPr>
        <w:t xml:space="preserve">Such updates should be shared </w:t>
      </w:r>
      <w:r w:rsidR="000A48E2">
        <w:rPr>
          <w:rFonts w:ascii="Palatino Linotype" w:hAnsi="Palatino Linotype" w:eastAsia="Palatino Linotype" w:cs="Times New Roman"/>
          <w:kern w:val="0"/>
          <w14:ligatures w14:val="none"/>
        </w:rPr>
        <w:t xml:space="preserve">quarterly </w:t>
      </w:r>
      <w:r w:rsidR="004E0305">
        <w:rPr>
          <w:rFonts w:ascii="Palatino Linotype" w:hAnsi="Palatino Linotype" w:eastAsia="Palatino Linotype" w:cs="Times New Roman"/>
          <w:kern w:val="0"/>
          <w14:ligatures w14:val="none"/>
        </w:rPr>
        <w:t xml:space="preserve">via email with Energy Division staff. </w:t>
      </w:r>
    </w:p>
    <w:p w:rsidRPr="00A13F84" w:rsidR="001E1467" w:rsidP="00A13F84" w:rsidRDefault="001E1467" w14:paraId="7BEA162C" w14:textId="77777777">
      <w:pPr>
        <w:spacing w:after="0" w:line="240" w:lineRule="auto"/>
        <w:rPr>
          <w:rFonts w:ascii="Palatino Linotype" w:hAnsi="Palatino Linotype" w:eastAsia="Palatino Linotype" w:cs="Times New Roman"/>
          <w:kern w:val="0"/>
          <w14:ligatures w14:val="none"/>
        </w:rPr>
      </w:pPr>
    </w:p>
    <w:p w:rsidRPr="003300B0" w:rsidR="00231368" w:rsidP="00E76337" w:rsidRDefault="00231368" w14:paraId="1A69A636" w14:textId="77777777">
      <w:pPr>
        <w:pStyle w:val="Heading3"/>
        <w:numPr>
          <w:ilvl w:val="0"/>
          <w:numId w:val="28"/>
        </w:numPr>
        <w:spacing w:before="0" w:after="120" w:line="240" w:lineRule="auto"/>
        <w:rPr>
          <w:rFonts w:ascii="Palatino Linotype" w:hAnsi="Palatino Linotype" w:eastAsia="Palatino Linotype"/>
          <w:sz w:val="24"/>
          <w:szCs w:val="24"/>
        </w:rPr>
      </w:pPr>
      <w:r w:rsidRPr="003300B0">
        <w:rPr>
          <w:rFonts w:ascii="Palatino Linotype" w:hAnsi="Palatino Linotype" w:eastAsia="Palatino Linotype"/>
          <w:sz w:val="24"/>
          <w:szCs w:val="24"/>
        </w:rPr>
        <w:t xml:space="preserve">Data </w:t>
      </w:r>
    </w:p>
    <w:p w:rsidR="007A2880" w:rsidP="000100BB" w:rsidRDefault="008C06D3" w14:paraId="4EE976E7" w14:textId="7C7F7A28">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w:t>
      </w:r>
      <w:r w:rsidRPr="008C06D3" w:rsidR="00AA4899">
        <w:rPr>
          <w:rFonts w:ascii="Palatino Linotype" w:hAnsi="Palatino Linotype" w:eastAsia="Palatino Linotype" w:cs="Times New Roman"/>
          <w:kern w:val="0"/>
          <w14:ligatures w14:val="none"/>
        </w:rPr>
        <w:t>hile</w:t>
      </w:r>
      <w:r w:rsidRPr="007607CC" w:rsidR="007607CC">
        <w:rPr>
          <w:rFonts w:ascii="Palatino Linotype" w:hAnsi="Palatino Linotype" w:eastAsia="Palatino Linotype" w:cs="Times New Roman"/>
          <w:kern w:val="0"/>
          <w14:ligatures w14:val="none"/>
        </w:rPr>
        <w:t xml:space="preserve"> the </w:t>
      </w:r>
      <w:r w:rsidR="007863B5">
        <w:rPr>
          <w:rFonts w:ascii="Palatino Linotype" w:hAnsi="Palatino Linotype" w:eastAsia="Palatino Linotype" w:cs="Times New Roman"/>
          <w:kern w:val="0"/>
          <w14:ligatures w14:val="none"/>
        </w:rPr>
        <w:t xml:space="preserve">CPUC </w:t>
      </w:r>
      <w:r w:rsidR="007A08F8">
        <w:rPr>
          <w:rFonts w:ascii="Palatino Linotype" w:hAnsi="Palatino Linotype" w:eastAsia="Palatino Linotype" w:cs="Times New Roman"/>
          <w:kern w:val="0"/>
          <w14:ligatures w14:val="none"/>
        </w:rPr>
        <w:t>does</w:t>
      </w:r>
      <w:r w:rsidRPr="007607CC" w:rsidR="007607CC">
        <w:rPr>
          <w:rFonts w:ascii="Palatino Linotype" w:hAnsi="Palatino Linotype" w:eastAsia="Palatino Linotype" w:cs="Times New Roman"/>
          <w:kern w:val="0"/>
          <w14:ligatures w14:val="none"/>
        </w:rPr>
        <w:t xml:space="preserve"> not </w:t>
      </w:r>
      <w:r w:rsidR="00A604BF">
        <w:rPr>
          <w:rFonts w:ascii="Palatino Linotype" w:hAnsi="Palatino Linotype" w:eastAsia="Palatino Linotype" w:cs="Times New Roman"/>
          <w:kern w:val="0"/>
          <w14:ligatures w14:val="none"/>
        </w:rPr>
        <w:t>maintain regulatory authority to require</w:t>
      </w:r>
      <w:r w:rsidRPr="008C06D3" w:rsidR="00AA4899">
        <w:rPr>
          <w:rFonts w:ascii="Palatino Linotype" w:hAnsi="Palatino Linotype" w:eastAsia="Palatino Linotype" w:cs="Times New Roman"/>
          <w:kern w:val="0"/>
          <w14:ligatures w14:val="none"/>
        </w:rPr>
        <w:t xml:space="preserve"> </w:t>
      </w:r>
      <w:r w:rsidRPr="007607CC" w:rsidR="007607CC">
        <w:rPr>
          <w:rFonts w:ascii="Palatino Linotype" w:hAnsi="Palatino Linotype" w:eastAsia="Palatino Linotype" w:cs="Times New Roman"/>
          <w:kern w:val="0"/>
          <w14:ligatures w14:val="none"/>
        </w:rPr>
        <w:t xml:space="preserve">the </w:t>
      </w:r>
      <w:r w:rsidR="0099127C">
        <w:rPr>
          <w:rFonts w:ascii="Palatino Linotype" w:hAnsi="Palatino Linotype" w:eastAsia="Palatino Linotype" w:cs="Times New Roman"/>
          <w:kern w:val="0"/>
          <w14:ligatures w14:val="none"/>
        </w:rPr>
        <w:t xml:space="preserve">automotive </w:t>
      </w:r>
      <w:r w:rsidRPr="008C06D3" w:rsidR="00AA4899">
        <w:rPr>
          <w:rFonts w:ascii="Palatino Linotype" w:hAnsi="Palatino Linotype" w:eastAsia="Palatino Linotype" w:cs="Times New Roman"/>
          <w:kern w:val="0"/>
          <w14:ligatures w14:val="none"/>
        </w:rPr>
        <w:t xml:space="preserve">OEMs to </w:t>
      </w:r>
      <w:r w:rsidR="00AA4899">
        <w:rPr>
          <w:rFonts w:ascii="Palatino Linotype" w:hAnsi="Palatino Linotype" w:eastAsia="Palatino Linotype" w:cs="Times New Roman"/>
          <w:kern w:val="0"/>
          <w14:ligatures w14:val="none"/>
        </w:rPr>
        <w:t xml:space="preserve">provide </w:t>
      </w:r>
      <w:r w:rsidR="00AF0985">
        <w:rPr>
          <w:rFonts w:ascii="Palatino Linotype" w:hAnsi="Palatino Linotype" w:eastAsia="Palatino Linotype" w:cs="Times New Roman"/>
          <w:kern w:val="0"/>
          <w14:ligatures w14:val="none"/>
        </w:rPr>
        <w:t xml:space="preserve">SCE or CPUC with </w:t>
      </w:r>
      <w:r w:rsidR="001C343D">
        <w:rPr>
          <w:rFonts w:ascii="Palatino Linotype" w:hAnsi="Palatino Linotype" w:eastAsia="Palatino Linotype" w:cs="Times New Roman"/>
          <w:kern w:val="0"/>
          <w14:ligatures w14:val="none"/>
        </w:rPr>
        <w:t xml:space="preserve">vehicle telemetry </w:t>
      </w:r>
      <w:r w:rsidR="00AA4899">
        <w:rPr>
          <w:rFonts w:ascii="Palatino Linotype" w:hAnsi="Palatino Linotype" w:eastAsia="Palatino Linotype" w:cs="Times New Roman"/>
          <w:kern w:val="0"/>
          <w14:ligatures w14:val="none"/>
        </w:rPr>
        <w:t>data</w:t>
      </w:r>
      <w:r w:rsidR="009E07E2">
        <w:rPr>
          <w:rFonts w:ascii="Palatino Linotype" w:hAnsi="Palatino Linotype" w:eastAsia="Palatino Linotype" w:cs="Times New Roman"/>
          <w:kern w:val="0"/>
          <w14:ligatures w14:val="none"/>
        </w:rPr>
        <w:t>, as some parties propose</w:t>
      </w:r>
      <w:r w:rsidR="00AA4899">
        <w:rPr>
          <w:rFonts w:ascii="Palatino Linotype" w:hAnsi="Palatino Linotype" w:eastAsia="Palatino Linotype" w:cs="Times New Roman"/>
          <w:kern w:val="0"/>
          <w14:ligatures w14:val="none"/>
        </w:rPr>
        <w:t xml:space="preserve">, we do encourage SCE to work with </w:t>
      </w:r>
      <w:r w:rsidR="0039618D">
        <w:rPr>
          <w:rFonts w:ascii="Palatino Linotype" w:hAnsi="Palatino Linotype" w:eastAsia="Palatino Linotype" w:cs="Times New Roman"/>
          <w:kern w:val="0"/>
          <w14:ligatures w14:val="none"/>
        </w:rPr>
        <w:t>the</w:t>
      </w:r>
      <w:r w:rsidRPr="008C06D3" w:rsidR="00AA4899">
        <w:rPr>
          <w:rFonts w:ascii="Palatino Linotype" w:hAnsi="Palatino Linotype" w:eastAsia="Palatino Linotype" w:cs="Times New Roman"/>
          <w:kern w:val="0"/>
          <w14:ligatures w14:val="none"/>
        </w:rPr>
        <w:t xml:space="preserve"> </w:t>
      </w:r>
      <w:r w:rsidR="00AA4899">
        <w:rPr>
          <w:rFonts w:ascii="Palatino Linotype" w:hAnsi="Palatino Linotype" w:eastAsia="Palatino Linotype" w:cs="Times New Roman"/>
          <w:kern w:val="0"/>
          <w14:ligatures w14:val="none"/>
        </w:rPr>
        <w:t>OEMs to leverage th</w:t>
      </w:r>
      <w:r w:rsidR="001C343D">
        <w:rPr>
          <w:rFonts w:ascii="Palatino Linotype" w:hAnsi="Palatino Linotype" w:eastAsia="Palatino Linotype" w:cs="Times New Roman"/>
          <w:kern w:val="0"/>
          <w14:ligatures w14:val="none"/>
        </w:rPr>
        <w:t>ese</w:t>
      </w:r>
      <w:r w:rsidR="00AA4899">
        <w:rPr>
          <w:rFonts w:ascii="Palatino Linotype" w:hAnsi="Palatino Linotype" w:eastAsia="Palatino Linotype" w:cs="Times New Roman"/>
          <w:kern w:val="0"/>
          <w14:ligatures w14:val="none"/>
        </w:rPr>
        <w:t xml:space="preserve"> data </w:t>
      </w:r>
      <w:r w:rsidR="001C343D">
        <w:rPr>
          <w:rFonts w:ascii="Palatino Linotype" w:hAnsi="Palatino Linotype" w:eastAsia="Palatino Linotype" w:cs="Times New Roman"/>
          <w:kern w:val="0"/>
          <w14:ligatures w14:val="none"/>
        </w:rPr>
        <w:t xml:space="preserve">points </w:t>
      </w:r>
      <w:r w:rsidR="0039618D">
        <w:rPr>
          <w:rFonts w:ascii="Palatino Linotype" w:hAnsi="Palatino Linotype" w:eastAsia="Palatino Linotype" w:cs="Times New Roman"/>
          <w:kern w:val="0"/>
          <w14:ligatures w14:val="none"/>
        </w:rPr>
        <w:t xml:space="preserve">when possible. </w:t>
      </w:r>
      <w:r w:rsidR="003608A6">
        <w:rPr>
          <w:rFonts w:ascii="Palatino Linotype" w:hAnsi="Palatino Linotype" w:eastAsia="Palatino Linotype" w:cs="Times New Roman"/>
          <w:kern w:val="0"/>
          <w14:ligatures w14:val="none"/>
        </w:rPr>
        <w:t xml:space="preserve">We </w:t>
      </w:r>
      <w:r w:rsidRPr="00C17E47" w:rsidR="007A2880">
        <w:rPr>
          <w:rFonts w:ascii="Palatino Linotype" w:hAnsi="Palatino Linotype" w:eastAsia="Palatino Linotype" w:cs="Times New Roman"/>
          <w:kern w:val="0"/>
          <w14:ligatures w14:val="none"/>
        </w:rPr>
        <w:t xml:space="preserve">reject </w:t>
      </w:r>
      <w:r w:rsidR="007A2880">
        <w:rPr>
          <w:rFonts w:ascii="Palatino Linotype" w:hAnsi="Palatino Linotype" w:eastAsia="Palatino Linotype" w:cs="Times New Roman"/>
          <w:kern w:val="0"/>
          <w14:ligatures w14:val="none"/>
        </w:rPr>
        <w:t xml:space="preserve">this </w:t>
      </w:r>
      <w:r w:rsidR="00381502">
        <w:rPr>
          <w:rFonts w:ascii="Palatino Linotype" w:hAnsi="Palatino Linotype" w:eastAsia="Palatino Linotype" w:cs="Times New Roman"/>
          <w:kern w:val="0"/>
          <w14:ligatures w14:val="none"/>
        </w:rPr>
        <w:t>proposition as it</w:t>
      </w:r>
      <w:r w:rsidRPr="00C17E47" w:rsidR="007A2880">
        <w:rPr>
          <w:rFonts w:ascii="Palatino Linotype" w:hAnsi="Palatino Linotype" w:eastAsia="Palatino Linotype" w:cs="Times New Roman"/>
          <w:kern w:val="0"/>
          <w14:ligatures w14:val="none"/>
        </w:rPr>
        <w:t xml:space="preserve"> </w:t>
      </w:r>
      <w:r w:rsidR="0049499F">
        <w:rPr>
          <w:rFonts w:ascii="Palatino Linotype" w:hAnsi="Palatino Linotype" w:eastAsia="Palatino Linotype" w:cs="Times New Roman"/>
          <w:kern w:val="0"/>
          <w14:ligatures w14:val="none"/>
        </w:rPr>
        <w:t>beyond the scope of this Resolution and</w:t>
      </w:r>
      <w:r w:rsidR="007A2880">
        <w:rPr>
          <w:rFonts w:ascii="Palatino Linotype" w:hAnsi="Palatino Linotype" w:eastAsia="Palatino Linotype" w:cs="Times New Roman"/>
          <w:kern w:val="0"/>
          <w14:ligatures w14:val="none"/>
        </w:rPr>
        <w:t xml:space="preserve"> should be addressed in </w:t>
      </w:r>
      <w:r w:rsidR="00381502">
        <w:rPr>
          <w:rFonts w:ascii="Palatino Linotype" w:hAnsi="Palatino Linotype" w:eastAsia="Palatino Linotype" w:cs="Times New Roman"/>
          <w:kern w:val="0"/>
          <w14:ligatures w14:val="none"/>
        </w:rPr>
        <w:t>another more appropriate</w:t>
      </w:r>
      <w:r w:rsidR="007A2880">
        <w:rPr>
          <w:rFonts w:ascii="Palatino Linotype" w:hAnsi="Palatino Linotype" w:eastAsia="Palatino Linotype" w:cs="Times New Roman"/>
          <w:kern w:val="0"/>
          <w14:ligatures w14:val="none"/>
        </w:rPr>
        <w:t xml:space="preserve"> venue</w:t>
      </w:r>
      <w:r w:rsidR="00381502">
        <w:rPr>
          <w:rFonts w:ascii="Palatino Linotype" w:hAnsi="Palatino Linotype" w:eastAsia="Palatino Linotype" w:cs="Times New Roman"/>
          <w:kern w:val="0"/>
          <w14:ligatures w14:val="none"/>
        </w:rPr>
        <w:t>.</w:t>
      </w:r>
      <w:r w:rsidR="007A2880">
        <w:rPr>
          <w:rFonts w:ascii="Palatino Linotype" w:hAnsi="Palatino Linotype" w:eastAsia="Palatino Linotype" w:cs="Times New Roman"/>
          <w:kern w:val="0"/>
          <w14:ligatures w14:val="none"/>
        </w:rPr>
        <w:t xml:space="preserve"> </w:t>
      </w:r>
    </w:p>
    <w:p w:rsidRPr="00A13F84" w:rsidR="00A13F84" w:rsidP="00A13F84" w:rsidRDefault="00A13F84" w14:paraId="4FB5A292"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4C6243A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w:t>
      </w:r>
      <w:r w:rsidRPr="001942D0">
        <w:rPr>
          <w:rFonts w:ascii="Palatino Linotype" w:hAnsi="Palatino Linotype" w:eastAsia="Palatino Linotype" w:cs="Times New Roman"/>
          <w:kern w:val="0"/>
          <w14:ligatures w14:val="none"/>
        </w:rPr>
        <w:lastRenderedPageBreak/>
        <w:t>20 days of the date of its mailing and publication on the C</w:t>
      </w:r>
      <w:r w:rsidR="00334FED">
        <w:rPr>
          <w:rFonts w:ascii="Palatino Linotype" w:hAnsi="Palatino Linotype" w:eastAsia="Palatino Linotype" w:cs="Times New Roman"/>
          <w:kern w:val="0"/>
          <w14:ligatures w14:val="none"/>
        </w:rPr>
        <w:t>PUC</w:t>
      </w:r>
      <w:r w:rsidRPr="001942D0">
        <w:rPr>
          <w:rFonts w:ascii="Palatino Linotype" w:hAnsi="Palatino Linotype" w:eastAsia="Palatino Linotype" w:cs="Times New Roman"/>
          <w:kern w:val="0"/>
          <w14:ligatures w14:val="none"/>
        </w:rPr>
        <w:t xml:space="preserve">’s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15BA3F0C">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w:t>
      </w:r>
      <w:r w:rsidR="00334FED">
        <w:rPr>
          <w:rFonts w:ascii="Palatino Linotype" w:hAnsi="Palatino Linotype" w:eastAsia="Palatino Linotype" w:cs="Times New Roman"/>
          <w:kern w:val="0"/>
          <w14:ligatures w14:val="none"/>
        </w:rPr>
        <w:t>PUC</w:t>
      </w:r>
      <w:r w:rsidRPr="001942D0">
        <w:rPr>
          <w:rFonts w:ascii="Palatino Linotype" w:hAnsi="Palatino Linotype" w:eastAsia="Palatino Linotype" w:cs="Times New Roman"/>
          <w:kern w:val="0"/>
          <w14:ligatures w14:val="none"/>
        </w:rPr>
        <w:t>'s agenda no earlier than 30 days from today.</w:t>
      </w:r>
    </w:p>
    <w:p w:rsidR="00A76F4A" w:rsidP="00A76F4A" w:rsidRDefault="00A76F4A" w14:paraId="0F72D7BB" w14:textId="77777777">
      <w:pPr>
        <w:spacing w:after="0" w:line="240" w:lineRule="auto"/>
        <w:rPr>
          <w:rFonts w:ascii="Palatino Linotype" w:hAnsi="Palatino Linotype" w:eastAsia="Palatino Linotype" w:cs="Times New Roman"/>
          <w:b/>
          <w:kern w:val="0"/>
          <w14:ligatures w14:val="none"/>
        </w:rPr>
      </w:pPr>
    </w:p>
    <w:p w:rsidRPr="001942D0" w:rsidR="00A76F4A" w:rsidP="5D16835D" w:rsidRDefault="00A76F4A" w14:paraId="46563B5C" w14:textId="1CEFCDA2">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D16835D">
        <w:rPr>
          <w:rFonts w:ascii="Palatino Linotype" w:hAnsi="Palatino Linotype" w:eastAsia="Palatino Linotype" w:cs="Times New Roman"/>
          <w:b/>
          <w:bCs/>
          <w:caps/>
          <w:kern w:val="28"/>
          <w:u w:val="single"/>
          <w14:ligatures w14:val="none"/>
        </w:rPr>
        <w:t xml:space="preserve">Findings </w:t>
      </w:r>
    </w:p>
    <w:p w:rsidRPr="00261F16" w:rsidR="00261F16" w:rsidP="00A76F4A" w:rsidRDefault="00044528" w14:paraId="2C9B4D6E"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w:t>
      </w:r>
      <w:r w:rsidR="0068738D">
        <w:rPr>
          <w:rFonts w:ascii="Palatino Linotype" w:hAnsi="Palatino Linotype" w:eastAsia="Palatino Linotype" w:cs="Times New Roman"/>
          <w:kern w:val="0"/>
          <w14:ligatures w14:val="none"/>
        </w:rPr>
        <w:t xml:space="preserve"> L</w:t>
      </w:r>
      <w:r w:rsidRPr="00364523" w:rsidR="00F72603">
        <w:rPr>
          <w:rFonts w:ascii="Palatino Linotype" w:hAnsi="Palatino Linotype" w:eastAsia="Times New Roman" w:cs="Times New Roman"/>
          <w:kern w:val="0"/>
          <w14:ligatures w14:val="none"/>
        </w:rPr>
        <w:t>ow</w:t>
      </w:r>
      <w:r w:rsidR="0068738D">
        <w:rPr>
          <w:rFonts w:ascii="Palatino Linotype" w:hAnsi="Palatino Linotype" w:eastAsia="Times New Roman" w:cs="Times New Roman"/>
          <w:kern w:val="0"/>
          <w14:ligatures w14:val="none"/>
        </w:rPr>
        <w:t xml:space="preserve"> C</w:t>
      </w:r>
      <w:r w:rsidRPr="00364523" w:rsidR="00F72603">
        <w:rPr>
          <w:rFonts w:ascii="Palatino Linotype" w:hAnsi="Palatino Linotype" w:eastAsia="Times New Roman" w:cs="Times New Roman"/>
          <w:kern w:val="0"/>
          <w14:ligatures w14:val="none"/>
        </w:rPr>
        <w:t xml:space="preserve">arbon </w:t>
      </w:r>
      <w:r w:rsidR="0068738D">
        <w:rPr>
          <w:rFonts w:ascii="Palatino Linotype" w:hAnsi="Palatino Linotype" w:eastAsia="Times New Roman" w:cs="Times New Roman"/>
          <w:kern w:val="0"/>
          <w14:ligatures w14:val="none"/>
        </w:rPr>
        <w:t xml:space="preserve">Fuel Standard (LCFS) </w:t>
      </w:r>
      <w:r w:rsidRPr="00364523" w:rsidR="00F72603">
        <w:rPr>
          <w:rFonts w:ascii="Palatino Linotype" w:hAnsi="Palatino Linotype" w:eastAsia="Times New Roman" w:cs="Times New Roman"/>
          <w:kern w:val="0"/>
          <w14:ligatures w14:val="none"/>
        </w:rPr>
        <w:t>fuel providers</w:t>
      </w:r>
      <w:r w:rsidR="00F72603">
        <w:rPr>
          <w:rFonts w:ascii="Palatino Linotype" w:hAnsi="Palatino Linotype" w:eastAsia="Times New Roman" w:cs="Times New Roman"/>
          <w:kern w:val="0"/>
          <w14:ligatures w14:val="none"/>
        </w:rPr>
        <w:t xml:space="preserve">, </w:t>
      </w:r>
      <w:r w:rsidRPr="00364523" w:rsidR="00F72603">
        <w:rPr>
          <w:rFonts w:ascii="Palatino Linotype" w:hAnsi="Palatino Linotype" w:eastAsia="Times New Roman" w:cs="Times New Roman"/>
          <w:kern w:val="0"/>
          <w14:ligatures w14:val="none"/>
        </w:rPr>
        <w:t>incl</w:t>
      </w:r>
      <w:r w:rsidR="00F72603">
        <w:rPr>
          <w:rFonts w:ascii="Palatino Linotype" w:hAnsi="Palatino Linotype" w:eastAsia="Times New Roman" w:cs="Times New Roman"/>
          <w:kern w:val="0"/>
          <w14:ligatures w14:val="none"/>
        </w:rPr>
        <w:t>uding</w:t>
      </w:r>
      <w:r w:rsidRPr="00364523" w:rsidR="00F72603">
        <w:rPr>
          <w:rFonts w:ascii="Palatino Linotype" w:hAnsi="Palatino Linotype" w:eastAsia="Times New Roman" w:cs="Times New Roman"/>
          <w:kern w:val="0"/>
          <w14:ligatures w14:val="none"/>
        </w:rPr>
        <w:t xml:space="preserve"> electric</w:t>
      </w:r>
      <w:r w:rsidR="00F72603">
        <w:rPr>
          <w:rFonts w:ascii="Palatino Linotype" w:hAnsi="Palatino Linotype" w:eastAsia="Times New Roman" w:cs="Times New Roman"/>
          <w:kern w:val="0"/>
          <w14:ligatures w14:val="none"/>
        </w:rPr>
        <w:t>al distribution utilities,</w:t>
      </w:r>
      <w:r w:rsidRPr="00364523" w:rsidR="00F72603">
        <w:rPr>
          <w:rFonts w:ascii="Palatino Linotype" w:hAnsi="Palatino Linotype" w:eastAsia="Times New Roman" w:cs="Times New Roman"/>
          <w:kern w:val="0"/>
          <w14:ligatures w14:val="none"/>
        </w:rPr>
        <w:t xml:space="preserve"> generate LCFS credits by obtaining </w:t>
      </w:r>
      <w:r w:rsidR="00F72603">
        <w:rPr>
          <w:rFonts w:ascii="Palatino Linotype" w:hAnsi="Palatino Linotype" w:eastAsia="Times New Roman" w:cs="Times New Roman"/>
          <w:kern w:val="0"/>
          <w14:ligatures w14:val="none"/>
        </w:rPr>
        <w:t xml:space="preserve">carbon intensity </w:t>
      </w:r>
      <w:r w:rsidRPr="00364523" w:rsidR="00F72603">
        <w:rPr>
          <w:rFonts w:ascii="Palatino Linotype" w:hAnsi="Palatino Linotype" w:eastAsia="Times New Roman" w:cs="Times New Roman"/>
          <w:kern w:val="0"/>
          <w14:ligatures w14:val="none"/>
        </w:rPr>
        <w:t>certifi</w:t>
      </w:r>
      <w:r w:rsidR="00F72603">
        <w:rPr>
          <w:rFonts w:ascii="Palatino Linotype" w:hAnsi="Palatino Linotype" w:eastAsia="Times New Roman" w:cs="Times New Roman"/>
          <w:kern w:val="0"/>
          <w14:ligatures w14:val="none"/>
        </w:rPr>
        <w:t>cation</w:t>
      </w:r>
      <w:r w:rsidRPr="00364523" w:rsidR="00F72603">
        <w:rPr>
          <w:rFonts w:ascii="Palatino Linotype" w:hAnsi="Palatino Linotype" w:eastAsia="Times New Roman" w:cs="Times New Roman"/>
          <w:kern w:val="0"/>
          <w14:ligatures w14:val="none"/>
        </w:rPr>
        <w:t xml:space="preserve"> by </w:t>
      </w:r>
      <w:r w:rsidR="00261F16">
        <w:rPr>
          <w:rFonts w:ascii="Palatino Linotype" w:hAnsi="Palatino Linotype" w:eastAsia="Times New Roman" w:cs="Times New Roman"/>
          <w:kern w:val="0"/>
          <w14:ligatures w14:val="none"/>
        </w:rPr>
        <w:t>the California Air Resources Board</w:t>
      </w:r>
      <w:r w:rsidRPr="00364523" w:rsidR="00F72603">
        <w:rPr>
          <w:rFonts w:ascii="Palatino Linotype" w:hAnsi="Palatino Linotype" w:eastAsia="Times New Roman" w:cs="Times New Roman"/>
          <w:kern w:val="0"/>
          <w14:ligatures w14:val="none"/>
        </w:rPr>
        <w:t xml:space="preserve"> and reporting transaction quantities quarterly</w:t>
      </w:r>
      <w:r w:rsidR="00F72603">
        <w:rPr>
          <w:rFonts w:ascii="Palatino Linotype" w:hAnsi="Palatino Linotype" w:eastAsia="Times New Roman" w:cs="Times New Roman"/>
          <w:kern w:val="0"/>
          <w14:ligatures w14:val="none"/>
        </w:rPr>
        <w:t xml:space="preserve">. </w:t>
      </w:r>
    </w:p>
    <w:p w:rsidR="00044528" w:rsidP="00A76F4A" w:rsidRDefault="00F72603" w14:paraId="15255359" w14:textId="4671D112">
      <w:pPr>
        <w:numPr>
          <w:ilvl w:val="0"/>
          <w:numId w:val="1"/>
        </w:numPr>
        <w:spacing w:after="0" w:line="240" w:lineRule="auto"/>
        <w:rPr>
          <w:rFonts w:ascii="Palatino Linotype" w:hAnsi="Palatino Linotype" w:eastAsia="Palatino Linotype" w:cs="Times New Roman"/>
          <w:kern w:val="0"/>
          <w14:ligatures w14:val="none"/>
        </w:rPr>
      </w:pPr>
      <w:r w:rsidRPr="001A1EF5">
        <w:rPr>
          <w:rFonts w:ascii="Palatino Linotype" w:hAnsi="Palatino Linotype" w:eastAsia="Times New Roman" w:cs="Times New Roman"/>
          <w:kern w:val="0"/>
          <w14:ligatures w14:val="none"/>
        </w:rPr>
        <w:t>E</w:t>
      </w:r>
      <w:r w:rsidR="005C1A7F">
        <w:rPr>
          <w:rFonts w:ascii="Palatino Linotype" w:hAnsi="Palatino Linotype" w:eastAsia="Times New Roman" w:cs="Times New Roman"/>
          <w:kern w:val="0"/>
          <w14:ligatures w14:val="none"/>
        </w:rPr>
        <w:t>lectrical distribution utilities</w:t>
      </w:r>
      <w:r w:rsidRPr="001A1EF5">
        <w:rPr>
          <w:rFonts w:ascii="Palatino Linotype" w:hAnsi="Palatino Linotype" w:eastAsia="Times New Roman" w:cs="Times New Roman"/>
          <w:kern w:val="0"/>
          <w14:ligatures w14:val="none"/>
        </w:rPr>
        <w:t xml:space="preserve"> generate</w:t>
      </w:r>
      <w:r>
        <w:rPr>
          <w:rFonts w:ascii="Palatino Linotype" w:hAnsi="Palatino Linotype" w:eastAsia="Times New Roman" w:cs="Times New Roman"/>
          <w:kern w:val="0"/>
          <w14:ligatures w14:val="none"/>
        </w:rPr>
        <w:t xml:space="preserve"> base</w:t>
      </w:r>
      <w:r w:rsidRPr="001A1EF5">
        <w:rPr>
          <w:rFonts w:ascii="Palatino Linotype" w:hAnsi="Palatino Linotype" w:eastAsia="Times New Roman" w:cs="Times New Roman"/>
          <w:kern w:val="0"/>
          <w14:ligatures w14:val="none"/>
        </w:rPr>
        <w:t xml:space="preserve"> credits for </w:t>
      </w:r>
      <w:r>
        <w:rPr>
          <w:rFonts w:ascii="Palatino Linotype" w:hAnsi="Palatino Linotype" w:eastAsia="Times New Roman" w:cs="Times New Roman"/>
          <w:kern w:val="0"/>
          <w14:ligatures w14:val="none"/>
        </w:rPr>
        <w:t xml:space="preserve">supplying </w:t>
      </w:r>
      <w:r w:rsidRPr="001A1EF5">
        <w:rPr>
          <w:rFonts w:ascii="Palatino Linotype" w:hAnsi="Palatino Linotype" w:eastAsia="Times New Roman" w:cs="Times New Roman"/>
          <w:kern w:val="0"/>
          <w14:ligatures w14:val="none"/>
        </w:rPr>
        <w:t>electricity</w:t>
      </w:r>
      <w:r>
        <w:rPr>
          <w:rFonts w:ascii="Palatino Linotype" w:hAnsi="Palatino Linotype" w:eastAsia="Times New Roman" w:cs="Times New Roman"/>
          <w:kern w:val="0"/>
          <w14:ligatures w14:val="none"/>
        </w:rPr>
        <w:t xml:space="preserve"> to customers for EV charging</w:t>
      </w:r>
      <w:r w:rsidR="00A231AC">
        <w:rPr>
          <w:rFonts w:ascii="Palatino Linotype" w:hAnsi="Palatino Linotype" w:eastAsia="Times New Roman" w:cs="Times New Roman"/>
          <w:kern w:val="0"/>
          <w14:ligatures w14:val="none"/>
        </w:rPr>
        <w:t>, a</w:t>
      </w:r>
      <w:r w:rsidRPr="004F059F">
        <w:rPr>
          <w:rFonts w:ascii="Palatino Linotype" w:hAnsi="Palatino Linotype" w:eastAsia="Times New Roman" w:cs="Times New Roman"/>
          <w:kern w:val="0"/>
          <w14:ligatures w14:val="none"/>
        </w:rPr>
        <w:t xml:space="preserve"> portion of </w:t>
      </w:r>
      <w:r w:rsidR="00A231AC">
        <w:rPr>
          <w:rFonts w:ascii="Palatino Linotype" w:hAnsi="Palatino Linotype" w:eastAsia="Times New Roman" w:cs="Times New Roman"/>
          <w:kern w:val="0"/>
          <w14:ligatures w14:val="none"/>
        </w:rPr>
        <w:t>which</w:t>
      </w:r>
      <w:r w:rsidRPr="004F059F">
        <w:rPr>
          <w:rFonts w:ascii="Palatino Linotype" w:hAnsi="Palatino Linotype" w:eastAsia="Times New Roman" w:cs="Times New Roman"/>
          <w:kern w:val="0"/>
          <w14:ligatures w14:val="none"/>
        </w:rPr>
        <w:t xml:space="preserve"> go</w:t>
      </w:r>
      <w:r w:rsidR="00A231AC">
        <w:rPr>
          <w:rFonts w:ascii="Palatino Linotype" w:hAnsi="Palatino Linotype" w:eastAsia="Times New Roman" w:cs="Times New Roman"/>
          <w:kern w:val="0"/>
          <w14:ligatures w14:val="none"/>
        </w:rPr>
        <w:t>es</w:t>
      </w:r>
      <w:r w:rsidRPr="004F059F">
        <w:rPr>
          <w:rFonts w:ascii="Palatino Linotype" w:hAnsi="Palatino Linotype" w:eastAsia="Times New Roman" w:cs="Times New Roman"/>
          <w:kern w:val="0"/>
          <w14:ligatures w14:val="none"/>
        </w:rPr>
        <w:t xml:space="preserve"> toward the </w:t>
      </w:r>
      <w:r w:rsidR="000C786E">
        <w:rPr>
          <w:rFonts w:ascii="Palatino Linotype" w:hAnsi="Palatino Linotype" w:eastAsia="Times New Roman" w:cs="Times New Roman"/>
          <w:kern w:val="0"/>
          <w14:ligatures w14:val="none"/>
        </w:rPr>
        <w:t xml:space="preserve">California </w:t>
      </w:r>
      <w:r w:rsidRPr="004F059F">
        <w:rPr>
          <w:rFonts w:ascii="Palatino Linotype" w:hAnsi="Palatino Linotype" w:eastAsia="Times New Roman" w:cs="Times New Roman"/>
          <w:kern w:val="0"/>
          <w14:ligatures w14:val="none"/>
        </w:rPr>
        <w:t xml:space="preserve">Clean Fuel Reward Program while the remaining base credits (also called “holdback credits”) may be allocated toward </w:t>
      </w:r>
      <w:r w:rsidR="00A231AC">
        <w:rPr>
          <w:rFonts w:ascii="Palatino Linotype" w:hAnsi="Palatino Linotype" w:eastAsia="Times New Roman" w:cs="Times New Roman"/>
          <w:kern w:val="0"/>
          <w14:ligatures w14:val="none"/>
        </w:rPr>
        <w:t>utility</w:t>
      </w:r>
      <w:r w:rsidRPr="004F059F">
        <w:rPr>
          <w:rFonts w:ascii="Palatino Linotype" w:hAnsi="Palatino Linotype" w:eastAsia="Times New Roman" w:cs="Times New Roman"/>
          <w:kern w:val="0"/>
          <w14:ligatures w14:val="none"/>
        </w:rPr>
        <w:t>-led programs</w:t>
      </w:r>
      <w:r>
        <w:rPr>
          <w:rFonts w:ascii="Palatino Linotype" w:hAnsi="Palatino Linotype" w:eastAsia="Times New Roman" w:cs="Times New Roman"/>
          <w:kern w:val="0"/>
          <w14:ligatures w14:val="none"/>
        </w:rPr>
        <w:t>.</w:t>
      </w:r>
    </w:p>
    <w:p w:rsidR="002941ED" w:rsidP="00A76F4A" w:rsidRDefault="009B3BCE" w14:paraId="599ED9F3" w14:textId="6549201C">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Decision (D.)20-12-027 requires that the </w:t>
      </w:r>
      <w:r w:rsidR="00E90BBD">
        <w:rPr>
          <w:rFonts w:ascii="Palatino Linotype" w:hAnsi="Palatino Linotype" w:eastAsia="Palatino Linotype" w:cs="Times New Roman"/>
          <w:kern w:val="0"/>
          <w14:ligatures w14:val="none"/>
        </w:rPr>
        <w:t xml:space="preserve">electric </w:t>
      </w:r>
      <w:r>
        <w:rPr>
          <w:rFonts w:ascii="Palatino Linotype" w:hAnsi="Palatino Linotype" w:eastAsia="Palatino Linotype" w:cs="Times New Roman"/>
          <w:kern w:val="0"/>
          <w14:ligatures w14:val="none"/>
        </w:rPr>
        <w:t xml:space="preserve">investor-owned utilities file an initial Implementation Plan regarding their Low Carbon Fuel Standard (LCFS) Holdback funds, which must include: (1) a proposal for at least one program, and (2) a description for how the large IOUs plan to spend the rest of the funds, which shall include the status of the program development of the remaining program(s), an implementation timeline, and the approximate budget. </w:t>
      </w:r>
    </w:p>
    <w:p w:rsidR="008E50E0" w:rsidP="00A76F4A" w:rsidRDefault="008E50E0" w14:paraId="6D068DC5" w14:textId="5954BBB3">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D.20-12-027 required that the Implementation Plans </w:t>
      </w:r>
      <w:r w:rsidR="00804E03">
        <w:rPr>
          <w:rFonts w:ascii="Palatino Linotype" w:hAnsi="Palatino Linotype" w:eastAsia="Palatino Linotype" w:cs="Times New Roman"/>
          <w:kern w:val="0"/>
          <w14:ligatures w14:val="none"/>
        </w:rPr>
        <w:t xml:space="preserve">address certain general informational questions, as well as questions specific </w:t>
      </w:r>
      <w:r w:rsidR="00431D6B">
        <w:rPr>
          <w:rFonts w:ascii="Palatino Linotype" w:hAnsi="Palatino Linotype" w:eastAsia="Palatino Linotype" w:cs="Times New Roman"/>
          <w:kern w:val="0"/>
          <w14:ligatures w14:val="none"/>
        </w:rPr>
        <w:t xml:space="preserve">to the utility’s LCFS expenditures, program proposals, and specific programs. </w:t>
      </w:r>
    </w:p>
    <w:p w:rsidR="008E50E0" w:rsidP="00A76F4A" w:rsidRDefault="00431D6B" w14:paraId="04A0CF07" w14:textId="249CAD2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D.20-12-027, Ordering Paragraph 1, </w:t>
      </w:r>
      <w:r w:rsidR="00251C7A">
        <w:rPr>
          <w:rFonts w:ascii="Palatino Linotype" w:hAnsi="Palatino Linotype" w:eastAsia="Palatino Linotype" w:cs="Times New Roman"/>
          <w:kern w:val="0"/>
          <w14:ligatures w14:val="none"/>
        </w:rPr>
        <w:t xml:space="preserve">requires that the Implementation Plans demonstrate that a percentage of the holdback revenues are being utilized to fund equity and resiliency projects. </w:t>
      </w:r>
    </w:p>
    <w:p w:rsidR="008E50E0" w:rsidP="00A76F4A" w:rsidRDefault="00965DC5" w14:paraId="4B4F086C" w14:textId="2F61FB5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Pursuant to D.20-12-027, Ordering Paragraph 3, SCE submitted its 2021-2024 LCFS Holdback Implementation Plan with its request for an exemption to the requirements of </w:t>
      </w:r>
      <w:r w:rsidR="00892327">
        <w:rPr>
          <w:rFonts w:ascii="Palatino Linotype" w:hAnsi="Palatino Linotype" w:eastAsia="Palatino Linotype" w:cs="Times New Roman"/>
          <w:kern w:val="0"/>
          <w14:ligatures w14:val="none"/>
        </w:rPr>
        <w:t xml:space="preserve">PUC </w:t>
      </w:r>
      <w:r w:rsidR="000136C6">
        <w:rPr>
          <w:rFonts w:ascii="Palatino Linotype" w:hAnsi="Palatino Linotype" w:eastAsia="Palatino Linotype" w:cs="Times New Roman"/>
          <w:kern w:val="0"/>
          <w14:ligatures w14:val="none"/>
        </w:rPr>
        <w:t>Section 851 via AL 4518-E, filed on June 15, 2021, and as modified by AL 4518-E-A, filed on February 24, 2022.</w:t>
      </w:r>
    </w:p>
    <w:p w:rsidR="00D30646" w:rsidP="00A76F4A" w:rsidRDefault="00EB6667" w14:paraId="20DCA819" w14:textId="564B6A90">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 proposed nine distinct programs to be funded with Holdback revenue. </w:t>
      </w:r>
    </w:p>
    <w:p w:rsidR="00D30646" w:rsidP="00A76F4A" w:rsidRDefault="0088478D" w14:paraId="3D7CFA80" w14:textId="072787B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 xml:space="preserve">Resolution E-5236 authorized </w:t>
      </w:r>
      <w:r w:rsidR="00042B2E">
        <w:rPr>
          <w:rFonts w:ascii="Palatino Linotype" w:hAnsi="Palatino Linotype" w:eastAsia="Palatino Linotype" w:cs="Times New Roman"/>
          <w:kern w:val="0"/>
          <w14:ligatures w14:val="none"/>
        </w:rPr>
        <w:t xml:space="preserve">five of the programs, </w:t>
      </w:r>
      <w:r w:rsidR="002334CB">
        <w:rPr>
          <w:rFonts w:ascii="Palatino Linotype" w:hAnsi="Palatino Linotype" w:eastAsia="Palatino Linotype" w:cs="Times New Roman"/>
          <w:kern w:val="0"/>
          <w14:ligatures w14:val="none"/>
        </w:rPr>
        <w:t xml:space="preserve">including </w:t>
      </w:r>
      <w:r w:rsidR="007E2330">
        <w:rPr>
          <w:rFonts w:ascii="Palatino Linotype" w:hAnsi="Palatino Linotype" w:eastAsia="Palatino Linotype" w:cs="Times New Roman"/>
          <w:kern w:val="0"/>
          <w14:ligatures w14:val="none"/>
        </w:rPr>
        <w:t>(1)</w:t>
      </w:r>
      <w:r w:rsidR="00E8453E">
        <w:rPr>
          <w:rFonts w:ascii="Palatino Linotype" w:hAnsi="Palatino Linotype" w:eastAsia="Palatino Linotype" w:cs="Times New Roman"/>
          <w:kern w:val="0"/>
          <w14:ligatures w14:val="none"/>
        </w:rPr>
        <w:t xml:space="preserve"> Pre-Owned EV Rebate, </w:t>
      </w:r>
      <w:r w:rsidR="00F7423A">
        <w:rPr>
          <w:rFonts w:ascii="Palatino Linotype" w:hAnsi="Palatino Linotype" w:eastAsia="Palatino Linotype" w:cs="Times New Roman"/>
          <w:kern w:val="0"/>
          <w14:ligatures w14:val="none"/>
        </w:rPr>
        <w:t xml:space="preserve">(2) Home Electrification Readiness, (3) </w:t>
      </w:r>
      <w:r w:rsidR="00E8453E">
        <w:rPr>
          <w:rFonts w:ascii="Palatino Linotype" w:hAnsi="Palatino Linotype" w:eastAsia="Palatino Linotype" w:cs="Times New Roman"/>
          <w:kern w:val="0"/>
          <w14:ligatures w14:val="none"/>
        </w:rPr>
        <w:t xml:space="preserve">Drayage Truck Rebate, </w:t>
      </w:r>
      <w:r w:rsidR="00F7423A">
        <w:rPr>
          <w:rFonts w:ascii="Palatino Linotype" w:hAnsi="Palatino Linotype" w:eastAsia="Palatino Linotype" w:cs="Times New Roman"/>
          <w:kern w:val="0"/>
          <w14:ligatures w14:val="none"/>
        </w:rPr>
        <w:t xml:space="preserve">(4) Zero Emission Truck, Bus, and Infrastructure Finance, </w:t>
      </w:r>
      <w:r w:rsidR="00C824A9">
        <w:rPr>
          <w:rFonts w:ascii="Palatino Linotype" w:hAnsi="Palatino Linotype" w:eastAsia="Palatino Linotype" w:cs="Times New Roman"/>
          <w:kern w:val="0"/>
          <w14:ligatures w14:val="none"/>
        </w:rPr>
        <w:t xml:space="preserve">and </w:t>
      </w:r>
      <w:r w:rsidR="00F7423A">
        <w:rPr>
          <w:rFonts w:ascii="Palatino Linotype" w:hAnsi="Palatino Linotype" w:eastAsia="Palatino Linotype" w:cs="Times New Roman"/>
          <w:kern w:val="0"/>
          <w14:ligatures w14:val="none"/>
        </w:rPr>
        <w:t xml:space="preserve">(5) Transportation Electrification Research and Studies. </w:t>
      </w:r>
    </w:p>
    <w:p w:rsidRPr="001635F3" w:rsidR="00A76F4A" w:rsidP="00A76F4A" w:rsidRDefault="003F68D2" w14:paraId="75300465" w14:textId="5D59D16E">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April 29, 2025, Southern California Edison filed advice letter 5536-E, which requests authorization to update its LCFS Holdback Implementation Plan by including a new vehicle-grid integration program</w:t>
      </w:r>
      <w:r w:rsidR="002320F1">
        <w:rPr>
          <w:rFonts w:ascii="Palatino Linotype" w:hAnsi="Palatino Linotype" w:eastAsia="Palatino Linotype" w:cs="Times New Roman"/>
          <w:kern w:val="0"/>
          <w14:ligatures w14:val="none"/>
        </w:rPr>
        <w:t xml:space="preserve">, </w:t>
      </w:r>
      <w:r w:rsidR="0080339E">
        <w:rPr>
          <w:rFonts w:ascii="Palatino Linotype" w:hAnsi="Palatino Linotype" w:eastAsia="Palatino Linotype" w:cs="Times New Roman"/>
          <w:kern w:val="0"/>
          <w14:ligatures w14:val="none"/>
        </w:rPr>
        <w:t xml:space="preserve">Orchestrated Charging and Advanced Resiliency for Distribution </w:t>
      </w:r>
      <w:r w:rsidR="002320F1">
        <w:rPr>
          <w:rFonts w:ascii="Palatino Linotype" w:hAnsi="Palatino Linotype" w:eastAsia="Palatino Linotype" w:cs="Times New Roman"/>
          <w:kern w:val="0"/>
          <w14:ligatures w14:val="none"/>
        </w:rPr>
        <w:t>(ORCHARD),</w:t>
      </w:r>
      <w:r>
        <w:rPr>
          <w:rFonts w:ascii="Palatino Linotype" w:hAnsi="Palatino Linotype" w:eastAsia="Palatino Linotype" w:cs="Times New Roman"/>
          <w:kern w:val="0"/>
          <w14:ligatures w14:val="none"/>
        </w:rPr>
        <w:t xml:space="preserve"> in its existing LCFS Implementation Plan and exempt the requirements of PUC </w:t>
      </w:r>
      <w:r w:rsidR="000A0E0D">
        <w:rPr>
          <w:rFonts w:ascii="Palatino Linotype" w:hAnsi="Palatino Linotype" w:eastAsia="Times New Roman" w:cs="Times New Roman"/>
          <w:kern w:val="0"/>
          <w14:ligatures w14:val="none"/>
        </w:rPr>
        <w:t>Section</w:t>
      </w:r>
      <w:r>
        <w:rPr>
          <w:rFonts w:ascii="Palatino Linotype" w:hAnsi="Palatino Linotype" w:eastAsia="Times New Roman" w:cs="Times New Roman"/>
          <w:kern w:val="0"/>
          <w14:ligatures w14:val="none"/>
        </w:rPr>
        <w:t xml:space="preserve"> 851 as it applies to the LCFS holdback credit sales. </w:t>
      </w:r>
    </w:p>
    <w:p w:rsidR="00E45C10" w:rsidP="00A76F4A" w:rsidRDefault="00CC500A" w14:paraId="7C706869"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570AAF">
        <w:rPr>
          <w:rFonts w:ascii="Palatino Linotype" w:hAnsi="Palatino Linotype" w:eastAsia="Palatino Linotype" w:cs="Times New Roman"/>
          <w:kern w:val="0"/>
          <w14:ligatures w14:val="none"/>
        </w:rPr>
        <w:t>primary objective of ORCHARD is to mitigate secondary local grid constraints</w:t>
      </w:r>
      <w:r w:rsidR="001355AE">
        <w:rPr>
          <w:rFonts w:ascii="Palatino Linotype" w:hAnsi="Palatino Linotype" w:eastAsia="Palatino Linotype" w:cs="Times New Roman"/>
          <w:kern w:val="0"/>
          <w14:ligatures w14:val="none"/>
        </w:rPr>
        <w:t xml:space="preserve"> and reduce, delay, or even eliminate the need for distribution infrastructure upgrades, primarily transformers</w:t>
      </w:r>
      <w:r w:rsidR="00E45C10">
        <w:rPr>
          <w:rFonts w:ascii="Palatino Linotype" w:hAnsi="Palatino Linotype" w:eastAsia="Palatino Linotype" w:cs="Times New Roman"/>
          <w:kern w:val="0"/>
          <w14:ligatures w14:val="none"/>
        </w:rPr>
        <w:t xml:space="preserve">, necessitated by </w:t>
      </w:r>
      <w:r w:rsidRPr="00D105A5" w:rsidR="00D105A5">
        <w:rPr>
          <w:rFonts w:ascii="Palatino Linotype" w:hAnsi="Palatino Linotype" w:eastAsia="Palatino Linotype" w:cs="Times New Roman"/>
          <w:kern w:val="0"/>
          <w14:ligatures w14:val="none"/>
        </w:rPr>
        <w:t>the secondary peak result</w:t>
      </w:r>
      <w:r w:rsidR="00E45C10">
        <w:rPr>
          <w:rFonts w:ascii="Palatino Linotype" w:hAnsi="Palatino Linotype" w:eastAsia="Palatino Linotype" w:cs="Times New Roman"/>
          <w:kern w:val="0"/>
          <w14:ligatures w14:val="none"/>
        </w:rPr>
        <w:t>ing</w:t>
      </w:r>
      <w:r w:rsidRPr="00D105A5" w:rsidR="00D105A5">
        <w:rPr>
          <w:rFonts w:ascii="Palatino Linotype" w:hAnsi="Palatino Linotype" w:eastAsia="Palatino Linotype" w:cs="Times New Roman"/>
          <w:kern w:val="0"/>
          <w14:ligatures w14:val="none"/>
        </w:rPr>
        <w:t xml:space="preserve"> from EV drivers initiating their charging time during off-peak hours, starting at 9:00 pm. </w:t>
      </w:r>
    </w:p>
    <w:p w:rsidR="008D3439" w:rsidP="00A76F4A" w:rsidRDefault="00E45C10" w14:paraId="04C677D7" w14:textId="796C5B51">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secondary objective of ORCHARD is </w:t>
      </w:r>
      <w:r w:rsidRPr="00E45C10">
        <w:rPr>
          <w:rFonts w:ascii="Palatino Linotype" w:hAnsi="Palatino Linotype" w:eastAsia="Palatino Linotype" w:cs="Times New Roman"/>
          <w:kern w:val="0"/>
          <w14:ligatures w14:val="none"/>
        </w:rPr>
        <w:t>to reduce customer bills</w:t>
      </w:r>
      <w:r>
        <w:rPr>
          <w:rFonts w:ascii="Palatino Linotype" w:hAnsi="Palatino Linotype" w:eastAsia="Palatino Linotype" w:cs="Times New Roman"/>
          <w:kern w:val="0"/>
          <w14:ligatures w14:val="none"/>
        </w:rPr>
        <w:t xml:space="preserve"> via home energy management</w:t>
      </w:r>
      <w:r w:rsidRPr="00E45C10">
        <w:rPr>
          <w:rFonts w:ascii="Palatino Linotype" w:hAnsi="Palatino Linotype" w:eastAsia="Palatino Linotype" w:cs="Times New Roman"/>
          <w:kern w:val="0"/>
          <w14:ligatures w14:val="none"/>
        </w:rPr>
        <w:t xml:space="preserve"> and enable customers to generate revenue through other channels, including the Dynamic Rate Pilot and Emergency Load Reduction Program (ELRP), or pending rates like the Vehicle Grid Resource Proposal.</w:t>
      </w:r>
      <w:r w:rsidR="008D3439">
        <w:rPr>
          <w:rFonts w:ascii="Palatino Linotype" w:hAnsi="Palatino Linotype" w:eastAsia="Palatino Linotype" w:cs="Times New Roman"/>
          <w:kern w:val="0"/>
          <w14:ligatures w14:val="none"/>
        </w:rPr>
        <w:t xml:space="preserve"> </w:t>
      </w:r>
    </w:p>
    <w:p w:rsidRPr="006F1D16" w:rsidR="001635F3" w:rsidP="00A76F4A" w:rsidRDefault="008D3439" w14:paraId="7CA4E0BB" w14:textId="41CFD852">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last objective of ORCHARD is </w:t>
      </w:r>
      <w:r w:rsidRPr="2128FA49">
        <w:rPr>
          <w:rFonts w:ascii="Palatino Linotype" w:hAnsi="Palatino Linotype" w:eastAsia="Times New Roman" w:cs="Times New Roman"/>
        </w:rPr>
        <w:t>t</w:t>
      </w:r>
      <w:r w:rsidRPr="00627D25">
        <w:rPr>
          <w:rFonts w:ascii="Palatino Linotype" w:hAnsi="Palatino Linotype" w:eastAsia="Times New Roman" w:cs="Times New Roman"/>
        </w:rPr>
        <w:t>o</w:t>
      </w:r>
      <w:r w:rsidR="001C1A1A">
        <w:rPr>
          <w:rFonts w:ascii="Palatino Linotype" w:hAnsi="Palatino Linotype" w:eastAsia="Times New Roman" w:cs="Times New Roman"/>
        </w:rPr>
        <w:t xml:space="preserve"> achieve scale</w:t>
      </w:r>
      <w:r w:rsidRPr="00627D25">
        <w:rPr>
          <w:rFonts w:ascii="Palatino Linotype" w:hAnsi="Palatino Linotype" w:eastAsia="Times New Roman" w:cs="Times New Roman"/>
        </w:rPr>
        <w:t xml:space="preserve"> </w:t>
      </w:r>
      <w:r w:rsidR="001C1A1A">
        <w:rPr>
          <w:rFonts w:ascii="Palatino Linotype" w:hAnsi="Palatino Linotype" w:eastAsia="Times New Roman" w:cs="Times New Roman"/>
        </w:rPr>
        <w:t>and demonstrate that</w:t>
      </w:r>
      <w:r w:rsidR="0015635F">
        <w:rPr>
          <w:rFonts w:ascii="Palatino Linotype" w:hAnsi="Palatino Linotype" w:eastAsia="Times New Roman" w:cs="Times New Roman"/>
        </w:rPr>
        <w:t>,</w:t>
      </w:r>
      <w:r w:rsidR="001C1A1A">
        <w:rPr>
          <w:rFonts w:ascii="Palatino Linotype" w:hAnsi="Palatino Linotype" w:eastAsia="Times New Roman" w:cs="Times New Roman"/>
        </w:rPr>
        <w:t xml:space="preserve"> </w:t>
      </w:r>
      <w:r w:rsidRPr="00627D25">
        <w:rPr>
          <w:rFonts w:ascii="Palatino Linotype" w:hAnsi="Palatino Linotype" w:eastAsia="Times New Roman" w:cs="Times New Roman"/>
          <w:kern w:val="0"/>
          <w14:ligatures w14:val="none"/>
        </w:rPr>
        <w:t>with increased participation, program costs are not expected to significantly rise while the benefits (e.g., mitigating distribution congestion, decreasing system costs) will increase exponentially</w:t>
      </w:r>
      <w:r>
        <w:rPr>
          <w:rFonts w:ascii="Palatino Linotype" w:hAnsi="Palatino Linotype" w:eastAsia="Palatino Linotype" w:cs="Times New Roman"/>
          <w:kern w:val="0"/>
          <w14:ligatures w14:val="none"/>
        </w:rPr>
        <w:t xml:space="preserve">. </w:t>
      </w:r>
    </w:p>
    <w:p w:rsidR="00F33A1B" w:rsidP="00D2554D" w:rsidRDefault="00D2554D" w14:paraId="0D4329F2" w14:textId="3918CE0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On May 19, 2025,</w:t>
      </w:r>
      <w:r w:rsidRPr="004B0BB5">
        <w:rPr>
          <w:rFonts w:ascii="Palatino Linotype" w:hAnsi="Palatino Linotype" w:eastAsia="Palatino Linotype" w:cs="Times New Roman"/>
          <w:kern w:val="0"/>
          <w14:ligatures w14:val="none"/>
        </w:rPr>
        <w:t xml:space="preserve"> Alliance for Transportation Electrification (ATE), ChargeScape, Fermata Energy, Green Power Institute (GPI), Hyundai, Itron, Vehicle-Grid Integration Council (VGIC), and WeaveGrid</w:t>
      </w:r>
      <w:r>
        <w:rPr>
          <w:rFonts w:ascii="Palatino Linotype" w:hAnsi="Palatino Linotype" w:eastAsia="Palatino Linotype" w:cs="Times New Roman"/>
          <w:kern w:val="0"/>
          <w14:ligatures w14:val="none"/>
        </w:rPr>
        <w:t xml:space="preserve"> submitted</w:t>
      </w:r>
      <w:r w:rsidR="00813681">
        <w:rPr>
          <w:rFonts w:ascii="Palatino Linotype" w:hAnsi="Palatino Linotype" w:eastAsia="Palatino Linotype" w:cs="Times New Roman"/>
          <w:kern w:val="0"/>
          <w14:ligatures w14:val="none"/>
        </w:rPr>
        <w:t xml:space="preserve"> supportive</w:t>
      </w:r>
      <w:r>
        <w:rPr>
          <w:rFonts w:ascii="Palatino Linotype" w:hAnsi="Palatino Linotype" w:eastAsia="Palatino Linotype" w:cs="Times New Roman"/>
          <w:kern w:val="0"/>
          <w14:ligatures w14:val="none"/>
        </w:rPr>
        <w:t xml:space="preserve"> responses to </w:t>
      </w:r>
      <w:r w:rsidR="008B0C2D">
        <w:rPr>
          <w:rFonts w:ascii="Palatino Linotype" w:hAnsi="Palatino Linotype" w:eastAsia="Palatino Linotype" w:cs="Times New Roman"/>
          <w:kern w:val="0"/>
          <w14:ligatures w14:val="none"/>
        </w:rPr>
        <w:br/>
      </w:r>
      <w:r>
        <w:rPr>
          <w:rFonts w:ascii="Palatino Linotype" w:hAnsi="Palatino Linotype" w:eastAsia="Palatino Linotype" w:cs="Times New Roman"/>
          <w:kern w:val="0"/>
          <w14:ligatures w14:val="none"/>
        </w:rPr>
        <w:t>AL 5536-E.</w:t>
      </w:r>
      <w:r w:rsidR="002A245F">
        <w:rPr>
          <w:rFonts w:ascii="Palatino Linotype" w:hAnsi="Palatino Linotype" w:eastAsia="Palatino Linotype" w:cs="Times New Roman"/>
          <w:kern w:val="0"/>
          <w14:ligatures w14:val="none"/>
        </w:rPr>
        <w:t xml:space="preserve"> </w:t>
      </w:r>
    </w:p>
    <w:p w:rsidR="00FC18BE" w:rsidP="00D2554D" w:rsidRDefault="00FE5E0F" w14:paraId="6AF75EEA" w14:textId="4870D1F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component of </w:t>
      </w:r>
      <w:r w:rsidR="00E03F49">
        <w:rPr>
          <w:rFonts w:ascii="Palatino Linotype" w:hAnsi="Palatino Linotype" w:eastAsia="Palatino Linotype" w:cs="Times New Roman"/>
          <w:kern w:val="0"/>
          <w14:ligatures w14:val="none"/>
        </w:rPr>
        <w:t>the ORCHARD</w:t>
      </w:r>
      <w:r w:rsidR="00FD2615">
        <w:rPr>
          <w:rFonts w:ascii="Palatino Linotype" w:hAnsi="Palatino Linotype" w:eastAsia="Palatino Linotype" w:cs="Times New Roman"/>
          <w:kern w:val="0"/>
          <w14:ligatures w14:val="none"/>
        </w:rPr>
        <w:t xml:space="preserve"> </w:t>
      </w:r>
      <w:r w:rsidR="002C1CC6">
        <w:rPr>
          <w:rFonts w:ascii="Palatino Linotype" w:hAnsi="Palatino Linotype" w:eastAsia="Palatino Linotype" w:cs="Times New Roman"/>
          <w:kern w:val="0"/>
          <w14:ligatures w14:val="none"/>
        </w:rPr>
        <w:t xml:space="preserve">proposal </w:t>
      </w:r>
      <w:r w:rsidR="00C360C0">
        <w:rPr>
          <w:rFonts w:ascii="Palatino Linotype" w:hAnsi="Palatino Linotype" w:eastAsia="Palatino Linotype" w:cs="Times New Roman"/>
          <w:kern w:val="0"/>
          <w14:ligatures w14:val="none"/>
        </w:rPr>
        <w:t xml:space="preserve">complies with </w:t>
      </w:r>
      <w:r w:rsidR="00E419FD">
        <w:rPr>
          <w:rFonts w:ascii="Palatino Linotype" w:hAnsi="Palatino Linotype" w:eastAsia="Palatino Linotype" w:cs="Times New Roman"/>
          <w:kern w:val="0"/>
          <w14:ligatures w14:val="none"/>
        </w:rPr>
        <w:t xml:space="preserve">the requirements outlined in </w:t>
      </w:r>
      <w:r w:rsidR="00C360C0">
        <w:rPr>
          <w:rFonts w:ascii="Palatino Linotype" w:hAnsi="Palatino Linotype" w:eastAsia="Palatino Linotype" w:cs="Times New Roman"/>
          <w:kern w:val="0"/>
          <w14:ligatures w14:val="none"/>
        </w:rPr>
        <w:t>D.20-12-027.</w:t>
      </w:r>
    </w:p>
    <w:p w:rsidR="005C76A5" w:rsidP="00D2554D" w:rsidRDefault="00216622" w14:paraId="7C0088D9" w14:textId="66ADBFF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SCE does not consider ORCHARD an equity or resiliency project</w:t>
      </w:r>
      <w:r w:rsidR="005C76A5">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007822A9" w:rsidP="00D2554D" w:rsidRDefault="005C76A5" w14:paraId="295080BA" w14:textId="67157C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216622">
        <w:rPr>
          <w:rFonts w:ascii="Palatino Linotype" w:hAnsi="Palatino Linotype" w:eastAsia="Palatino Linotype" w:cs="Times New Roman"/>
          <w:kern w:val="0"/>
          <w14:ligatures w14:val="none"/>
        </w:rPr>
        <w:t xml:space="preserve">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kern w:val="0"/>
          <w14:ligatures w14:val="none"/>
        </w:rPr>
        <w:t xml:space="preserve"> </w:t>
      </w:r>
      <w:r w:rsidR="00216622">
        <w:rPr>
          <w:rFonts w:ascii="Palatino Linotype" w:hAnsi="Palatino Linotype" w:eastAsia="Palatino Linotype" w:cs="Times New Roman"/>
          <w:kern w:val="0"/>
          <w14:ligatures w14:val="none"/>
        </w:rPr>
        <w:t>component of ORCHARD does comply with CARB’s other (non-equity) pre-approved holdback project types recently updated in the LCFS regulations</w:t>
      </w:r>
      <w:r w:rsidR="00D754F6">
        <w:rPr>
          <w:rFonts w:ascii="Palatino Linotype" w:hAnsi="Palatino Linotype" w:eastAsia="Palatino Linotype" w:cs="Times New Roman"/>
          <w:kern w:val="0"/>
          <w14:ligatures w14:val="none"/>
        </w:rPr>
        <w:t xml:space="preserve">. </w:t>
      </w:r>
    </w:p>
    <w:p w:rsidR="007822A9" w:rsidP="00D2554D" w:rsidRDefault="002A245F" w14:paraId="68068986" w14:textId="2380E474">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 addresses several statewide goals, including SB 676</w:t>
      </w:r>
      <w:r w:rsidR="002D725E">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SB 59</w:t>
      </w:r>
      <w:r w:rsidR="002D725E">
        <w:rPr>
          <w:rFonts w:ascii="Palatino Linotype" w:hAnsi="Palatino Linotype" w:eastAsia="Palatino Linotype" w:cs="Times New Roman"/>
          <w:kern w:val="0"/>
          <w14:ligatures w14:val="none"/>
        </w:rPr>
        <w:t xml:space="preserve">, and </w:t>
      </w:r>
      <w:r w:rsidRPr="002D725E" w:rsidR="002D725E">
        <w:rPr>
          <w:rFonts w:ascii="Palatino Linotype" w:hAnsi="Palatino Linotype" w:eastAsia="Palatino Linotype" w:cs="Times New Roman"/>
          <w:kern w:val="0"/>
          <w14:ligatures w14:val="none"/>
        </w:rPr>
        <w:t>SB 846</w:t>
      </w:r>
      <w:r>
        <w:rPr>
          <w:rFonts w:ascii="Palatino Linotype" w:hAnsi="Palatino Linotype" w:eastAsia="Palatino Linotype" w:cs="Times New Roman"/>
          <w:kern w:val="0"/>
          <w14:ligatures w14:val="none"/>
        </w:rPr>
        <w:t xml:space="preserve">. </w:t>
      </w:r>
    </w:p>
    <w:p w:rsidR="007822A9" w:rsidP="00D2554D" w:rsidRDefault="00AE3AE9" w14:paraId="4CA86FCE" w14:textId="5475789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w:t>
      </w:r>
      <w:r w:rsidR="002A245F">
        <w:rPr>
          <w:rFonts w:ascii="Palatino Linotype" w:hAnsi="Palatino Linotype" w:eastAsia="Palatino Linotype" w:cs="Times New Roman"/>
          <w:kern w:val="0"/>
          <w14:ligatures w14:val="none"/>
        </w:rPr>
        <w:t xml:space="preserve"> addresses all three strategic focus areas of VGI outlined in D.22-11-040. </w:t>
      </w:r>
    </w:p>
    <w:p w:rsidR="002A245F" w:rsidP="00D2554D" w:rsidRDefault="0049481F" w14:paraId="68543A3B" w14:textId="7D41FC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AL 5536-E lacks sufficient detail on the budget needed to implement ORCHARD</w:t>
      </w:r>
      <w:r w:rsidR="00345EA6">
        <w:rPr>
          <w:rFonts w:ascii="Palatino Linotype" w:hAnsi="Palatino Linotype" w:eastAsia="Palatino Linotype" w:cs="Times New Roman"/>
          <w:kern w:val="0"/>
          <w14:ligatures w14:val="none"/>
        </w:rPr>
        <w:t xml:space="preserve">. </w:t>
      </w:r>
    </w:p>
    <w:p w:rsidRPr="00946710" w:rsidR="0027338A" w:rsidP="00577C03" w:rsidRDefault="00807667" w14:paraId="45A328A9" w14:textId="52EEDF45">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The </w:t>
      </w:r>
      <w:r w:rsidR="00D94CAE">
        <w:rPr>
          <w:rFonts w:ascii="Palatino Linotype" w:hAnsi="Palatino Linotype" w:eastAsia="Palatino Linotype" w:cs="Times New Roman"/>
        </w:rPr>
        <w:t>CPUC</w:t>
      </w:r>
      <w:r w:rsidRPr="2128FA49" w:rsidR="00D94CAE">
        <w:rPr>
          <w:rFonts w:ascii="Palatino Linotype" w:hAnsi="Palatino Linotype" w:eastAsia="Palatino Linotype" w:cs="Times New Roman"/>
        </w:rPr>
        <w:t xml:space="preserve"> </w:t>
      </w:r>
      <w:r w:rsidRPr="2128FA49">
        <w:rPr>
          <w:rFonts w:ascii="Palatino Linotype" w:hAnsi="Palatino Linotype" w:eastAsia="Palatino Linotype" w:cs="Times New Roman"/>
        </w:rPr>
        <w:t xml:space="preserve">finds the </w:t>
      </w:r>
      <w:r w:rsidRPr="2128FA49" w:rsidR="009369A4">
        <w:rPr>
          <w:rFonts w:ascii="Palatino Linotype" w:hAnsi="Palatino Linotype" w:eastAsia="Palatino Linotype" w:cs="Times New Roman"/>
        </w:rPr>
        <w:t xml:space="preserve">ORCHARD participation incentive to be reasonable. </w:t>
      </w:r>
    </w:p>
    <w:p w:rsidR="005E6317" w:rsidP="00577C03" w:rsidRDefault="005E6317" w14:paraId="38EC2EE0"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The</w:t>
      </w:r>
      <w:r w:rsidRPr="00946710" w:rsidR="00946710">
        <w:rPr>
          <w:rFonts w:ascii="Palatino Linotype" w:hAnsi="Palatino Linotype" w:eastAsia="Palatino Linotype" w:cs="Times New Roman"/>
          <w:kern w:val="0"/>
          <w14:ligatures w14:val="none"/>
        </w:rPr>
        <w:t xml:space="preserve"> commitment to continually assess the efficacy of incentive amounts based on program attrition demonstrates an effort to maintain enrollment for adequate program scaling and evaluation, both of which are needed to achieve the objectives of the program. </w:t>
      </w:r>
    </w:p>
    <w:p w:rsidRPr="00577C03" w:rsidR="00946710" w:rsidP="00577C03" w:rsidRDefault="005E6317" w14:paraId="779C6ED1" w14:textId="50CD96A6">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M</w:t>
      </w:r>
      <w:r w:rsidRPr="00946710" w:rsidR="00946710">
        <w:rPr>
          <w:rFonts w:ascii="Palatino Linotype" w:hAnsi="Palatino Linotype" w:eastAsia="Palatino Linotype" w:cs="Times New Roman"/>
          <w:kern w:val="0"/>
          <w14:ligatures w14:val="none"/>
        </w:rPr>
        <w:t xml:space="preserve">ore information is needed to understand how </w:t>
      </w:r>
      <w:r>
        <w:rPr>
          <w:rFonts w:ascii="Palatino Linotype" w:hAnsi="Palatino Linotype" w:eastAsia="Palatino Linotype" w:cs="Times New Roman"/>
          <w:kern w:val="0"/>
          <w14:ligatures w14:val="none"/>
        </w:rPr>
        <w:t>the incentive</w:t>
      </w:r>
      <w:r w:rsidRPr="00946710" w:rsidR="00946710">
        <w:rPr>
          <w:rFonts w:ascii="Palatino Linotype" w:hAnsi="Palatino Linotype" w:eastAsia="Palatino Linotype" w:cs="Times New Roman"/>
          <w:kern w:val="0"/>
          <w14:ligatures w14:val="none"/>
        </w:rPr>
        <w:t xml:space="preserve"> assessment will be conducted. </w:t>
      </w:r>
    </w:p>
    <w:p w:rsidRPr="00B76BC9" w:rsidR="00EC096E" w:rsidP="00D2554D" w:rsidRDefault="00EC096E" w14:paraId="751D8D11" w14:textId="6078C39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CARB’s</w:t>
      </w:r>
      <w:r w:rsidRPr="2128FA49" w:rsidR="009B3BC8">
        <w:rPr>
          <w:rFonts w:ascii="Palatino Linotype" w:hAnsi="Palatino Linotype" w:eastAsia="Palatino Linotype" w:cs="Times New Roman"/>
        </w:rPr>
        <w:t xml:space="preserve"> LCFS regulations include supporting bidirectional charging equipment on the list of pre-approved non-equity projects</w:t>
      </w:r>
      <w:r>
        <w:rPr>
          <w:rFonts w:ascii="Palatino Linotype" w:hAnsi="Palatino Linotype" w:eastAsia="Palatino Linotype" w:cs="Times New Roman"/>
        </w:rPr>
        <w:t>.</w:t>
      </w:r>
      <w:r w:rsidRPr="2128FA49" w:rsidR="009B3BC8">
        <w:rPr>
          <w:rFonts w:ascii="Palatino Linotype" w:hAnsi="Palatino Linotype" w:eastAsia="Palatino Linotype" w:cs="Times New Roman"/>
        </w:rPr>
        <w:t xml:space="preserve"> </w:t>
      </w:r>
    </w:p>
    <w:p w:rsidR="00923E18" w:rsidP="00D2554D" w:rsidRDefault="009B3BC8" w14:paraId="06685AEE" w14:textId="3BC1C580">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SCE’s proposal for the </w:t>
      </w:r>
      <w:r w:rsidR="006470F9">
        <w:rPr>
          <w:rFonts w:ascii="Palatino Linotype" w:hAnsi="Palatino Linotype" w:eastAsia="Palatino Linotype" w:cs="Times New Roman"/>
        </w:rPr>
        <w:t>bidirectional equipment</w:t>
      </w:r>
      <w:r w:rsidRPr="2128FA49">
        <w:rPr>
          <w:rFonts w:ascii="Palatino Linotype" w:hAnsi="Palatino Linotype" w:eastAsia="Palatino Linotype" w:cs="Times New Roman"/>
        </w:rPr>
        <w:t xml:space="preserve"> incentives is not sufficiently justified</w:t>
      </w:r>
      <w:r w:rsidR="006470F9">
        <w:rPr>
          <w:rFonts w:ascii="Palatino Linotype" w:hAnsi="Palatino Linotype" w:eastAsia="Palatino Linotype" w:cs="Times New Roman"/>
        </w:rPr>
        <w:t>.</w:t>
      </w:r>
    </w:p>
    <w:p w:rsidRPr="00731991" w:rsidR="0049694B" w:rsidP="00D2554D" w:rsidRDefault="00731991" w14:paraId="21E1E3AB" w14:textId="3A477E0A">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rPr>
        <w:t>A</w:t>
      </w:r>
      <w:r w:rsidRPr="2128FA49">
        <w:rPr>
          <w:rFonts w:ascii="Palatino Linotype" w:hAnsi="Palatino Linotype" w:eastAsia="Palatino Linotype" w:cs="Times New Roman"/>
        </w:rPr>
        <w:t>s a software</w:t>
      </w:r>
      <w:r w:rsidR="00947AD9">
        <w:rPr>
          <w:rFonts w:ascii="Palatino Linotype" w:hAnsi="Palatino Linotype" w:eastAsia="Palatino Linotype" w:cs="Times New Roman"/>
        </w:rPr>
        <w:t xml:space="preserve"> solution</w:t>
      </w:r>
      <w:r w:rsidRPr="2128FA49">
        <w:rPr>
          <w:rFonts w:ascii="Palatino Linotype" w:hAnsi="Palatino Linotype" w:eastAsia="Palatino Linotype" w:cs="Times New Roman"/>
        </w:rPr>
        <w:t>, ORCHARD may demonstrate exponential savings with each additional customer.</w:t>
      </w:r>
      <w:r>
        <w:rPr>
          <w:rFonts w:ascii="Palatino Linotype" w:hAnsi="Palatino Linotype" w:eastAsia="Palatino Linotype" w:cs="Times New Roman"/>
        </w:rPr>
        <w:t xml:space="preserve"> </w:t>
      </w:r>
    </w:p>
    <w:p w:rsidRPr="00731991" w:rsidR="00731991" w:rsidP="00D2554D" w:rsidRDefault="00731991" w14:paraId="51EFDD9E" w14:textId="6F6324A1">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Although cost effectiveness targets seem reasonable, </w:t>
      </w:r>
      <w:r w:rsidRPr="00643758">
        <w:rPr>
          <w:rFonts w:ascii="Palatino Linotype" w:hAnsi="Palatino Linotype" w:eastAsia="Palatino Linotype" w:cs="Times New Roman"/>
          <w:kern w:val="0"/>
          <w14:ligatures w14:val="none"/>
        </w:rPr>
        <w:t xml:space="preserve">using </w:t>
      </w:r>
      <w:r w:rsidRPr="2128FA49">
        <w:rPr>
          <w:rFonts w:ascii="Palatino Linotype" w:hAnsi="Palatino Linotype" w:eastAsia="Palatino Linotype" w:cs="Times New Roman"/>
        </w:rPr>
        <w:t xml:space="preserve">a </w:t>
      </w:r>
      <w:r w:rsidR="00EA1865">
        <w:rPr>
          <w:rFonts w:ascii="Palatino Linotype" w:hAnsi="Palatino Linotype" w:eastAsia="Palatino Linotype" w:cs="Times New Roman"/>
        </w:rPr>
        <w:t>total resource cost (</w:t>
      </w:r>
      <w:r w:rsidRPr="00643758">
        <w:rPr>
          <w:rFonts w:ascii="Palatino Linotype" w:hAnsi="Palatino Linotype" w:eastAsia="Palatino Linotype" w:cs="Times New Roman"/>
          <w:kern w:val="0"/>
          <w14:ligatures w14:val="none"/>
        </w:rPr>
        <w:t>TRC</w:t>
      </w:r>
      <w:r w:rsidR="00EA1865">
        <w:rPr>
          <w:rFonts w:ascii="Palatino Linotype" w:hAnsi="Palatino Linotype" w:eastAsia="Palatino Linotype" w:cs="Times New Roman"/>
          <w:kern w:val="0"/>
          <w14:ligatures w14:val="none"/>
        </w:rPr>
        <w:t>)</w:t>
      </w:r>
      <w:r w:rsidRPr="00643758">
        <w:rPr>
          <w:rFonts w:ascii="Palatino Linotype" w:hAnsi="Palatino Linotype" w:eastAsia="Palatino Linotype" w:cs="Times New Roman"/>
          <w:kern w:val="0"/>
          <w14:ligatures w14:val="none"/>
        </w:rPr>
        <w:t xml:space="preserve"> </w:t>
      </w:r>
      <w:r w:rsidRPr="2128FA49">
        <w:rPr>
          <w:rFonts w:ascii="Palatino Linotype" w:hAnsi="Palatino Linotype" w:eastAsia="Palatino Linotype" w:cs="Times New Roman"/>
        </w:rPr>
        <w:t>metric after only</w:t>
      </w:r>
      <w:r>
        <w:rPr>
          <w:rFonts w:ascii="Palatino Linotype" w:hAnsi="Palatino Linotype" w:eastAsia="Palatino Linotype" w:cs="Times New Roman"/>
          <w:kern w:val="0"/>
          <w14:ligatures w14:val="none"/>
        </w:rPr>
        <w:t xml:space="preserve"> </w:t>
      </w:r>
      <w:r w:rsidRPr="00643758">
        <w:rPr>
          <w:rFonts w:ascii="Palatino Linotype" w:hAnsi="Palatino Linotype" w:eastAsia="Palatino Linotype" w:cs="Times New Roman"/>
          <w:kern w:val="0"/>
          <w14:ligatures w14:val="none"/>
        </w:rPr>
        <w:t xml:space="preserve">one year </w:t>
      </w:r>
      <w:r w:rsidRPr="2128FA49">
        <w:rPr>
          <w:rFonts w:ascii="Palatino Linotype" w:hAnsi="Palatino Linotype" w:eastAsia="Palatino Linotype" w:cs="Times New Roman"/>
        </w:rPr>
        <w:t xml:space="preserve">of program implementation </w:t>
      </w:r>
      <w:r w:rsidRPr="00643758">
        <w:rPr>
          <w:rFonts w:ascii="Palatino Linotype" w:hAnsi="Palatino Linotype" w:eastAsia="Palatino Linotype" w:cs="Times New Roman"/>
          <w:kern w:val="0"/>
          <w14:ligatures w14:val="none"/>
        </w:rPr>
        <w:t>is</w:t>
      </w:r>
      <w:r>
        <w:rPr>
          <w:rFonts w:ascii="Palatino Linotype" w:hAnsi="Palatino Linotype" w:eastAsia="Palatino Linotype" w:cs="Times New Roman"/>
          <w:kern w:val="0"/>
          <w14:ligatures w14:val="none"/>
        </w:rPr>
        <w:t xml:space="preserve"> not</w:t>
      </w:r>
      <w:r w:rsidRPr="00643758">
        <w:rPr>
          <w:rFonts w:ascii="Palatino Linotype" w:hAnsi="Palatino Linotype" w:eastAsia="Palatino Linotype" w:cs="Times New Roman"/>
          <w:kern w:val="0"/>
          <w14:ligatures w14:val="none"/>
        </w:rPr>
        <w:t xml:space="preserve"> enough time to meaningfully </w:t>
      </w:r>
      <w:r w:rsidRPr="2128FA49">
        <w:rPr>
          <w:rFonts w:ascii="Palatino Linotype" w:hAnsi="Palatino Linotype" w:eastAsia="Palatino Linotype" w:cs="Times New Roman"/>
        </w:rPr>
        <w:t xml:space="preserve">measure progress or </w:t>
      </w:r>
      <w:r w:rsidRPr="00643758">
        <w:rPr>
          <w:rFonts w:ascii="Palatino Linotype" w:hAnsi="Palatino Linotype" w:eastAsia="Palatino Linotype" w:cs="Times New Roman"/>
          <w:kern w:val="0"/>
          <w14:ligatures w14:val="none"/>
        </w:rPr>
        <w:t xml:space="preserve">determine the cost-effectiveness of this program, especially since </w:t>
      </w:r>
      <w:r>
        <w:rPr>
          <w:rFonts w:ascii="Palatino Linotype" w:hAnsi="Palatino Linotype" w:eastAsia="Palatino Linotype" w:cs="Times New Roman"/>
          <w:kern w:val="0"/>
          <w14:ligatures w14:val="none"/>
        </w:rPr>
        <w:t>SCE</w:t>
      </w:r>
      <w:r w:rsidRPr="00643758">
        <w:rPr>
          <w:rFonts w:ascii="Palatino Linotype" w:hAnsi="Palatino Linotype" w:eastAsia="Palatino Linotype" w:cs="Times New Roman"/>
          <w:kern w:val="0"/>
          <w14:ligatures w14:val="none"/>
        </w:rPr>
        <w:t xml:space="preserve"> acknowledges</w:t>
      </w:r>
      <w:r>
        <w:rPr>
          <w:rFonts w:ascii="Palatino Linotype" w:hAnsi="Palatino Linotype" w:eastAsia="Palatino Linotype" w:cs="Times New Roman"/>
          <w:kern w:val="0"/>
          <w14:ligatures w14:val="none"/>
        </w:rPr>
        <w:t xml:space="preserve"> in AL 5536-E</w:t>
      </w:r>
      <w:r w:rsidRPr="00643758">
        <w:rPr>
          <w:rFonts w:ascii="Palatino Linotype" w:hAnsi="Palatino Linotype" w:eastAsia="Palatino Linotype" w:cs="Times New Roman"/>
          <w:kern w:val="0"/>
          <w14:ligatures w14:val="none"/>
        </w:rPr>
        <w:t xml:space="preserve"> that enrollment is expected to ramp up to ideal levels by the fourth year</w:t>
      </w:r>
      <w:r w:rsidRPr="2128FA49">
        <w:rPr>
          <w:rFonts w:ascii="Palatino Linotype" w:hAnsi="Palatino Linotype" w:eastAsia="Palatino Linotype" w:cs="Times New Roman"/>
        </w:rPr>
        <w:t>.</w:t>
      </w:r>
      <w:r>
        <w:rPr>
          <w:rFonts w:ascii="Palatino Linotype" w:hAnsi="Palatino Linotype" w:eastAsia="Palatino Linotype" w:cs="Times New Roman"/>
        </w:rPr>
        <w:t xml:space="preserve"> </w:t>
      </w:r>
    </w:p>
    <w:p w:rsidRPr="00731991" w:rsidR="00731991" w:rsidP="00D2554D" w:rsidRDefault="00731991" w14:paraId="6CE7B161" w14:textId="29186CE3">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AL 5536-E asserts that SCE will use cost-effectiveness tests in accordance with the California Standard Practice Manual.</w:t>
      </w:r>
    </w:p>
    <w:p w:rsidRPr="00731991" w:rsidR="00731991" w:rsidP="00D2554D" w:rsidRDefault="00071528" w14:paraId="393E0777" w14:textId="2DEFE345">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N</w:t>
      </w:r>
      <w:r w:rsidR="00731991">
        <w:rPr>
          <w:rFonts w:ascii="Palatino Linotype" w:hAnsi="Palatino Linotype" w:eastAsia="Palatino Linotype" w:cs="Times New Roman"/>
          <w:kern w:val="0"/>
          <w14:ligatures w14:val="none"/>
        </w:rPr>
        <w:t>either CARB nor CPUC mandate specific cost-effectiveness targets for LCFS holdback programs</w:t>
      </w:r>
      <w:r>
        <w:rPr>
          <w:rFonts w:ascii="Palatino Linotype" w:hAnsi="Palatino Linotype" w:eastAsia="Palatino Linotype" w:cs="Times New Roman"/>
          <w:kern w:val="0"/>
          <w14:ligatures w14:val="none"/>
        </w:rPr>
        <w:t xml:space="preserve">. </w:t>
      </w:r>
    </w:p>
    <w:p w:rsidRPr="00235F94" w:rsidR="0084175C" w:rsidP="00D2554D" w:rsidRDefault="00BE561F" w14:paraId="26268F41" w14:textId="0B874B55">
      <w:pPr>
        <w:numPr>
          <w:ilvl w:val="0"/>
          <w:numId w:val="1"/>
        </w:numPr>
        <w:spacing w:after="0" w:line="240" w:lineRule="auto"/>
        <w:rPr>
          <w:rFonts w:ascii="Palatino Linotype" w:hAnsi="Palatino Linotype" w:eastAsia="Palatino Linotype" w:cs="Times New Roman"/>
          <w:kern w:val="0"/>
          <w14:ligatures w14:val="none"/>
        </w:rPr>
      </w:pPr>
      <w:r w:rsidRPr="2128FA49">
        <w:rPr>
          <w:rFonts w:ascii="Palatino Linotype" w:hAnsi="Palatino Linotype" w:eastAsia="Palatino Linotype" w:cs="Times New Roman"/>
        </w:rPr>
        <w:t xml:space="preserve">As ORCHARD would be the first program </w:t>
      </w:r>
      <w:r>
        <w:rPr>
          <w:rFonts w:ascii="Palatino Linotype" w:hAnsi="Palatino Linotype" w:eastAsia="Palatino Linotype" w:cs="Times New Roman"/>
        </w:rPr>
        <w:t>through which SCE would conduct orchestrated load management at scale</w:t>
      </w:r>
      <w:r w:rsidRPr="2128FA49">
        <w:rPr>
          <w:rFonts w:ascii="Palatino Linotype" w:hAnsi="Palatino Linotype" w:eastAsia="Palatino Linotype" w:cs="Times New Roman"/>
        </w:rPr>
        <w:t>, 25,000 participants are sufficient</w:t>
      </w:r>
      <w:r>
        <w:rPr>
          <w:rFonts w:ascii="Palatino Linotype" w:hAnsi="Palatino Linotype" w:eastAsia="Palatino Linotype" w:cs="Times New Roman"/>
        </w:rPr>
        <w:t xml:space="preserve"> to assess the feasibility of orchestrated load management in SCE’s territory at such a nascent stage</w:t>
      </w:r>
      <w:r w:rsidRPr="2128FA49">
        <w:rPr>
          <w:rFonts w:ascii="Palatino Linotype" w:hAnsi="Palatino Linotype" w:eastAsia="Palatino Linotype" w:cs="Times New Roman"/>
        </w:rPr>
        <w:t>.</w:t>
      </w:r>
      <w:r w:rsidR="00235F94">
        <w:rPr>
          <w:rFonts w:ascii="Palatino Linotype" w:hAnsi="Palatino Linotype" w:eastAsia="Palatino Linotype" w:cs="Times New Roman"/>
        </w:rPr>
        <w:t xml:space="preserve"> </w:t>
      </w:r>
    </w:p>
    <w:p w:rsidR="00235F94" w:rsidP="00D2554D" w:rsidRDefault="008336B9" w14:paraId="6D32327A" w14:textId="46B3DD4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Although there may be value in </w:t>
      </w:r>
      <w:r w:rsidRPr="00794700">
        <w:rPr>
          <w:rFonts w:ascii="Palatino Linotype" w:hAnsi="Palatino Linotype" w:eastAsia="Palatino Linotype" w:cs="Times New Roman"/>
          <w:kern w:val="0"/>
          <w14:ligatures w14:val="none"/>
        </w:rPr>
        <w:t>test</w:t>
      </w:r>
      <w:r>
        <w:rPr>
          <w:rFonts w:ascii="Palatino Linotype" w:hAnsi="Palatino Linotype" w:eastAsia="Palatino Linotype" w:cs="Times New Roman"/>
          <w:kern w:val="0"/>
          <w14:ligatures w14:val="none"/>
        </w:rPr>
        <w:t>ing</w:t>
      </w:r>
      <w:r w:rsidRPr="00794700">
        <w:rPr>
          <w:rFonts w:ascii="Palatino Linotype" w:hAnsi="Palatino Linotype" w:eastAsia="Palatino Linotype" w:cs="Times New Roman"/>
          <w:kern w:val="0"/>
          <w14:ligatures w14:val="none"/>
        </w:rPr>
        <w:t xml:space="preserve"> whether an Itron AMI approach is more cost effective than deploying a new software</w:t>
      </w:r>
      <w:r>
        <w:rPr>
          <w:rFonts w:ascii="Palatino Linotype" w:hAnsi="Palatino Linotype" w:eastAsia="Palatino Linotype" w:cs="Times New Roman"/>
          <w:kern w:val="0"/>
          <w14:ligatures w14:val="none"/>
        </w:rPr>
        <w:t xml:space="preserve"> in SCE’s DERMS, requiring SCE to consider more cost-effective alternatives to optimize the distribution network does not fall within the scope of SCE’s objectives, nor is it required by CARB regulations or CPUC mandates.</w:t>
      </w:r>
      <w:r w:rsidR="00EC3E5D">
        <w:rPr>
          <w:rFonts w:ascii="Palatino Linotype" w:hAnsi="Palatino Linotype" w:eastAsia="Palatino Linotype" w:cs="Times New Roman"/>
          <w:kern w:val="0"/>
          <w14:ligatures w14:val="none"/>
        </w:rPr>
        <w:t xml:space="preserve"> </w:t>
      </w:r>
    </w:p>
    <w:p w:rsidRPr="008A6A56" w:rsidR="00EC3E5D" w:rsidP="008A6A56" w:rsidRDefault="00EC3E5D" w14:paraId="44D8D9AE" w14:textId="3FA384C9">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It is unnecessary to test the abilities of SCE’s AMI meters to achieve ORCHARD’s objectives</w:t>
      </w:r>
      <w:r w:rsidR="008A6A56">
        <w:rPr>
          <w:rFonts w:ascii="Palatino Linotype" w:hAnsi="Palatino Linotype" w:eastAsia="Palatino Linotype" w:cs="Times New Roman"/>
          <w:kern w:val="0"/>
          <w14:ligatures w14:val="none"/>
        </w:rPr>
        <w:t xml:space="preserve">, and this </w:t>
      </w:r>
      <w:r w:rsidR="00D371C5">
        <w:rPr>
          <w:rFonts w:ascii="Palatino Linotype" w:hAnsi="Palatino Linotype" w:eastAsia="Palatino Linotype" w:cs="Times New Roman"/>
          <w:kern w:val="0"/>
          <w14:ligatures w14:val="none"/>
        </w:rPr>
        <w:t>additional activity would require</w:t>
      </w:r>
      <w:r w:rsidRPr="008A6A56">
        <w:rPr>
          <w:rFonts w:ascii="Palatino Linotype" w:hAnsi="Palatino Linotype" w:eastAsia="Palatino Linotype" w:cs="Times New Roman"/>
          <w:kern w:val="0"/>
          <w14:ligatures w14:val="none"/>
        </w:rPr>
        <w:t xml:space="preserve"> SCE to make significant program modifications.</w:t>
      </w:r>
    </w:p>
    <w:p w:rsidR="00D269C6" w:rsidP="00D2554D" w:rsidRDefault="005D04A0" w14:paraId="322AF7F9" w14:textId="4DE95B3D">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ORCHARD is</w:t>
      </w:r>
      <w:r w:rsidRPr="00260BBF" w:rsidR="00260BBF">
        <w:rPr>
          <w:rFonts w:ascii="Palatino Linotype" w:hAnsi="Palatino Linotype" w:eastAsia="Palatino Linotype" w:cs="Times New Roman"/>
          <w:kern w:val="0"/>
          <w14:ligatures w14:val="none"/>
        </w:rPr>
        <w:t xml:space="preserve"> </w:t>
      </w:r>
      <w:r w:rsidR="00812D94">
        <w:rPr>
          <w:rFonts w:ascii="Palatino Linotype" w:hAnsi="Palatino Linotype" w:eastAsia="Palatino Linotype" w:cs="Times New Roman"/>
          <w:kern w:val="0"/>
          <w14:ligatures w14:val="none"/>
        </w:rPr>
        <w:t>limited to</w:t>
      </w:r>
      <w:r w:rsidRPr="00260BBF" w:rsidR="00260BBF">
        <w:rPr>
          <w:rFonts w:ascii="Palatino Linotype" w:hAnsi="Palatino Linotype" w:eastAsia="Palatino Linotype" w:cs="Times New Roman"/>
          <w:kern w:val="0"/>
          <w14:ligatures w14:val="none"/>
        </w:rPr>
        <w:t xml:space="preserve"> </w:t>
      </w:r>
      <w:r w:rsidR="0022162B">
        <w:rPr>
          <w:rFonts w:ascii="Palatino Linotype" w:hAnsi="Palatino Linotype" w:eastAsia="Palatino Linotype" w:cs="Times New Roman"/>
          <w:kern w:val="0"/>
          <w14:ligatures w14:val="none"/>
        </w:rPr>
        <w:t xml:space="preserve">light-duty, </w:t>
      </w:r>
      <w:r w:rsidRPr="00260BBF" w:rsidR="00260BBF">
        <w:rPr>
          <w:rFonts w:ascii="Palatino Linotype" w:hAnsi="Palatino Linotype" w:eastAsia="Palatino Linotype" w:cs="Times New Roman"/>
          <w:kern w:val="0"/>
          <w14:ligatures w14:val="none"/>
        </w:rPr>
        <w:t>residential drivers</w:t>
      </w:r>
      <w:r w:rsidR="0022162B">
        <w:rPr>
          <w:rFonts w:ascii="Palatino Linotype" w:hAnsi="Palatino Linotype" w:eastAsia="Palatino Linotype" w:cs="Times New Roman"/>
          <w:kern w:val="0"/>
          <w14:ligatures w14:val="none"/>
        </w:rPr>
        <w:t xml:space="preserve">. </w:t>
      </w:r>
    </w:p>
    <w:p w:rsidRPr="007269BA" w:rsidR="00CA439F" w:rsidP="007269BA" w:rsidRDefault="00E34FFF" w14:paraId="5B3F528D" w14:textId="27984D1F">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Direct partnerships with automotive OEMs, EVSPs, and aggregators may help augment customer enrollment and mitigate interoperability issues.</w:t>
      </w:r>
      <w:r w:rsidR="00CA439F">
        <w:rPr>
          <w:rFonts w:ascii="Palatino Linotype" w:hAnsi="Palatino Linotype" w:eastAsia="Palatino Linotype" w:cs="Times New Roman"/>
          <w:kern w:val="0"/>
          <w14:ligatures w14:val="none"/>
        </w:rPr>
        <w:t xml:space="preserve"> </w:t>
      </w:r>
    </w:p>
    <w:p w:rsidRPr="001942D0" w:rsidR="008336B9" w:rsidP="00A76F4A" w:rsidRDefault="008336B9" w14:paraId="05910105"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Therefore it is ordered that:</w:t>
      </w:r>
    </w:p>
    <w:p w:rsidRPr="008F350F" w:rsidR="008F350F" w:rsidP="00A76F4A" w:rsidRDefault="00A76F4A" w14:paraId="183BA9DA" w14:textId="3E39ED49">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 xml:space="preserve">The request of </w:t>
      </w:r>
      <w:r w:rsidR="00D355C7">
        <w:rPr>
          <w:rFonts w:ascii="Palatino Linotype" w:hAnsi="Palatino Linotype" w:eastAsia="Palatino Linotype" w:cs="Times New Roman"/>
          <w:snapToGrid w:val="0"/>
          <w:kern w:val="0"/>
          <w14:ligatures w14:val="none"/>
        </w:rPr>
        <w:t xml:space="preserve">Southern California Edison </w:t>
      </w:r>
      <w:r w:rsidRPr="006F1D16">
        <w:rPr>
          <w:rFonts w:ascii="Palatino Linotype" w:hAnsi="Palatino Linotype" w:eastAsia="Palatino Linotype" w:cs="Times New Roman"/>
          <w:snapToGrid w:val="0"/>
          <w:kern w:val="0"/>
          <w14:ligatures w14:val="none"/>
        </w:rPr>
        <w:t>to</w:t>
      </w:r>
      <w:r w:rsidR="00EF2A27">
        <w:rPr>
          <w:rFonts w:ascii="Palatino Linotype" w:hAnsi="Palatino Linotype" w:eastAsia="Palatino Linotype" w:cs="Times New Roman"/>
          <w:snapToGrid w:val="0"/>
          <w:kern w:val="0"/>
          <w14:ligatures w14:val="none"/>
        </w:rPr>
        <w:t xml:space="preserve"> </w:t>
      </w:r>
      <w:r w:rsidRPr="00B87931" w:rsidR="00EF2A27">
        <w:rPr>
          <w:rFonts w:ascii="Palatino Linotype" w:hAnsi="Palatino Linotype" w:eastAsia="Times New Roman" w:cs="Times New Roman"/>
          <w:kern w:val="0"/>
          <w14:ligatures w14:val="none"/>
        </w:rPr>
        <w:t xml:space="preserve">update its </w:t>
      </w:r>
      <w:r w:rsidR="008F350F">
        <w:rPr>
          <w:rFonts w:ascii="Palatino Linotype" w:hAnsi="Palatino Linotype" w:eastAsia="Times New Roman" w:cs="Times New Roman"/>
          <w:kern w:val="0"/>
          <w14:ligatures w14:val="none"/>
        </w:rPr>
        <w:t>Low Carbon Fuel Standard (</w:t>
      </w:r>
      <w:r w:rsidRPr="00B87931" w:rsidR="00EF2A27">
        <w:rPr>
          <w:rFonts w:ascii="Palatino Linotype" w:hAnsi="Palatino Linotype" w:eastAsia="Times New Roman" w:cs="Times New Roman"/>
          <w:kern w:val="0"/>
          <w14:ligatures w14:val="none"/>
        </w:rPr>
        <w:t>LCFS</w:t>
      </w:r>
      <w:r w:rsidR="008F350F">
        <w:rPr>
          <w:rFonts w:ascii="Palatino Linotype" w:hAnsi="Palatino Linotype" w:eastAsia="Times New Roman" w:cs="Times New Roman"/>
          <w:kern w:val="0"/>
          <w14:ligatures w14:val="none"/>
        </w:rPr>
        <w:t>)</w:t>
      </w:r>
      <w:r w:rsidRPr="00B87931" w:rsidR="00EF2A27">
        <w:rPr>
          <w:rFonts w:ascii="Palatino Linotype" w:hAnsi="Palatino Linotype" w:eastAsia="Times New Roman" w:cs="Times New Roman"/>
          <w:kern w:val="0"/>
          <w14:ligatures w14:val="none"/>
        </w:rPr>
        <w:t xml:space="preserve"> Holdback Implementation Plan</w:t>
      </w:r>
      <w:r w:rsidR="00EF2A27">
        <w:rPr>
          <w:rFonts w:ascii="Palatino Linotype" w:hAnsi="Palatino Linotype" w:eastAsia="Times New Roman" w:cs="Times New Roman"/>
          <w:kern w:val="0"/>
          <w14:ligatures w14:val="none"/>
        </w:rPr>
        <w:t xml:space="preserve"> by including a new vehicle-grid integration program in its existing </w:t>
      </w:r>
      <w:r w:rsidR="008F350F">
        <w:rPr>
          <w:rFonts w:ascii="Palatino Linotype" w:hAnsi="Palatino Linotype" w:eastAsia="Times New Roman" w:cs="Times New Roman"/>
          <w:kern w:val="0"/>
          <w14:ligatures w14:val="none"/>
        </w:rPr>
        <w:t>LCFS</w:t>
      </w:r>
      <w:r w:rsidR="00EF2A27">
        <w:rPr>
          <w:rFonts w:ascii="Palatino Linotype" w:hAnsi="Palatino Linotype" w:eastAsia="Times New Roman" w:cs="Times New Roman"/>
          <w:kern w:val="0"/>
          <w14:ligatures w14:val="none"/>
        </w:rPr>
        <w:t xml:space="preserve"> </w:t>
      </w:r>
      <w:r w:rsidR="00CD1B28">
        <w:rPr>
          <w:rFonts w:ascii="Palatino Linotype" w:hAnsi="Palatino Linotype" w:eastAsia="Times New Roman" w:cs="Times New Roman"/>
          <w:kern w:val="0"/>
          <w14:ligatures w14:val="none"/>
        </w:rPr>
        <w:t xml:space="preserve">Implementation Plan and exempting the requirements of </w:t>
      </w:r>
      <w:r w:rsidRPr="00EA7A5F" w:rsidR="00CD1B28">
        <w:rPr>
          <w:rFonts w:ascii="Palatino Linotype" w:hAnsi="Palatino Linotype" w:eastAsia="Times New Roman" w:cs="Times New Roman"/>
          <w:kern w:val="0"/>
          <w14:ligatures w14:val="none"/>
        </w:rPr>
        <w:t>P</w:t>
      </w:r>
      <w:r w:rsidR="00667662">
        <w:rPr>
          <w:rFonts w:ascii="Palatino Linotype" w:hAnsi="Palatino Linotype" w:eastAsia="Times New Roman" w:cs="Times New Roman"/>
          <w:kern w:val="0"/>
          <w14:ligatures w14:val="none"/>
        </w:rPr>
        <w:t xml:space="preserve">ublic </w:t>
      </w:r>
      <w:r w:rsidRPr="00EA7A5F" w:rsidR="00CD1B28">
        <w:rPr>
          <w:rFonts w:ascii="Palatino Linotype" w:hAnsi="Palatino Linotype" w:eastAsia="Times New Roman" w:cs="Times New Roman"/>
          <w:kern w:val="0"/>
          <w14:ligatures w14:val="none"/>
        </w:rPr>
        <w:t>U</w:t>
      </w:r>
      <w:r w:rsidR="00667662">
        <w:rPr>
          <w:rFonts w:ascii="Palatino Linotype" w:hAnsi="Palatino Linotype" w:eastAsia="Times New Roman" w:cs="Times New Roman"/>
          <w:kern w:val="0"/>
          <w14:ligatures w14:val="none"/>
        </w:rPr>
        <w:t xml:space="preserve">tilities </w:t>
      </w:r>
      <w:r w:rsidRPr="00EA7A5F" w:rsidR="00CD1B28">
        <w:rPr>
          <w:rFonts w:ascii="Palatino Linotype" w:hAnsi="Palatino Linotype" w:eastAsia="Times New Roman" w:cs="Times New Roman"/>
          <w:kern w:val="0"/>
          <w14:ligatures w14:val="none"/>
        </w:rPr>
        <w:t>C</w:t>
      </w:r>
      <w:r w:rsidR="00667662">
        <w:rPr>
          <w:rFonts w:ascii="Palatino Linotype" w:hAnsi="Palatino Linotype" w:eastAsia="Times New Roman" w:cs="Times New Roman"/>
          <w:kern w:val="0"/>
          <w14:ligatures w14:val="none"/>
        </w:rPr>
        <w:t>ode</w:t>
      </w:r>
      <w:r w:rsidRPr="00EA7A5F" w:rsidR="00CD1B28">
        <w:rPr>
          <w:rFonts w:ascii="Palatino Linotype" w:hAnsi="Palatino Linotype" w:eastAsia="Times New Roman" w:cs="Times New Roman"/>
          <w:kern w:val="0"/>
          <w14:ligatures w14:val="none"/>
        </w:rPr>
        <w:t xml:space="preserve"> </w:t>
      </w:r>
      <w:r w:rsidR="00F50409">
        <w:rPr>
          <w:rFonts w:ascii="Palatino Linotype" w:hAnsi="Palatino Linotype" w:eastAsia="Times New Roman" w:cs="Times New Roman"/>
          <w:kern w:val="0"/>
          <w14:ligatures w14:val="none"/>
        </w:rPr>
        <w:t>Section</w:t>
      </w:r>
      <w:r w:rsidRPr="00EA7A5F" w:rsidR="00CD1B28">
        <w:rPr>
          <w:rFonts w:ascii="Palatino Linotype" w:hAnsi="Palatino Linotype" w:eastAsia="Times New Roman" w:cs="Times New Roman"/>
          <w:kern w:val="0"/>
          <w14:ligatures w14:val="none"/>
        </w:rPr>
        <w:t xml:space="preserve"> 851 </w:t>
      </w:r>
      <w:r w:rsidR="00CD1B28">
        <w:rPr>
          <w:rFonts w:ascii="Palatino Linotype" w:hAnsi="Palatino Linotype" w:eastAsia="Times New Roman" w:cs="Times New Roman"/>
          <w:kern w:val="0"/>
          <w14:ligatures w14:val="none"/>
        </w:rPr>
        <w:t>as it applies to the LCFS holdback credit sales</w:t>
      </w:r>
      <w:r w:rsidR="008F350F">
        <w:rPr>
          <w:rFonts w:ascii="Palatino Linotype" w:hAnsi="Palatino Linotype" w:eastAsia="Times New Roman" w:cs="Times New Roman"/>
          <w:kern w:val="0"/>
          <w14:ligatures w14:val="none"/>
        </w:rPr>
        <w:t xml:space="preserve"> is approved with modifications</w:t>
      </w:r>
      <w:r w:rsidR="0081361F">
        <w:rPr>
          <w:rFonts w:ascii="Palatino Linotype" w:hAnsi="Palatino Linotype" w:eastAsia="Times New Roman" w:cs="Times New Roman"/>
          <w:kern w:val="0"/>
          <w14:ligatures w14:val="none"/>
        </w:rPr>
        <w:t xml:space="preserve"> as specified herein</w:t>
      </w:r>
      <w:r w:rsidR="008F350F">
        <w:rPr>
          <w:rFonts w:ascii="Palatino Linotype" w:hAnsi="Palatino Linotype" w:eastAsia="Times New Roman" w:cs="Times New Roman"/>
          <w:kern w:val="0"/>
          <w14:ligatures w14:val="none"/>
        </w:rPr>
        <w:t xml:space="preserve">. </w:t>
      </w:r>
    </w:p>
    <w:p w:rsidRPr="008B1D89" w:rsidR="008B1D89" w:rsidP="008B1D89" w:rsidRDefault="00C826AF" w14:paraId="2F32129C" w14:textId="2994A8D9">
      <w:pPr>
        <w:numPr>
          <w:ilvl w:val="0"/>
          <w:numId w:val="2"/>
        </w:numPr>
        <w:spacing w:after="0" w:line="240" w:lineRule="auto"/>
        <w:rPr>
          <w:rFonts w:ascii="Palatino Linotype" w:hAnsi="Palatino Linotype" w:eastAsia="Palatino Linotype" w:cs="Times New Roman"/>
          <w:snapToGrid w:val="0"/>
          <w:kern w:val="0"/>
          <w14:ligatures w14:val="none"/>
        </w:rPr>
      </w:pPr>
      <w:r>
        <w:rPr>
          <w:rFonts w:ascii="Palatino Linotype" w:hAnsi="Palatino Linotype" w:eastAsia="Times New Roman" w:cs="Times New Roman"/>
          <w:kern w:val="0"/>
          <w14:ligatures w14:val="none"/>
        </w:rPr>
        <w:t xml:space="preserve">Southern California Edison </w:t>
      </w:r>
      <w:r w:rsidR="0066701F">
        <w:rPr>
          <w:rFonts w:ascii="Palatino Linotype" w:hAnsi="Palatino Linotype" w:eastAsia="Times New Roman" w:cs="Times New Roman"/>
          <w:kern w:val="0"/>
          <w14:ligatures w14:val="none"/>
        </w:rPr>
        <w:t xml:space="preserve">is authorized </w:t>
      </w:r>
      <w:r>
        <w:rPr>
          <w:rFonts w:ascii="Palatino Linotype" w:hAnsi="Palatino Linotype" w:eastAsia="Times New Roman" w:cs="Times New Roman"/>
          <w:kern w:val="0"/>
          <w14:ligatures w14:val="none"/>
        </w:rPr>
        <w:t>to</w:t>
      </w:r>
      <w:r w:rsidRPr="001942D0" w:rsidR="00A76F4A">
        <w:rPr>
          <w:rFonts w:ascii="Palatino Linotype" w:hAnsi="Palatino Linotype" w:eastAsia="Palatino Linotype" w:cs="Times New Roman"/>
          <w:snapToGrid w:val="0"/>
          <w:kern w:val="0"/>
          <w14:ligatures w14:val="none"/>
        </w:rPr>
        <w:t xml:space="preserve"> </w:t>
      </w:r>
      <w:r w:rsidR="00CE3D36">
        <w:rPr>
          <w:rFonts w:ascii="Palatino Linotype" w:hAnsi="Palatino Linotype" w:eastAsia="Palatino Linotype" w:cs="Times New Roman"/>
          <w:snapToGrid w:val="0"/>
          <w:kern w:val="0"/>
          <w14:ligatures w14:val="none"/>
        </w:rPr>
        <w:t>implement</w:t>
      </w:r>
      <w:r w:rsidR="00F07D4B">
        <w:rPr>
          <w:rFonts w:ascii="Palatino Linotype" w:hAnsi="Palatino Linotype" w:eastAsia="Palatino Linotype" w:cs="Times New Roman"/>
          <w:snapToGrid w:val="0"/>
          <w:kern w:val="0"/>
          <w14:ligatures w14:val="none"/>
        </w:rPr>
        <w:t xml:space="preserve"> the </w:t>
      </w:r>
      <w:r w:rsidR="00A47A85">
        <w:rPr>
          <w:rFonts w:ascii="Palatino Linotype" w:hAnsi="Palatino Linotype" w:eastAsia="Times New Roman" w:cs="Times New Roman"/>
          <w:kern w:val="0"/>
          <w14:ligatures w14:val="none"/>
        </w:rPr>
        <w:t>orchestrated load management</w:t>
      </w:r>
      <w:r w:rsidR="00A47A85">
        <w:rPr>
          <w:rFonts w:ascii="Palatino Linotype" w:hAnsi="Palatino Linotype" w:eastAsia="Palatino Linotype" w:cs="Times New Roman"/>
          <w:snapToGrid w:val="0"/>
          <w:kern w:val="0"/>
          <w14:ligatures w14:val="none"/>
        </w:rPr>
        <w:t xml:space="preserve"> </w:t>
      </w:r>
      <w:r w:rsidR="00F07D4B">
        <w:rPr>
          <w:rFonts w:ascii="Palatino Linotype" w:hAnsi="Palatino Linotype" w:eastAsia="Palatino Linotype" w:cs="Times New Roman"/>
          <w:snapToGrid w:val="0"/>
          <w:kern w:val="0"/>
          <w14:ligatures w14:val="none"/>
        </w:rPr>
        <w:t>portion of</w:t>
      </w:r>
      <w:r w:rsidR="00CE3D36">
        <w:rPr>
          <w:rFonts w:ascii="Palatino Linotype" w:hAnsi="Palatino Linotype" w:eastAsia="Palatino Linotype" w:cs="Times New Roman"/>
          <w:snapToGrid w:val="0"/>
          <w:kern w:val="0"/>
          <w14:ligatures w14:val="none"/>
        </w:rPr>
        <w:t xml:space="preserve"> its Orchestrated Charging and Advanced Resiliency for Distribution program</w:t>
      </w:r>
      <w:r w:rsidR="00A46FC7">
        <w:rPr>
          <w:rFonts w:ascii="Palatino Linotype" w:hAnsi="Palatino Linotype" w:eastAsia="Times New Roman" w:cs="Times New Roman"/>
          <w:kern w:val="0"/>
          <w14:ligatures w14:val="none"/>
        </w:rPr>
        <w:t xml:space="preserve"> </w:t>
      </w:r>
      <w:r w:rsidR="00431F2B">
        <w:rPr>
          <w:rFonts w:ascii="Palatino Linotype" w:hAnsi="Palatino Linotype" w:eastAsia="Times New Roman" w:cs="Times New Roman"/>
          <w:kern w:val="0"/>
          <w14:ligatures w14:val="none"/>
        </w:rPr>
        <w:t xml:space="preserve">and deploy </w:t>
      </w:r>
      <w:r w:rsidR="00A46FC7">
        <w:rPr>
          <w:rFonts w:ascii="Palatino Linotype" w:hAnsi="Palatino Linotype" w:eastAsia="Times New Roman" w:cs="Times New Roman"/>
          <w:kern w:val="0"/>
          <w14:ligatures w14:val="none"/>
        </w:rPr>
        <w:t xml:space="preserve">the participation incentives </w:t>
      </w:r>
      <w:r w:rsidR="000734CD">
        <w:rPr>
          <w:rFonts w:ascii="Palatino Linotype" w:hAnsi="Palatino Linotype" w:eastAsia="Times New Roman" w:cs="Times New Roman"/>
          <w:kern w:val="0"/>
          <w14:ligatures w14:val="none"/>
        </w:rPr>
        <w:t xml:space="preserve">illustrated in Table 1 of Section </w:t>
      </w:r>
      <w:r w:rsidR="003B3D9D">
        <w:rPr>
          <w:rFonts w:ascii="Palatino Linotype" w:hAnsi="Palatino Linotype" w:eastAsia="Times New Roman" w:cs="Times New Roman"/>
          <w:kern w:val="0"/>
          <w14:ligatures w14:val="none"/>
        </w:rPr>
        <w:t>2</w:t>
      </w:r>
      <w:r w:rsidR="000734CD">
        <w:rPr>
          <w:rFonts w:ascii="Palatino Linotype" w:hAnsi="Palatino Linotype" w:eastAsia="Times New Roman" w:cs="Times New Roman"/>
          <w:kern w:val="0"/>
          <w14:ligatures w14:val="none"/>
        </w:rPr>
        <w:t xml:space="preserve"> </w:t>
      </w:r>
      <w:r w:rsidR="000B1B8B">
        <w:rPr>
          <w:rFonts w:ascii="Palatino Linotype" w:hAnsi="Palatino Linotype" w:eastAsia="Times New Roman" w:cs="Times New Roman"/>
          <w:kern w:val="0"/>
          <w14:ligatures w14:val="none"/>
        </w:rPr>
        <w:t>of</w:t>
      </w:r>
      <w:r w:rsidR="000734CD">
        <w:rPr>
          <w:rFonts w:ascii="Palatino Linotype" w:hAnsi="Palatino Linotype" w:eastAsia="Times New Roman" w:cs="Times New Roman"/>
          <w:kern w:val="0"/>
          <w14:ligatures w14:val="none"/>
        </w:rPr>
        <w:t xml:space="preserve"> the </w:t>
      </w:r>
      <w:r w:rsidR="00A7663D">
        <w:rPr>
          <w:rFonts w:ascii="Palatino Linotype" w:hAnsi="Palatino Linotype" w:eastAsia="Times New Roman" w:cs="Times New Roman"/>
          <w:kern w:val="0"/>
          <w14:ligatures w14:val="none"/>
        </w:rPr>
        <w:t>d</w:t>
      </w:r>
      <w:r w:rsidR="000734CD">
        <w:rPr>
          <w:rFonts w:ascii="Palatino Linotype" w:hAnsi="Palatino Linotype" w:eastAsia="Times New Roman" w:cs="Times New Roman"/>
          <w:kern w:val="0"/>
          <w14:ligatures w14:val="none"/>
        </w:rPr>
        <w:t xml:space="preserve">iscussion </w:t>
      </w:r>
      <w:r w:rsidR="00A7663D">
        <w:rPr>
          <w:rFonts w:ascii="Palatino Linotype" w:hAnsi="Palatino Linotype" w:eastAsia="Times New Roman" w:cs="Times New Roman"/>
          <w:kern w:val="0"/>
          <w14:ligatures w14:val="none"/>
        </w:rPr>
        <w:t>s</w:t>
      </w:r>
      <w:r w:rsidR="000734CD">
        <w:rPr>
          <w:rFonts w:ascii="Palatino Linotype" w:hAnsi="Palatino Linotype" w:eastAsia="Times New Roman" w:cs="Times New Roman"/>
          <w:kern w:val="0"/>
          <w14:ligatures w14:val="none"/>
        </w:rPr>
        <w:t>ection.</w:t>
      </w:r>
      <w:r w:rsidR="008B1D89">
        <w:rPr>
          <w:rFonts w:ascii="Palatino Linotype" w:hAnsi="Palatino Linotype" w:eastAsia="Times New Roman" w:cs="Times New Roman"/>
          <w:kern w:val="0"/>
          <w14:ligatures w14:val="none"/>
        </w:rPr>
        <w:t xml:space="preserve"> </w:t>
      </w:r>
    </w:p>
    <w:p w:rsidR="005C2B2D" w:rsidP="005C2B2D" w:rsidRDefault="00F672A5" w14:paraId="3855A1F7" w14:textId="322F55F8">
      <w:pPr>
        <w:pStyle w:val="ListParagraph"/>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Southern California Edison must submit a Tier </w:t>
      </w:r>
      <w:r w:rsidR="00AE05C7">
        <w:rPr>
          <w:rFonts w:ascii="Palatino Linotype" w:hAnsi="Palatino Linotype" w:eastAsia="Palatino Linotype" w:cs="Times New Roman"/>
          <w:kern w:val="0"/>
          <w14:ligatures w14:val="none"/>
        </w:rPr>
        <w:t>2</w:t>
      </w:r>
      <w:r>
        <w:rPr>
          <w:rFonts w:ascii="Palatino Linotype" w:hAnsi="Palatino Linotype" w:eastAsia="Palatino Linotype" w:cs="Times New Roman"/>
          <w:kern w:val="0"/>
          <w14:ligatures w14:val="none"/>
        </w:rPr>
        <w:t xml:space="preserve"> advice letter </w:t>
      </w:r>
      <w:r w:rsidR="00C141C5">
        <w:rPr>
          <w:rFonts w:ascii="Palatino Linotype" w:hAnsi="Palatino Linotype" w:eastAsia="Palatino Linotype" w:cs="Times New Roman"/>
          <w:kern w:val="0"/>
          <w14:ligatures w14:val="none"/>
        </w:rPr>
        <w:t xml:space="preserve">within 60 days </w:t>
      </w:r>
      <w:r w:rsidR="009A23D0">
        <w:rPr>
          <w:rFonts w:ascii="Palatino Linotype" w:hAnsi="Palatino Linotype" w:eastAsia="Palatino Linotype" w:cs="Times New Roman"/>
          <w:kern w:val="0"/>
          <w14:ligatures w14:val="none"/>
        </w:rPr>
        <w:t xml:space="preserve">of the adoption of this Resolution. The advice letter must </w:t>
      </w:r>
      <w:r>
        <w:rPr>
          <w:rFonts w:ascii="Palatino Linotype" w:hAnsi="Palatino Linotype" w:eastAsia="Palatino Linotype" w:cs="Times New Roman"/>
          <w:kern w:val="0"/>
          <w14:ligatures w14:val="none"/>
        </w:rPr>
        <w:t xml:space="preserve">detail the budget </w:t>
      </w:r>
      <w:r w:rsidR="00A24C2D">
        <w:rPr>
          <w:rFonts w:ascii="Palatino Linotype" w:hAnsi="Palatino Linotype" w:eastAsia="Palatino Linotype" w:cs="Times New Roman"/>
          <w:kern w:val="0"/>
          <w14:ligatures w14:val="none"/>
        </w:rPr>
        <w:t>for its Orchestrated Charging and Advanced Resiliency for Distribution program</w:t>
      </w:r>
      <w:r w:rsidR="000B1B8B">
        <w:rPr>
          <w:rFonts w:ascii="Palatino Linotype" w:hAnsi="Palatino Linotype" w:eastAsia="Palatino Linotype" w:cs="Times New Roman"/>
          <w:kern w:val="0"/>
          <w14:ligatures w14:val="none"/>
        </w:rPr>
        <w:t xml:space="preserve"> as described in Section </w:t>
      </w:r>
      <w:r w:rsidR="00590DCC">
        <w:rPr>
          <w:rFonts w:ascii="Palatino Linotype" w:hAnsi="Palatino Linotype" w:eastAsia="Palatino Linotype" w:cs="Times New Roman"/>
          <w:kern w:val="0"/>
          <w14:ligatures w14:val="none"/>
        </w:rPr>
        <w:t>1</w:t>
      </w:r>
      <w:r w:rsidR="000B1B8B">
        <w:rPr>
          <w:rFonts w:ascii="Palatino Linotype" w:hAnsi="Palatino Linotype" w:eastAsia="Palatino Linotype" w:cs="Times New Roman"/>
          <w:kern w:val="0"/>
          <w14:ligatures w14:val="none"/>
        </w:rPr>
        <w:t xml:space="preserve"> of the discussion section</w:t>
      </w:r>
      <w:r w:rsidR="00A24C2D">
        <w:rPr>
          <w:rFonts w:ascii="Palatino Linotype" w:hAnsi="Palatino Linotype" w:eastAsia="Palatino Linotype" w:cs="Times New Roman"/>
          <w:kern w:val="0"/>
          <w14:ligatures w14:val="none"/>
        </w:rPr>
        <w:t>. The budget must be broken out into the following components</w:t>
      </w:r>
      <w:r w:rsidRPr="00922841" w:rsidR="007A6F6E">
        <w:rPr>
          <w:rFonts w:ascii="Palatino Linotype" w:hAnsi="Palatino Linotype" w:eastAsia="Palatino Linotype" w:cs="Times New Roman"/>
          <w:kern w:val="0"/>
          <w14:ligatures w14:val="none"/>
        </w:rPr>
        <w:t xml:space="preserve">: </w:t>
      </w:r>
      <w:r w:rsidRPr="00922841" w:rsidR="00A24C2D">
        <w:rPr>
          <w:rFonts w:ascii="Palatino Linotype" w:hAnsi="Palatino Linotype" w:eastAsia="Palatino Linotype" w:cs="Times New Roman"/>
          <w:kern w:val="0"/>
          <w14:ligatures w14:val="none"/>
        </w:rPr>
        <w:t xml:space="preserve">administrative </w:t>
      </w:r>
      <w:r w:rsidR="00A24C2D">
        <w:rPr>
          <w:rFonts w:ascii="Palatino Linotype" w:hAnsi="Palatino Linotype" w:eastAsia="Palatino Linotype" w:cs="Times New Roman"/>
          <w:kern w:val="0"/>
          <w14:ligatures w14:val="none"/>
        </w:rPr>
        <w:t>labor; marketing labor; program costs (</w:t>
      </w:r>
      <w:r w:rsidR="00F36886">
        <w:rPr>
          <w:rFonts w:ascii="Palatino Linotype" w:hAnsi="Palatino Linotype" w:eastAsia="Palatino Linotype" w:cs="Times New Roman"/>
          <w:kern w:val="0"/>
          <w14:ligatures w14:val="none"/>
        </w:rPr>
        <w:t>information technology</w:t>
      </w:r>
      <w:r w:rsidR="003F5AAA">
        <w:rPr>
          <w:rFonts w:ascii="Palatino Linotype" w:hAnsi="Palatino Linotype" w:eastAsia="Palatino Linotype" w:cs="Times New Roman"/>
          <w:kern w:val="0"/>
          <w14:ligatures w14:val="none"/>
        </w:rPr>
        <w:t xml:space="preserve">; </w:t>
      </w:r>
      <w:r w:rsidR="00A24C2D">
        <w:rPr>
          <w:rFonts w:ascii="Palatino Linotype" w:hAnsi="Palatino Linotype" w:eastAsia="Palatino Linotype" w:cs="Times New Roman"/>
          <w:kern w:val="0"/>
          <w14:ligatures w14:val="none"/>
        </w:rPr>
        <w:t>third-party implementor costs</w:t>
      </w:r>
      <w:r w:rsidR="00922841">
        <w:rPr>
          <w:rFonts w:ascii="Palatino Linotype" w:hAnsi="Palatino Linotype" w:eastAsia="Palatino Linotype" w:cs="Times New Roman"/>
          <w:kern w:val="0"/>
          <w14:ligatures w14:val="none"/>
        </w:rPr>
        <w:t xml:space="preserve">; </w:t>
      </w:r>
      <w:r w:rsidRPr="007A6F6E" w:rsidR="00922841">
        <w:rPr>
          <w:rFonts w:ascii="Palatino Linotype" w:hAnsi="Palatino Linotype" w:eastAsia="Palatino Linotype" w:cs="Times New Roman"/>
          <w:kern w:val="0"/>
          <w14:ligatures w14:val="none"/>
        </w:rPr>
        <w:t xml:space="preserve">fees and subscriptions charged by </w:t>
      </w:r>
      <w:r w:rsidR="00922841">
        <w:rPr>
          <w:rFonts w:ascii="Palatino Linotype" w:hAnsi="Palatino Linotype" w:eastAsia="Palatino Linotype" w:cs="Times New Roman"/>
          <w:kern w:val="0"/>
          <w14:ligatures w14:val="none"/>
        </w:rPr>
        <w:t xml:space="preserve">original equipment manufacturers </w:t>
      </w:r>
      <w:r w:rsidRPr="007A6F6E" w:rsidR="00922841">
        <w:rPr>
          <w:rFonts w:ascii="Palatino Linotype" w:hAnsi="Palatino Linotype" w:eastAsia="Palatino Linotype" w:cs="Times New Roman"/>
          <w:kern w:val="0"/>
          <w14:ligatures w14:val="none"/>
        </w:rPr>
        <w:t xml:space="preserve">for </w:t>
      </w:r>
      <w:r w:rsidR="00922841">
        <w:rPr>
          <w:rFonts w:ascii="Palatino Linotype" w:hAnsi="Palatino Linotype" w:eastAsia="Palatino Linotype" w:cs="Times New Roman"/>
          <w:kern w:val="0"/>
          <w14:ligatures w14:val="none"/>
        </w:rPr>
        <w:t>Southern California Edison</w:t>
      </w:r>
      <w:r w:rsidRPr="007A6F6E" w:rsidR="00922841">
        <w:rPr>
          <w:rFonts w:ascii="Palatino Linotype" w:hAnsi="Palatino Linotype" w:eastAsia="Palatino Linotype" w:cs="Times New Roman"/>
          <w:kern w:val="0"/>
          <w14:ligatures w14:val="none"/>
        </w:rPr>
        <w:t xml:space="preserve"> and/or third-party aggregators to manage the </w:t>
      </w:r>
      <w:r w:rsidR="00922841">
        <w:rPr>
          <w:rFonts w:ascii="Palatino Linotype" w:hAnsi="Palatino Linotype" w:eastAsia="Palatino Linotype" w:cs="Times New Roman"/>
          <w:kern w:val="0"/>
          <w14:ligatures w14:val="none"/>
        </w:rPr>
        <w:t>electric vehicle</w:t>
      </w:r>
      <w:r w:rsidRPr="007A6F6E" w:rsidR="00922841">
        <w:rPr>
          <w:rFonts w:ascii="Palatino Linotype" w:hAnsi="Palatino Linotype" w:eastAsia="Palatino Linotype" w:cs="Times New Roman"/>
          <w:kern w:val="0"/>
          <w14:ligatures w14:val="none"/>
        </w:rPr>
        <w:t xml:space="preserve"> charging, etc.)</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w:t>
      </w:r>
      <w:r w:rsidR="003F5AAA">
        <w:rPr>
          <w:rFonts w:ascii="Palatino Linotype" w:hAnsi="Palatino Linotype" w:eastAsia="Palatino Linotype" w:cs="Times New Roman"/>
          <w:kern w:val="0"/>
          <w14:ligatures w14:val="none"/>
        </w:rPr>
        <w:t>marketing, education, and outreach;</w:t>
      </w:r>
      <w:r w:rsidR="00A24C2D">
        <w:rPr>
          <w:rFonts w:ascii="Palatino Linotype" w:hAnsi="Palatino Linotype" w:eastAsia="Palatino Linotype" w:cs="Times New Roman"/>
          <w:kern w:val="0"/>
          <w14:ligatures w14:val="none"/>
        </w:rPr>
        <w:t xml:space="preserve"> program evaluation</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and customer participation incentives</w:t>
      </w:r>
      <w:r w:rsidR="003F5AAA">
        <w:rPr>
          <w:rFonts w:ascii="Palatino Linotype" w:hAnsi="Palatino Linotype" w:eastAsia="Palatino Linotype" w:cs="Times New Roman"/>
          <w:kern w:val="0"/>
          <w14:ligatures w14:val="none"/>
        </w:rPr>
        <w:t>)</w:t>
      </w:r>
      <w:r w:rsidR="00A24C2D">
        <w:rPr>
          <w:rFonts w:ascii="Palatino Linotype" w:hAnsi="Palatino Linotype" w:eastAsia="Palatino Linotype" w:cs="Times New Roman"/>
          <w:kern w:val="0"/>
          <w14:ligatures w14:val="none"/>
        </w:rPr>
        <w:t xml:space="preserve">. </w:t>
      </w:r>
      <w:r w:rsidRPr="00946710" w:rsidR="002019AE">
        <w:rPr>
          <w:rFonts w:ascii="Palatino Linotype" w:hAnsi="Palatino Linotype" w:eastAsia="Palatino Linotype" w:cs="Times New Roman"/>
          <w:kern w:val="0"/>
          <w14:ligatures w14:val="none"/>
        </w:rPr>
        <w:t xml:space="preserve">The </w:t>
      </w:r>
      <w:r w:rsidR="002019AE">
        <w:rPr>
          <w:rFonts w:ascii="Palatino Linotype" w:hAnsi="Palatino Linotype" w:eastAsia="Palatino Linotype" w:cs="Times New Roman"/>
          <w:kern w:val="0"/>
          <w14:ligatures w14:val="none"/>
        </w:rPr>
        <w:t>Advice Letter must also</w:t>
      </w:r>
      <w:r w:rsidRPr="00946710" w:rsidR="002019AE">
        <w:rPr>
          <w:rFonts w:ascii="Palatino Linotype" w:hAnsi="Palatino Linotype" w:eastAsia="Palatino Linotype" w:cs="Times New Roman"/>
          <w:kern w:val="0"/>
          <w14:ligatures w14:val="none"/>
        </w:rPr>
        <w:t xml:space="preserve"> describe the methodology that will be used to determine whether the</w:t>
      </w:r>
      <w:r w:rsidR="002019AE">
        <w:rPr>
          <w:rFonts w:ascii="Palatino Linotype" w:hAnsi="Palatino Linotype" w:eastAsia="Palatino Linotype" w:cs="Times New Roman"/>
          <w:kern w:val="0"/>
          <w14:ligatures w14:val="none"/>
        </w:rPr>
        <w:t xml:space="preserve"> orchestrated load management</w:t>
      </w:r>
      <w:r w:rsidRPr="00946710" w:rsidR="002019AE">
        <w:rPr>
          <w:rFonts w:ascii="Palatino Linotype" w:hAnsi="Palatino Linotype" w:eastAsia="Palatino Linotype" w:cs="Times New Roman"/>
          <w:kern w:val="0"/>
          <w14:ligatures w14:val="none"/>
        </w:rPr>
        <w:t xml:space="preserve"> incentive amounts should be modified and how frequently this assessment will occur. </w:t>
      </w:r>
      <w:r w:rsidR="005C2B2D">
        <w:rPr>
          <w:rFonts w:ascii="Palatino Linotype" w:hAnsi="Palatino Linotype" w:eastAsia="Palatino Linotype" w:cs="Times New Roman"/>
          <w:kern w:val="0"/>
          <w14:ligatures w14:val="none"/>
        </w:rPr>
        <w:t>The methodology should, at minimum, address:</w:t>
      </w:r>
      <w:r w:rsidR="002019AE">
        <w:rPr>
          <w:rFonts w:ascii="Palatino Linotype" w:hAnsi="Palatino Linotype" w:eastAsia="Palatino Linotype" w:cs="Times New Roman"/>
          <w:kern w:val="0"/>
          <w14:ligatures w14:val="none"/>
        </w:rPr>
        <w:t xml:space="preserve"> </w:t>
      </w:r>
    </w:p>
    <w:p w:rsidR="005C2B2D" w:rsidP="005C2B2D" w:rsidRDefault="008F2508" w14:paraId="00B9FD57" w14:textId="53D21FCB">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often </w:t>
      </w:r>
      <w:r w:rsidR="00407CAF">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assess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 xml:space="preserve"> enrollment numbers, </w:t>
      </w:r>
    </w:p>
    <w:p w:rsidR="008F2508" w:rsidP="005C2B2D" w:rsidRDefault="008F2508" w14:paraId="7532A52E" w14:textId="712A678A">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What participation or attrition threshold will warrant modification of the incentive amounts</w:t>
      </w:r>
      <w:r w:rsidR="00872D95">
        <w:rPr>
          <w:rFonts w:ascii="Palatino Linotype" w:hAnsi="Palatino Linotype" w:eastAsia="Palatino Linotype" w:cs="Times New Roman"/>
          <w:kern w:val="0"/>
          <w14:ligatures w14:val="none"/>
        </w:rPr>
        <w:t>,</w:t>
      </w:r>
      <w:r>
        <w:rPr>
          <w:rFonts w:ascii="Palatino Linotype" w:hAnsi="Palatino Linotype" w:eastAsia="Palatino Linotype" w:cs="Times New Roman"/>
          <w:kern w:val="0"/>
          <w14:ligatures w14:val="none"/>
        </w:rPr>
        <w:t xml:space="preserve"> </w:t>
      </w:r>
    </w:p>
    <w:p w:rsidRPr="00493099" w:rsidR="00537113" w:rsidP="00537113" w:rsidRDefault="00537113" w14:paraId="269FA8C9" w14:textId="7BAE295B">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What measures </w:t>
      </w:r>
      <w:r w:rsidR="00407CAF">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take if participants opt out of more than 25% of charging sessions, </w:t>
      </w:r>
    </w:p>
    <w:p w:rsidR="008F2508" w:rsidP="005C2B2D" w:rsidRDefault="008F2508" w14:paraId="576E7847" w14:textId="7B11C42D">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How, if applicable, participation or attrition differs among the tiers of incentive amounts </w:t>
      </w:r>
      <w:r w:rsidR="00634036">
        <w:rPr>
          <w:rFonts w:ascii="Palatino Linotype" w:hAnsi="Palatino Linotype" w:eastAsia="Palatino Linotype" w:cs="Times New Roman"/>
          <w:kern w:val="0"/>
          <w14:ligatures w14:val="none"/>
        </w:rPr>
        <w:t>(e.g., whether attrition is higher at the fully reduced incentive level)</w:t>
      </w:r>
      <w:r w:rsidR="00872D95">
        <w:rPr>
          <w:rFonts w:ascii="Palatino Linotype" w:hAnsi="Palatino Linotype" w:eastAsia="Palatino Linotype" w:cs="Times New Roman"/>
          <w:kern w:val="0"/>
          <w14:ligatures w14:val="none"/>
        </w:rPr>
        <w:t>,</w:t>
      </w:r>
      <w:r w:rsidR="00634036">
        <w:rPr>
          <w:rFonts w:ascii="Palatino Linotype" w:hAnsi="Palatino Linotype" w:eastAsia="Palatino Linotype" w:cs="Times New Roman"/>
          <w:kern w:val="0"/>
          <w14:ligatures w14:val="none"/>
        </w:rPr>
        <w:t xml:space="preserve"> </w:t>
      </w:r>
    </w:p>
    <w:p w:rsidR="00634036" w:rsidP="005C2B2D" w:rsidRDefault="00634036" w14:paraId="62FCE9E1" w14:textId="189FFA22">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w:t>
      </w:r>
      <w:r w:rsidR="00036939">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use a control group in its analysis, </w:t>
      </w:r>
    </w:p>
    <w:p w:rsidR="00634036" w:rsidP="005C2B2D" w:rsidRDefault="00634036" w14:paraId="3B024A0F" w14:textId="2C64B535">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Whether </w:t>
      </w:r>
      <w:r w:rsidR="00036939">
        <w:rPr>
          <w:rFonts w:ascii="Palatino Linotype" w:hAnsi="Palatino Linotype" w:eastAsia="Palatino Linotype" w:cs="Times New Roman"/>
          <w:kern w:val="0"/>
          <w14:ligatures w14:val="none"/>
        </w:rPr>
        <w:t>Southern California Edison</w:t>
      </w:r>
      <w:r>
        <w:rPr>
          <w:rFonts w:ascii="Palatino Linotype" w:hAnsi="Palatino Linotype" w:eastAsia="Palatino Linotype" w:cs="Times New Roman"/>
          <w:kern w:val="0"/>
          <w14:ligatures w14:val="none"/>
        </w:rPr>
        <w:t xml:space="preserve"> will conduct participant surveys to inform the modification of incentive amounts</w:t>
      </w:r>
      <w:r w:rsidR="001B6716">
        <w:rPr>
          <w:rFonts w:ascii="Palatino Linotype" w:hAnsi="Palatino Linotype" w:eastAsia="Palatino Linotype" w:cs="Times New Roman"/>
          <w:kern w:val="0"/>
          <w14:ligatures w14:val="none"/>
        </w:rPr>
        <w:t xml:space="preserve">, </w:t>
      </w:r>
    </w:p>
    <w:p w:rsidR="001B6716" w:rsidP="001B6716" w:rsidRDefault="001B6716" w14:paraId="4E884A4D" w14:textId="14C6A7DA">
      <w:pPr>
        <w:pStyle w:val="ListParagraph"/>
        <w:numPr>
          <w:ilvl w:val="0"/>
          <w:numId w:val="33"/>
        </w:numPr>
        <w:spacing w:after="0" w:line="240" w:lineRule="auto"/>
        <w:rPr>
          <w:rFonts w:ascii="Palatino Linotype" w:hAnsi="Palatino Linotype" w:eastAsia="Palatino Linotype" w:cs="Times New Roman"/>
          <w:kern w:val="0"/>
          <w14:ligatures w14:val="none"/>
        </w:rPr>
      </w:pPr>
      <w:r w:rsidRPr="00632D92">
        <w:rPr>
          <w:rFonts w:ascii="Palatino Linotype" w:hAnsi="Palatino Linotype" w:eastAsia="Palatino Linotype" w:cs="Times New Roman"/>
          <w:kern w:val="0"/>
          <w14:ligatures w14:val="none"/>
        </w:rPr>
        <w:t xml:space="preserve">How </w:t>
      </w:r>
      <w:r w:rsidR="00036939">
        <w:rPr>
          <w:rFonts w:ascii="Palatino Linotype" w:hAnsi="Palatino Linotype" w:eastAsia="Palatino Linotype" w:cs="Times New Roman"/>
          <w:kern w:val="0"/>
          <w14:ligatures w14:val="none"/>
        </w:rPr>
        <w:t>Southern California Edison</w:t>
      </w:r>
      <w:r w:rsidRPr="00632D92">
        <w:rPr>
          <w:rFonts w:ascii="Palatino Linotype" w:hAnsi="Palatino Linotype" w:eastAsia="Palatino Linotype" w:cs="Times New Roman"/>
          <w:kern w:val="0"/>
          <w14:ligatures w14:val="none"/>
        </w:rPr>
        <w:t xml:space="preserve"> will inform and educate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 xml:space="preserve"> participants</w:t>
      </w:r>
      <w:r w:rsidRPr="00632D92">
        <w:rPr>
          <w:rFonts w:ascii="Palatino Linotype" w:hAnsi="Palatino Linotype" w:eastAsia="Palatino Linotype" w:cs="Times New Roman"/>
          <w:kern w:val="0"/>
          <w14:ligatures w14:val="none"/>
        </w:rPr>
        <w:t xml:space="preserve"> about </w:t>
      </w:r>
      <w:r w:rsidRPr="00632D92">
        <w:rPr>
          <w:rFonts w:ascii="Palatino Linotype" w:hAnsi="Palatino Linotype" w:eastAsia="Palatino Linotype" w:cs="Times New Roman"/>
          <w:kern w:val="0"/>
          <w14:ligatures w14:val="none"/>
        </w:rPr>
        <w:lastRenderedPageBreak/>
        <w:t xml:space="preserve">additional financial </w:t>
      </w:r>
      <w:r>
        <w:rPr>
          <w:rFonts w:ascii="Palatino Linotype" w:hAnsi="Palatino Linotype" w:eastAsia="Palatino Linotype" w:cs="Times New Roman"/>
          <w:kern w:val="0"/>
          <w14:ligatures w14:val="none"/>
        </w:rPr>
        <w:t>incentives made available through enrollment in</w:t>
      </w:r>
      <w:r w:rsidRPr="00632D92">
        <w:rPr>
          <w:rFonts w:ascii="Palatino Linotype" w:hAnsi="Palatino Linotype" w:eastAsia="Palatino Linotype" w:cs="Times New Roman"/>
          <w:kern w:val="0"/>
          <w14:ligatures w14:val="none"/>
        </w:rPr>
        <w:t xml:space="preserve"> dynamic </w:t>
      </w:r>
      <w:r>
        <w:rPr>
          <w:rFonts w:ascii="Palatino Linotype" w:hAnsi="Palatino Linotype" w:eastAsia="Palatino Linotype" w:cs="Times New Roman"/>
          <w:kern w:val="0"/>
          <w14:ligatures w14:val="none"/>
        </w:rPr>
        <w:t>rates</w:t>
      </w:r>
      <w:r w:rsidRPr="00632D92">
        <w:rPr>
          <w:rFonts w:ascii="Palatino Linotype" w:hAnsi="Palatino Linotype" w:eastAsia="Palatino Linotype" w:cs="Times New Roman"/>
          <w:kern w:val="0"/>
          <w14:ligatures w14:val="none"/>
        </w:rPr>
        <w:t>, after such rates are approved and implemented</w:t>
      </w:r>
      <w:r w:rsidR="00064F26">
        <w:rPr>
          <w:rFonts w:ascii="Palatino Linotype" w:hAnsi="Palatino Linotype" w:eastAsia="Palatino Linotype" w:cs="Times New Roman"/>
          <w:kern w:val="0"/>
          <w14:ligatures w14:val="none"/>
        </w:rPr>
        <w:t xml:space="preserve">, and </w:t>
      </w:r>
    </w:p>
    <w:p w:rsidRPr="00064F26" w:rsidR="00064F26" w:rsidP="00064F26" w:rsidRDefault="00064F26" w14:paraId="496546E2" w14:textId="72DF4C45">
      <w:pPr>
        <w:pStyle w:val="ListParagraph"/>
        <w:numPr>
          <w:ilvl w:val="0"/>
          <w:numId w:val="33"/>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H</w:t>
      </w:r>
      <w:r w:rsidRPr="00E265F0">
        <w:rPr>
          <w:rFonts w:ascii="Palatino Linotype" w:hAnsi="Palatino Linotype" w:eastAsia="Palatino Linotype" w:cs="Times New Roman"/>
          <w:kern w:val="0"/>
          <w14:ligatures w14:val="none"/>
        </w:rPr>
        <w:t xml:space="preserve">ow </w:t>
      </w:r>
      <w:r>
        <w:rPr>
          <w:rFonts w:ascii="Palatino Linotype" w:hAnsi="Palatino Linotype" w:eastAsia="Palatino Linotype" w:cs="Times New Roman"/>
          <w:kern w:val="0"/>
          <w14:ligatures w14:val="none"/>
        </w:rPr>
        <w:t xml:space="preserve">Southern California Edison </w:t>
      </w:r>
      <w:r w:rsidRPr="00E265F0">
        <w:rPr>
          <w:rFonts w:ascii="Palatino Linotype" w:hAnsi="Palatino Linotype" w:eastAsia="Palatino Linotype" w:cs="Times New Roman"/>
          <w:kern w:val="0"/>
          <w14:ligatures w14:val="none"/>
        </w:rPr>
        <w:t xml:space="preserve">will evaluate the potential bill impact of </w:t>
      </w:r>
      <w:r w:rsidR="002624C8">
        <w:rPr>
          <w:rFonts w:ascii="Palatino Linotype" w:hAnsi="Palatino Linotype" w:eastAsia="Palatino Linotype" w:cs="Times New Roman"/>
          <w:kern w:val="0"/>
          <w14:ligatures w14:val="none"/>
        </w:rPr>
        <w:t>Orchestrated Charging and Advanced Resiliency for Distribution</w:t>
      </w:r>
      <w:r w:rsidRPr="00E265F0">
        <w:rPr>
          <w:rFonts w:ascii="Palatino Linotype" w:hAnsi="Palatino Linotype" w:eastAsia="Palatino Linotype" w:cs="Times New Roman"/>
          <w:kern w:val="0"/>
          <w14:ligatures w14:val="none"/>
        </w:rPr>
        <w:t xml:space="preserve"> customers </w:t>
      </w:r>
      <w:r w:rsidR="009768B2">
        <w:rPr>
          <w:rFonts w:ascii="Palatino Linotype" w:hAnsi="Palatino Linotype" w:eastAsia="Palatino Linotype" w:cs="Times New Roman"/>
          <w:kern w:val="0"/>
          <w14:ligatures w14:val="none"/>
        </w:rPr>
        <w:t>concurrently enrolled in</w:t>
      </w:r>
      <w:r w:rsidRPr="00E265F0">
        <w:rPr>
          <w:rFonts w:ascii="Palatino Linotype" w:hAnsi="Palatino Linotype" w:eastAsia="Palatino Linotype" w:cs="Times New Roman"/>
          <w:kern w:val="0"/>
          <w14:ligatures w14:val="none"/>
        </w:rPr>
        <w:t xml:space="preserve"> dynamic rates</w:t>
      </w:r>
      <w:r>
        <w:rPr>
          <w:rFonts w:ascii="Palatino Linotype" w:hAnsi="Palatino Linotype" w:eastAsia="Palatino Linotype" w:cs="Times New Roman"/>
          <w:kern w:val="0"/>
          <w14:ligatures w14:val="none"/>
        </w:rPr>
        <w:t xml:space="preserve">. </w:t>
      </w:r>
    </w:p>
    <w:p w:rsidR="00973A11" w:rsidP="00446B45" w:rsidRDefault="007163DC" w14:paraId="5CAF6A35" w14:textId="5DCD92A3">
      <w:pPr>
        <w:pStyle w:val="ListParagraph"/>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Southern California Edison</w:t>
      </w:r>
      <w:r w:rsidR="00114B62">
        <w:rPr>
          <w:rFonts w:ascii="Palatino Linotype" w:hAnsi="Palatino Linotype" w:eastAsia="Palatino Linotype" w:cs="Times New Roman"/>
          <w:kern w:val="0"/>
          <w14:ligatures w14:val="none"/>
        </w:rPr>
        <w:t xml:space="preserve">’s request to deploy bidirectional charging equipment incentives is denied </w:t>
      </w:r>
      <w:r w:rsidR="00726CF7">
        <w:rPr>
          <w:rFonts w:ascii="Palatino Linotype" w:hAnsi="Palatino Linotype" w:eastAsia="Palatino Linotype" w:cs="Times New Roman"/>
          <w:kern w:val="0"/>
          <w14:ligatures w14:val="none"/>
        </w:rPr>
        <w:t>due to deficiencies in Advice Letter 5536-E</w:t>
      </w:r>
      <w:r w:rsidR="00213581">
        <w:rPr>
          <w:rFonts w:ascii="Palatino Linotype" w:hAnsi="Palatino Linotype" w:eastAsia="Palatino Linotype" w:cs="Times New Roman"/>
          <w:kern w:val="0"/>
          <w14:ligatures w14:val="none"/>
        </w:rPr>
        <w:t xml:space="preserve"> </w:t>
      </w:r>
      <w:r w:rsidR="002A6FF1">
        <w:rPr>
          <w:rFonts w:ascii="Palatino Linotype" w:hAnsi="Palatino Linotype" w:eastAsia="Palatino Linotype" w:cs="Times New Roman"/>
          <w:kern w:val="0"/>
          <w14:ligatures w14:val="none"/>
        </w:rPr>
        <w:t>that are</w:t>
      </w:r>
      <w:r w:rsidR="00213581">
        <w:rPr>
          <w:rFonts w:ascii="Palatino Linotype" w:hAnsi="Palatino Linotype" w:eastAsia="Palatino Linotype" w:cs="Times New Roman"/>
          <w:kern w:val="0"/>
          <w14:ligatures w14:val="none"/>
        </w:rPr>
        <w:t xml:space="preserve"> </w:t>
      </w:r>
      <w:r w:rsidR="002A6FF1">
        <w:rPr>
          <w:rFonts w:ascii="Palatino Linotype" w:hAnsi="Palatino Linotype" w:eastAsia="Palatino Linotype" w:cs="Times New Roman"/>
          <w:kern w:val="0"/>
          <w14:ligatures w14:val="none"/>
        </w:rPr>
        <w:t>addressed</w:t>
      </w:r>
      <w:r w:rsidR="00213581">
        <w:rPr>
          <w:rFonts w:ascii="Palatino Linotype" w:hAnsi="Palatino Linotype" w:eastAsia="Palatino Linotype" w:cs="Times New Roman"/>
          <w:kern w:val="0"/>
          <w14:ligatures w14:val="none"/>
        </w:rPr>
        <w:t xml:space="preserve"> in </w:t>
      </w:r>
      <w:r w:rsidR="003208E7">
        <w:rPr>
          <w:rFonts w:ascii="Palatino Linotype" w:hAnsi="Palatino Linotype" w:eastAsia="Palatino Linotype" w:cs="Times New Roman"/>
          <w:kern w:val="0"/>
          <w14:ligatures w14:val="none"/>
        </w:rPr>
        <w:t>Section 3 of the discussion section</w:t>
      </w:r>
      <w:r w:rsidR="00E82A69">
        <w:rPr>
          <w:rFonts w:ascii="Palatino Linotype" w:hAnsi="Palatino Linotype" w:eastAsia="Palatino Linotype" w:cs="Times New Roman"/>
          <w:kern w:val="0"/>
          <w14:ligatures w14:val="none"/>
        </w:rPr>
        <w:t xml:space="preserve">. </w:t>
      </w:r>
    </w:p>
    <w:p w:rsidR="008F11A3" w:rsidP="00446B45" w:rsidRDefault="008F11A3" w14:paraId="62482834" w14:textId="1ECFFC05">
      <w:pPr>
        <w:pStyle w:val="ListParagraph"/>
        <w:numPr>
          <w:ilvl w:val="0"/>
          <w:numId w:val="2"/>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Southern California Edison </w:t>
      </w:r>
      <w:r w:rsidR="00B03FEF">
        <w:rPr>
          <w:rFonts w:ascii="Palatino Linotype" w:hAnsi="Palatino Linotype" w:eastAsia="Palatino Linotype" w:cs="Times New Roman"/>
          <w:kern w:val="0"/>
          <w14:ligatures w14:val="none"/>
        </w:rPr>
        <w:t xml:space="preserve">(SCE) </w:t>
      </w:r>
      <w:r>
        <w:rPr>
          <w:rFonts w:ascii="Palatino Linotype" w:hAnsi="Palatino Linotype" w:eastAsia="Palatino Linotype" w:cs="Times New Roman"/>
          <w:kern w:val="0"/>
          <w14:ligatures w14:val="none"/>
        </w:rPr>
        <w:t xml:space="preserve">must </w:t>
      </w:r>
      <w:r w:rsidR="00695FEF">
        <w:rPr>
          <w:rFonts w:ascii="Palatino Linotype" w:hAnsi="Palatino Linotype" w:eastAsia="Palatino Linotype" w:cs="Times New Roman"/>
          <w:kern w:val="0"/>
          <w14:ligatures w14:val="none"/>
        </w:rPr>
        <w:t>send Energy Division staff a quarterly email to provide information</w:t>
      </w:r>
      <w:r>
        <w:rPr>
          <w:rFonts w:ascii="Palatino Linotype" w:hAnsi="Palatino Linotype" w:eastAsia="Palatino Linotype" w:cs="Times New Roman"/>
          <w:kern w:val="0"/>
          <w14:ligatures w14:val="none"/>
        </w:rPr>
        <w:t xml:space="preserve"> on enrollment numbers and evaluation efforts once the program is open for enrollment</w:t>
      </w:r>
      <w:r w:rsidR="00D46729">
        <w:rPr>
          <w:rFonts w:ascii="Palatino Linotype" w:hAnsi="Palatino Linotype" w:eastAsia="Palatino Linotype" w:cs="Times New Roman"/>
          <w:kern w:val="0"/>
          <w14:ligatures w14:val="none"/>
        </w:rPr>
        <w:t>,</w:t>
      </w:r>
      <w:r w:rsidR="00EB3CA6">
        <w:rPr>
          <w:rFonts w:ascii="Palatino Linotype" w:hAnsi="Palatino Linotype" w:eastAsia="Palatino Linotype" w:cs="Times New Roman"/>
          <w:kern w:val="0"/>
          <w14:ligatures w14:val="none"/>
        </w:rPr>
        <w:t xml:space="preserve"> as well as partnership updates</w:t>
      </w:r>
      <w:r w:rsidR="00A91FD5">
        <w:rPr>
          <w:rFonts w:ascii="Palatino Linotype" w:hAnsi="Palatino Linotype" w:eastAsia="Palatino Linotype" w:cs="Times New Roman"/>
          <w:kern w:val="0"/>
          <w14:ligatures w14:val="none"/>
        </w:rPr>
        <w:t xml:space="preserve"> with aggregators, </w:t>
      </w:r>
      <w:r w:rsidR="00703BB8">
        <w:rPr>
          <w:rFonts w:ascii="Palatino Linotype" w:hAnsi="Palatino Linotype" w:eastAsia="Palatino Linotype" w:cs="Times New Roman"/>
          <w:kern w:val="0"/>
          <w14:ligatures w14:val="none"/>
        </w:rPr>
        <w:t>electric vehicle service providers</w:t>
      </w:r>
      <w:r w:rsidR="00A91FD5">
        <w:rPr>
          <w:rFonts w:ascii="Palatino Linotype" w:hAnsi="Palatino Linotype" w:eastAsia="Palatino Linotype" w:cs="Times New Roman"/>
          <w:kern w:val="0"/>
          <w14:ligatures w14:val="none"/>
        </w:rPr>
        <w:t xml:space="preserve">, automotive </w:t>
      </w:r>
      <w:r w:rsidR="00703BB8">
        <w:rPr>
          <w:rFonts w:ascii="Palatino Linotype" w:hAnsi="Palatino Linotype" w:eastAsia="Palatino Linotype" w:cs="Times New Roman"/>
          <w:kern w:val="0"/>
          <w14:ligatures w14:val="none"/>
        </w:rPr>
        <w:t>original equipment manufacturers</w:t>
      </w:r>
      <w:r w:rsidR="00A91FD5">
        <w:rPr>
          <w:rFonts w:ascii="Palatino Linotype" w:hAnsi="Palatino Linotype" w:eastAsia="Palatino Linotype" w:cs="Times New Roman"/>
          <w:kern w:val="0"/>
          <w14:ligatures w14:val="none"/>
        </w:rPr>
        <w:t xml:space="preserve">, </w:t>
      </w:r>
      <w:r w:rsidR="00703BB8">
        <w:rPr>
          <w:rFonts w:ascii="Palatino Linotype" w:hAnsi="Palatino Linotype" w:eastAsia="Palatino Linotype" w:cs="Times New Roman"/>
          <w:kern w:val="0"/>
          <w14:ligatures w14:val="none"/>
        </w:rPr>
        <w:t>community-based organizations</w:t>
      </w:r>
      <w:r w:rsidR="00A91FD5">
        <w:rPr>
          <w:rFonts w:ascii="Palatino Linotype" w:hAnsi="Palatino Linotype" w:eastAsia="Palatino Linotype" w:cs="Times New Roman"/>
          <w:kern w:val="0"/>
          <w14:ligatures w14:val="none"/>
        </w:rPr>
        <w:t xml:space="preserve">, and any other firms that help facilitate </w:t>
      </w:r>
      <w:r w:rsidR="00DF21CD">
        <w:rPr>
          <w:rFonts w:ascii="Palatino Linotype" w:hAnsi="Palatino Linotype" w:eastAsia="Palatino Linotype" w:cs="Times New Roman"/>
          <w:kern w:val="0"/>
          <w14:ligatures w14:val="none"/>
        </w:rPr>
        <w:t>Orchestrated Charging and Advanced Resiliency for Distribution progra</w:t>
      </w:r>
      <w:r w:rsidR="00036939">
        <w:rPr>
          <w:rFonts w:ascii="Palatino Linotype" w:hAnsi="Palatino Linotype" w:eastAsia="Palatino Linotype" w:cs="Times New Roman"/>
          <w:kern w:val="0"/>
          <w14:ligatures w14:val="none"/>
        </w:rPr>
        <w:t>m</w:t>
      </w:r>
      <w:r w:rsidR="00A91FD5">
        <w:rPr>
          <w:rFonts w:ascii="Palatino Linotype" w:hAnsi="Palatino Linotype" w:eastAsia="Palatino Linotype" w:cs="Times New Roman"/>
          <w:kern w:val="0"/>
          <w14:ligatures w14:val="none"/>
        </w:rPr>
        <w:t xml:space="preserve">, including the number of partnerships, the names of the firms entering such partnerships with SCE, and any opportunities and challenges in establishing such partnerships that would inform the scaling of </w:t>
      </w:r>
      <w:r w:rsidR="00036939">
        <w:rPr>
          <w:rFonts w:ascii="Palatino Linotype" w:hAnsi="Palatino Linotype" w:eastAsia="Palatino Linotype" w:cs="Times New Roman"/>
          <w:kern w:val="0"/>
          <w14:ligatures w14:val="none"/>
        </w:rPr>
        <w:t>Orchestrated Charging and Advanced Resiliency for Distribution</w:t>
      </w:r>
      <w:r>
        <w:rPr>
          <w:rFonts w:ascii="Palatino Linotype" w:hAnsi="Palatino Linotype" w:eastAsia="Palatino Linotype" w:cs="Times New Roman"/>
          <w:kern w:val="0"/>
          <w14:ligatures w14:val="none"/>
        </w:rPr>
        <w:t>.</w:t>
      </w:r>
      <w:r w:rsidR="001F3452">
        <w:rPr>
          <w:rFonts w:ascii="Palatino Linotype" w:hAnsi="Palatino Linotype" w:eastAsia="Palatino Linotype" w:cs="Times New Roman"/>
          <w:kern w:val="0"/>
          <w14:ligatures w14:val="none"/>
        </w:rPr>
        <w:t xml:space="preserve"> </w:t>
      </w:r>
    </w:p>
    <w:p w:rsidRPr="001942D0" w:rsidR="000110A4" w:rsidP="00A76F4A" w:rsidRDefault="000110A4" w14:paraId="20C01F30" w14:textId="2CC11D38">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00A76F4A" w:rsidRDefault="00A76F4A" w14:paraId="7C0D2B15"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45FAD23E">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Pr="0051493D">
        <w:rPr>
          <w:rFonts w:ascii="Palatino Linotype" w:hAnsi="Palatino Linotype"/>
          <w:highlight w:val="yellow"/>
        </w:rPr>
        <w:t>[DATE];</w:t>
      </w:r>
      <w:r w:rsidRPr="0051493D">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4D211C59">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Pr>
          <w:rFonts w:ascii="Palatino Linotype" w:hAnsi="Palatino Linotype" w:eastAsia="Palatino Linotype" w:cs="Times New Roman"/>
        </w:rPr>
        <w:t>&lt;Voting meeting location&gt;</w:t>
      </w:r>
      <w:r w:rsidRPr="00921E87">
        <w:rPr>
          <w:rFonts w:ascii="Palatino Linotype" w:hAnsi="Palatino Linotype" w:eastAsia="Palatino Linotype" w:cs="Times New Roman"/>
        </w:rPr>
        <w:t>, California</w:t>
      </w:r>
      <w:r w:rsidRPr="6C0ADE60" w:rsidR="1953FEF5">
        <w:rPr>
          <w:rFonts w:ascii="Palatino Linotype" w:hAnsi="Palatino Linotype" w:eastAsia="Palatino Linotype" w:cs="Times New Roman"/>
        </w:rPr>
        <w:t xml:space="preserve"> (EDTU will fill-out the date and location)</w:t>
      </w:r>
      <w:r>
        <w:tab/>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4CCF" w14:textId="77777777" w:rsidR="005D1AA1" w:rsidRDefault="005D1AA1" w:rsidP="00A76F4A">
      <w:pPr>
        <w:spacing w:after="0" w:line="240" w:lineRule="auto"/>
      </w:pPr>
      <w:r>
        <w:separator/>
      </w:r>
    </w:p>
  </w:endnote>
  <w:endnote w:type="continuationSeparator" w:id="0">
    <w:p w14:paraId="71F45321" w14:textId="77777777" w:rsidR="005D1AA1" w:rsidRDefault="005D1AA1" w:rsidP="00A76F4A">
      <w:pPr>
        <w:spacing w:after="0" w:line="240" w:lineRule="auto"/>
      </w:pPr>
      <w:r>
        <w:continuationSeparator/>
      </w:r>
    </w:p>
  </w:endnote>
  <w:endnote w:type="continuationNotice" w:id="1">
    <w:p w14:paraId="5D12330D" w14:textId="77777777" w:rsidR="005D1AA1" w:rsidRDefault="005D1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28DE" w14:textId="77777777" w:rsidR="003F0C9D" w:rsidRDefault="003F0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2CCC0D5F" w:rsidR="004A7A4C" w:rsidRPr="004A7A4C" w:rsidRDefault="003F0C9D" w:rsidP="004A7A4C">
        <w:pPr>
          <w:pStyle w:val="Footer"/>
          <w:rPr>
            <w:rFonts w:ascii="Palatino Linotype" w:hAnsi="Palatino Linotype"/>
          </w:rPr>
        </w:pPr>
        <w:r w:rsidRPr="003F0C9D">
          <w:rPr>
            <w:rFonts w:ascii="Tahoma" w:hAnsi="Tahoma" w:cs="Tahoma"/>
            <w:sz w:val="18"/>
          </w:rPr>
          <w:t>598873013</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02AE" w14:textId="77777777" w:rsidR="005D1AA1" w:rsidRDefault="005D1AA1" w:rsidP="00A76F4A">
      <w:pPr>
        <w:spacing w:after="0" w:line="240" w:lineRule="auto"/>
      </w:pPr>
      <w:r>
        <w:separator/>
      </w:r>
    </w:p>
  </w:footnote>
  <w:footnote w:type="continuationSeparator" w:id="0">
    <w:p w14:paraId="635B265F" w14:textId="77777777" w:rsidR="005D1AA1" w:rsidRDefault="005D1AA1" w:rsidP="00A76F4A">
      <w:pPr>
        <w:spacing w:after="0" w:line="240" w:lineRule="auto"/>
      </w:pPr>
      <w:r>
        <w:continuationSeparator/>
      </w:r>
    </w:p>
  </w:footnote>
  <w:footnote w:type="continuationNotice" w:id="1">
    <w:p w14:paraId="25E4880B" w14:textId="77777777" w:rsidR="005D1AA1" w:rsidRDefault="005D1AA1">
      <w:pPr>
        <w:spacing w:after="0" w:line="240" w:lineRule="auto"/>
      </w:pPr>
    </w:p>
  </w:footnote>
  <w:footnote w:id="2">
    <w:p w14:paraId="2A39F52B" w14:textId="0E6892D9" w:rsidR="000C2F4F" w:rsidRPr="00310F6B" w:rsidRDefault="000C2F4F">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F73949" w:rsidRPr="00310F6B">
        <w:rPr>
          <w:rFonts w:ascii="Palatino Linotype" w:hAnsi="Palatino Linotype"/>
        </w:rPr>
        <w:t xml:space="preserve">EDUs include </w:t>
      </w:r>
      <w:r w:rsidR="00440679" w:rsidRPr="00310F6B">
        <w:rPr>
          <w:rFonts w:ascii="Palatino Linotype" w:hAnsi="Palatino Linotype"/>
        </w:rPr>
        <w:t>investor-owned utilities (IOUs)</w:t>
      </w:r>
      <w:r w:rsidR="00F264B7" w:rsidRPr="00310F6B">
        <w:rPr>
          <w:rFonts w:ascii="Palatino Linotype" w:hAnsi="Palatino Linotype"/>
        </w:rPr>
        <w:t xml:space="preserve">. </w:t>
      </w:r>
    </w:p>
  </w:footnote>
  <w:footnote w:id="3">
    <w:p w14:paraId="70084313" w14:textId="7014F98F" w:rsidR="001A1EF5" w:rsidRPr="00310F6B" w:rsidRDefault="001A1EF5">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AD5CE2" w:rsidRPr="00310F6B">
        <w:rPr>
          <w:rFonts w:ascii="Palatino Linotype" w:hAnsi="Palatino Linotype"/>
        </w:rPr>
        <w:t xml:space="preserve">17 </w:t>
      </w:r>
      <w:r w:rsidR="006265DE" w:rsidRPr="00310F6B">
        <w:rPr>
          <w:rFonts w:ascii="Palatino Linotype" w:hAnsi="Palatino Linotype"/>
        </w:rPr>
        <w:t>Cal. Code Regulation (CCR)</w:t>
      </w:r>
      <w:r w:rsidRPr="00310F6B">
        <w:rPr>
          <w:rFonts w:ascii="Palatino Linotype" w:hAnsi="Palatino Linotype"/>
        </w:rPr>
        <w:t xml:space="preserve"> § 95483</w:t>
      </w:r>
      <w:r w:rsidR="00AD5CE2" w:rsidRPr="00310F6B">
        <w:rPr>
          <w:rFonts w:ascii="Palatino Linotype" w:hAnsi="Palatino Linotype"/>
        </w:rPr>
        <w:t>(c)</w:t>
      </w:r>
      <w:r w:rsidR="004C7FBA" w:rsidRPr="00310F6B">
        <w:rPr>
          <w:rFonts w:ascii="Palatino Linotype" w:hAnsi="Palatino Linotype"/>
        </w:rPr>
        <w:t>(</w:t>
      </w:r>
      <w:r w:rsidR="00A44D31" w:rsidRPr="00310F6B">
        <w:rPr>
          <w:rFonts w:ascii="Palatino Linotype" w:hAnsi="Palatino Linotype"/>
        </w:rPr>
        <w:t>1)(A)</w:t>
      </w:r>
      <w:r w:rsidR="00C93DEF" w:rsidRPr="00310F6B">
        <w:rPr>
          <w:rFonts w:ascii="Palatino Linotype" w:hAnsi="Palatino Linotype"/>
        </w:rPr>
        <w:t xml:space="preserve">. </w:t>
      </w:r>
    </w:p>
  </w:footnote>
  <w:footnote w:id="4">
    <w:p w14:paraId="24CDD9DF" w14:textId="75391A3B" w:rsidR="003A05A8" w:rsidRPr="00310F6B" w:rsidRDefault="003A05A8">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FB3C90" w:rsidRPr="00310F6B">
        <w:rPr>
          <w:rFonts w:ascii="Palatino Linotype" w:hAnsi="Palatino Linotype"/>
        </w:rPr>
        <w:t xml:space="preserve">The large IOUs include </w:t>
      </w:r>
      <w:r w:rsidRPr="00310F6B">
        <w:rPr>
          <w:rFonts w:ascii="Palatino Linotype" w:hAnsi="Palatino Linotype"/>
        </w:rPr>
        <w:t>Pacific Gas &amp; Electric, Southern California Edison, and San Diego Gas and Electric</w:t>
      </w:r>
      <w:r w:rsidR="00FB3C90" w:rsidRPr="00310F6B">
        <w:rPr>
          <w:rFonts w:ascii="Palatino Linotype" w:hAnsi="Palatino Linotype"/>
        </w:rPr>
        <w:t xml:space="preserve">. </w:t>
      </w:r>
    </w:p>
  </w:footnote>
  <w:footnote w:id="5">
    <w:p w14:paraId="7E232B77" w14:textId="41913543" w:rsidR="00A86D0D" w:rsidRPr="00310F6B" w:rsidRDefault="00A86D0D">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Electrical distribution utilities generate base credits for supplying electricity to customers for EV charging, a portion of which goes toward the California Clean Fuel Reward Program while the remaining base credits (also called “holdback credits”) may be allocated toward utility-led programs.</w:t>
      </w:r>
    </w:p>
  </w:footnote>
  <w:footnote w:id="6">
    <w:p w14:paraId="6B2436AA" w14:textId="49DEDE76" w:rsidR="00A63C8D" w:rsidRPr="00310F6B" w:rsidRDefault="00A63C8D">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D.20-12-027 at 26.</w:t>
      </w:r>
    </w:p>
  </w:footnote>
  <w:footnote w:id="7">
    <w:p w14:paraId="14C3967F" w14:textId="2B0F31BD" w:rsidR="00831889" w:rsidRPr="00310F6B" w:rsidRDefault="0083188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2B070B" w:rsidRPr="00310F6B">
        <w:rPr>
          <w:rFonts w:ascii="Palatino Linotype" w:hAnsi="Palatino Linotype"/>
        </w:rPr>
        <w:t>D.22-11-040 at 172.</w:t>
      </w:r>
    </w:p>
  </w:footnote>
  <w:footnote w:id="8">
    <w:p w14:paraId="065E84DE" w14:textId="296176FA" w:rsidR="00A62912" w:rsidRPr="00310F6B" w:rsidRDefault="00A62912">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at 3. </w:t>
      </w:r>
    </w:p>
  </w:footnote>
  <w:footnote w:id="9">
    <w:p w14:paraId="2C1E5014" w14:textId="4C8E941C" w:rsidR="00E53AE4" w:rsidRPr="00310F6B" w:rsidRDefault="00E53AE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8E6B8E" w:rsidRPr="00310F6B">
        <w:rPr>
          <w:rFonts w:ascii="Palatino Linotype" w:hAnsi="Palatino Linotype"/>
        </w:rPr>
        <w:t>, Appendix A,</w:t>
      </w:r>
      <w:r w:rsidRPr="00310F6B">
        <w:rPr>
          <w:rFonts w:ascii="Palatino Linotype" w:hAnsi="Palatino Linotype"/>
        </w:rPr>
        <w:t xml:space="preserve"> at 13.</w:t>
      </w:r>
    </w:p>
  </w:footnote>
  <w:footnote w:id="10">
    <w:p w14:paraId="44931C6F" w14:textId="1469CE3A" w:rsidR="008F436C" w:rsidRPr="00310F6B" w:rsidRDefault="008F436C">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12.</w:t>
      </w:r>
    </w:p>
  </w:footnote>
  <w:footnote w:id="11">
    <w:p w14:paraId="587B2174" w14:textId="5145A54D" w:rsidR="00BD2047" w:rsidRPr="00310F6B" w:rsidRDefault="00BD2047">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E31F8D" w:rsidRPr="00310F6B">
        <w:rPr>
          <w:rFonts w:ascii="Palatino Linotype" w:hAnsi="Palatino Linotype"/>
        </w:rPr>
        <w:t>Ibid</w:t>
      </w:r>
      <w:r w:rsidRPr="00310F6B">
        <w:rPr>
          <w:rFonts w:ascii="Palatino Linotype" w:hAnsi="Palatino Linotype"/>
        </w:rPr>
        <w:t>.</w:t>
      </w:r>
    </w:p>
  </w:footnote>
  <w:footnote w:id="12">
    <w:p w14:paraId="1468ED94" w14:textId="6FE0AA91" w:rsidR="007C4AC6" w:rsidRPr="00310F6B" w:rsidRDefault="007C4AC6">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20. </w:t>
      </w:r>
    </w:p>
  </w:footnote>
  <w:footnote w:id="13">
    <w:p w14:paraId="409874AF" w14:textId="43074EE3" w:rsidR="00153B2A" w:rsidRPr="00310F6B" w:rsidRDefault="00153B2A">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3. </w:t>
      </w:r>
    </w:p>
  </w:footnote>
  <w:footnote w:id="14">
    <w:p w14:paraId="01696C0C" w14:textId="706D9B42" w:rsidR="00C11304" w:rsidRPr="00310F6B" w:rsidRDefault="00C1130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F60A93" w:rsidRPr="00310F6B">
        <w:rPr>
          <w:rFonts w:ascii="Palatino Linotype" w:hAnsi="Palatino Linotype"/>
        </w:rPr>
        <w:t>Ibid</w:t>
      </w:r>
      <w:r w:rsidRPr="00310F6B">
        <w:rPr>
          <w:rFonts w:ascii="Palatino Linotype" w:hAnsi="Palatino Linotype"/>
        </w:rPr>
        <w:t>.</w:t>
      </w:r>
    </w:p>
  </w:footnote>
  <w:footnote w:id="15">
    <w:p w14:paraId="04052E15" w14:textId="5BC528A2" w:rsidR="00B83248" w:rsidRPr="00310F6B" w:rsidRDefault="00B83248" w:rsidP="00B83248">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E33A25" w:rsidRPr="00310F6B">
        <w:rPr>
          <w:rFonts w:ascii="Palatino Linotype" w:hAnsi="Palatino Linotype"/>
        </w:rPr>
        <w:t xml:space="preserve">This resolution </w:t>
      </w:r>
      <w:r w:rsidR="00DF167B" w:rsidRPr="00310F6B">
        <w:rPr>
          <w:rFonts w:ascii="Palatino Linotype" w:hAnsi="Palatino Linotype"/>
        </w:rPr>
        <w:t xml:space="preserve">uses the </w:t>
      </w:r>
      <w:r w:rsidR="003118B0" w:rsidRPr="00310F6B">
        <w:rPr>
          <w:rFonts w:ascii="Palatino Linotype" w:hAnsi="Palatino Linotype"/>
        </w:rPr>
        <w:t xml:space="preserve">“unidirectional” </w:t>
      </w:r>
      <w:r w:rsidR="00DF167B" w:rsidRPr="00310F6B">
        <w:rPr>
          <w:rFonts w:ascii="Palatino Linotype" w:hAnsi="Palatino Linotype"/>
        </w:rPr>
        <w:t xml:space="preserve">definition </w:t>
      </w:r>
      <w:r w:rsidRPr="00310F6B">
        <w:rPr>
          <w:rFonts w:ascii="Palatino Linotype" w:hAnsi="Palatino Linotype"/>
        </w:rPr>
        <w:t xml:space="preserve">adopted by the Joint Agencies Vehicle-Grid Integration Working Group report published on June 30, 2020, which can be accessed here: </w:t>
      </w:r>
      <w:hyperlink r:id="rId1" w:history="1">
        <w:r w:rsidRPr="00310F6B">
          <w:rPr>
            <w:rStyle w:val="Hyperlink"/>
            <w:rFonts w:ascii="Palatino Linotype" w:hAnsi="Palatino Linotype"/>
          </w:rPr>
          <w:t>https://gridworks.org/wp-content/uploads/2020/07/VGI-Working-Group-Final-Report-6.30.20.pdf</w:t>
        </w:r>
      </w:hyperlink>
      <w:r w:rsidRPr="00310F6B">
        <w:rPr>
          <w:rFonts w:ascii="Palatino Linotype" w:hAnsi="Palatino Linotype"/>
        </w:rPr>
        <w:t xml:space="preserve">. </w:t>
      </w:r>
    </w:p>
  </w:footnote>
  <w:footnote w:id="16">
    <w:p w14:paraId="3BF24BBD" w14:textId="370801F3" w:rsidR="00AC5928" w:rsidRPr="00310F6B" w:rsidRDefault="00AC5928">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CC2F87" w:rsidRPr="00310F6B">
        <w:rPr>
          <w:rFonts w:ascii="Palatino Linotype" w:hAnsi="Palatino Linotype"/>
        </w:rPr>
        <w:t>, Appendix A,</w:t>
      </w:r>
      <w:r w:rsidRPr="00310F6B">
        <w:rPr>
          <w:rFonts w:ascii="Palatino Linotype" w:hAnsi="Palatino Linotype"/>
        </w:rPr>
        <w:t xml:space="preserve"> at 27. </w:t>
      </w:r>
    </w:p>
  </w:footnote>
  <w:footnote w:id="17">
    <w:p w14:paraId="78BB15B7" w14:textId="2458F54A" w:rsidR="00AE6C1C" w:rsidRPr="00310F6B" w:rsidRDefault="00AE6C1C" w:rsidP="00AE6C1C">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Pr="00310F6B">
        <w:rPr>
          <w:rFonts w:ascii="Palatino Linotype" w:eastAsia="Palatino Linotype" w:hAnsi="Palatino Linotype" w:cs="Times New Roman"/>
          <w:kern w:val="0"/>
          <w14:ligatures w14:val="none"/>
        </w:rPr>
        <w:t xml:space="preserve">SB 676 required IOU TE programs to maximize achievable VGI benefits by 2030 and ordered the CPUC to establish “strategies and quantifiable metrics to maximize the use of feasible and cost-effective” VGI. SB 59 authorized the </w:t>
      </w:r>
      <w:r w:rsidR="009030A6" w:rsidRPr="00310F6B">
        <w:rPr>
          <w:rFonts w:ascii="Palatino Linotype" w:eastAsia="Palatino Linotype" w:hAnsi="Palatino Linotype" w:cs="Times New Roman"/>
          <w:kern w:val="0"/>
          <w14:ligatures w14:val="none"/>
        </w:rPr>
        <w:t>California Energy Commission (</w:t>
      </w:r>
      <w:r w:rsidRPr="00310F6B">
        <w:rPr>
          <w:rFonts w:ascii="Palatino Linotype" w:eastAsia="Palatino Linotype" w:hAnsi="Palatino Linotype" w:cs="Times New Roman"/>
          <w:kern w:val="0"/>
          <w14:ligatures w14:val="none"/>
        </w:rPr>
        <w:t>CEC</w:t>
      </w:r>
      <w:r w:rsidR="009030A6" w:rsidRPr="00310F6B">
        <w:rPr>
          <w:rFonts w:ascii="Palatino Linotype" w:eastAsia="Palatino Linotype" w:hAnsi="Palatino Linotype" w:cs="Times New Roman"/>
          <w:kern w:val="0"/>
          <w14:ligatures w14:val="none"/>
        </w:rPr>
        <w:t>)</w:t>
      </w:r>
      <w:r w:rsidRPr="00310F6B">
        <w:rPr>
          <w:rFonts w:ascii="Palatino Linotype" w:eastAsia="Palatino Linotype" w:hAnsi="Palatino Linotype" w:cs="Times New Roman"/>
          <w:kern w:val="0"/>
          <w14:ligatures w14:val="none"/>
        </w:rPr>
        <w:t>, in consultation with CARB and CPUC, to require any EV weight class have bidirectional functionality if beneficial to the EV operator and electrical grid.</w:t>
      </w:r>
      <w:r w:rsidRPr="00310F6B">
        <w:rPr>
          <w:rFonts w:ascii="Palatino Linotype" w:eastAsia="Palatino Linotype" w:hAnsi="Palatino Linotype" w:cs="Times New Roman"/>
        </w:rPr>
        <w:t xml:space="preserve"> </w:t>
      </w:r>
      <w:r w:rsidRPr="00310F6B">
        <w:rPr>
          <w:rFonts w:ascii="Palatino Linotype" w:eastAsia="Palatino Linotype" w:hAnsi="Palatino Linotype" w:cs="Times New Roman"/>
          <w:kern w:val="0"/>
          <w14:ligatures w14:val="none"/>
        </w:rPr>
        <w:t xml:space="preserve">SB 846 required CEC, in consultation with CPUC and CAISO, to establish and regularly update a load shifting goal “to reduce net peak electrical demand.” Subsequently, CEC adopted a goal to achieve seven gigawatts (GW) of load flexibility by 2027. </w:t>
      </w:r>
      <w:r w:rsidR="009A38FE" w:rsidRPr="00310F6B">
        <w:rPr>
          <w:rFonts w:ascii="Palatino Linotype" w:eastAsia="Palatino Linotype" w:hAnsi="Palatino Linotype" w:cs="Times New Roman"/>
          <w:kern w:val="0"/>
          <w14:ligatures w14:val="none"/>
        </w:rPr>
        <w:t xml:space="preserve">The </w:t>
      </w:r>
      <w:r w:rsidRPr="00310F6B">
        <w:rPr>
          <w:rFonts w:ascii="Palatino Linotype" w:hAnsi="Palatino Linotype"/>
        </w:rPr>
        <w:t xml:space="preserve">SB 846 Load-Shift Goal Report can be accessed here: </w:t>
      </w:r>
      <w:hyperlink r:id="rId2" w:history="1">
        <w:r w:rsidRPr="00310F6B">
          <w:rPr>
            <w:rStyle w:val="Hyperlink"/>
            <w:rFonts w:ascii="Palatino Linotype" w:hAnsi="Palatino Linotype"/>
          </w:rPr>
          <w:t>https://www.energy.ca.gov/publications/2023/senate-bill-846-load-shift-goal-report</w:t>
        </w:r>
      </w:hyperlink>
      <w:r w:rsidRPr="00310F6B">
        <w:rPr>
          <w:rFonts w:ascii="Palatino Linotype" w:hAnsi="Palatino Linotype"/>
        </w:rPr>
        <w:t xml:space="preserve"> </w:t>
      </w:r>
    </w:p>
  </w:footnote>
  <w:footnote w:id="18">
    <w:p w14:paraId="18A96263" w14:textId="77777777" w:rsidR="00E763C1" w:rsidRPr="00310F6B" w:rsidRDefault="00E763C1" w:rsidP="00E763C1">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1.</w:t>
      </w:r>
    </w:p>
  </w:footnote>
  <w:footnote w:id="19">
    <w:p w14:paraId="35303726" w14:textId="77777777" w:rsidR="00E763C1" w:rsidRPr="00310F6B" w:rsidRDefault="00E763C1" w:rsidP="00E763C1">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WeaveGrid response at 4.</w:t>
      </w:r>
    </w:p>
  </w:footnote>
  <w:footnote w:id="20">
    <w:p w14:paraId="2381BB63"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Fermata Energy response at 2. </w:t>
      </w:r>
    </w:p>
  </w:footnote>
  <w:footnote w:id="21">
    <w:p w14:paraId="272106C6"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6.</w:t>
      </w:r>
    </w:p>
  </w:footnote>
  <w:footnote w:id="22">
    <w:p w14:paraId="5AB400E5" w14:textId="7BCC9D4B"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0C3BA1" w:rsidRPr="00310F6B">
        <w:rPr>
          <w:rFonts w:ascii="Palatino Linotype" w:hAnsi="Palatino Linotype"/>
        </w:rPr>
        <w:t>Ibid</w:t>
      </w:r>
      <w:r w:rsidRPr="00310F6B">
        <w:rPr>
          <w:rFonts w:ascii="Palatino Linotype" w:hAnsi="Palatino Linotype"/>
        </w:rPr>
        <w:t xml:space="preserve">. </w:t>
      </w:r>
    </w:p>
  </w:footnote>
  <w:footnote w:id="23">
    <w:p w14:paraId="469348DA"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7.</w:t>
      </w:r>
    </w:p>
  </w:footnote>
  <w:footnote w:id="24">
    <w:p w14:paraId="1B5EB01C"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Fermata Energy response at 3. </w:t>
      </w:r>
    </w:p>
  </w:footnote>
  <w:footnote w:id="25">
    <w:p w14:paraId="1A96DEA4"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VGIC response at 4.</w:t>
      </w:r>
    </w:p>
  </w:footnote>
  <w:footnote w:id="26">
    <w:p w14:paraId="67D97D16" w14:textId="77777777" w:rsidR="0048475B" w:rsidRPr="00310F6B" w:rsidRDefault="0048475B" w:rsidP="0048475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VGIC response at 4-5. </w:t>
      </w:r>
    </w:p>
  </w:footnote>
  <w:footnote w:id="27">
    <w:p w14:paraId="2153B5DC" w14:textId="77777777" w:rsidR="00D71C44" w:rsidRPr="00310F6B" w:rsidRDefault="00D71C44" w:rsidP="00D71C4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ATE response at 2-3.</w:t>
      </w:r>
    </w:p>
  </w:footnote>
  <w:footnote w:id="28">
    <w:p w14:paraId="23746EDF" w14:textId="77777777" w:rsidR="00D71C44" w:rsidRPr="00310F6B" w:rsidRDefault="00D71C44" w:rsidP="00D71C4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Fermata Energy response at 2. </w:t>
      </w:r>
    </w:p>
  </w:footnote>
  <w:footnote w:id="29">
    <w:p w14:paraId="44CE3275" w14:textId="77777777" w:rsidR="00D71C44" w:rsidRPr="00310F6B" w:rsidRDefault="00D71C44" w:rsidP="00D71C4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GPI response at 6.</w:t>
      </w:r>
    </w:p>
  </w:footnote>
  <w:footnote w:id="30">
    <w:p w14:paraId="306D1EA0" w14:textId="77777777" w:rsidR="008B7D99" w:rsidRPr="00310F6B" w:rsidRDefault="008B7D99" w:rsidP="008B7D9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GPI response at 7.</w:t>
      </w:r>
    </w:p>
  </w:footnote>
  <w:footnote w:id="31">
    <w:p w14:paraId="7634070F" w14:textId="77777777" w:rsidR="008B7D99" w:rsidRPr="00310F6B" w:rsidRDefault="008B7D99" w:rsidP="008B7D9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GPI response at 2. </w:t>
      </w:r>
    </w:p>
  </w:footnote>
  <w:footnote w:id="32">
    <w:p w14:paraId="724E04CD" w14:textId="77777777" w:rsidR="00964C53" w:rsidRPr="00310F6B" w:rsidRDefault="00964C53" w:rsidP="00964C53">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WeaveGrid response at 3. </w:t>
      </w:r>
    </w:p>
  </w:footnote>
  <w:footnote w:id="33">
    <w:p w14:paraId="361B2A81" w14:textId="77777777" w:rsidR="00964C53" w:rsidRPr="00310F6B" w:rsidRDefault="00964C53" w:rsidP="00964C53">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5. </w:t>
      </w:r>
    </w:p>
  </w:footnote>
  <w:footnote w:id="34">
    <w:p w14:paraId="1EFEBD4B" w14:textId="77777777" w:rsidR="00C92F5F" w:rsidRPr="00310F6B" w:rsidRDefault="00C92F5F" w:rsidP="00C92F5F">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3. </w:t>
      </w:r>
    </w:p>
  </w:footnote>
  <w:footnote w:id="35">
    <w:p w14:paraId="2DB0B153" w14:textId="77777777" w:rsidR="00C92F5F" w:rsidRPr="00310F6B" w:rsidRDefault="00C92F5F" w:rsidP="00C92F5F">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Fermata Energy response at 3. </w:t>
      </w:r>
    </w:p>
  </w:footnote>
  <w:footnote w:id="36">
    <w:p w14:paraId="6E8F9724" w14:textId="77777777" w:rsidR="00C92F5F" w:rsidRPr="00310F6B" w:rsidRDefault="00C92F5F" w:rsidP="00C92F5F">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Ibid. </w:t>
      </w:r>
    </w:p>
  </w:footnote>
  <w:footnote w:id="37">
    <w:p w14:paraId="15A61FB1" w14:textId="77777777" w:rsidR="00C92F5F" w:rsidRPr="00310F6B" w:rsidRDefault="00C92F5F" w:rsidP="00C92F5F">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VGIC response at 5. </w:t>
      </w:r>
    </w:p>
  </w:footnote>
  <w:footnote w:id="38">
    <w:p w14:paraId="3CE0897C" w14:textId="77777777" w:rsidR="003A28EE" w:rsidRPr="00310F6B" w:rsidRDefault="003A28EE" w:rsidP="003A28EE">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ChargeScape response at 4. </w:t>
      </w:r>
    </w:p>
  </w:footnote>
  <w:footnote w:id="39">
    <w:p w14:paraId="0D072774" w14:textId="77777777" w:rsidR="003A28EE" w:rsidRPr="00310F6B" w:rsidRDefault="003A28EE" w:rsidP="003A28EE">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Ibid.</w:t>
      </w:r>
    </w:p>
  </w:footnote>
  <w:footnote w:id="40">
    <w:p w14:paraId="303C0E9D" w14:textId="5E6AA239" w:rsidR="00543780" w:rsidRPr="00310F6B" w:rsidRDefault="00543780">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16, footnote 43.</w:t>
      </w:r>
    </w:p>
  </w:footnote>
  <w:footnote w:id="41">
    <w:p w14:paraId="3973036E" w14:textId="2170131A" w:rsidR="00F41CB4" w:rsidRPr="00310F6B" w:rsidRDefault="00F41CB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B4032E" w:rsidRPr="00310F6B">
        <w:rPr>
          <w:rFonts w:ascii="Palatino Linotype" w:hAnsi="Palatino Linotype"/>
        </w:rPr>
        <w:t>AL 5536-E</w:t>
      </w:r>
      <w:r w:rsidR="00345FBE" w:rsidRPr="00310F6B">
        <w:rPr>
          <w:rFonts w:ascii="Palatino Linotype" w:hAnsi="Palatino Linotype"/>
        </w:rPr>
        <w:t>, Appendix A,</w:t>
      </w:r>
      <w:r w:rsidR="00B4032E" w:rsidRPr="00310F6B">
        <w:rPr>
          <w:rFonts w:ascii="Palatino Linotype" w:hAnsi="Palatino Linotype"/>
        </w:rPr>
        <w:t xml:space="preserve"> at 14.</w:t>
      </w:r>
    </w:p>
  </w:footnote>
  <w:footnote w:id="42">
    <w:p w14:paraId="28E61773" w14:textId="1CD084B4" w:rsidR="007571B1" w:rsidRPr="00310F6B" w:rsidRDefault="007571B1">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w:t>
      </w:r>
      <w:r w:rsidR="005F253C" w:rsidRPr="00310F6B">
        <w:rPr>
          <w:rFonts w:ascii="Palatino Linotype" w:hAnsi="Palatino Linotype"/>
        </w:rPr>
        <w:t>,</w:t>
      </w:r>
      <w:r w:rsidRPr="00310F6B">
        <w:rPr>
          <w:rFonts w:ascii="Palatino Linotype" w:hAnsi="Palatino Linotype"/>
        </w:rPr>
        <w:t xml:space="preserve"> at 8</w:t>
      </w:r>
      <w:r w:rsidR="009848F6" w:rsidRPr="00310F6B">
        <w:rPr>
          <w:rFonts w:ascii="Palatino Linotype" w:hAnsi="Palatino Linotype"/>
        </w:rPr>
        <w:t>-9</w:t>
      </w:r>
      <w:r w:rsidRPr="00310F6B">
        <w:rPr>
          <w:rFonts w:ascii="Palatino Linotype" w:hAnsi="Palatino Linotype"/>
        </w:rPr>
        <w:t>.</w:t>
      </w:r>
    </w:p>
  </w:footnote>
  <w:footnote w:id="43">
    <w:p w14:paraId="4B81BB31" w14:textId="4E480557" w:rsidR="002558B0" w:rsidRPr="00310F6B" w:rsidRDefault="002558B0">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8B290A" w:rsidRPr="00310F6B">
        <w:rPr>
          <w:rFonts w:ascii="Palatino Linotype" w:hAnsi="Palatino Linotype"/>
        </w:rPr>
        <w:t xml:space="preserve">As of July 1, 2025, </w:t>
      </w:r>
      <w:r w:rsidR="00A46243" w:rsidRPr="00310F6B">
        <w:rPr>
          <w:rFonts w:ascii="Palatino Linotype" w:eastAsia="Palatino Linotype" w:hAnsi="Palatino Linotype" w:cs="Times New Roman"/>
          <w:kern w:val="0"/>
          <w14:ligatures w14:val="none"/>
        </w:rPr>
        <w:t xml:space="preserve">17 </w:t>
      </w:r>
      <w:r w:rsidR="005D44D3" w:rsidRPr="00310F6B">
        <w:rPr>
          <w:rFonts w:ascii="Palatino Linotype" w:eastAsia="Palatino Linotype" w:hAnsi="Palatino Linotype" w:cs="Times New Roman"/>
          <w:kern w:val="0"/>
          <w14:ligatures w14:val="none"/>
        </w:rPr>
        <w:t>CCR</w:t>
      </w:r>
      <w:r w:rsidR="00A46243" w:rsidRPr="00310F6B">
        <w:rPr>
          <w:rFonts w:ascii="Palatino Linotype" w:eastAsia="Palatino Linotype" w:hAnsi="Palatino Linotype" w:cs="Times New Roman"/>
          <w:kern w:val="0"/>
          <w14:ligatures w14:val="none"/>
        </w:rPr>
        <w:t xml:space="preserve"> § 95483(c)(1)(A)5.</w:t>
      </w:r>
      <w:r w:rsidR="002B7CCF" w:rsidRPr="00310F6B">
        <w:rPr>
          <w:rFonts w:ascii="Palatino Linotype" w:eastAsia="Palatino Linotype" w:hAnsi="Palatino Linotype" w:cs="Times New Roman"/>
          <w:kern w:val="0"/>
          <w14:ligatures w14:val="none"/>
        </w:rPr>
        <w:t>b</w:t>
      </w:r>
      <w:r w:rsidR="0078628E" w:rsidRPr="00310F6B">
        <w:rPr>
          <w:rFonts w:ascii="Palatino Linotype" w:eastAsia="Palatino Linotype" w:hAnsi="Palatino Linotype" w:cs="Times New Roman"/>
          <w:kern w:val="0"/>
          <w14:ligatures w14:val="none"/>
        </w:rPr>
        <w:t xml:space="preserve"> states</w:t>
      </w:r>
      <w:r w:rsidR="00A46243" w:rsidRPr="00310F6B">
        <w:rPr>
          <w:rFonts w:ascii="Palatino Linotype" w:hAnsi="Palatino Linotype"/>
        </w:rPr>
        <w:t xml:space="preserve">, </w:t>
      </w:r>
      <w:r w:rsidR="00D01959" w:rsidRPr="00310F6B">
        <w:rPr>
          <w:rFonts w:ascii="Palatino Linotype" w:hAnsi="Palatino Linotype"/>
        </w:rPr>
        <w:t>“</w:t>
      </w:r>
      <w:r w:rsidR="001B0E84" w:rsidRPr="00310F6B">
        <w:rPr>
          <w:rFonts w:ascii="Palatino Linotype" w:hAnsi="Palatino Linotype"/>
        </w:rPr>
        <w:t>[</w:t>
      </w:r>
      <w:r w:rsidR="00C7640D" w:rsidRPr="00310F6B">
        <w:rPr>
          <w:rFonts w:ascii="Palatino Linotype" w:hAnsi="Palatino Linotype"/>
        </w:rPr>
        <w:t>e</w:t>
      </w:r>
      <w:r w:rsidR="001B0E84" w:rsidRPr="00310F6B">
        <w:rPr>
          <w:rFonts w:ascii="Palatino Linotype" w:hAnsi="Palatino Linotype"/>
        </w:rPr>
        <w:t>]</w:t>
      </w:r>
      <w:r w:rsidR="0024327C" w:rsidRPr="00310F6B">
        <w:rPr>
          <w:rFonts w:ascii="Palatino Linotype" w:hAnsi="Palatino Linotype"/>
        </w:rPr>
        <w:t>xamples of pre-approved uses for other holdback credit proceeds include:</w:t>
      </w:r>
      <w:r w:rsidR="00481F52" w:rsidRPr="00310F6B">
        <w:rPr>
          <w:rFonts w:ascii="Palatino Linotype" w:hAnsi="Palatino Linotype"/>
        </w:rPr>
        <w:t xml:space="preserve"> […] </w:t>
      </w:r>
      <w:r w:rsidR="000F191F" w:rsidRPr="00310F6B">
        <w:rPr>
          <w:rFonts w:ascii="Palatino Linotype" w:hAnsi="Palatino Linotype"/>
        </w:rPr>
        <w:t>Support for vehicle-grid integration with projects such as: […] Providing program incentives to encourage driver participation in monitored/managed charging, demand response, or vehicle-to-load / vehicle-to-grid applications.</w:t>
      </w:r>
      <w:r w:rsidR="00D01959" w:rsidRPr="00310F6B">
        <w:rPr>
          <w:rFonts w:ascii="Palatino Linotype" w:hAnsi="Palatino Linotype"/>
        </w:rPr>
        <w:t>”</w:t>
      </w:r>
      <w:r w:rsidR="0078628E" w:rsidRPr="00310F6B">
        <w:rPr>
          <w:rFonts w:ascii="Palatino Linotype" w:hAnsi="Palatino Linotype"/>
        </w:rPr>
        <w:t xml:space="preserve"> </w:t>
      </w:r>
    </w:p>
  </w:footnote>
  <w:footnote w:id="44">
    <w:p w14:paraId="70673E83" w14:textId="17993871" w:rsidR="00141E7B" w:rsidRPr="00310F6B" w:rsidRDefault="00141E7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292744" w:rsidRPr="00310F6B">
        <w:rPr>
          <w:rFonts w:ascii="Palatino Linotype" w:hAnsi="Palatino Linotype"/>
        </w:rPr>
        <w:t>,</w:t>
      </w:r>
      <w:r w:rsidRPr="00310F6B">
        <w:rPr>
          <w:rFonts w:ascii="Palatino Linotype" w:hAnsi="Palatino Linotype"/>
        </w:rPr>
        <w:t xml:space="preserve"> Appendix A</w:t>
      </w:r>
      <w:r w:rsidR="00292744" w:rsidRPr="00310F6B">
        <w:rPr>
          <w:rFonts w:ascii="Palatino Linotype" w:hAnsi="Palatino Linotype"/>
        </w:rPr>
        <w:t>,</w:t>
      </w:r>
      <w:r w:rsidRPr="00310F6B">
        <w:rPr>
          <w:rFonts w:ascii="Palatino Linotype" w:hAnsi="Palatino Linotype"/>
        </w:rPr>
        <w:t xml:space="preserve"> at 8.</w:t>
      </w:r>
    </w:p>
  </w:footnote>
  <w:footnote w:id="45">
    <w:p w14:paraId="6C2C6B17" w14:textId="77777777" w:rsidR="0046200B" w:rsidRPr="00310F6B" w:rsidRDefault="0046200B" w:rsidP="0046200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9.</w:t>
      </w:r>
    </w:p>
  </w:footnote>
  <w:footnote w:id="46">
    <w:p w14:paraId="03DE94E1" w14:textId="555E5796" w:rsidR="00FF44CB" w:rsidRPr="00310F6B" w:rsidRDefault="00FF44C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C15C1B" w:rsidRPr="00310F6B">
        <w:rPr>
          <w:rFonts w:ascii="Palatino Linotype" w:hAnsi="Palatino Linotype"/>
        </w:rPr>
        <w:t xml:space="preserve">VGIC response at 2. </w:t>
      </w:r>
    </w:p>
  </w:footnote>
  <w:footnote w:id="47">
    <w:p w14:paraId="19077259" w14:textId="56B85D11" w:rsidR="00353BEA" w:rsidRPr="00310F6B" w:rsidRDefault="00353BEA" w:rsidP="00353BEA">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926231" w:rsidRPr="00310F6B">
        <w:rPr>
          <w:rFonts w:ascii="Palatino Linotype" w:hAnsi="Palatino Linotype"/>
        </w:rPr>
        <w:t>See footnote #</w:t>
      </w:r>
      <w:r w:rsidR="00027A7D" w:rsidRPr="00310F6B">
        <w:rPr>
          <w:rFonts w:ascii="Palatino Linotype" w:hAnsi="Palatino Linotype"/>
        </w:rPr>
        <w:t>4</w:t>
      </w:r>
      <w:r w:rsidR="00D85168" w:rsidRPr="00310F6B">
        <w:rPr>
          <w:rFonts w:ascii="Palatino Linotype" w:hAnsi="Palatino Linotype"/>
        </w:rPr>
        <w:t>2</w:t>
      </w:r>
      <w:r w:rsidR="00926231" w:rsidRPr="00310F6B">
        <w:rPr>
          <w:rFonts w:ascii="Palatino Linotype" w:hAnsi="Palatino Linotype"/>
        </w:rPr>
        <w:t xml:space="preserve">. </w:t>
      </w:r>
    </w:p>
  </w:footnote>
  <w:footnote w:id="48">
    <w:p w14:paraId="0203608E" w14:textId="29FAA06C" w:rsidR="00D30686" w:rsidRPr="00310F6B" w:rsidRDefault="00D30686">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272176" w:rsidRPr="00310F6B">
        <w:rPr>
          <w:rFonts w:ascii="Palatino Linotype" w:hAnsi="Palatino Linotype"/>
        </w:rPr>
        <w:t>, Appendix A,</w:t>
      </w:r>
      <w:r w:rsidRPr="00310F6B">
        <w:rPr>
          <w:rFonts w:ascii="Palatino Linotype" w:hAnsi="Palatino Linotype"/>
        </w:rPr>
        <w:t xml:space="preserve"> at 17.</w:t>
      </w:r>
    </w:p>
  </w:footnote>
  <w:footnote w:id="49">
    <w:p w14:paraId="6C1CCE0A" w14:textId="6FF9568A" w:rsidR="00AA0F27" w:rsidRPr="00310F6B" w:rsidRDefault="00AA0F27">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Appendix A, at 12.</w:t>
      </w:r>
    </w:p>
  </w:footnote>
  <w:footnote w:id="50">
    <w:p w14:paraId="4AC3142E" w14:textId="77777777" w:rsidR="000523D2" w:rsidRPr="00310F6B" w:rsidRDefault="000523D2" w:rsidP="000523D2">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17 CCR 95491(e)(5).</w:t>
      </w:r>
    </w:p>
  </w:footnote>
  <w:footnote w:id="51">
    <w:p w14:paraId="163171FB" w14:textId="29400D74" w:rsidR="0094314A" w:rsidRPr="00310F6B" w:rsidRDefault="0094314A" w:rsidP="0094314A">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9863BB" w:rsidRPr="00310F6B">
        <w:rPr>
          <w:rFonts w:ascii="Palatino Linotype" w:hAnsi="Palatino Linotype"/>
        </w:rPr>
        <w:t xml:space="preserve">AL 5536-E, </w:t>
      </w:r>
      <w:r w:rsidRPr="00310F6B">
        <w:rPr>
          <w:rFonts w:ascii="Palatino Linotype" w:hAnsi="Palatino Linotype"/>
        </w:rPr>
        <w:t>Appendix A</w:t>
      </w:r>
      <w:r w:rsidR="009863BB" w:rsidRPr="00310F6B">
        <w:rPr>
          <w:rFonts w:ascii="Palatino Linotype" w:hAnsi="Palatino Linotype"/>
        </w:rPr>
        <w:t>,</w:t>
      </w:r>
      <w:r w:rsidRPr="00310F6B">
        <w:rPr>
          <w:rFonts w:ascii="Palatino Linotype" w:hAnsi="Palatino Linotype"/>
        </w:rPr>
        <w:t xml:space="preserve"> at 12.</w:t>
      </w:r>
    </w:p>
  </w:footnote>
  <w:footnote w:id="52">
    <w:p w14:paraId="16C37D46" w14:textId="200CAF95" w:rsidR="00473BE9" w:rsidRPr="00310F6B" w:rsidRDefault="00473BE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FF68E0" w:rsidRPr="00310F6B">
        <w:rPr>
          <w:rFonts w:ascii="Palatino Linotype" w:hAnsi="Palatino Linotype"/>
        </w:rPr>
        <w:t xml:space="preserve">AL 5536-E, </w:t>
      </w:r>
      <w:r w:rsidRPr="00310F6B">
        <w:rPr>
          <w:rFonts w:ascii="Palatino Linotype" w:hAnsi="Palatino Linotype"/>
        </w:rPr>
        <w:t xml:space="preserve">Appendix A at 27. </w:t>
      </w:r>
    </w:p>
  </w:footnote>
  <w:footnote w:id="53">
    <w:p w14:paraId="404B0EFD" w14:textId="3639903F" w:rsidR="00DB34C4" w:rsidRPr="00310F6B" w:rsidRDefault="00DB34C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SCE’s Backup Systems web page can be accessed here: </w:t>
      </w:r>
      <w:hyperlink r:id="rId3" w:history="1">
        <w:r w:rsidRPr="00310F6B">
          <w:rPr>
            <w:rStyle w:val="Hyperlink"/>
            <w:rFonts w:ascii="Palatino Linotype" w:hAnsi="Palatino Linotype"/>
          </w:rPr>
          <w:t>https://www.sce.com/business/smart-energy-solar/solar-for-business/grid-interconnections/backup-systems</w:t>
        </w:r>
      </w:hyperlink>
    </w:p>
  </w:footnote>
  <w:footnote w:id="54">
    <w:p w14:paraId="307E6DF8" w14:textId="132440C9" w:rsidR="00F73C8B" w:rsidRPr="00310F6B" w:rsidRDefault="00F73C8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Ibid.</w:t>
      </w:r>
    </w:p>
  </w:footnote>
  <w:footnote w:id="55">
    <w:p w14:paraId="175FBB5B" w14:textId="31A0B624" w:rsidR="00F73C8B" w:rsidRPr="00310F6B" w:rsidRDefault="00F73C8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Ibid.</w:t>
      </w:r>
    </w:p>
  </w:footnote>
  <w:footnote w:id="56">
    <w:p w14:paraId="08C4C4EF" w14:textId="730AF6D2" w:rsidR="00E84B94" w:rsidRPr="00310F6B" w:rsidRDefault="00E84B94">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970AF2" w:rsidRPr="00310F6B">
        <w:rPr>
          <w:rFonts w:ascii="Palatino Linotype" w:hAnsi="Palatino Linotype"/>
        </w:rPr>
        <w:t xml:space="preserve">AL 5536-E, </w:t>
      </w:r>
      <w:r w:rsidR="0070154E" w:rsidRPr="00310F6B">
        <w:rPr>
          <w:rFonts w:ascii="Palatino Linotype" w:hAnsi="Palatino Linotype"/>
        </w:rPr>
        <w:t>Appendix A</w:t>
      </w:r>
      <w:r w:rsidR="00970AF2" w:rsidRPr="00310F6B">
        <w:rPr>
          <w:rFonts w:ascii="Palatino Linotype" w:hAnsi="Palatino Linotype"/>
        </w:rPr>
        <w:t>,</w:t>
      </w:r>
      <w:r w:rsidR="0070154E" w:rsidRPr="00310F6B">
        <w:rPr>
          <w:rFonts w:ascii="Palatino Linotype" w:hAnsi="Palatino Linotype"/>
        </w:rPr>
        <w:t xml:space="preserve"> at 27.</w:t>
      </w:r>
    </w:p>
  </w:footnote>
  <w:footnote w:id="57">
    <w:p w14:paraId="62815D0F" w14:textId="05D8C038" w:rsidR="00AA76E9" w:rsidRPr="00310F6B" w:rsidRDefault="00AA76E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B96519" w:rsidRPr="00310F6B">
        <w:rPr>
          <w:rFonts w:ascii="Palatino Linotype" w:hAnsi="Palatino Linotype"/>
        </w:rPr>
        <w:t xml:space="preserve">AL 5536-E, </w:t>
      </w:r>
      <w:r w:rsidRPr="00310F6B">
        <w:rPr>
          <w:rFonts w:ascii="Palatino Linotype" w:hAnsi="Palatino Linotype"/>
        </w:rPr>
        <w:t>Appendix A</w:t>
      </w:r>
      <w:r w:rsidR="00B96519" w:rsidRPr="00310F6B">
        <w:rPr>
          <w:rFonts w:ascii="Palatino Linotype" w:hAnsi="Palatino Linotype"/>
        </w:rPr>
        <w:t>,</w:t>
      </w:r>
      <w:r w:rsidRPr="00310F6B">
        <w:rPr>
          <w:rFonts w:ascii="Palatino Linotype" w:hAnsi="Palatino Linotype"/>
        </w:rPr>
        <w:t xml:space="preserve"> at 13.</w:t>
      </w:r>
    </w:p>
  </w:footnote>
  <w:footnote w:id="58">
    <w:p w14:paraId="65C7D17C" w14:textId="6651FDE3" w:rsidR="001A3E9B" w:rsidRPr="00310F6B" w:rsidRDefault="001A3E9B">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w:t>
      </w:r>
      <w:r w:rsidR="00C91BF4" w:rsidRPr="00310F6B">
        <w:rPr>
          <w:rFonts w:ascii="Palatino Linotype" w:hAnsi="Palatino Linotype"/>
        </w:rPr>
        <w:t xml:space="preserve">AL 5536-E, </w:t>
      </w:r>
      <w:r w:rsidRPr="00310F6B">
        <w:rPr>
          <w:rFonts w:ascii="Palatino Linotype" w:hAnsi="Palatino Linotype"/>
        </w:rPr>
        <w:t>Appendix A</w:t>
      </w:r>
      <w:r w:rsidR="00C91BF4" w:rsidRPr="00310F6B">
        <w:rPr>
          <w:rFonts w:ascii="Palatino Linotype" w:hAnsi="Palatino Linotype"/>
        </w:rPr>
        <w:t>,</w:t>
      </w:r>
      <w:r w:rsidRPr="00310F6B">
        <w:rPr>
          <w:rFonts w:ascii="Palatino Linotype" w:hAnsi="Palatino Linotype"/>
        </w:rPr>
        <w:t xml:space="preserve"> at </w:t>
      </w:r>
      <w:r w:rsidR="00B170AD" w:rsidRPr="00310F6B">
        <w:rPr>
          <w:rFonts w:ascii="Palatino Linotype" w:hAnsi="Palatino Linotype"/>
        </w:rPr>
        <w:t>18-</w:t>
      </w:r>
      <w:r w:rsidRPr="00310F6B">
        <w:rPr>
          <w:rFonts w:ascii="Palatino Linotype" w:hAnsi="Palatino Linotype"/>
        </w:rPr>
        <w:t xml:space="preserve">19. </w:t>
      </w:r>
    </w:p>
  </w:footnote>
  <w:footnote w:id="59">
    <w:p w14:paraId="36CBBF0A" w14:textId="77933FBC" w:rsidR="000A2CD8" w:rsidRPr="00310F6B" w:rsidRDefault="000A2CD8">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 at 3.</w:t>
      </w:r>
    </w:p>
  </w:footnote>
  <w:footnote w:id="60">
    <w:p w14:paraId="52D0AC08" w14:textId="35242B33" w:rsidR="005562B9" w:rsidRPr="00310F6B" w:rsidRDefault="005562B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6651A4" w:rsidRPr="00310F6B">
        <w:rPr>
          <w:rFonts w:ascii="Palatino Linotype" w:hAnsi="Palatino Linotype"/>
        </w:rPr>
        <w:t>,</w:t>
      </w:r>
      <w:r w:rsidRPr="00310F6B">
        <w:rPr>
          <w:rFonts w:ascii="Palatino Linotype" w:hAnsi="Palatino Linotype"/>
        </w:rPr>
        <w:t xml:space="preserve"> </w:t>
      </w:r>
      <w:r w:rsidR="006651A4" w:rsidRPr="00310F6B">
        <w:rPr>
          <w:rFonts w:ascii="Palatino Linotype" w:hAnsi="Palatino Linotype"/>
        </w:rPr>
        <w:t>A</w:t>
      </w:r>
      <w:r w:rsidRPr="00310F6B">
        <w:rPr>
          <w:rFonts w:ascii="Palatino Linotype" w:hAnsi="Palatino Linotype"/>
        </w:rPr>
        <w:t xml:space="preserve">ppendix </w:t>
      </w:r>
      <w:r w:rsidR="006651A4" w:rsidRPr="00310F6B">
        <w:rPr>
          <w:rFonts w:ascii="Palatino Linotype" w:hAnsi="Palatino Linotype"/>
        </w:rPr>
        <w:t xml:space="preserve">A, </w:t>
      </w:r>
      <w:r w:rsidRPr="00310F6B">
        <w:rPr>
          <w:rFonts w:ascii="Palatino Linotype" w:hAnsi="Palatino Linotype"/>
        </w:rPr>
        <w:t>at 31.</w:t>
      </w:r>
    </w:p>
  </w:footnote>
  <w:footnote w:id="61">
    <w:p w14:paraId="11D905B2" w14:textId="33716D64" w:rsidR="00FE7999" w:rsidRPr="00310F6B" w:rsidRDefault="00FE7999">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AL 5536-E</w:t>
      </w:r>
      <w:r w:rsidR="005B0273" w:rsidRPr="00310F6B">
        <w:rPr>
          <w:rFonts w:ascii="Palatino Linotype" w:hAnsi="Palatino Linotype"/>
        </w:rPr>
        <w:t>, Appendix A,</w:t>
      </w:r>
      <w:r w:rsidRPr="00310F6B">
        <w:rPr>
          <w:rFonts w:ascii="Palatino Linotype" w:hAnsi="Palatino Linotype"/>
        </w:rPr>
        <w:t xml:space="preserve"> at 3.</w:t>
      </w:r>
    </w:p>
  </w:footnote>
  <w:footnote w:id="62">
    <w:p w14:paraId="13F30E0E" w14:textId="0B388FA1" w:rsidR="00066ABC" w:rsidRPr="00310F6B" w:rsidRDefault="00066ABC">
      <w:pPr>
        <w:pStyle w:val="FootnoteText"/>
        <w:rPr>
          <w:rFonts w:ascii="Palatino Linotype" w:hAnsi="Palatino Linotype"/>
        </w:rPr>
      </w:pPr>
      <w:r w:rsidRPr="00310F6B">
        <w:rPr>
          <w:rStyle w:val="FootnoteReference"/>
          <w:rFonts w:ascii="Palatino Linotype" w:hAnsi="Palatino Linotype"/>
        </w:rPr>
        <w:footnoteRef/>
      </w:r>
      <w:r w:rsidRPr="00310F6B">
        <w:rPr>
          <w:rFonts w:ascii="Palatino Linotype" w:hAnsi="Palatino Linotype"/>
        </w:rPr>
        <w:t xml:space="preserve"> GPI response at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E6C1" w14:textId="77777777" w:rsidR="003F0C9D" w:rsidRDefault="003F0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56770209" w:rsidR="00A76F4A" w:rsidRDefault="00D64234" w:rsidP="00CA3D13">
    <w:pPr>
      <w:pStyle w:val="Header"/>
      <w:tabs>
        <w:tab w:val="clear" w:pos="9360"/>
        <w:tab w:val="right" w:pos="9000"/>
      </w:tabs>
      <w:rPr>
        <w:rFonts w:ascii="Palatino Linotype" w:hAnsi="Palatino Linotype"/>
      </w:rPr>
    </w:pPr>
    <w:r>
      <w:rPr>
        <w:rFonts w:ascii="Palatino Linotype" w:hAnsi="Palatino Linotype"/>
      </w:rPr>
      <w:t>ED/</w:t>
    </w:r>
    <w:r w:rsidR="56DF6A51" w:rsidRPr="56DF6A51">
      <w:rPr>
        <w:rFonts w:ascii="Palatino Linotype" w:hAnsi="Palatino Linotype"/>
      </w:rPr>
      <w:t xml:space="preserve">Resolution </w:t>
    </w:r>
    <w:r w:rsidR="007C608A">
      <w:rPr>
        <w:rFonts w:ascii="Palatino Linotype" w:hAnsi="Palatino Linotype"/>
      </w:rPr>
      <w:t>E-5452</w:t>
    </w:r>
    <w:r w:rsidR="008213BB">
      <w:tab/>
    </w:r>
    <w:r w:rsidR="56DF6A51" w:rsidRPr="56DF6A51">
      <w:rPr>
        <w:rFonts w:ascii="Palatino Linotype" w:hAnsi="Palatino Linotype"/>
      </w:rPr>
      <w:t>DRAFT</w:t>
    </w:r>
    <w:r w:rsidR="008213BB">
      <w:tab/>
    </w:r>
    <w:r w:rsidR="56DF6A51" w:rsidRPr="56DF6A51">
      <w:rPr>
        <w:rFonts w:ascii="Palatino Linotype" w:hAnsi="Palatino Linotype"/>
      </w:rPr>
      <w:t>M</w:t>
    </w:r>
    <w:r w:rsidR="00460348">
      <w:rPr>
        <w:rFonts w:ascii="Palatino Linotype" w:hAnsi="Palatino Linotype"/>
      </w:rPr>
      <w:t>arch 19, 2026</w:t>
    </w:r>
  </w:p>
  <w:p w14:paraId="52548ECE" w14:textId="4D9177FA" w:rsidR="008213BB" w:rsidRDefault="00B37FEA" w:rsidP="00CA3D13">
    <w:pPr>
      <w:pStyle w:val="Header"/>
      <w:rPr>
        <w:rFonts w:ascii="Palatino Linotype" w:hAnsi="Palatino Linotype"/>
      </w:rPr>
    </w:pPr>
    <w:r>
      <w:rPr>
        <w:rFonts w:ascii="Palatino Linotype" w:hAnsi="Palatino Linotype"/>
      </w:rPr>
      <w:t>SCE</w:t>
    </w:r>
    <w:r w:rsidR="00A268AC">
      <w:rPr>
        <w:rFonts w:ascii="Palatino Linotype" w:hAnsi="Palatino Linotype"/>
      </w:rPr>
      <w:t xml:space="preserve"> </w:t>
    </w:r>
    <w:r w:rsidR="008213BB">
      <w:rPr>
        <w:rFonts w:ascii="Palatino Linotype" w:hAnsi="Palatino Linotype"/>
      </w:rPr>
      <w:t>AL</w:t>
    </w:r>
    <w:r w:rsidR="00460348">
      <w:rPr>
        <w:rFonts w:ascii="Palatino Linotype" w:hAnsi="Palatino Linotype"/>
      </w:rPr>
      <w:t xml:space="preserve"> 5</w:t>
    </w:r>
    <w:r w:rsidR="009505E6">
      <w:rPr>
        <w:rFonts w:ascii="Palatino Linotype" w:hAnsi="Palatino Linotype"/>
      </w:rPr>
      <w:t>53</w:t>
    </w:r>
    <w:r w:rsidR="00460348">
      <w:rPr>
        <w:rFonts w:ascii="Palatino Linotype" w:hAnsi="Palatino Linotype"/>
      </w:rPr>
      <w:t>6-E</w:t>
    </w:r>
    <w:r w:rsidR="00565F65">
      <w:rPr>
        <w:rFonts w:ascii="Palatino Linotype" w:hAnsi="Palatino Linotype"/>
      </w:rPr>
      <w:t>/</w:t>
    </w:r>
    <w:r w:rsidR="00164AB8">
      <w:rPr>
        <w:rFonts w:ascii="Palatino Linotype" w:hAnsi="Palatino Linotype"/>
      </w:rPr>
      <w:t>MT</w:t>
    </w:r>
    <w:r w:rsidR="00D90346">
      <w:rPr>
        <w:rFonts w:ascii="Palatino Linotype" w:hAnsi="Palatino Linotype"/>
      </w:rPr>
      <w:t>2</w:t>
    </w:r>
  </w:p>
  <w:p w14:paraId="54AE0E87" w14:textId="77777777" w:rsidR="00310F6B" w:rsidRPr="002A1AD8" w:rsidRDefault="00310F6B" w:rsidP="00310F6B">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00B2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5354"/>
    <w:multiLevelType w:val="hybridMultilevel"/>
    <w:tmpl w:val="E410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05728"/>
    <w:multiLevelType w:val="hybridMultilevel"/>
    <w:tmpl w:val="DA2A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E31EE"/>
    <w:multiLevelType w:val="hybridMultilevel"/>
    <w:tmpl w:val="88DCD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F67B3"/>
    <w:multiLevelType w:val="hybridMultilevel"/>
    <w:tmpl w:val="FCD29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35AC"/>
    <w:multiLevelType w:val="hybridMultilevel"/>
    <w:tmpl w:val="819CA978"/>
    <w:lvl w:ilvl="0" w:tplc="F16C5688">
      <w:start w:val="1"/>
      <w:numFmt w:val="bullet"/>
      <w:lvlText w:val=""/>
      <w:lvlJc w:val="left"/>
      <w:pPr>
        <w:ind w:left="1440" w:hanging="360"/>
      </w:pPr>
      <w:rPr>
        <w:rFonts w:ascii="Symbol" w:hAnsi="Symbol"/>
      </w:rPr>
    </w:lvl>
    <w:lvl w:ilvl="1" w:tplc="FBE29858">
      <w:start w:val="1"/>
      <w:numFmt w:val="bullet"/>
      <w:lvlText w:val=""/>
      <w:lvlJc w:val="left"/>
      <w:pPr>
        <w:ind w:left="1440" w:hanging="360"/>
      </w:pPr>
      <w:rPr>
        <w:rFonts w:ascii="Symbol" w:hAnsi="Symbol"/>
      </w:rPr>
    </w:lvl>
    <w:lvl w:ilvl="2" w:tplc="064AB43E">
      <w:start w:val="1"/>
      <w:numFmt w:val="bullet"/>
      <w:lvlText w:val=""/>
      <w:lvlJc w:val="left"/>
      <w:pPr>
        <w:ind w:left="1440" w:hanging="360"/>
      </w:pPr>
      <w:rPr>
        <w:rFonts w:ascii="Symbol" w:hAnsi="Symbol"/>
      </w:rPr>
    </w:lvl>
    <w:lvl w:ilvl="3" w:tplc="34F64CB2">
      <w:start w:val="1"/>
      <w:numFmt w:val="bullet"/>
      <w:lvlText w:val=""/>
      <w:lvlJc w:val="left"/>
      <w:pPr>
        <w:ind w:left="1440" w:hanging="360"/>
      </w:pPr>
      <w:rPr>
        <w:rFonts w:ascii="Symbol" w:hAnsi="Symbol"/>
      </w:rPr>
    </w:lvl>
    <w:lvl w:ilvl="4" w:tplc="AEC2D6D2">
      <w:start w:val="1"/>
      <w:numFmt w:val="bullet"/>
      <w:lvlText w:val=""/>
      <w:lvlJc w:val="left"/>
      <w:pPr>
        <w:ind w:left="1440" w:hanging="360"/>
      </w:pPr>
      <w:rPr>
        <w:rFonts w:ascii="Symbol" w:hAnsi="Symbol"/>
      </w:rPr>
    </w:lvl>
    <w:lvl w:ilvl="5" w:tplc="B64E5784">
      <w:start w:val="1"/>
      <w:numFmt w:val="bullet"/>
      <w:lvlText w:val=""/>
      <w:lvlJc w:val="left"/>
      <w:pPr>
        <w:ind w:left="1440" w:hanging="360"/>
      </w:pPr>
      <w:rPr>
        <w:rFonts w:ascii="Symbol" w:hAnsi="Symbol"/>
      </w:rPr>
    </w:lvl>
    <w:lvl w:ilvl="6" w:tplc="E4042562">
      <w:start w:val="1"/>
      <w:numFmt w:val="bullet"/>
      <w:lvlText w:val=""/>
      <w:lvlJc w:val="left"/>
      <w:pPr>
        <w:ind w:left="1440" w:hanging="360"/>
      </w:pPr>
      <w:rPr>
        <w:rFonts w:ascii="Symbol" w:hAnsi="Symbol"/>
      </w:rPr>
    </w:lvl>
    <w:lvl w:ilvl="7" w:tplc="74CAF392">
      <w:start w:val="1"/>
      <w:numFmt w:val="bullet"/>
      <w:lvlText w:val=""/>
      <w:lvlJc w:val="left"/>
      <w:pPr>
        <w:ind w:left="1440" w:hanging="360"/>
      </w:pPr>
      <w:rPr>
        <w:rFonts w:ascii="Symbol" w:hAnsi="Symbol"/>
      </w:rPr>
    </w:lvl>
    <w:lvl w:ilvl="8" w:tplc="B7608E2A">
      <w:start w:val="1"/>
      <w:numFmt w:val="bullet"/>
      <w:lvlText w:val=""/>
      <w:lvlJc w:val="left"/>
      <w:pPr>
        <w:ind w:left="1440" w:hanging="360"/>
      </w:pPr>
      <w:rPr>
        <w:rFonts w:ascii="Symbol" w:hAnsi="Symbol"/>
      </w:rPr>
    </w:lvl>
  </w:abstractNum>
  <w:abstractNum w:abstractNumId="6" w15:restartNumberingAfterBreak="0">
    <w:nsid w:val="0B4B680B"/>
    <w:multiLevelType w:val="hybridMultilevel"/>
    <w:tmpl w:val="22B247E4"/>
    <w:lvl w:ilvl="0" w:tplc="F91C2B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4070A4B"/>
    <w:multiLevelType w:val="hybridMultilevel"/>
    <w:tmpl w:val="FF0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D0189"/>
    <w:multiLevelType w:val="hybridMultilevel"/>
    <w:tmpl w:val="24903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3D6932"/>
    <w:multiLevelType w:val="hybridMultilevel"/>
    <w:tmpl w:val="C688D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7EA3"/>
    <w:multiLevelType w:val="hybridMultilevel"/>
    <w:tmpl w:val="057E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C63F3E"/>
    <w:multiLevelType w:val="hybridMultilevel"/>
    <w:tmpl w:val="D610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7385"/>
    <w:multiLevelType w:val="hybridMultilevel"/>
    <w:tmpl w:val="FD3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54ACD"/>
    <w:multiLevelType w:val="hybridMultilevel"/>
    <w:tmpl w:val="DB7EF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3E95"/>
    <w:multiLevelType w:val="hybridMultilevel"/>
    <w:tmpl w:val="332EDB28"/>
    <w:lvl w:ilvl="0" w:tplc="40C6621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F9581D"/>
    <w:multiLevelType w:val="hybridMultilevel"/>
    <w:tmpl w:val="08C26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91324"/>
    <w:multiLevelType w:val="hybridMultilevel"/>
    <w:tmpl w:val="F7AACD2A"/>
    <w:lvl w:ilvl="0" w:tplc="472AA75C">
      <w:start w:val="1"/>
      <w:numFmt w:val="bullet"/>
      <w:lvlText w:val="o"/>
      <w:lvlJc w:val="left"/>
      <w:pPr>
        <w:tabs>
          <w:tab w:val="num" w:pos="720"/>
        </w:tabs>
        <w:ind w:left="720" w:hanging="360"/>
      </w:pPr>
      <w:rPr>
        <w:rFonts w:ascii="Courier New" w:hAnsi="Courier New" w:hint="default"/>
      </w:rPr>
    </w:lvl>
    <w:lvl w:ilvl="1" w:tplc="0EB2261A">
      <w:start w:val="1"/>
      <w:numFmt w:val="bullet"/>
      <w:lvlText w:val="o"/>
      <w:lvlJc w:val="left"/>
      <w:pPr>
        <w:tabs>
          <w:tab w:val="num" w:pos="1440"/>
        </w:tabs>
        <w:ind w:left="1440" w:hanging="360"/>
      </w:pPr>
      <w:rPr>
        <w:rFonts w:ascii="Courier New" w:hAnsi="Courier New" w:hint="default"/>
      </w:rPr>
    </w:lvl>
    <w:lvl w:ilvl="2" w:tplc="19F4247A" w:tentative="1">
      <w:start w:val="1"/>
      <w:numFmt w:val="bullet"/>
      <w:lvlText w:val="o"/>
      <w:lvlJc w:val="left"/>
      <w:pPr>
        <w:tabs>
          <w:tab w:val="num" w:pos="2160"/>
        </w:tabs>
        <w:ind w:left="2160" w:hanging="360"/>
      </w:pPr>
      <w:rPr>
        <w:rFonts w:ascii="Courier New" w:hAnsi="Courier New" w:hint="default"/>
      </w:rPr>
    </w:lvl>
    <w:lvl w:ilvl="3" w:tplc="A280A6E8" w:tentative="1">
      <w:start w:val="1"/>
      <w:numFmt w:val="bullet"/>
      <w:lvlText w:val="o"/>
      <w:lvlJc w:val="left"/>
      <w:pPr>
        <w:tabs>
          <w:tab w:val="num" w:pos="2880"/>
        </w:tabs>
        <w:ind w:left="2880" w:hanging="360"/>
      </w:pPr>
      <w:rPr>
        <w:rFonts w:ascii="Courier New" w:hAnsi="Courier New" w:hint="default"/>
      </w:rPr>
    </w:lvl>
    <w:lvl w:ilvl="4" w:tplc="B52AA458" w:tentative="1">
      <w:start w:val="1"/>
      <w:numFmt w:val="bullet"/>
      <w:lvlText w:val="o"/>
      <w:lvlJc w:val="left"/>
      <w:pPr>
        <w:tabs>
          <w:tab w:val="num" w:pos="3600"/>
        </w:tabs>
        <w:ind w:left="3600" w:hanging="360"/>
      </w:pPr>
      <w:rPr>
        <w:rFonts w:ascii="Courier New" w:hAnsi="Courier New" w:hint="default"/>
      </w:rPr>
    </w:lvl>
    <w:lvl w:ilvl="5" w:tplc="2BEC673E" w:tentative="1">
      <w:start w:val="1"/>
      <w:numFmt w:val="bullet"/>
      <w:lvlText w:val="o"/>
      <w:lvlJc w:val="left"/>
      <w:pPr>
        <w:tabs>
          <w:tab w:val="num" w:pos="4320"/>
        </w:tabs>
        <w:ind w:left="4320" w:hanging="360"/>
      </w:pPr>
      <w:rPr>
        <w:rFonts w:ascii="Courier New" w:hAnsi="Courier New" w:hint="default"/>
      </w:rPr>
    </w:lvl>
    <w:lvl w:ilvl="6" w:tplc="1A40892E" w:tentative="1">
      <w:start w:val="1"/>
      <w:numFmt w:val="bullet"/>
      <w:lvlText w:val="o"/>
      <w:lvlJc w:val="left"/>
      <w:pPr>
        <w:tabs>
          <w:tab w:val="num" w:pos="5040"/>
        </w:tabs>
        <w:ind w:left="5040" w:hanging="360"/>
      </w:pPr>
      <w:rPr>
        <w:rFonts w:ascii="Courier New" w:hAnsi="Courier New" w:hint="default"/>
      </w:rPr>
    </w:lvl>
    <w:lvl w:ilvl="7" w:tplc="166EF188" w:tentative="1">
      <w:start w:val="1"/>
      <w:numFmt w:val="bullet"/>
      <w:lvlText w:val="o"/>
      <w:lvlJc w:val="left"/>
      <w:pPr>
        <w:tabs>
          <w:tab w:val="num" w:pos="5760"/>
        </w:tabs>
        <w:ind w:left="5760" w:hanging="360"/>
      </w:pPr>
      <w:rPr>
        <w:rFonts w:ascii="Courier New" w:hAnsi="Courier New" w:hint="default"/>
      </w:rPr>
    </w:lvl>
    <w:lvl w:ilvl="8" w:tplc="6DE8DFC8"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403E5127"/>
    <w:multiLevelType w:val="hybridMultilevel"/>
    <w:tmpl w:val="1E82A1A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376482"/>
    <w:multiLevelType w:val="hybridMultilevel"/>
    <w:tmpl w:val="5D02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65312"/>
    <w:multiLevelType w:val="hybridMultilevel"/>
    <w:tmpl w:val="2AA2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B3637"/>
    <w:multiLevelType w:val="hybridMultilevel"/>
    <w:tmpl w:val="1CB82BDC"/>
    <w:lvl w:ilvl="0" w:tplc="DEEEEB5A">
      <w:start w:val="1"/>
      <w:numFmt w:val="bullet"/>
      <w:lvlText w:val=""/>
      <w:lvlJc w:val="left"/>
      <w:pPr>
        <w:ind w:left="1440" w:hanging="360"/>
      </w:pPr>
      <w:rPr>
        <w:rFonts w:ascii="Symbol" w:hAnsi="Symbol"/>
      </w:rPr>
    </w:lvl>
    <w:lvl w:ilvl="1" w:tplc="8DA2E6C6">
      <w:start w:val="1"/>
      <w:numFmt w:val="bullet"/>
      <w:lvlText w:val=""/>
      <w:lvlJc w:val="left"/>
      <w:pPr>
        <w:ind w:left="1440" w:hanging="360"/>
      </w:pPr>
      <w:rPr>
        <w:rFonts w:ascii="Symbol" w:hAnsi="Symbol"/>
      </w:rPr>
    </w:lvl>
    <w:lvl w:ilvl="2" w:tplc="F74820F2">
      <w:start w:val="1"/>
      <w:numFmt w:val="bullet"/>
      <w:lvlText w:val=""/>
      <w:lvlJc w:val="left"/>
      <w:pPr>
        <w:ind w:left="1440" w:hanging="360"/>
      </w:pPr>
      <w:rPr>
        <w:rFonts w:ascii="Symbol" w:hAnsi="Symbol"/>
      </w:rPr>
    </w:lvl>
    <w:lvl w:ilvl="3" w:tplc="684245A6">
      <w:start w:val="1"/>
      <w:numFmt w:val="bullet"/>
      <w:lvlText w:val=""/>
      <w:lvlJc w:val="left"/>
      <w:pPr>
        <w:ind w:left="1440" w:hanging="360"/>
      </w:pPr>
      <w:rPr>
        <w:rFonts w:ascii="Symbol" w:hAnsi="Symbol"/>
      </w:rPr>
    </w:lvl>
    <w:lvl w:ilvl="4" w:tplc="76680222">
      <w:start w:val="1"/>
      <w:numFmt w:val="bullet"/>
      <w:lvlText w:val=""/>
      <w:lvlJc w:val="left"/>
      <w:pPr>
        <w:ind w:left="1440" w:hanging="360"/>
      </w:pPr>
      <w:rPr>
        <w:rFonts w:ascii="Symbol" w:hAnsi="Symbol"/>
      </w:rPr>
    </w:lvl>
    <w:lvl w:ilvl="5" w:tplc="377AA672">
      <w:start w:val="1"/>
      <w:numFmt w:val="bullet"/>
      <w:lvlText w:val=""/>
      <w:lvlJc w:val="left"/>
      <w:pPr>
        <w:ind w:left="1440" w:hanging="360"/>
      </w:pPr>
      <w:rPr>
        <w:rFonts w:ascii="Symbol" w:hAnsi="Symbol"/>
      </w:rPr>
    </w:lvl>
    <w:lvl w:ilvl="6" w:tplc="D982CDD6">
      <w:start w:val="1"/>
      <w:numFmt w:val="bullet"/>
      <w:lvlText w:val=""/>
      <w:lvlJc w:val="left"/>
      <w:pPr>
        <w:ind w:left="1440" w:hanging="360"/>
      </w:pPr>
      <w:rPr>
        <w:rFonts w:ascii="Symbol" w:hAnsi="Symbol"/>
      </w:rPr>
    </w:lvl>
    <w:lvl w:ilvl="7" w:tplc="2F402AB2">
      <w:start w:val="1"/>
      <w:numFmt w:val="bullet"/>
      <w:lvlText w:val=""/>
      <w:lvlJc w:val="left"/>
      <w:pPr>
        <w:ind w:left="1440" w:hanging="360"/>
      </w:pPr>
      <w:rPr>
        <w:rFonts w:ascii="Symbol" w:hAnsi="Symbol"/>
      </w:rPr>
    </w:lvl>
    <w:lvl w:ilvl="8" w:tplc="322AC75A">
      <w:start w:val="1"/>
      <w:numFmt w:val="bullet"/>
      <w:lvlText w:val=""/>
      <w:lvlJc w:val="left"/>
      <w:pPr>
        <w:ind w:left="1440" w:hanging="360"/>
      </w:pPr>
      <w:rPr>
        <w:rFonts w:ascii="Symbol" w:hAnsi="Symbol"/>
      </w:r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A38B1"/>
    <w:multiLevelType w:val="hybridMultilevel"/>
    <w:tmpl w:val="37868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357D6"/>
    <w:multiLevelType w:val="hybridMultilevel"/>
    <w:tmpl w:val="FB52009A"/>
    <w:lvl w:ilvl="0" w:tplc="90F44378">
      <w:start w:val="1"/>
      <w:numFmt w:val="bullet"/>
      <w:lvlText w:val="o"/>
      <w:lvlJc w:val="left"/>
      <w:pPr>
        <w:tabs>
          <w:tab w:val="num" w:pos="720"/>
        </w:tabs>
        <w:ind w:left="720" w:hanging="360"/>
      </w:pPr>
      <w:rPr>
        <w:rFonts w:ascii="Courier New" w:hAnsi="Courier New" w:hint="default"/>
      </w:rPr>
    </w:lvl>
    <w:lvl w:ilvl="1" w:tplc="C02CD8B6">
      <w:start w:val="1"/>
      <w:numFmt w:val="bullet"/>
      <w:lvlText w:val="o"/>
      <w:lvlJc w:val="left"/>
      <w:pPr>
        <w:tabs>
          <w:tab w:val="num" w:pos="1440"/>
        </w:tabs>
        <w:ind w:left="1440" w:hanging="360"/>
      </w:pPr>
      <w:rPr>
        <w:rFonts w:ascii="Courier New" w:hAnsi="Courier New" w:hint="default"/>
      </w:rPr>
    </w:lvl>
    <w:lvl w:ilvl="2" w:tplc="7222EE00" w:tentative="1">
      <w:start w:val="1"/>
      <w:numFmt w:val="bullet"/>
      <w:lvlText w:val="o"/>
      <w:lvlJc w:val="left"/>
      <w:pPr>
        <w:tabs>
          <w:tab w:val="num" w:pos="2160"/>
        </w:tabs>
        <w:ind w:left="2160" w:hanging="360"/>
      </w:pPr>
      <w:rPr>
        <w:rFonts w:ascii="Courier New" w:hAnsi="Courier New" w:hint="default"/>
      </w:rPr>
    </w:lvl>
    <w:lvl w:ilvl="3" w:tplc="0F38402C" w:tentative="1">
      <w:start w:val="1"/>
      <w:numFmt w:val="bullet"/>
      <w:lvlText w:val="o"/>
      <w:lvlJc w:val="left"/>
      <w:pPr>
        <w:tabs>
          <w:tab w:val="num" w:pos="2880"/>
        </w:tabs>
        <w:ind w:left="2880" w:hanging="360"/>
      </w:pPr>
      <w:rPr>
        <w:rFonts w:ascii="Courier New" w:hAnsi="Courier New" w:hint="default"/>
      </w:rPr>
    </w:lvl>
    <w:lvl w:ilvl="4" w:tplc="3F8076AC" w:tentative="1">
      <w:start w:val="1"/>
      <w:numFmt w:val="bullet"/>
      <w:lvlText w:val="o"/>
      <w:lvlJc w:val="left"/>
      <w:pPr>
        <w:tabs>
          <w:tab w:val="num" w:pos="3600"/>
        </w:tabs>
        <w:ind w:left="3600" w:hanging="360"/>
      </w:pPr>
      <w:rPr>
        <w:rFonts w:ascii="Courier New" w:hAnsi="Courier New" w:hint="default"/>
      </w:rPr>
    </w:lvl>
    <w:lvl w:ilvl="5" w:tplc="3B220F7A" w:tentative="1">
      <w:start w:val="1"/>
      <w:numFmt w:val="bullet"/>
      <w:lvlText w:val="o"/>
      <w:lvlJc w:val="left"/>
      <w:pPr>
        <w:tabs>
          <w:tab w:val="num" w:pos="4320"/>
        </w:tabs>
        <w:ind w:left="4320" w:hanging="360"/>
      </w:pPr>
      <w:rPr>
        <w:rFonts w:ascii="Courier New" w:hAnsi="Courier New" w:hint="default"/>
      </w:rPr>
    </w:lvl>
    <w:lvl w:ilvl="6" w:tplc="07DE2324" w:tentative="1">
      <w:start w:val="1"/>
      <w:numFmt w:val="bullet"/>
      <w:lvlText w:val="o"/>
      <w:lvlJc w:val="left"/>
      <w:pPr>
        <w:tabs>
          <w:tab w:val="num" w:pos="5040"/>
        </w:tabs>
        <w:ind w:left="5040" w:hanging="360"/>
      </w:pPr>
      <w:rPr>
        <w:rFonts w:ascii="Courier New" w:hAnsi="Courier New" w:hint="default"/>
      </w:rPr>
    </w:lvl>
    <w:lvl w:ilvl="7" w:tplc="6896D1EA" w:tentative="1">
      <w:start w:val="1"/>
      <w:numFmt w:val="bullet"/>
      <w:lvlText w:val="o"/>
      <w:lvlJc w:val="left"/>
      <w:pPr>
        <w:tabs>
          <w:tab w:val="num" w:pos="5760"/>
        </w:tabs>
        <w:ind w:left="5760" w:hanging="360"/>
      </w:pPr>
      <w:rPr>
        <w:rFonts w:ascii="Courier New" w:hAnsi="Courier New" w:hint="default"/>
      </w:rPr>
    </w:lvl>
    <w:lvl w:ilvl="8" w:tplc="99ACE01C"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C287E2D"/>
    <w:multiLevelType w:val="hybridMultilevel"/>
    <w:tmpl w:val="982A0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4B"/>
    <w:multiLevelType w:val="hybridMultilevel"/>
    <w:tmpl w:val="007032C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31" w15:restartNumberingAfterBreak="0">
    <w:nsid w:val="76C128FC"/>
    <w:multiLevelType w:val="hybridMultilevel"/>
    <w:tmpl w:val="EBC2166C"/>
    <w:lvl w:ilvl="0" w:tplc="9ED60C08">
      <w:start w:val="1"/>
      <w:numFmt w:val="bullet"/>
      <w:lvlText w:val=""/>
      <w:lvlJc w:val="left"/>
      <w:pPr>
        <w:ind w:left="1440" w:hanging="360"/>
      </w:pPr>
      <w:rPr>
        <w:rFonts w:ascii="Symbol" w:hAnsi="Symbol"/>
      </w:rPr>
    </w:lvl>
    <w:lvl w:ilvl="1" w:tplc="036E0160">
      <w:start w:val="1"/>
      <w:numFmt w:val="bullet"/>
      <w:lvlText w:val=""/>
      <w:lvlJc w:val="left"/>
      <w:pPr>
        <w:ind w:left="1440" w:hanging="360"/>
      </w:pPr>
      <w:rPr>
        <w:rFonts w:ascii="Symbol" w:hAnsi="Symbol"/>
      </w:rPr>
    </w:lvl>
    <w:lvl w:ilvl="2" w:tplc="3A845A9A">
      <w:start w:val="1"/>
      <w:numFmt w:val="bullet"/>
      <w:lvlText w:val=""/>
      <w:lvlJc w:val="left"/>
      <w:pPr>
        <w:ind w:left="1440" w:hanging="360"/>
      </w:pPr>
      <w:rPr>
        <w:rFonts w:ascii="Symbol" w:hAnsi="Symbol"/>
      </w:rPr>
    </w:lvl>
    <w:lvl w:ilvl="3" w:tplc="3EB29DD0">
      <w:start w:val="1"/>
      <w:numFmt w:val="bullet"/>
      <w:lvlText w:val=""/>
      <w:lvlJc w:val="left"/>
      <w:pPr>
        <w:ind w:left="1440" w:hanging="360"/>
      </w:pPr>
      <w:rPr>
        <w:rFonts w:ascii="Symbol" w:hAnsi="Symbol"/>
      </w:rPr>
    </w:lvl>
    <w:lvl w:ilvl="4" w:tplc="CBC61C5C">
      <w:start w:val="1"/>
      <w:numFmt w:val="bullet"/>
      <w:lvlText w:val=""/>
      <w:lvlJc w:val="left"/>
      <w:pPr>
        <w:ind w:left="1440" w:hanging="360"/>
      </w:pPr>
      <w:rPr>
        <w:rFonts w:ascii="Symbol" w:hAnsi="Symbol"/>
      </w:rPr>
    </w:lvl>
    <w:lvl w:ilvl="5" w:tplc="40F44F22">
      <w:start w:val="1"/>
      <w:numFmt w:val="bullet"/>
      <w:lvlText w:val=""/>
      <w:lvlJc w:val="left"/>
      <w:pPr>
        <w:ind w:left="1440" w:hanging="360"/>
      </w:pPr>
      <w:rPr>
        <w:rFonts w:ascii="Symbol" w:hAnsi="Symbol"/>
      </w:rPr>
    </w:lvl>
    <w:lvl w:ilvl="6" w:tplc="543E4236">
      <w:start w:val="1"/>
      <w:numFmt w:val="bullet"/>
      <w:lvlText w:val=""/>
      <w:lvlJc w:val="left"/>
      <w:pPr>
        <w:ind w:left="1440" w:hanging="360"/>
      </w:pPr>
      <w:rPr>
        <w:rFonts w:ascii="Symbol" w:hAnsi="Symbol"/>
      </w:rPr>
    </w:lvl>
    <w:lvl w:ilvl="7" w:tplc="9C7CEECE">
      <w:start w:val="1"/>
      <w:numFmt w:val="bullet"/>
      <w:lvlText w:val=""/>
      <w:lvlJc w:val="left"/>
      <w:pPr>
        <w:ind w:left="1440" w:hanging="360"/>
      </w:pPr>
      <w:rPr>
        <w:rFonts w:ascii="Symbol" w:hAnsi="Symbol"/>
      </w:rPr>
    </w:lvl>
    <w:lvl w:ilvl="8" w:tplc="1A8A891C">
      <w:start w:val="1"/>
      <w:numFmt w:val="bullet"/>
      <w:lvlText w:val=""/>
      <w:lvlJc w:val="left"/>
      <w:pPr>
        <w:ind w:left="1440" w:hanging="360"/>
      </w:pPr>
      <w:rPr>
        <w:rFonts w:ascii="Symbol" w:hAnsi="Symbol"/>
      </w:rPr>
    </w:lvl>
  </w:abstractNum>
  <w:abstractNum w:abstractNumId="32" w15:restartNumberingAfterBreak="0">
    <w:nsid w:val="781A4999"/>
    <w:multiLevelType w:val="hybridMultilevel"/>
    <w:tmpl w:val="51C0B610"/>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842790">
    <w:abstractNumId w:val="23"/>
  </w:num>
  <w:num w:numId="2" w16cid:durableId="1991593136">
    <w:abstractNumId w:val="7"/>
  </w:num>
  <w:num w:numId="3" w16cid:durableId="1754620235">
    <w:abstractNumId w:val="12"/>
  </w:num>
  <w:num w:numId="4" w16cid:durableId="969365539">
    <w:abstractNumId w:val="27"/>
  </w:num>
  <w:num w:numId="5" w16cid:durableId="468133998">
    <w:abstractNumId w:val="24"/>
  </w:num>
  <w:num w:numId="6" w16cid:durableId="426273653">
    <w:abstractNumId w:val="30"/>
  </w:num>
  <w:num w:numId="7" w16cid:durableId="1271206862">
    <w:abstractNumId w:val="28"/>
  </w:num>
  <w:num w:numId="8" w16cid:durableId="975330138">
    <w:abstractNumId w:val="0"/>
  </w:num>
  <w:num w:numId="9" w16cid:durableId="518588433">
    <w:abstractNumId w:val="26"/>
  </w:num>
  <w:num w:numId="10" w16cid:durableId="1169364387">
    <w:abstractNumId w:val="18"/>
  </w:num>
  <w:num w:numId="11" w16cid:durableId="1422142923">
    <w:abstractNumId w:val="4"/>
  </w:num>
  <w:num w:numId="12" w16cid:durableId="1190797711">
    <w:abstractNumId w:val="5"/>
  </w:num>
  <w:num w:numId="13" w16cid:durableId="829445672">
    <w:abstractNumId w:val="31"/>
  </w:num>
  <w:num w:numId="14" w16cid:durableId="1044060902">
    <w:abstractNumId w:val="22"/>
  </w:num>
  <w:num w:numId="15" w16cid:durableId="2131974109">
    <w:abstractNumId w:val="1"/>
  </w:num>
  <w:num w:numId="16" w16cid:durableId="1529029719">
    <w:abstractNumId w:val="21"/>
  </w:num>
  <w:num w:numId="17" w16cid:durableId="1091195651">
    <w:abstractNumId w:val="25"/>
  </w:num>
  <w:num w:numId="18" w16cid:durableId="421948006">
    <w:abstractNumId w:val="19"/>
  </w:num>
  <w:num w:numId="19" w16cid:durableId="800879848">
    <w:abstractNumId w:val="32"/>
  </w:num>
  <w:num w:numId="20" w16cid:durableId="800344258">
    <w:abstractNumId w:val="29"/>
  </w:num>
  <w:num w:numId="21" w16cid:durableId="1073241184">
    <w:abstractNumId w:val="11"/>
  </w:num>
  <w:num w:numId="22" w16cid:durableId="175271564">
    <w:abstractNumId w:val="17"/>
  </w:num>
  <w:num w:numId="23" w16cid:durableId="1967542728">
    <w:abstractNumId w:val="13"/>
  </w:num>
  <w:num w:numId="24" w16cid:durableId="1657027550">
    <w:abstractNumId w:val="2"/>
  </w:num>
  <w:num w:numId="25" w16cid:durableId="446046072">
    <w:abstractNumId w:val="3"/>
  </w:num>
  <w:num w:numId="26" w16cid:durableId="1358695655">
    <w:abstractNumId w:val="14"/>
  </w:num>
  <w:num w:numId="27" w16cid:durableId="1271081760">
    <w:abstractNumId w:val="10"/>
  </w:num>
  <w:num w:numId="28" w16cid:durableId="270016325">
    <w:abstractNumId w:val="16"/>
  </w:num>
  <w:num w:numId="29" w16cid:durableId="638342963">
    <w:abstractNumId w:val="6"/>
  </w:num>
  <w:num w:numId="30" w16cid:durableId="1080449844">
    <w:abstractNumId w:val="8"/>
  </w:num>
  <w:num w:numId="31" w16cid:durableId="1822500480">
    <w:abstractNumId w:val="15"/>
  </w:num>
  <w:num w:numId="32" w16cid:durableId="853344714">
    <w:abstractNumId w:val="20"/>
  </w:num>
  <w:num w:numId="33" w16cid:durableId="1139306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E4"/>
    <w:rsid w:val="00000C49"/>
    <w:rsid w:val="00000F6F"/>
    <w:rsid w:val="000013C9"/>
    <w:rsid w:val="00001C3D"/>
    <w:rsid w:val="000025E3"/>
    <w:rsid w:val="00002BAF"/>
    <w:rsid w:val="00003508"/>
    <w:rsid w:val="0000466B"/>
    <w:rsid w:val="00004B3B"/>
    <w:rsid w:val="00004DD6"/>
    <w:rsid w:val="00004FAE"/>
    <w:rsid w:val="000053E0"/>
    <w:rsid w:val="00005D4F"/>
    <w:rsid w:val="000061A1"/>
    <w:rsid w:val="0000631D"/>
    <w:rsid w:val="00006A4B"/>
    <w:rsid w:val="00006D2A"/>
    <w:rsid w:val="000075DA"/>
    <w:rsid w:val="000100BB"/>
    <w:rsid w:val="00010696"/>
    <w:rsid w:val="00010AB8"/>
    <w:rsid w:val="00010CA2"/>
    <w:rsid w:val="000110A4"/>
    <w:rsid w:val="000119A9"/>
    <w:rsid w:val="000119D2"/>
    <w:rsid w:val="000127AB"/>
    <w:rsid w:val="00012CC5"/>
    <w:rsid w:val="000136C6"/>
    <w:rsid w:val="000141D2"/>
    <w:rsid w:val="00014305"/>
    <w:rsid w:val="00014DB0"/>
    <w:rsid w:val="00014DFE"/>
    <w:rsid w:val="000155F1"/>
    <w:rsid w:val="00015AB6"/>
    <w:rsid w:val="00015E9D"/>
    <w:rsid w:val="000167C5"/>
    <w:rsid w:val="000168C6"/>
    <w:rsid w:val="00016F8E"/>
    <w:rsid w:val="00017497"/>
    <w:rsid w:val="00017E92"/>
    <w:rsid w:val="000202C7"/>
    <w:rsid w:val="000207A0"/>
    <w:rsid w:val="00020884"/>
    <w:rsid w:val="00020CAE"/>
    <w:rsid w:val="00021387"/>
    <w:rsid w:val="0002183B"/>
    <w:rsid w:val="00022643"/>
    <w:rsid w:val="00022923"/>
    <w:rsid w:val="000238A4"/>
    <w:rsid w:val="0002390E"/>
    <w:rsid w:val="00023B7F"/>
    <w:rsid w:val="00025003"/>
    <w:rsid w:val="0002572B"/>
    <w:rsid w:val="000261BF"/>
    <w:rsid w:val="000266BE"/>
    <w:rsid w:val="00026A63"/>
    <w:rsid w:val="00027530"/>
    <w:rsid w:val="00027A7D"/>
    <w:rsid w:val="00031306"/>
    <w:rsid w:val="000318FB"/>
    <w:rsid w:val="000328AB"/>
    <w:rsid w:val="00032CB8"/>
    <w:rsid w:val="00034A38"/>
    <w:rsid w:val="00035217"/>
    <w:rsid w:val="0003597F"/>
    <w:rsid w:val="00035EBF"/>
    <w:rsid w:val="00036939"/>
    <w:rsid w:val="0003699E"/>
    <w:rsid w:val="000376EC"/>
    <w:rsid w:val="0004175B"/>
    <w:rsid w:val="00041AD8"/>
    <w:rsid w:val="00041E52"/>
    <w:rsid w:val="00042B2E"/>
    <w:rsid w:val="00042D62"/>
    <w:rsid w:val="00043863"/>
    <w:rsid w:val="0004420C"/>
    <w:rsid w:val="00044227"/>
    <w:rsid w:val="00044528"/>
    <w:rsid w:val="000448EF"/>
    <w:rsid w:val="00045023"/>
    <w:rsid w:val="000457F1"/>
    <w:rsid w:val="000458B0"/>
    <w:rsid w:val="0004669B"/>
    <w:rsid w:val="00046D0F"/>
    <w:rsid w:val="0004710B"/>
    <w:rsid w:val="00047CDA"/>
    <w:rsid w:val="00050DF7"/>
    <w:rsid w:val="0005142F"/>
    <w:rsid w:val="00051AAB"/>
    <w:rsid w:val="000523D2"/>
    <w:rsid w:val="00052DE4"/>
    <w:rsid w:val="000539E5"/>
    <w:rsid w:val="00053B4E"/>
    <w:rsid w:val="00054D11"/>
    <w:rsid w:val="00054DE9"/>
    <w:rsid w:val="00055208"/>
    <w:rsid w:val="000561FB"/>
    <w:rsid w:val="00057603"/>
    <w:rsid w:val="000579CD"/>
    <w:rsid w:val="00057DB6"/>
    <w:rsid w:val="00060D3C"/>
    <w:rsid w:val="00061C09"/>
    <w:rsid w:val="0006322A"/>
    <w:rsid w:val="00063596"/>
    <w:rsid w:val="000639AF"/>
    <w:rsid w:val="00064096"/>
    <w:rsid w:val="00064155"/>
    <w:rsid w:val="00064F26"/>
    <w:rsid w:val="00064FB8"/>
    <w:rsid w:val="000652A2"/>
    <w:rsid w:val="00065686"/>
    <w:rsid w:val="000656AA"/>
    <w:rsid w:val="00065D9A"/>
    <w:rsid w:val="0006645B"/>
    <w:rsid w:val="00066ABC"/>
    <w:rsid w:val="00066DDD"/>
    <w:rsid w:val="00070106"/>
    <w:rsid w:val="00070517"/>
    <w:rsid w:val="00070686"/>
    <w:rsid w:val="0007098B"/>
    <w:rsid w:val="00071416"/>
    <w:rsid w:val="00071528"/>
    <w:rsid w:val="0007288F"/>
    <w:rsid w:val="00072A31"/>
    <w:rsid w:val="00072C3B"/>
    <w:rsid w:val="000734CD"/>
    <w:rsid w:val="00073766"/>
    <w:rsid w:val="00073787"/>
    <w:rsid w:val="00074661"/>
    <w:rsid w:val="000749F5"/>
    <w:rsid w:val="0007728A"/>
    <w:rsid w:val="00077446"/>
    <w:rsid w:val="00077760"/>
    <w:rsid w:val="000777A6"/>
    <w:rsid w:val="00080A6C"/>
    <w:rsid w:val="000810AA"/>
    <w:rsid w:val="00081B56"/>
    <w:rsid w:val="00081B75"/>
    <w:rsid w:val="00082763"/>
    <w:rsid w:val="000838E5"/>
    <w:rsid w:val="00083BFD"/>
    <w:rsid w:val="000854DE"/>
    <w:rsid w:val="00085B49"/>
    <w:rsid w:val="00085F80"/>
    <w:rsid w:val="000861D5"/>
    <w:rsid w:val="000874FB"/>
    <w:rsid w:val="0009011E"/>
    <w:rsid w:val="000907F8"/>
    <w:rsid w:val="00091817"/>
    <w:rsid w:val="000918C7"/>
    <w:rsid w:val="00091D3A"/>
    <w:rsid w:val="000927B6"/>
    <w:rsid w:val="00092905"/>
    <w:rsid w:val="00093F5C"/>
    <w:rsid w:val="0009477F"/>
    <w:rsid w:val="00096087"/>
    <w:rsid w:val="0009651E"/>
    <w:rsid w:val="00096C96"/>
    <w:rsid w:val="000A02D7"/>
    <w:rsid w:val="000A0318"/>
    <w:rsid w:val="000A081F"/>
    <w:rsid w:val="000A0E0D"/>
    <w:rsid w:val="000A17AF"/>
    <w:rsid w:val="000A1CAC"/>
    <w:rsid w:val="000A2CD8"/>
    <w:rsid w:val="000A2F55"/>
    <w:rsid w:val="000A3B07"/>
    <w:rsid w:val="000A48E2"/>
    <w:rsid w:val="000A4BE6"/>
    <w:rsid w:val="000A6B42"/>
    <w:rsid w:val="000A770B"/>
    <w:rsid w:val="000A7BFC"/>
    <w:rsid w:val="000B003F"/>
    <w:rsid w:val="000B0318"/>
    <w:rsid w:val="000B06DF"/>
    <w:rsid w:val="000B117A"/>
    <w:rsid w:val="000B16E8"/>
    <w:rsid w:val="000B1B8B"/>
    <w:rsid w:val="000B1FC6"/>
    <w:rsid w:val="000B2CFE"/>
    <w:rsid w:val="000B3530"/>
    <w:rsid w:val="000B3B08"/>
    <w:rsid w:val="000B4D39"/>
    <w:rsid w:val="000B4E34"/>
    <w:rsid w:val="000B54D3"/>
    <w:rsid w:val="000B5DB5"/>
    <w:rsid w:val="000B5E5C"/>
    <w:rsid w:val="000B5F51"/>
    <w:rsid w:val="000B62A0"/>
    <w:rsid w:val="000B6C4B"/>
    <w:rsid w:val="000B7DE9"/>
    <w:rsid w:val="000B7E8E"/>
    <w:rsid w:val="000C05EF"/>
    <w:rsid w:val="000C08D4"/>
    <w:rsid w:val="000C122E"/>
    <w:rsid w:val="000C181C"/>
    <w:rsid w:val="000C1E3E"/>
    <w:rsid w:val="000C1EC5"/>
    <w:rsid w:val="000C2E6D"/>
    <w:rsid w:val="000C2F4F"/>
    <w:rsid w:val="000C3BA1"/>
    <w:rsid w:val="000C40E0"/>
    <w:rsid w:val="000C4F73"/>
    <w:rsid w:val="000C6325"/>
    <w:rsid w:val="000C64C7"/>
    <w:rsid w:val="000C6B52"/>
    <w:rsid w:val="000C6C57"/>
    <w:rsid w:val="000C786E"/>
    <w:rsid w:val="000C7D48"/>
    <w:rsid w:val="000C7E01"/>
    <w:rsid w:val="000D09D5"/>
    <w:rsid w:val="000D0AA6"/>
    <w:rsid w:val="000D0F16"/>
    <w:rsid w:val="000D1E29"/>
    <w:rsid w:val="000D2D40"/>
    <w:rsid w:val="000D2DBD"/>
    <w:rsid w:val="000D2DF3"/>
    <w:rsid w:val="000D311F"/>
    <w:rsid w:val="000D45BB"/>
    <w:rsid w:val="000D7043"/>
    <w:rsid w:val="000D7C6A"/>
    <w:rsid w:val="000E0B9F"/>
    <w:rsid w:val="000E0DBD"/>
    <w:rsid w:val="000E0E27"/>
    <w:rsid w:val="000E1052"/>
    <w:rsid w:val="000E1C93"/>
    <w:rsid w:val="000E28A3"/>
    <w:rsid w:val="000E392E"/>
    <w:rsid w:val="000E56B5"/>
    <w:rsid w:val="000E5FBC"/>
    <w:rsid w:val="000F0268"/>
    <w:rsid w:val="000F043B"/>
    <w:rsid w:val="000F0B91"/>
    <w:rsid w:val="000F101B"/>
    <w:rsid w:val="000F1365"/>
    <w:rsid w:val="000F1879"/>
    <w:rsid w:val="000F189C"/>
    <w:rsid w:val="000F191F"/>
    <w:rsid w:val="000F25CF"/>
    <w:rsid w:val="000F27F3"/>
    <w:rsid w:val="000F2B0E"/>
    <w:rsid w:val="000F2DDB"/>
    <w:rsid w:val="000F3034"/>
    <w:rsid w:val="000F31FE"/>
    <w:rsid w:val="000F3CD9"/>
    <w:rsid w:val="000F3F9D"/>
    <w:rsid w:val="000F4108"/>
    <w:rsid w:val="000F4A5F"/>
    <w:rsid w:val="000F5AC4"/>
    <w:rsid w:val="000F61A3"/>
    <w:rsid w:val="000F670D"/>
    <w:rsid w:val="000F6B9C"/>
    <w:rsid w:val="001006DE"/>
    <w:rsid w:val="001017A9"/>
    <w:rsid w:val="00101975"/>
    <w:rsid w:val="00101C8D"/>
    <w:rsid w:val="0010203F"/>
    <w:rsid w:val="001024FA"/>
    <w:rsid w:val="0010414A"/>
    <w:rsid w:val="00105429"/>
    <w:rsid w:val="00105D3D"/>
    <w:rsid w:val="0011072E"/>
    <w:rsid w:val="00111087"/>
    <w:rsid w:val="001110A4"/>
    <w:rsid w:val="00111831"/>
    <w:rsid w:val="00111D52"/>
    <w:rsid w:val="00111F62"/>
    <w:rsid w:val="00112E86"/>
    <w:rsid w:val="00112F50"/>
    <w:rsid w:val="00113CB6"/>
    <w:rsid w:val="00113FE8"/>
    <w:rsid w:val="001146A7"/>
    <w:rsid w:val="00114B62"/>
    <w:rsid w:val="00114C0A"/>
    <w:rsid w:val="0011576F"/>
    <w:rsid w:val="00115A8A"/>
    <w:rsid w:val="00116BEF"/>
    <w:rsid w:val="001171CA"/>
    <w:rsid w:val="00120869"/>
    <w:rsid w:val="00120C01"/>
    <w:rsid w:val="00120D0C"/>
    <w:rsid w:val="00121323"/>
    <w:rsid w:val="00121A64"/>
    <w:rsid w:val="00121D77"/>
    <w:rsid w:val="00121F6C"/>
    <w:rsid w:val="00122DE0"/>
    <w:rsid w:val="00122E4D"/>
    <w:rsid w:val="00122FC5"/>
    <w:rsid w:val="001241FA"/>
    <w:rsid w:val="00125585"/>
    <w:rsid w:val="00125996"/>
    <w:rsid w:val="00125D38"/>
    <w:rsid w:val="00125E75"/>
    <w:rsid w:val="00126637"/>
    <w:rsid w:val="001266FF"/>
    <w:rsid w:val="00126771"/>
    <w:rsid w:val="00130776"/>
    <w:rsid w:val="00130EB1"/>
    <w:rsid w:val="001317EC"/>
    <w:rsid w:val="00131D6E"/>
    <w:rsid w:val="00132516"/>
    <w:rsid w:val="00132701"/>
    <w:rsid w:val="00132889"/>
    <w:rsid w:val="00133221"/>
    <w:rsid w:val="001339F0"/>
    <w:rsid w:val="00133B5E"/>
    <w:rsid w:val="00133FE5"/>
    <w:rsid w:val="001340D0"/>
    <w:rsid w:val="00134916"/>
    <w:rsid w:val="00134AB2"/>
    <w:rsid w:val="001355AE"/>
    <w:rsid w:val="001361DD"/>
    <w:rsid w:val="001404AA"/>
    <w:rsid w:val="00141C1F"/>
    <w:rsid w:val="00141E7B"/>
    <w:rsid w:val="0014213A"/>
    <w:rsid w:val="00142F3F"/>
    <w:rsid w:val="00143C1B"/>
    <w:rsid w:val="00144898"/>
    <w:rsid w:val="001449D0"/>
    <w:rsid w:val="00145294"/>
    <w:rsid w:val="001457E7"/>
    <w:rsid w:val="00145A9E"/>
    <w:rsid w:val="00145D0D"/>
    <w:rsid w:val="0014678F"/>
    <w:rsid w:val="001467E8"/>
    <w:rsid w:val="00147382"/>
    <w:rsid w:val="00147FC0"/>
    <w:rsid w:val="00151A97"/>
    <w:rsid w:val="00151D40"/>
    <w:rsid w:val="00152CC1"/>
    <w:rsid w:val="00153B2A"/>
    <w:rsid w:val="0015468C"/>
    <w:rsid w:val="0015470A"/>
    <w:rsid w:val="0015498C"/>
    <w:rsid w:val="00154E3F"/>
    <w:rsid w:val="00155C3A"/>
    <w:rsid w:val="00155D81"/>
    <w:rsid w:val="0015635F"/>
    <w:rsid w:val="001573B5"/>
    <w:rsid w:val="00157AC3"/>
    <w:rsid w:val="00157C45"/>
    <w:rsid w:val="001606FC"/>
    <w:rsid w:val="00160784"/>
    <w:rsid w:val="00160E7C"/>
    <w:rsid w:val="001610C3"/>
    <w:rsid w:val="00162D35"/>
    <w:rsid w:val="001635F3"/>
    <w:rsid w:val="001636F5"/>
    <w:rsid w:val="001643A4"/>
    <w:rsid w:val="001647B6"/>
    <w:rsid w:val="00164AB8"/>
    <w:rsid w:val="00164CA8"/>
    <w:rsid w:val="001658D9"/>
    <w:rsid w:val="0016593C"/>
    <w:rsid w:val="00166002"/>
    <w:rsid w:val="00166087"/>
    <w:rsid w:val="0016689A"/>
    <w:rsid w:val="0016764A"/>
    <w:rsid w:val="001677B0"/>
    <w:rsid w:val="00167AD8"/>
    <w:rsid w:val="00170E6F"/>
    <w:rsid w:val="00171BBE"/>
    <w:rsid w:val="0017217B"/>
    <w:rsid w:val="0017265F"/>
    <w:rsid w:val="00173EE8"/>
    <w:rsid w:val="001742A9"/>
    <w:rsid w:val="00176BE6"/>
    <w:rsid w:val="00176F26"/>
    <w:rsid w:val="0017768A"/>
    <w:rsid w:val="0018011F"/>
    <w:rsid w:val="001804A9"/>
    <w:rsid w:val="00181C31"/>
    <w:rsid w:val="00181D0F"/>
    <w:rsid w:val="001822CE"/>
    <w:rsid w:val="00182709"/>
    <w:rsid w:val="00182A13"/>
    <w:rsid w:val="00182A9D"/>
    <w:rsid w:val="0018544F"/>
    <w:rsid w:val="0018600C"/>
    <w:rsid w:val="00186E29"/>
    <w:rsid w:val="00187029"/>
    <w:rsid w:val="0018717B"/>
    <w:rsid w:val="00187423"/>
    <w:rsid w:val="001875C0"/>
    <w:rsid w:val="0018799E"/>
    <w:rsid w:val="00190437"/>
    <w:rsid w:val="001905D6"/>
    <w:rsid w:val="00190D49"/>
    <w:rsid w:val="00191094"/>
    <w:rsid w:val="001915C4"/>
    <w:rsid w:val="0019160D"/>
    <w:rsid w:val="001917A1"/>
    <w:rsid w:val="00192298"/>
    <w:rsid w:val="00192D10"/>
    <w:rsid w:val="001938B6"/>
    <w:rsid w:val="001939C4"/>
    <w:rsid w:val="00194485"/>
    <w:rsid w:val="0019565D"/>
    <w:rsid w:val="001959CA"/>
    <w:rsid w:val="00195D50"/>
    <w:rsid w:val="00196118"/>
    <w:rsid w:val="001961C3"/>
    <w:rsid w:val="001965E8"/>
    <w:rsid w:val="00196AC6"/>
    <w:rsid w:val="00196EA0"/>
    <w:rsid w:val="00197427"/>
    <w:rsid w:val="0019788A"/>
    <w:rsid w:val="001A0C2F"/>
    <w:rsid w:val="001A126B"/>
    <w:rsid w:val="001A1D53"/>
    <w:rsid w:val="001A1EF5"/>
    <w:rsid w:val="001A2D94"/>
    <w:rsid w:val="001A3E9B"/>
    <w:rsid w:val="001A44F1"/>
    <w:rsid w:val="001A5FB7"/>
    <w:rsid w:val="001A638C"/>
    <w:rsid w:val="001A6862"/>
    <w:rsid w:val="001A735C"/>
    <w:rsid w:val="001A7AEF"/>
    <w:rsid w:val="001A7C75"/>
    <w:rsid w:val="001B02F0"/>
    <w:rsid w:val="001B0E0D"/>
    <w:rsid w:val="001B0E84"/>
    <w:rsid w:val="001B2379"/>
    <w:rsid w:val="001B2C82"/>
    <w:rsid w:val="001B546F"/>
    <w:rsid w:val="001B5B1B"/>
    <w:rsid w:val="001B5B6D"/>
    <w:rsid w:val="001B6151"/>
    <w:rsid w:val="001B6716"/>
    <w:rsid w:val="001B6732"/>
    <w:rsid w:val="001B6DC7"/>
    <w:rsid w:val="001B6EC3"/>
    <w:rsid w:val="001B72CC"/>
    <w:rsid w:val="001B7745"/>
    <w:rsid w:val="001B784F"/>
    <w:rsid w:val="001C075C"/>
    <w:rsid w:val="001C1580"/>
    <w:rsid w:val="001C1A1A"/>
    <w:rsid w:val="001C2671"/>
    <w:rsid w:val="001C2EC3"/>
    <w:rsid w:val="001C343D"/>
    <w:rsid w:val="001C3F67"/>
    <w:rsid w:val="001C439A"/>
    <w:rsid w:val="001C510E"/>
    <w:rsid w:val="001C5110"/>
    <w:rsid w:val="001C582B"/>
    <w:rsid w:val="001C5D12"/>
    <w:rsid w:val="001C62FC"/>
    <w:rsid w:val="001C726B"/>
    <w:rsid w:val="001D0D02"/>
    <w:rsid w:val="001D1E94"/>
    <w:rsid w:val="001D3F80"/>
    <w:rsid w:val="001D4410"/>
    <w:rsid w:val="001D48C1"/>
    <w:rsid w:val="001D4F2A"/>
    <w:rsid w:val="001D5670"/>
    <w:rsid w:val="001D58CC"/>
    <w:rsid w:val="001D5B06"/>
    <w:rsid w:val="001D5DE9"/>
    <w:rsid w:val="001D681D"/>
    <w:rsid w:val="001D6914"/>
    <w:rsid w:val="001D77CD"/>
    <w:rsid w:val="001D7996"/>
    <w:rsid w:val="001E0172"/>
    <w:rsid w:val="001E1467"/>
    <w:rsid w:val="001E1957"/>
    <w:rsid w:val="001E3192"/>
    <w:rsid w:val="001E32BC"/>
    <w:rsid w:val="001E3927"/>
    <w:rsid w:val="001E6532"/>
    <w:rsid w:val="001E68FB"/>
    <w:rsid w:val="001E6BEC"/>
    <w:rsid w:val="001E747E"/>
    <w:rsid w:val="001E779C"/>
    <w:rsid w:val="001E7FAF"/>
    <w:rsid w:val="001F011B"/>
    <w:rsid w:val="001F0AAB"/>
    <w:rsid w:val="001F1950"/>
    <w:rsid w:val="001F1C7E"/>
    <w:rsid w:val="001F3452"/>
    <w:rsid w:val="001F3468"/>
    <w:rsid w:val="001F3F2B"/>
    <w:rsid w:val="001F4221"/>
    <w:rsid w:val="001F4B2E"/>
    <w:rsid w:val="001F4C49"/>
    <w:rsid w:val="001F5FC1"/>
    <w:rsid w:val="001F7093"/>
    <w:rsid w:val="001F7EE0"/>
    <w:rsid w:val="001F7F48"/>
    <w:rsid w:val="002000BF"/>
    <w:rsid w:val="002006A6"/>
    <w:rsid w:val="002019AE"/>
    <w:rsid w:val="00202179"/>
    <w:rsid w:val="00202A4C"/>
    <w:rsid w:val="00203312"/>
    <w:rsid w:val="00204744"/>
    <w:rsid w:val="00204B1B"/>
    <w:rsid w:val="002051A0"/>
    <w:rsid w:val="00206830"/>
    <w:rsid w:val="00206FBF"/>
    <w:rsid w:val="00207491"/>
    <w:rsid w:val="0021095B"/>
    <w:rsid w:val="00210BFB"/>
    <w:rsid w:val="00210D9D"/>
    <w:rsid w:val="002121EC"/>
    <w:rsid w:val="0021223A"/>
    <w:rsid w:val="00212672"/>
    <w:rsid w:val="00212692"/>
    <w:rsid w:val="002126F7"/>
    <w:rsid w:val="00213581"/>
    <w:rsid w:val="00213B29"/>
    <w:rsid w:val="002144DA"/>
    <w:rsid w:val="002145D7"/>
    <w:rsid w:val="002146AB"/>
    <w:rsid w:val="00214E03"/>
    <w:rsid w:val="00215DF2"/>
    <w:rsid w:val="00216622"/>
    <w:rsid w:val="00216A31"/>
    <w:rsid w:val="00216EB4"/>
    <w:rsid w:val="00216EFE"/>
    <w:rsid w:val="0022071D"/>
    <w:rsid w:val="0022162B"/>
    <w:rsid w:val="00221740"/>
    <w:rsid w:val="00221F4D"/>
    <w:rsid w:val="00222E25"/>
    <w:rsid w:val="002238AD"/>
    <w:rsid w:val="002238CA"/>
    <w:rsid w:val="00223BFB"/>
    <w:rsid w:val="00224BE0"/>
    <w:rsid w:val="00225F41"/>
    <w:rsid w:val="00226236"/>
    <w:rsid w:val="00227F17"/>
    <w:rsid w:val="002308D4"/>
    <w:rsid w:val="00230B03"/>
    <w:rsid w:val="0023114F"/>
    <w:rsid w:val="00231368"/>
    <w:rsid w:val="00231A8B"/>
    <w:rsid w:val="00231B33"/>
    <w:rsid w:val="002320F1"/>
    <w:rsid w:val="00232F5C"/>
    <w:rsid w:val="0023348D"/>
    <w:rsid w:val="002334CB"/>
    <w:rsid w:val="00233565"/>
    <w:rsid w:val="002342B3"/>
    <w:rsid w:val="002343DA"/>
    <w:rsid w:val="00235626"/>
    <w:rsid w:val="00235701"/>
    <w:rsid w:val="00235F94"/>
    <w:rsid w:val="0023671B"/>
    <w:rsid w:val="00236988"/>
    <w:rsid w:val="00237AE2"/>
    <w:rsid w:val="00237C90"/>
    <w:rsid w:val="00237DD8"/>
    <w:rsid w:val="002407F6"/>
    <w:rsid w:val="00240D16"/>
    <w:rsid w:val="002413A2"/>
    <w:rsid w:val="0024188B"/>
    <w:rsid w:val="002420D9"/>
    <w:rsid w:val="00243278"/>
    <w:rsid w:val="0024327C"/>
    <w:rsid w:val="002436FC"/>
    <w:rsid w:val="002438FC"/>
    <w:rsid w:val="002441FE"/>
    <w:rsid w:val="002442B6"/>
    <w:rsid w:val="002442F0"/>
    <w:rsid w:val="002445BB"/>
    <w:rsid w:val="00244EA9"/>
    <w:rsid w:val="00245227"/>
    <w:rsid w:val="0024674C"/>
    <w:rsid w:val="0024786D"/>
    <w:rsid w:val="00247C11"/>
    <w:rsid w:val="00250382"/>
    <w:rsid w:val="00250480"/>
    <w:rsid w:val="00250BFE"/>
    <w:rsid w:val="00250D54"/>
    <w:rsid w:val="00251319"/>
    <w:rsid w:val="002514A5"/>
    <w:rsid w:val="002518C7"/>
    <w:rsid w:val="00251C7A"/>
    <w:rsid w:val="00252804"/>
    <w:rsid w:val="00252F3C"/>
    <w:rsid w:val="00253185"/>
    <w:rsid w:val="002548CB"/>
    <w:rsid w:val="002551B2"/>
    <w:rsid w:val="002557C4"/>
    <w:rsid w:val="002558B0"/>
    <w:rsid w:val="0025788C"/>
    <w:rsid w:val="0026023E"/>
    <w:rsid w:val="0026071D"/>
    <w:rsid w:val="0026073A"/>
    <w:rsid w:val="002608E1"/>
    <w:rsid w:val="00260958"/>
    <w:rsid w:val="00260BBF"/>
    <w:rsid w:val="00260F6D"/>
    <w:rsid w:val="0026107A"/>
    <w:rsid w:val="00261B9D"/>
    <w:rsid w:val="00261F16"/>
    <w:rsid w:val="002624C8"/>
    <w:rsid w:val="00262D1E"/>
    <w:rsid w:val="00262EAB"/>
    <w:rsid w:val="00263500"/>
    <w:rsid w:val="00263DEE"/>
    <w:rsid w:val="002642DE"/>
    <w:rsid w:val="00264A67"/>
    <w:rsid w:val="00265558"/>
    <w:rsid w:val="0026563A"/>
    <w:rsid w:val="00267386"/>
    <w:rsid w:val="002677EB"/>
    <w:rsid w:val="00270C7D"/>
    <w:rsid w:val="00270E9F"/>
    <w:rsid w:val="00271069"/>
    <w:rsid w:val="00271326"/>
    <w:rsid w:val="002716FA"/>
    <w:rsid w:val="00272176"/>
    <w:rsid w:val="00272D9F"/>
    <w:rsid w:val="00272E94"/>
    <w:rsid w:val="002731E2"/>
    <w:rsid w:val="0027338A"/>
    <w:rsid w:val="00274C9D"/>
    <w:rsid w:val="00280707"/>
    <w:rsid w:val="00280B6E"/>
    <w:rsid w:val="0028139B"/>
    <w:rsid w:val="00281B80"/>
    <w:rsid w:val="00281DE0"/>
    <w:rsid w:val="00282B68"/>
    <w:rsid w:val="00282BA9"/>
    <w:rsid w:val="0028305F"/>
    <w:rsid w:val="00283782"/>
    <w:rsid w:val="00283ACC"/>
    <w:rsid w:val="00284E01"/>
    <w:rsid w:val="00285062"/>
    <w:rsid w:val="00285AC5"/>
    <w:rsid w:val="00286167"/>
    <w:rsid w:val="00286F40"/>
    <w:rsid w:val="0028713A"/>
    <w:rsid w:val="002874A3"/>
    <w:rsid w:val="00290A53"/>
    <w:rsid w:val="00290F0A"/>
    <w:rsid w:val="0029158E"/>
    <w:rsid w:val="00291606"/>
    <w:rsid w:val="00291662"/>
    <w:rsid w:val="002923A8"/>
    <w:rsid w:val="00292744"/>
    <w:rsid w:val="002927F0"/>
    <w:rsid w:val="00292EEA"/>
    <w:rsid w:val="00292F76"/>
    <w:rsid w:val="002941ED"/>
    <w:rsid w:val="002949CD"/>
    <w:rsid w:val="00295F8A"/>
    <w:rsid w:val="002962A6"/>
    <w:rsid w:val="00297FDF"/>
    <w:rsid w:val="002A050F"/>
    <w:rsid w:val="002A0F18"/>
    <w:rsid w:val="002A167D"/>
    <w:rsid w:val="002A1C45"/>
    <w:rsid w:val="002A216C"/>
    <w:rsid w:val="002A245F"/>
    <w:rsid w:val="002A2945"/>
    <w:rsid w:val="002A2E62"/>
    <w:rsid w:val="002A5511"/>
    <w:rsid w:val="002A6D55"/>
    <w:rsid w:val="002A6FF1"/>
    <w:rsid w:val="002A7293"/>
    <w:rsid w:val="002B070B"/>
    <w:rsid w:val="002B080E"/>
    <w:rsid w:val="002B1630"/>
    <w:rsid w:val="002B2638"/>
    <w:rsid w:val="002B27D6"/>
    <w:rsid w:val="002B31F6"/>
    <w:rsid w:val="002B3760"/>
    <w:rsid w:val="002B38A2"/>
    <w:rsid w:val="002B4A8B"/>
    <w:rsid w:val="002B4E10"/>
    <w:rsid w:val="002B506A"/>
    <w:rsid w:val="002B7CCF"/>
    <w:rsid w:val="002C014E"/>
    <w:rsid w:val="002C0B4C"/>
    <w:rsid w:val="002C0B82"/>
    <w:rsid w:val="002C1452"/>
    <w:rsid w:val="002C1CC6"/>
    <w:rsid w:val="002C2257"/>
    <w:rsid w:val="002C25C3"/>
    <w:rsid w:val="002C25E0"/>
    <w:rsid w:val="002C2FB6"/>
    <w:rsid w:val="002C3034"/>
    <w:rsid w:val="002C3339"/>
    <w:rsid w:val="002C408D"/>
    <w:rsid w:val="002C46A1"/>
    <w:rsid w:val="002C56E5"/>
    <w:rsid w:val="002C69AA"/>
    <w:rsid w:val="002C6CAB"/>
    <w:rsid w:val="002C70E4"/>
    <w:rsid w:val="002C729B"/>
    <w:rsid w:val="002C740E"/>
    <w:rsid w:val="002C767E"/>
    <w:rsid w:val="002C7F85"/>
    <w:rsid w:val="002D02AD"/>
    <w:rsid w:val="002D0A07"/>
    <w:rsid w:val="002D0F9F"/>
    <w:rsid w:val="002D1D99"/>
    <w:rsid w:val="002D3991"/>
    <w:rsid w:val="002D3B79"/>
    <w:rsid w:val="002D4060"/>
    <w:rsid w:val="002D47B9"/>
    <w:rsid w:val="002D4FA2"/>
    <w:rsid w:val="002D50A0"/>
    <w:rsid w:val="002D514E"/>
    <w:rsid w:val="002D562C"/>
    <w:rsid w:val="002D6B1C"/>
    <w:rsid w:val="002D719A"/>
    <w:rsid w:val="002D725E"/>
    <w:rsid w:val="002E04C1"/>
    <w:rsid w:val="002E17F8"/>
    <w:rsid w:val="002E1B28"/>
    <w:rsid w:val="002E2691"/>
    <w:rsid w:val="002E44BD"/>
    <w:rsid w:val="002E4975"/>
    <w:rsid w:val="002E4BCD"/>
    <w:rsid w:val="002E6A79"/>
    <w:rsid w:val="002F02E1"/>
    <w:rsid w:val="002F05A1"/>
    <w:rsid w:val="002F16F7"/>
    <w:rsid w:val="002F32D6"/>
    <w:rsid w:val="002F35C8"/>
    <w:rsid w:val="002F3711"/>
    <w:rsid w:val="002F3CAB"/>
    <w:rsid w:val="002F4463"/>
    <w:rsid w:val="002F5175"/>
    <w:rsid w:val="002F6021"/>
    <w:rsid w:val="002F6B28"/>
    <w:rsid w:val="00300883"/>
    <w:rsid w:val="00301C72"/>
    <w:rsid w:val="003031AA"/>
    <w:rsid w:val="0030337B"/>
    <w:rsid w:val="003034D6"/>
    <w:rsid w:val="0030471F"/>
    <w:rsid w:val="0030541E"/>
    <w:rsid w:val="00305D95"/>
    <w:rsid w:val="00306CE9"/>
    <w:rsid w:val="003079E8"/>
    <w:rsid w:val="00310705"/>
    <w:rsid w:val="00310E50"/>
    <w:rsid w:val="00310F6B"/>
    <w:rsid w:val="003110A6"/>
    <w:rsid w:val="003118B0"/>
    <w:rsid w:val="0031201E"/>
    <w:rsid w:val="0031263E"/>
    <w:rsid w:val="00312E66"/>
    <w:rsid w:val="00313654"/>
    <w:rsid w:val="003143DD"/>
    <w:rsid w:val="00314487"/>
    <w:rsid w:val="00314720"/>
    <w:rsid w:val="00314942"/>
    <w:rsid w:val="00315544"/>
    <w:rsid w:val="00316D46"/>
    <w:rsid w:val="00317DD6"/>
    <w:rsid w:val="00320487"/>
    <w:rsid w:val="003208E7"/>
    <w:rsid w:val="00320B49"/>
    <w:rsid w:val="0032198A"/>
    <w:rsid w:val="00321E0C"/>
    <w:rsid w:val="00321ED1"/>
    <w:rsid w:val="0032253B"/>
    <w:rsid w:val="0032301D"/>
    <w:rsid w:val="0032301F"/>
    <w:rsid w:val="00324770"/>
    <w:rsid w:val="00324DAF"/>
    <w:rsid w:val="00324DB9"/>
    <w:rsid w:val="00324E2F"/>
    <w:rsid w:val="00325A26"/>
    <w:rsid w:val="00325CD9"/>
    <w:rsid w:val="00325E04"/>
    <w:rsid w:val="0032660E"/>
    <w:rsid w:val="00326C90"/>
    <w:rsid w:val="00326FEF"/>
    <w:rsid w:val="00327BB5"/>
    <w:rsid w:val="003300B0"/>
    <w:rsid w:val="00330E8B"/>
    <w:rsid w:val="003310BC"/>
    <w:rsid w:val="003312EE"/>
    <w:rsid w:val="0033138F"/>
    <w:rsid w:val="00331480"/>
    <w:rsid w:val="003314B1"/>
    <w:rsid w:val="00331D50"/>
    <w:rsid w:val="00331E9D"/>
    <w:rsid w:val="00331FE5"/>
    <w:rsid w:val="003320B3"/>
    <w:rsid w:val="0033289C"/>
    <w:rsid w:val="00332F5C"/>
    <w:rsid w:val="003337FA"/>
    <w:rsid w:val="00334B46"/>
    <w:rsid w:val="00334FED"/>
    <w:rsid w:val="00335179"/>
    <w:rsid w:val="0033533A"/>
    <w:rsid w:val="003355C4"/>
    <w:rsid w:val="00335616"/>
    <w:rsid w:val="00335ED8"/>
    <w:rsid w:val="00335FC9"/>
    <w:rsid w:val="003365A9"/>
    <w:rsid w:val="00336724"/>
    <w:rsid w:val="00341141"/>
    <w:rsid w:val="00341B75"/>
    <w:rsid w:val="00342554"/>
    <w:rsid w:val="00342859"/>
    <w:rsid w:val="0034459D"/>
    <w:rsid w:val="003450E4"/>
    <w:rsid w:val="00345EA6"/>
    <w:rsid w:val="00345FBE"/>
    <w:rsid w:val="003471B6"/>
    <w:rsid w:val="0035056A"/>
    <w:rsid w:val="00350F30"/>
    <w:rsid w:val="0035298F"/>
    <w:rsid w:val="003532A2"/>
    <w:rsid w:val="00353BEA"/>
    <w:rsid w:val="00353C97"/>
    <w:rsid w:val="0035426F"/>
    <w:rsid w:val="00354320"/>
    <w:rsid w:val="003545CF"/>
    <w:rsid w:val="00355C9D"/>
    <w:rsid w:val="0035615B"/>
    <w:rsid w:val="00356411"/>
    <w:rsid w:val="00356F20"/>
    <w:rsid w:val="003570AE"/>
    <w:rsid w:val="003606DF"/>
    <w:rsid w:val="003608A6"/>
    <w:rsid w:val="00361AE0"/>
    <w:rsid w:val="00361D97"/>
    <w:rsid w:val="0036447B"/>
    <w:rsid w:val="00364523"/>
    <w:rsid w:val="00366C25"/>
    <w:rsid w:val="003670A9"/>
    <w:rsid w:val="00367429"/>
    <w:rsid w:val="003706F7"/>
    <w:rsid w:val="00370E8B"/>
    <w:rsid w:val="00371661"/>
    <w:rsid w:val="003716FC"/>
    <w:rsid w:val="00371758"/>
    <w:rsid w:val="00371984"/>
    <w:rsid w:val="00371BAC"/>
    <w:rsid w:val="003727AE"/>
    <w:rsid w:val="00372B2A"/>
    <w:rsid w:val="00373CA3"/>
    <w:rsid w:val="00373CC1"/>
    <w:rsid w:val="00374393"/>
    <w:rsid w:val="00375A8C"/>
    <w:rsid w:val="00375D05"/>
    <w:rsid w:val="00375E80"/>
    <w:rsid w:val="003765D3"/>
    <w:rsid w:val="00376A7C"/>
    <w:rsid w:val="00376D3F"/>
    <w:rsid w:val="003802FE"/>
    <w:rsid w:val="00380FF6"/>
    <w:rsid w:val="00381502"/>
    <w:rsid w:val="00381548"/>
    <w:rsid w:val="00381E2B"/>
    <w:rsid w:val="00382279"/>
    <w:rsid w:val="00382789"/>
    <w:rsid w:val="00382EE8"/>
    <w:rsid w:val="00383F56"/>
    <w:rsid w:val="003845AD"/>
    <w:rsid w:val="003845BC"/>
    <w:rsid w:val="00384DB6"/>
    <w:rsid w:val="00385546"/>
    <w:rsid w:val="003856C0"/>
    <w:rsid w:val="00386BC4"/>
    <w:rsid w:val="00386D35"/>
    <w:rsid w:val="0038741E"/>
    <w:rsid w:val="00390135"/>
    <w:rsid w:val="0039072D"/>
    <w:rsid w:val="0039129E"/>
    <w:rsid w:val="00391420"/>
    <w:rsid w:val="00391A2B"/>
    <w:rsid w:val="00391DBD"/>
    <w:rsid w:val="00392192"/>
    <w:rsid w:val="003927EE"/>
    <w:rsid w:val="00392C17"/>
    <w:rsid w:val="003933F7"/>
    <w:rsid w:val="0039371B"/>
    <w:rsid w:val="00394855"/>
    <w:rsid w:val="00395044"/>
    <w:rsid w:val="00395128"/>
    <w:rsid w:val="0039618D"/>
    <w:rsid w:val="003969BF"/>
    <w:rsid w:val="00396DD7"/>
    <w:rsid w:val="0039701D"/>
    <w:rsid w:val="003970E3"/>
    <w:rsid w:val="003A0268"/>
    <w:rsid w:val="003A0359"/>
    <w:rsid w:val="003A04D4"/>
    <w:rsid w:val="003A05A8"/>
    <w:rsid w:val="003A0A02"/>
    <w:rsid w:val="003A12E3"/>
    <w:rsid w:val="003A1303"/>
    <w:rsid w:val="003A2262"/>
    <w:rsid w:val="003A273B"/>
    <w:rsid w:val="003A28EE"/>
    <w:rsid w:val="003A2B7A"/>
    <w:rsid w:val="003A35AD"/>
    <w:rsid w:val="003A3CE8"/>
    <w:rsid w:val="003A3D85"/>
    <w:rsid w:val="003A4917"/>
    <w:rsid w:val="003A5613"/>
    <w:rsid w:val="003A5695"/>
    <w:rsid w:val="003A5B3E"/>
    <w:rsid w:val="003A622F"/>
    <w:rsid w:val="003A665C"/>
    <w:rsid w:val="003A6947"/>
    <w:rsid w:val="003A6AA5"/>
    <w:rsid w:val="003B0184"/>
    <w:rsid w:val="003B0580"/>
    <w:rsid w:val="003B0632"/>
    <w:rsid w:val="003B137A"/>
    <w:rsid w:val="003B1FC0"/>
    <w:rsid w:val="003B20CB"/>
    <w:rsid w:val="003B3397"/>
    <w:rsid w:val="003B3D9D"/>
    <w:rsid w:val="003B3E17"/>
    <w:rsid w:val="003B3F8C"/>
    <w:rsid w:val="003B49DB"/>
    <w:rsid w:val="003B4C14"/>
    <w:rsid w:val="003B50AA"/>
    <w:rsid w:val="003B5193"/>
    <w:rsid w:val="003B5F42"/>
    <w:rsid w:val="003C0BBB"/>
    <w:rsid w:val="003C10A5"/>
    <w:rsid w:val="003C1156"/>
    <w:rsid w:val="003C11CA"/>
    <w:rsid w:val="003C1639"/>
    <w:rsid w:val="003C2571"/>
    <w:rsid w:val="003C2AA3"/>
    <w:rsid w:val="003C347B"/>
    <w:rsid w:val="003C40C2"/>
    <w:rsid w:val="003C4259"/>
    <w:rsid w:val="003C4C63"/>
    <w:rsid w:val="003C5C64"/>
    <w:rsid w:val="003C6EEE"/>
    <w:rsid w:val="003C6FC2"/>
    <w:rsid w:val="003C766B"/>
    <w:rsid w:val="003C7E7A"/>
    <w:rsid w:val="003D06E2"/>
    <w:rsid w:val="003D082A"/>
    <w:rsid w:val="003D0965"/>
    <w:rsid w:val="003D1325"/>
    <w:rsid w:val="003D172C"/>
    <w:rsid w:val="003D1FBF"/>
    <w:rsid w:val="003D2381"/>
    <w:rsid w:val="003D38F8"/>
    <w:rsid w:val="003D484E"/>
    <w:rsid w:val="003D4F82"/>
    <w:rsid w:val="003D66E5"/>
    <w:rsid w:val="003D69DE"/>
    <w:rsid w:val="003D72C5"/>
    <w:rsid w:val="003D76DF"/>
    <w:rsid w:val="003E03DC"/>
    <w:rsid w:val="003E0498"/>
    <w:rsid w:val="003E1B96"/>
    <w:rsid w:val="003E2648"/>
    <w:rsid w:val="003E267F"/>
    <w:rsid w:val="003E26C0"/>
    <w:rsid w:val="003E297A"/>
    <w:rsid w:val="003E3A53"/>
    <w:rsid w:val="003E40C9"/>
    <w:rsid w:val="003E48DC"/>
    <w:rsid w:val="003E4B3B"/>
    <w:rsid w:val="003E4ECB"/>
    <w:rsid w:val="003E5DD9"/>
    <w:rsid w:val="003E788A"/>
    <w:rsid w:val="003E7D67"/>
    <w:rsid w:val="003F082C"/>
    <w:rsid w:val="003F084A"/>
    <w:rsid w:val="003F095B"/>
    <w:rsid w:val="003F0C9D"/>
    <w:rsid w:val="003F148E"/>
    <w:rsid w:val="003F15C2"/>
    <w:rsid w:val="003F1973"/>
    <w:rsid w:val="003F306D"/>
    <w:rsid w:val="003F39F3"/>
    <w:rsid w:val="003F4621"/>
    <w:rsid w:val="003F4BFB"/>
    <w:rsid w:val="003F4E67"/>
    <w:rsid w:val="003F5227"/>
    <w:rsid w:val="003F537C"/>
    <w:rsid w:val="003F546E"/>
    <w:rsid w:val="003F5AAA"/>
    <w:rsid w:val="003F6219"/>
    <w:rsid w:val="003F68D2"/>
    <w:rsid w:val="003F6B41"/>
    <w:rsid w:val="003F71DB"/>
    <w:rsid w:val="003F738F"/>
    <w:rsid w:val="003F73CD"/>
    <w:rsid w:val="003F7A9D"/>
    <w:rsid w:val="003F7CA1"/>
    <w:rsid w:val="003F7EDF"/>
    <w:rsid w:val="00400A28"/>
    <w:rsid w:val="00401BAF"/>
    <w:rsid w:val="00401FF5"/>
    <w:rsid w:val="0040220F"/>
    <w:rsid w:val="0040442C"/>
    <w:rsid w:val="004048C4"/>
    <w:rsid w:val="00404A54"/>
    <w:rsid w:val="004050F0"/>
    <w:rsid w:val="0040564F"/>
    <w:rsid w:val="00406D91"/>
    <w:rsid w:val="0040710F"/>
    <w:rsid w:val="004071A3"/>
    <w:rsid w:val="00407433"/>
    <w:rsid w:val="00407BCE"/>
    <w:rsid w:val="00407CAF"/>
    <w:rsid w:val="004104E2"/>
    <w:rsid w:val="00412331"/>
    <w:rsid w:val="004128FB"/>
    <w:rsid w:val="00412BD8"/>
    <w:rsid w:val="00413B9A"/>
    <w:rsid w:val="00413D88"/>
    <w:rsid w:val="004148C0"/>
    <w:rsid w:val="004152AD"/>
    <w:rsid w:val="004152EA"/>
    <w:rsid w:val="004164C1"/>
    <w:rsid w:val="0041660A"/>
    <w:rsid w:val="00416AEB"/>
    <w:rsid w:val="00416DF3"/>
    <w:rsid w:val="00417EC9"/>
    <w:rsid w:val="00420685"/>
    <w:rsid w:val="00420C53"/>
    <w:rsid w:val="00420DA9"/>
    <w:rsid w:val="00421176"/>
    <w:rsid w:val="00421B2F"/>
    <w:rsid w:val="00421F6E"/>
    <w:rsid w:val="00422C25"/>
    <w:rsid w:val="00422C73"/>
    <w:rsid w:val="004231CD"/>
    <w:rsid w:val="00423268"/>
    <w:rsid w:val="0042359F"/>
    <w:rsid w:val="004240F6"/>
    <w:rsid w:val="004255F8"/>
    <w:rsid w:val="00425898"/>
    <w:rsid w:val="00425CE4"/>
    <w:rsid w:val="0042694A"/>
    <w:rsid w:val="00427259"/>
    <w:rsid w:val="00427853"/>
    <w:rsid w:val="0043034F"/>
    <w:rsid w:val="004307C8"/>
    <w:rsid w:val="0043175D"/>
    <w:rsid w:val="004318FE"/>
    <w:rsid w:val="00431D6B"/>
    <w:rsid w:val="00431F2B"/>
    <w:rsid w:val="00433E18"/>
    <w:rsid w:val="00433FC8"/>
    <w:rsid w:val="004346F3"/>
    <w:rsid w:val="00435EA1"/>
    <w:rsid w:val="00435F02"/>
    <w:rsid w:val="004360BD"/>
    <w:rsid w:val="00436436"/>
    <w:rsid w:val="0043698B"/>
    <w:rsid w:val="00437B97"/>
    <w:rsid w:val="00437F2D"/>
    <w:rsid w:val="00440069"/>
    <w:rsid w:val="004404B0"/>
    <w:rsid w:val="00440679"/>
    <w:rsid w:val="004409EE"/>
    <w:rsid w:val="0044187C"/>
    <w:rsid w:val="0044202C"/>
    <w:rsid w:val="00442125"/>
    <w:rsid w:val="0044408A"/>
    <w:rsid w:val="0044606D"/>
    <w:rsid w:val="00446078"/>
    <w:rsid w:val="00446B45"/>
    <w:rsid w:val="00450124"/>
    <w:rsid w:val="004511DE"/>
    <w:rsid w:val="00451F8A"/>
    <w:rsid w:val="00452469"/>
    <w:rsid w:val="0045252B"/>
    <w:rsid w:val="0045343C"/>
    <w:rsid w:val="00454F2E"/>
    <w:rsid w:val="004551DB"/>
    <w:rsid w:val="004554CF"/>
    <w:rsid w:val="00456325"/>
    <w:rsid w:val="004563A3"/>
    <w:rsid w:val="00456AB3"/>
    <w:rsid w:val="004571D1"/>
    <w:rsid w:val="00460270"/>
    <w:rsid w:val="00460348"/>
    <w:rsid w:val="00460F03"/>
    <w:rsid w:val="00461BBB"/>
    <w:rsid w:val="00461CD3"/>
    <w:rsid w:val="0046200B"/>
    <w:rsid w:val="00462B4E"/>
    <w:rsid w:val="00462C7F"/>
    <w:rsid w:val="0046342F"/>
    <w:rsid w:val="00463B5C"/>
    <w:rsid w:val="00463D76"/>
    <w:rsid w:val="00464E2F"/>
    <w:rsid w:val="0046680B"/>
    <w:rsid w:val="00466E67"/>
    <w:rsid w:val="00466FA1"/>
    <w:rsid w:val="0047125A"/>
    <w:rsid w:val="00471B38"/>
    <w:rsid w:val="00471CFD"/>
    <w:rsid w:val="00472191"/>
    <w:rsid w:val="00472416"/>
    <w:rsid w:val="004727C0"/>
    <w:rsid w:val="0047298A"/>
    <w:rsid w:val="00473717"/>
    <w:rsid w:val="00473945"/>
    <w:rsid w:val="00473A3E"/>
    <w:rsid w:val="00473BE9"/>
    <w:rsid w:val="00474263"/>
    <w:rsid w:val="004766BC"/>
    <w:rsid w:val="004772CA"/>
    <w:rsid w:val="00480925"/>
    <w:rsid w:val="00481F52"/>
    <w:rsid w:val="00482E90"/>
    <w:rsid w:val="00483C66"/>
    <w:rsid w:val="004842C2"/>
    <w:rsid w:val="0048461A"/>
    <w:rsid w:val="0048475B"/>
    <w:rsid w:val="004854E7"/>
    <w:rsid w:val="0048557E"/>
    <w:rsid w:val="00485854"/>
    <w:rsid w:val="004862E4"/>
    <w:rsid w:val="00486367"/>
    <w:rsid w:val="004867F9"/>
    <w:rsid w:val="00487265"/>
    <w:rsid w:val="00487343"/>
    <w:rsid w:val="004874FF"/>
    <w:rsid w:val="0048776C"/>
    <w:rsid w:val="00487A9F"/>
    <w:rsid w:val="00490530"/>
    <w:rsid w:val="004905B7"/>
    <w:rsid w:val="0049134D"/>
    <w:rsid w:val="00491A07"/>
    <w:rsid w:val="004921F9"/>
    <w:rsid w:val="0049302A"/>
    <w:rsid w:val="00493099"/>
    <w:rsid w:val="00493FA0"/>
    <w:rsid w:val="0049451D"/>
    <w:rsid w:val="004947F9"/>
    <w:rsid w:val="0049481F"/>
    <w:rsid w:val="0049499F"/>
    <w:rsid w:val="00494C91"/>
    <w:rsid w:val="004950D9"/>
    <w:rsid w:val="0049575D"/>
    <w:rsid w:val="0049579F"/>
    <w:rsid w:val="00496518"/>
    <w:rsid w:val="0049694B"/>
    <w:rsid w:val="004A031C"/>
    <w:rsid w:val="004A088A"/>
    <w:rsid w:val="004A1889"/>
    <w:rsid w:val="004A1B8F"/>
    <w:rsid w:val="004A4A60"/>
    <w:rsid w:val="004A54D4"/>
    <w:rsid w:val="004A5A0B"/>
    <w:rsid w:val="004A6030"/>
    <w:rsid w:val="004A64AB"/>
    <w:rsid w:val="004A72D6"/>
    <w:rsid w:val="004A7730"/>
    <w:rsid w:val="004A7A0A"/>
    <w:rsid w:val="004A7A4C"/>
    <w:rsid w:val="004B071C"/>
    <w:rsid w:val="004B0BB5"/>
    <w:rsid w:val="004B1AD9"/>
    <w:rsid w:val="004B22C2"/>
    <w:rsid w:val="004B2352"/>
    <w:rsid w:val="004B25BD"/>
    <w:rsid w:val="004B2EEB"/>
    <w:rsid w:val="004B3587"/>
    <w:rsid w:val="004B3791"/>
    <w:rsid w:val="004B37ED"/>
    <w:rsid w:val="004B4083"/>
    <w:rsid w:val="004B4820"/>
    <w:rsid w:val="004B49BC"/>
    <w:rsid w:val="004B4F57"/>
    <w:rsid w:val="004B54B1"/>
    <w:rsid w:val="004B59E7"/>
    <w:rsid w:val="004B5B21"/>
    <w:rsid w:val="004B5C0A"/>
    <w:rsid w:val="004B6411"/>
    <w:rsid w:val="004B70F1"/>
    <w:rsid w:val="004C0D4F"/>
    <w:rsid w:val="004C0F42"/>
    <w:rsid w:val="004C157D"/>
    <w:rsid w:val="004C24FA"/>
    <w:rsid w:val="004C315A"/>
    <w:rsid w:val="004C3BC6"/>
    <w:rsid w:val="004C3E18"/>
    <w:rsid w:val="004C4132"/>
    <w:rsid w:val="004C43A7"/>
    <w:rsid w:val="004C7109"/>
    <w:rsid w:val="004C7E27"/>
    <w:rsid w:val="004C7FBA"/>
    <w:rsid w:val="004D0071"/>
    <w:rsid w:val="004D03AB"/>
    <w:rsid w:val="004D0471"/>
    <w:rsid w:val="004D07F0"/>
    <w:rsid w:val="004D1351"/>
    <w:rsid w:val="004D1C9A"/>
    <w:rsid w:val="004D2674"/>
    <w:rsid w:val="004D2C3D"/>
    <w:rsid w:val="004D4DF7"/>
    <w:rsid w:val="004D5C38"/>
    <w:rsid w:val="004D6EF8"/>
    <w:rsid w:val="004D76B8"/>
    <w:rsid w:val="004D7B67"/>
    <w:rsid w:val="004E0305"/>
    <w:rsid w:val="004E111A"/>
    <w:rsid w:val="004E1987"/>
    <w:rsid w:val="004E2298"/>
    <w:rsid w:val="004E267C"/>
    <w:rsid w:val="004E41FE"/>
    <w:rsid w:val="004E44C4"/>
    <w:rsid w:val="004E561A"/>
    <w:rsid w:val="004E58C0"/>
    <w:rsid w:val="004E5E4D"/>
    <w:rsid w:val="004E65D1"/>
    <w:rsid w:val="004E66DC"/>
    <w:rsid w:val="004E692E"/>
    <w:rsid w:val="004E6DD4"/>
    <w:rsid w:val="004F00CC"/>
    <w:rsid w:val="004F059F"/>
    <w:rsid w:val="004F0D1D"/>
    <w:rsid w:val="004F101F"/>
    <w:rsid w:val="004F10F1"/>
    <w:rsid w:val="004F2031"/>
    <w:rsid w:val="004F228B"/>
    <w:rsid w:val="004F41B5"/>
    <w:rsid w:val="004F4626"/>
    <w:rsid w:val="004F54EE"/>
    <w:rsid w:val="004F6190"/>
    <w:rsid w:val="004F6904"/>
    <w:rsid w:val="004F6934"/>
    <w:rsid w:val="004F6B9D"/>
    <w:rsid w:val="004F6C7E"/>
    <w:rsid w:val="004F7237"/>
    <w:rsid w:val="005001B7"/>
    <w:rsid w:val="005003EF"/>
    <w:rsid w:val="005005D9"/>
    <w:rsid w:val="00501213"/>
    <w:rsid w:val="0050136C"/>
    <w:rsid w:val="0050178A"/>
    <w:rsid w:val="00502C0D"/>
    <w:rsid w:val="0050462C"/>
    <w:rsid w:val="00504EC4"/>
    <w:rsid w:val="00505825"/>
    <w:rsid w:val="005058BC"/>
    <w:rsid w:val="00505D44"/>
    <w:rsid w:val="0050688B"/>
    <w:rsid w:val="00506B1C"/>
    <w:rsid w:val="00507575"/>
    <w:rsid w:val="005076E3"/>
    <w:rsid w:val="005076F8"/>
    <w:rsid w:val="00507E6B"/>
    <w:rsid w:val="00507F1C"/>
    <w:rsid w:val="00510432"/>
    <w:rsid w:val="00511EA3"/>
    <w:rsid w:val="005120E6"/>
    <w:rsid w:val="0051218B"/>
    <w:rsid w:val="005135A3"/>
    <w:rsid w:val="00514AE8"/>
    <w:rsid w:val="00516157"/>
    <w:rsid w:val="005215D8"/>
    <w:rsid w:val="00521AE3"/>
    <w:rsid w:val="00521E71"/>
    <w:rsid w:val="00522D1D"/>
    <w:rsid w:val="005231F2"/>
    <w:rsid w:val="005238F7"/>
    <w:rsid w:val="00524033"/>
    <w:rsid w:val="00524D53"/>
    <w:rsid w:val="005252F9"/>
    <w:rsid w:val="0052616A"/>
    <w:rsid w:val="00526F56"/>
    <w:rsid w:val="00527172"/>
    <w:rsid w:val="00527709"/>
    <w:rsid w:val="005279A6"/>
    <w:rsid w:val="00530BBC"/>
    <w:rsid w:val="0053184E"/>
    <w:rsid w:val="00531EAF"/>
    <w:rsid w:val="005330E2"/>
    <w:rsid w:val="005347A3"/>
    <w:rsid w:val="005349D5"/>
    <w:rsid w:val="005355CA"/>
    <w:rsid w:val="00536175"/>
    <w:rsid w:val="00536662"/>
    <w:rsid w:val="005370BA"/>
    <w:rsid w:val="00537113"/>
    <w:rsid w:val="005378AA"/>
    <w:rsid w:val="00537EEF"/>
    <w:rsid w:val="00540031"/>
    <w:rsid w:val="00541AAC"/>
    <w:rsid w:val="00541EB5"/>
    <w:rsid w:val="00542D72"/>
    <w:rsid w:val="00543780"/>
    <w:rsid w:val="00544D99"/>
    <w:rsid w:val="005456EC"/>
    <w:rsid w:val="00545702"/>
    <w:rsid w:val="00546210"/>
    <w:rsid w:val="00546EE5"/>
    <w:rsid w:val="00547356"/>
    <w:rsid w:val="005505C0"/>
    <w:rsid w:val="00550BBA"/>
    <w:rsid w:val="005516D4"/>
    <w:rsid w:val="0055355D"/>
    <w:rsid w:val="005537A8"/>
    <w:rsid w:val="00553D45"/>
    <w:rsid w:val="00554139"/>
    <w:rsid w:val="0055424B"/>
    <w:rsid w:val="0055427B"/>
    <w:rsid w:val="00554ECA"/>
    <w:rsid w:val="005553D4"/>
    <w:rsid w:val="005562B9"/>
    <w:rsid w:val="00556DD4"/>
    <w:rsid w:val="00556F0A"/>
    <w:rsid w:val="005607F6"/>
    <w:rsid w:val="005608BD"/>
    <w:rsid w:val="005612A0"/>
    <w:rsid w:val="00563ECF"/>
    <w:rsid w:val="0056402B"/>
    <w:rsid w:val="005644DF"/>
    <w:rsid w:val="005646ED"/>
    <w:rsid w:val="005652B1"/>
    <w:rsid w:val="005652C1"/>
    <w:rsid w:val="0056532B"/>
    <w:rsid w:val="00565743"/>
    <w:rsid w:val="00565842"/>
    <w:rsid w:val="00565BD9"/>
    <w:rsid w:val="00565CC2"/>
    <w:rsid w:val="00565F65"/>
    <w:rsid w:val="0056627D"/>
    <w:rsid w:val="005664D8"/>
    <w:rsid w:val="00566558"/>
    <w:rsid w:val="00566D2F"/>
    <w:rsid w:val="00566F59"/>
    <w:rsid w:val="005677F8"/>
    <w:rsid w:val="00567DD9"/>
    <w:rsid w:val="00567F03"/>
    <w:rsid w:val="00570AAF"/>
    <w:rsid w:val="00571881"/>
    <w:rsid w:val="00571991"/>
    <w:rsid w:val="00572D27"/>
    <w:rsid w:val="0057328B"/>
    <w:rsid w:val="005735E8"/>
    <w:rsid w:val="005737E2"/>
    <w:rsid w:val="0057453A"/>
    <w:rsid w:val="0057476E"/>
    <w:rsid w:val="00575277"/>
    <w:rsid w:val="005752C5"/>
    <w:rsid w:val="00576982"/>
    <w:rsid w:val="00576D8E"/>
    <w:rsid w:val="00577A43"/>
    <w:rsid w:val="00577C03"/>
    <w:rsid w:val="00580530"/>
    <w:rsid w:val="00581274"/>
    <w:rsid w:val="0058168D"/>
    <w:rsid w:val="00581853"/>
    <w:rsid w:val="00581A12"/>
    <w:rsid w:val="00581D9A"/>
    <w:rsid w:val="00581DF9"/>
    <w:rsid w:val="005828AE"/>
    <w:rsid w:val="00583E04"/>
    <w:rsid w:val="00584C11"/>
    <w:rsid w:val="00585AD5"/>
    <w:rsid w:val="00586330"/>
    <w:rsid w:val="0058696A"/>
    <w:rsid w:val="00587095"/>
    <w:rsid w:val="0058772F"/>
    <w:rsid w:val="00587D52"/>
    <w:rsid w:val="00587F9A"/>
    <w:rsid w:val="0059046D"/>
    <w:rsid w:val="00590494"/>
    <w:rsid w:val="005906E4"/>
    <w:rsid w:val="00590DCC"/>
    <w:rsid w:val="005913E2"/>
    <w:rsid w:val="0059163E"/>
    <w:rsid w:val="0059215C"/>
    <w:rsid w:val="0059283B"/>
    <w:rsid w:val="00593592"/>
    <w:rsid w:val="00594DE5"/>
    <w:rsid w:val="00594EA0"/>
    <w:rsid w:val="00595310"/>
    <w:rsid w:val="00596ADD"/>
    <w:rsid w:val="0059735C"/>
    <w:rsid w:val="00597BCB"/>
    <w:rsid w:val="00597EB5"/>
    <w:rsid w:val="005A050D"/>
    <w:rsid w:val="005A1474"/>
    <w:rsid w:val="005A2534"/>
    <w:rsid w:val="005A2945"/>
    <w:rsid w:val="005A31CA"/>
    <w:rsid w:val="005A35A2"/>
    <w:rsid w:val="005A3927"/>
    <w:rsid w:val="005A3A52"/>
    <w:rsid w:val="005A3F65"/>
    <w:rsid w:val="005A4BD3"/>
    <w:rsid w:val="005A4CFD"/>
    <w:rsid w:val="005A51F9"/>
    <w:rsid w:val="005A5821"/>
    <w:rsid w:val="005A5E2C"/>
    <w:rsid w:val="005A73D0"/>
    <w:rsid w:val="005A78A9"/>
    <w:rsid w:val="005A7A2C"/>
    <w:rsid w:val="005A7ECA"/>
    <w:rsid w:val="005B0273"/>
    <w:rsid w:val="005B0280"/>
    <w:rsid w:val="005B1BDB"/>
    <w:rsid w:val="005B2386"/>
    <w:rsid w:val="005B2695"/>
    <w:rsid w:val="005B2969"/>
    <w:rsid w:val="005B3C73"/>
    <w:rsid w:val="005B5B47"/>
    <w:rsid w:val="005B6371"/>
    <w:rsid w:val="005B722A"/>
    <w:rsid w:val="005B74EA"/>
    <w:rsid w:val="005B7E9D"/>
    <w:rsid w:val="005C086C"/>
    <w:rsid w:val="005C0F5A"/>
    <w:rsid w:val="005C10F0"/>
    <w:rsid w:val="005C1235"/>
    <w:rsid w:val="005C1252"/>
    <w:rsid w:val="005C17D3"/>
    <w:rsid w:val="005C1A7F"/>
    <w:rsid w:val="005C1F25"/>
    <w:rsid w:val="005C2B2D"/>
    <w:rsid w:val="005C2E50"/>
    <w:rsid w:val="005C342C"/>
    <w:rsid w:val="005C3519"/>
    <w:rsid w:val="005C3CF4"/>
    <w:rsid w:val="005C3DD8"/>
    <w:rsid w:val="005C51DC"/>
    <w:rsid w:val="005C5506"/>
    <w:rsid w:val="005C5ECC"/>
    <w:rsid w:val="005C62BE"/>
    <w:rsid w:val="005C647A"/>
    <w:rsid w:val="005C6D21"/>
    <w:rsid w:val="005C6F78"/>
    <w:rsid w:val="005C7232"/>
    <w:rsid w:val="005C76A5"/>
    <w:rsid w:val="005C7AC0"/>
    <w:rsid w:val="005D04A0"/>
    <w:rsid w:val="005D145D"/>
    <w:rsid w:val="005D1512"/>
    <w:rsid w:val="005D15DA"/>
    <w:rsid w:val="005D1AA1"/>
    <w:rsid w:val="005D22AE"/>
    <w:rsid w:val="005D27CB"/>
    <w:rsid w:val="005D283F"/>
    <w:rsid w:val="005D2F40"/>
    <w:rsid w:val="005D3200"/>
    <w:rsid w:val="005D3C58"/>
    <w:rsid w:val="005D4165"/>
    <w:rsid w:val="005D436A"/>
    <w:rsid w:val="005D44D3"/>
    <w:rsid w:val="005D4D8F"/>
    <w:rsid w:val="005D4FEB"/>
    <w:rsid w:val="005D508A"/>
    <w:rsid w:val="005D54E8"/>
    <w:rsid w:val="005D6D46"/>
    <w:rsid w:val="005D7B41"/>
    <w:rsid w:val="005E082E"/>
    <w:rsid w:val="005E1EF8"/>
    <w:rsid w:val="005E2E29"/>
    <w:rsid w:val="005E366C"/>
    <w:rsid w:val="005E3903"/>
    <w:rsid w:val="005E4058"/>
    <w:rsid w:val="005E4713"/>
    <w:rsid w:val="005E4C14"/>
    <w:rsid w:val="005E6317"/>
    <w:rsid w:val="005E6A0F"/>
    <w:rsid w:val="005E7670"/>
    <w:rsid w:val="005E7A51"/>
    <w:rsid w:val="005F09CF"/>
    <w:rsid w:val="005F1303"/>
    <w:rsid w:val="005F1688"/>
    <w:rsid w:val="005F1C27"/>
    <w:rsid w:val="005F22E0"/>
    <w:rsid w:val="005F253C"/>
    <w:rsid w:val="005F270C"/>
    <w:rsid w:val="005F2970"/>
    <w:rsid w:val="005F3AA5"/>
    <w:rsid w:val="005F5A2F"/>
    <w:rsid w:val="005F63B9"/>
    <w:rsid w:val="005F6DFD"/>
    <w:rsid w:val="005F7E12"/>
    <w:rsid w:val="006003F0"/>
    <w:rsid w:val="00600F22"/>
    <w:rsid w:val="0060186E"/>
    <w:rsid w:val="00603762"/>
    <w:rsid w:val="00603783"/>
    <w:rsid w:val="006039BF"/>
    <w:rsid w:val="0060452E"/>
    <w:rsid w:val="00604ACD"/>
    <w:rsid w:val="006050D7"/>
    <w:rsid w:val="006065AD"/>
    <w:rsid w:val="00607256"/>
    <w:rsid w:val="0060798F"/>
    <w:rsid w:val="00610C6D"/>
    <w:rsid w:val="0061150C"/>
    <w:rsid w:val="00611549"/>
    <w:rsid w:val="00611DF4"/>
    <w:rsid w:val="00612110"/>
    <w:rsid w:val="00612ABB"/>
    <w:rsid w:val="00615A39"/>
    <w:rsid w:val="0061649A"/>
    <w:rsid w:val="00616BC9"/>
    <w:rsid w:val="00616DA6"/>
    <w:rsid w:val="006176D5"/>
    <w:rsid w:val="00617C3D"/>
    <w:rsid w:val="00620314"/>
    <w:rsid w:val="00620565"/>
    <w:rsid w:val="006208FE"/>
    <w:rsid w:val="006214AC"/>
    <w:rsid w:val="006226D4"/>
    <w:rsid w:val="00622C82"/>
    <w:rsid w:val="006239CB"/>
    <w:rsid w:val="00623AD8"/>
    <w:rsid w:val="00623B28"/>
    <w:rsid w:val="00623BBC"/>
    <w:rsid w:val="006252C4"/>
    <w:rsid w:val="006264A3"/>
    <w:rsid w:val="006265DE"/>
    <w:rsid w:val="0062669A"/>
    <w:rsid w:val="00626716"/>
    <w:rsid w:val="006272F1"/>
    <w:rsid w:val="00627500"/>
    <w:rsid w:val="00627D25"/>
    <w:rsid w:val="00627E3E"/>
    <w:rsid w:val="0063000C"/>
    <w:rsid w:val="00630937"/>
    <w:rsid w:val="00630CFF"/>
    <w:rsid w:val="0063106B"/>
    <w:rsid w:val="00631ADA"/>
    <w:rsid w:val="00632B8A"/>
    <w:rsid w:val="00632D92"/>
    <w:rsid w:val="00633752"/>
    <w:rsid w:val="006338D8"/>
    <w:rsid w:val="00633A4C"/>
    <w:rsid w:val="00634036"/>
    <w:rsid w:val="00634470"/>
    <w:rsid w:val="00634964"/>
    <w:rsid w:val="00634E57"/>
    <w:rsid w:val="00635387"/>
    <w:rsid w:val="0063554A"/>
    <w:rsid w:val="00635697"/>
    <w:rsid w:val="006359F9"/>
    <w:rsid w:val="00635DDA"/>
    <w:rsid w:val="00637B0A"/>
    <w:rsid w:val="00640670"/>
    <w:rsid w:val="00640879"/>
    <w:rsid w:val="00640AE3"/>
    <w:rsid w:val="0064197B"/>
    <w:rsid w:val="006424CC"/>
    <w:rsid w:val="00643362"/>
    <w:rsid w:val="00643758"/>
    <w:rsid w:val="006438C5"/>
    <w:rsid w:val="00643C63"/>
    <w:rsid w:val="00643ED2"/>
    <w:rsid w:val="00644749"/>
    <w:rsid w:val="00645F77"/>
    <w:rsid w:val="0064684B"/>
    <w:rsid w:val="006469FF"/>
    <w:rsid w:val="00646AC4"/>
    <w:rsid w:val="00646FBB"/>
    <w:rsid w:val="006470F9"/>
    <w:rsid w:val="006479E3"/>
    <w:rsid w:val="00650BE9"/>
    <w:rsid w:val="00650F91"/>
    <w:rsid w:val="00651296"/>
    <w:rsid w:val="00651F2D"/>
    <w:rsid w:val="0065249E"/>
    <w:rsid w:val="00652A39"/>
    <w:rsid w:val="0065399A"/>
    <w:rsid w:val="00654786"/>
    <w:rsid w:val="006559A3"/>
    <w:rsid w:val="006559FC"/>
    <w:rsid w:val="00656358"/>
    <w:rsid w:val="00656603"/>
    <w:rsid w:val="00660E1F"/>
    <w:rsid w:val="00662E85"/>
    <w:rsid w:val="00663546"/>
    <w:rsid w:val="00663861"/>
    <w:rsid w:val="00664B5B"/>
    <w:rsid w:val="00665012"/>
    <w:rsid w:val="006651A4"/>
    <w:rsid w:val="00665B76"/>
    <w:rsid w:val="0066622B"/>
    <w:rsid w:val="006669F9"/>
    <w:rsid w:val="0066701F"/>
    <w:rsid w:val="00667417"/>
    <w:rsid w:val="006674A1"/>
    <w:rsid w:val="00667662"/>
    <w:rsid w:val="006677E2"/>
    <w:rsid w:val="0066787F"/>
    <w:rsid w:val="00667A48"/>
    <w:rsid w:val="00667B63"/>
    <w:rsid w:val="00667E2A"/>
    <w:rsid w:val="006700D9"/>
    <w:rsid w:val="00670315"/>
    <w:rsid w:val="0067161C"/>
    <w:rsid w:val="00671A63"/>
    <w:rsid w:val="00672B26"/>
    <w:rsid w:val="0067395D"/>
    <w:rsid w:val="00673EA5"/>
    <w:rsid w:val="006743C8"/>
    <w:rsid w:val="006749E6"/>
    <w:rsid w:val="0067528A"/>
    <w:rsid w:val="00675D9C"/>
    <w:rsid w:val="00676E58"/>
    <w:rsid w:val="00677138"/>
    <w:rsid w:val="00677C41"/>
    <w:rsid w:val="00677F1B"/>
    <w:rsid w:val="0068074C"/>
    <w:rsid w:val="006810C7"/>
    <w:rsid w:val="00681AB2"/>
    <w:rsid w:val="00681C6C"/>
    <w:rsid w:val="00683BBD"/>
    <w:rsid w:val="0068428F"/>
    <w:rsid w:val="00684942"/>
    <w:rsid w:val="00685517"/>
    <w:rsid w:val="00686076"/>
    <w:rsid w:val="00686300"/>
    <w:rsid w:val="00686815"/>
    <w:rsid w:val="00686A73"/>
    <w:rsid w:val="0068738D"/>
    <w:rsid w:val="006873B5"/>
    <w:rsid w:val="00687CDF"/>
    <w:rsid w:val="0069066F"/>
    <w:rsid w:val="006918A6"/>
    <w:rsid w:val="00691BA2"/>
    <w:rsid w:val="0069235D"/>
    <w:rsid w:val="006923C0"/>
    <w:rsid w:val="006925D0"/>
    <w:rsid w:val="00693790"/>
    <w:rsid w:val="00694001"/>
    <w:rsid w:val="0069450F"/>
    <w:rsid w:val="00694F0A"/>
    <w:rsid w:val="0069522D"/>
    <w:rsid w:val="00695FEF"/>
    <w:rsid w:val="0069667A"/>
    <w:rsid w:val="0069785D"/>
    <w:rsid w:val="00697927"/>
    <w:rsid w:val="00697D9F"/>
    <w:rsid w:val="006A2DB7"/>
    <w:rsid w:val="006A301D"/>
    <w:rsid w:val="006A3BB1"/>
    <w:rsid w:val="006A46F1"/>
    <w:rsid w:val="006A5C2A"/>
    <w:rsid w:val="006A5CA6"/>
    <w:rsid w:val="006A5F8C"/>
    <w:rsid w:val="006A6330"/>
    <w:rsid w:val="006B0454"/>
    <w:rsid w:val="006B0837"/>
    <w:rsid w:val="006B0F14"/>
    <w:rsid w:val="006B1E41"/>
    <w:rsid w:val="006B41D8"/>
    <w:rsid w:val="006B468D"/>
    <w:rsid w:val="006B5C11"/>
    <w:rsid w:val="006B5CCE"/>
    <w:rsid w:val="006B7A6A"/>
    <w:rsid w:val="006C042E"/>
    <w:rsid w:val="006C0D51"/>
    <w:rsid w:val="006C0E04"/>
    <w:rsid w:val="006C1E9D"/>
    <w:rsid w:val="006C2787"/>
    <w:rsid w:val="006C48D0"/>
    <w:rsid w:val="006C4D69"/>
    <w:rsid w:val="006C4D8F"/>
    <w:rsid w:val="006C5A4D"/>
    <w:rsid w:val="006C68E7"/>
    <w:rsid w:val="006C6D07"/>
    <w:rsid w:val="006C7814"/>
    <w:rsid w:val="006C7B54"/>
    <w:rsid w:val="006C7ECF"/>
    <w:rsid w:val="006D04C5"/>
    <w:rsid w:val="006D07C7"/>
    <w:rsid w:val="006D0B27"/>
    <w:rsid w:val="006D21AD"/>
    <w:rsid w:val="006D23E6"/>
    <w:rsid w:val="006D2445"/>
    <w:rsid w:val="006D29C3"/>
    <w:rsid w:val="006D3041"/>
    <w:rsid w:val="006D34E1"/>
    <w:rsid w:val="006D3911"/>
    <w:rsid w:val="006D3F1C"/>
    <w:rsid w:val="006D3F4C"/>
    <w:rsid w:val="006D4748"/>
    <w:rsid w:val="006D48FD"/>
    <w:rsid w:val="006D51F4"/>
    <w:rsid w:val="006D593C"/>
    <w:rsid w:val="006D5E85"/>
    <w:rsid w:val="006D5FF2"/>
    <w:rsid w:val="006D6F31"/>
    <w:rsid w:val="006D7AFC"/>
    <w:rsid w:val="006E131B"/>
    <w:rsid w:val="006E18F4"/>
    <w:rsid w:val="006E1923"/>
    <w:rsid w:val="006E29AA"/>
    <w:rsid w:val="006E3553"/>
    <w:rsid w:val="006E39D7"/>
    <w:rsid w:val="006E4F69"/>
    <w:rsid w:val="006E526E"/>
    <w:rsid w:val="006E683D"/>
    <w:rsid w:val="006E72F6"/>
    <w:rsid w:val="006E74DE"/>
    <w:rsid w:val="006E7C9C"/>
    <w:rsid w:val="006F0113"/>
    <w:rsid w:val="006F0520"/>
    <w:rsid w:val="006F05BA"/>
    <w:rsid w:val="006F0BB9"/>
    <w:rsid w:val="006F14FC"/>
    <w:rsid w:val="006F2CA9"/>
    <w:rsid w:val="006F3675"/>
    <w:rsid w:val="006F4066"/>
    <w:rsid w:val="006F449B"/>
    <w:rsid w:val="006F4BD8"/>
    <w:rsid w:val="006F52AA"/>
    <w:rsid w:val="006F67AB"/>
    <w:rsid w:val="006F6B1C"/>
    <w:rsid w:val="006F7155"/>
    <w:rsid w:val="00700BEE"/>
    <w:rsid w:val="007014E9"/>
    <w:rsid w:val="0070154E"/>
    <w:rsid w:val="0070287C"/>
    <w:rsid w:val="0070290C"/>
    <w:rsid w:val="00703BB8"/>
    <w:rsid w:val="00703CB0"/>
    <w:rsid w:val="00703DB4"/>
    <w:rsid w:val="007046D4"/>
    <w:rsid w:val="00704B56"/>
    <w:rsid w:val="0070585C"/>
    <w:rsid w:val="00705BFF"/>
    <w:rsid w:val="00705E88"/>
    <w:rsid w:val="007069FE"/>
    <w:rsid w:val="00706FB2"/>
    <w:rsid w:val="00707275"/>
    <w:rsid w:val="007075E0"/>
    <w:rsid w:val="00710BE4"/>
    <w:rsid w:val="00710FD5"/>
    <w:rsid w:val="00711171"/>
    <w:rsid w:val="00711D39"/>
    <w:rsid w:val="00712087"/>
    <w:rsid w:val="00713750"/>
    <w:rsid w:val="007137DB"/>
    <w:rsid w:val="00713B7E"/>
    <w:rsid w:val="00713D90"/>
    <w:rsid w:val="00714007"/>
    <w:rsid w:val="00715D9B"/>
    <w:rsid w:val="00716105"/>
    <w:rsid w:val="007163DC"/>
    <w:rsid w:val="0071784A"/>
    <w:rsid w:val="007203B7"/>
    <w:rsid w:val="007203ED"/>
    <w:rsid w:val="00720593"/>
    <w:rsid w:val="0072083F"/>
    <w:rsid w:val="007217A2"/>
    <w:rsid w:val="007217D4"/>
    <w:rsid w:val="00721839"/>
    <w:rsid w:val="007218FF"/>
    <w:rsid w:val="0072336F"/>
    <w:rsid w:val="007241D6"/>
    <w:rsid w:val="00724AF6"/>
    <w:rsid w:val="00724DAF"/>
    <w:rsid w:val="007256FD"/>
    <w:rsid w:val="00725D6B"/>
    <w:rsid w:val="007265CF"/>
    <w:rsid w:val="007269BA"/>
    <w:rsid w:val="00726C1F"/>
    <w:rsid w:val="00726CF7"/>
    <w:rsid w:val="0072763E"/>
    <w:rsid w:val="00727721"/>
    <w:rsid w:val="0073089A"/>
    <w:rsid w:val="00730BE3"/>
    <w:rsid w:val="007311B5"/>
    <w:rsid w:val="00731991"/>
    <w:rsid w:val="00731B9F"/>
    <w:rsid w:val="00732D33"/>
    <w:rsid w:val="00733637"/>
    <w:rsid w:val="00734389"/>
    <w:rsid w:val="007344B8"/>
    <w:rsid w:val="00735487"/>
    <w:rsid w:val="00735C4B"/>
    <w:rsid w:val="00736224"/>
    <w:rsid w:val="0073660E"/>
    <w:rsid w:val="0073753F"/>
    <w:rsid w:val="00741F5D"/>
    <w:rsid w:val="007420B2"/>
    <w:rsid w:val="00742D76"/>
    <w:rsid w:val="00743343"/>
    <w:rsid w:val="007448AD"/>
    <w:rsid w:val="00744E0E"/>
    <w:rsid w:val="007450E7"/>
    <w:rsid w:val="007455F6"/>
    <w:rsid w:val="00745A86"/>
    <w:rsid w:val="00746111"/>
    <w:rsid w:val="00747175"/>
    <w:rsid w:val="007471BF"/>
    <w:rsid w:val="00750E92"/>
    <w:rsid w:val="00751FFF"/>
    <w:rsid w:val="00752762"/>
    <w:rsid w:val="00752953"/>
    <w:rsid w:val="00752B14"/>
    <w:rsid w:val="00752C4D"/>
    <w:rsid w:val="00753269"/>
    <w:rsid w:val="007537D4"/>
    <w:rsid w:val="00753C92"/>
    <w:rsid w:val="007543E2"/>
    <w:rsid w:val="007551DA"/>
    <w:rsid w:val="007559D2"/>
    <w:rsid w:val="00755B52"/>
    <w:rsid w:val="00755C65"/>
    <w:rsid w:val="007571B1"/>
    <w:rsid w:val="00757234"/>
    <w:rsid w:val="007579C5"/>
    <w:rsid w:val="007607CC"/>
    <w:rsid w:val="0076133C"/>
    <w:rsid w:val="00761422"/>
    <w:rsid w:val="00761432"/>
    <w:rsid w:val="00761808"/>
    <w:rsid w:val="00761DB8"/>
    <w:rsid w:val="00761F3C"/>
    <w:rsid w:val="0076208C"/>
    <w:rsid w:val="00762ACE"/>
    <w:rsid w:val="00763788"/>
    <w:rsid w:val="00764447"/>
    <w:rsid w:val="007644E8"/>
    <w:rsid w:val="0076468C"/>
    <w:rsid w:val="00764BD8"/>
    <w:rsid w:val="0076567A"/>
    <w:rsid w:val="00766186"/>
    <w:rsid w:val="007663EC"/>
    <w:rsid w:val="00766DBB"/>
    <w:rsid w:val="00766E5A"/>
    <w:rsid w:val="00766ED8"/>
    <w:rsid w:val="0076742A"/>
    <w:rsid w:val="007674B1"/>
    <w:rsid w:val="00767D0F"/>
    <w:rsid w:val="00767E3E"/>
    <w:rsid w:val="007708B1"/>
    <w:rsid w:val="00770AA3"/>
    <w:rsid w:val="00770DF7"/>
    <w:rsid w:val="00771EFF"/>
    <w:rsid w:val="00772B7A"/>
    <w:rsid w:val="00775655"/>
    <w:rsid w:val="00775741"/>
    <w:rsid w:val="0077650B"/>
    <w:rsid w:val="00777B54"/>
    <w:rsid w:val="00780681"/>
    <w:rsid w:val="00780DA2"/>
    <w:rsid w:val="0078196B"/>
    <w:rsid w:val="00781FFC"/>
    <w:rsid w:val="00782225"/>
    <w:rsid w:val="007822A9"/>
    <w:rsid w:val="00784645"/>
    <w:rsid w:val="00784B8A"/>
    <w:rsid w:val="0078531A"/>
    <w:rsid w:val="007857BB"/>
    <w:rsid w:val="00785F10"/>
    <w:rsid w:val="0078625B"/>
    <w:rsid w:val="0078628E"/>
    <w:rsid w:val="007863B5"/>
    <w:rsid w:val="00790180"/>
    <w:rsid w:val="0079020F"/>
    <w:rsid w:val="00791102"/>
    <w:rsid w:val="00791DFE"/>
    <w:rsid w:val="0079377A"/>
    <w:rsid w:val="00793E2E"/>
    <w:rsid w:val="00794700"/>
    <w:rsid w:val="0079531B"/>
    <w:rsid w:val="007955D8"/>
    <w:rsid w:val="00796A23"/>
    <w:rsid w:val="00796BB2"/>
    <w:rsid w:val="00797B74"/>
    <w:rsid w:val="007A08F8"/>
    <w:rsid w:val="007A17EB"/>
    <w:rsid w:val="007A243F"/>
    <w:rsid w:val="007A2880"/>
    <w:rsid w:val="007A2881"/>
    <w:rsid w:val="007A2D30"/>
    <w:rsid w:val="007A3A14"/>
    <w:rsid w:val="007A412D"/>
    <w:rsid w:val="007A4380"/>
    <w:rsid w:val="007A4526"/>
    <w:rsid w:val="007A456E"/>
    <w:rsid w:val="007A52E6"/>
    <w:rsid w:val="007A532B"/>
    <w:rsid w:val="007A58A1"/>
    <w:rsid w:val="007A66CA"/>
    <w:rsid w:val="007A6DE3"/>
    <w:rsid w:val="007A6F6E"/>
    <w:rsid w:val="007A74C9"/>
    <w:rsid w:val="007B01B8"/>
    <w:rsid w:val="007B1807"/>
    <w:rsid w:val="007B1C6A"/>
    <w:rsid w:val="007B1EA5"/>
    <w:rsid w:val="007B2532"/>
    <w:rsid w:val="007B2922"/>
    <w:rsid w:val="007B29E4"/>
    <w:rsid w:val="007B2A84"/>
    <w:rsid w:val="007B36B3"/>
    <w:rsid w:val="007B464C"/>
    <w:rsid w:val="007B49C7"/>
    <w:rsid w:val="007B49EC"/>
    <w:rsid w:val="007B5D75"/>
    <w:rsid w:val="007B64A7"/>
    <w:rsid w:val="007B76D9"/>
    <w:rsid w:val="007B77B5"/>
    <w:rsid w:val="007C00EF"/>
    <w:rsid w:val="007C0214"/>
    <w:rsid w:val="007C2101"/>
    <w:rsid w:val="007C2116"/>
    <w:rsid w:val="007C2412"/>
    <w:rsid w:val="007C2E02"/>
    <w:rsid w:val="007C32EF"/>
    <w:rsid w:val="007C3B30"/>
    <w:rsid w:val="007C3CB2"/>
    <w:rsid w:val="007C4AC6"/>
    <w:rsid w:val="007C5AAE"/>
    <w:rsid w:val="007C608A"/>
    <w:rsid w:val="007C7106"/>
    <w:rsid w:val="007D0A4F"/>
    <w:rsid w:val="007D1EFB"/>
    <w:rsid w:val="007D2828"/>
    <w:rsid w:val="007D4F25"/>
    <w:rsid w:val="007D5910"/>
    <w:rsid w:val="007D5EEF"/>
    <w:rsid w:val="007D6F57"/>
    <w:rsid w:val="007D723C"/>
    <w:rsid w:val="007D72E6"/>
    <w:rsid w:val="007D77D7"/>
    <w:rsid w:val="007E0253"/>
    <w:rsid w:val="007E0512"/>
    <w:rsid w:val="007E0E2A"/>
    <w:rsid w:val="007E0E8E"/>
    <w:rsid w:val="007E0F55"/>
    <w:rsid w:val="007E15C3"/>
    <w:rsid w:val="007E21A6"/>
    <w:rsid w:val="007E2330"/>
    <w:rsid w:val="007E2922"/>
    <w:rsid w:val="007E4645"/>
    <w:rsid w:val="007E4863"/>
    <w:rsid w:val="007E62AC"/>
    <w:rsid w:val="007E650B"/>
    <w:rsid w:val="007E7F3C"/>
    <w:rsid w:val="007F0233"/>
    <w:rsid w:val="007F0A6E"/>
    <w:rsid w:val="007F19B4"/>
    <w:rsid w:val="007F1AF9"/>
    <w:rsid w:val="007F23B8"/>
    <w:rsid w:val="007F36ED"/>
    <w:rsid w:val="007F4381"/>
    <w:rsid w:val="007F47B7"/>
    <w:rsid w:val="007F4830"/>
    <w:rsid w:val="007F5252"/>
    <w:rsid w:val="007F56C6"/>
    <w:rsid w:val="0080063D"/>
    <w:rsid w:val="008017AC"/>
    <w:rsid w:val="008024E1"/>
    <w:rsid w:val="00802705"/>
    <w:rsid w:val="0080339A"/>
    <w:rsid w:val="0080339E"/>
    <w:rsid w:val="00803489"/>
    <w:rsid w:val="00803EE2"/>
    <w:rsid w:val="00804AF3"/>
    <w:rsid w:val="00804C2E"/>
    <w:rsid w:val="00804E03"/>
    <w:rsid w:val="00805398"/>
    <w:rsid w:val="00805C28"/>
    <w:rsid w:val="0080632B"/>
    <w:rsid w:val="00806529"/>
    <w:rsid w:val="00806DB7"/>
    <w:rsid w:val="00807089"/>
    <w:rsid w:val="008074EC"/>
    <w:rsid w:val="00807643"/>
    <w:rsid w:val="00807667"/>
    <w:rsid w:val="00810318"/>
    <w:rsid w:val="00810E38"/>
    <w:rsid w:val="00811C00"/>
    <w:rsid w:val="00811FD5"/>
    <w:rsid w:val="008121F3"/>
    <w:rsid w:val="00812D94"/>
    <w:rsid w:val="00812E1D"/>
    <w:rsid w:val="0081361F"/>
    <w:rsid w:val="00813681"/>
    <w:rsid w:val="008137FE"/>
    <w:rsid w:val="00813D2F"/>
    <w:rsid w:val="008149CA"/>
    <w:rsid w:val="00814B74"/>
    <w:rsid w:val="008157FB"/>
    <w:rsid w:val="00816B62"/>
    <w:rsid w:val="00821209"/>
    <w:rsid w:val="008213BB"/>
    <w:rsid w:val="00821FCB"/>
    <w:rsid w:val="008224AA"/>
    <w:rsid w:val="008225C0"/>
    <w:rsid w:val="00822971"/>
    <w:rsid w:val="008234DB"/>
    <w:rsid w:val="0082642B"/>
    <w:rsid w:val="00826A98"/>
    <w:rsid w:val="00826FD6"/>
    <w:rsid w:val="00827A05"/>
    <w:rsid w:val="00830C20"/>
    <w:rsid w:val="00830E17"/>
    <w:rsid w:val="008316D2"/>
    <w:rsid w:val="00831889"/>
    <w:rsid w:val="00832058"/>
    <w:rsid w:val="008321D9"/>
    <w:rsid w:val="00832550"/>
    <w:rsid w:val="008336B9"/>
    <w:rsid w:val="0083383C"/>
    <w:rsid w:val="00835AC9"/>
    <w:rsid w:val="00835AD3"/>
    <w:rsid w:val="00835E76"/>
    <w:rsid w:val="00836995"/>
    <w:rsid w:val="008376D0"/>
    <w:rsid w:val="008379E8"/>
    <w:rsid w:val="0084175C"/>
    <w:rsid w:val="00841DEA"/>
    <w:rsid w:val="00843285"/>
    <w:rsid w:val="008450EC"/>
    <w:rsid w:val="008460C6"/>
    <w:rsid w:val="008463DC"/>
    <w:rsid w:val="00846969"/>
    <w:rsid w:val="00846E6F"/>
    <w:rsid w:val="008474CE"/>
    <w:rsid w:val="00847885"/>
    <w:rsid w:val="008505A3"/>
    <w:rsid w:val="00850BA8"/>
    <w:rsid w:val="00850D00"/>
    <w:rsid w:val="00850D13"/>
    <w:rsid w:val="0085148F"/>
    <w:rsid w:val="00851C2B"/>
    <w:rsid w:val="0085259C"/>
    <w:rsid w:val="00852D97"/>
    <w:rsid w:val="008531A3"/>
    <w:rsid w:val="0085353C"/>
    <w:rsid w:val="0085372C"/>
    <w:rsid w:val="00854C57"/>
    <w:rsid w:val="00855161"/>
    <w:rsid w:val="008559F7"/>
    <w:rsid w:val="00857486"/>
    <w:rsid w:val="00857843"/>
    <w:rsid w:val="00860441"/>
    <w:rsid w:val="0086084F"/>
    <w:rsid w:val="00860BDB"/>
    <w:rsid w:val="00860F25"/>
    <w:rsid w:val="0086150F"/>
    <w:rsid w:val="00861EAA"/>
    <w:rsid w:val="0086368F"/>
    <w:rsid w:val="00864894"/>
    <w:rsid w:val="008649F4"/>
    <w:rsid w:val="00865557"/>
    <w:rsid w:val="0086612E"/>
    <w:rsid w:val="00866212"/>
    <w:rsid w:val="00866331"/>
    <w:rsid w:val="0086660A"/>
    <w:rsid w:val="00867133"/>
    <w:rsid w:val="008673C6"/>
    <w:rsid w:val="008705A3"/>
    <w:rsid w:val="00871CC1"/>
    <w:rsid w:val="00872201"/>
    <w:rsid w:val="00872AC4"/>
    <w:rsid w:val="00872D95"/>
    <w:rsid w:val="00873832"/>
    <w:rsid w:val="0087447F"/>
    <w:rsid w:val="00874755"/>
    <w:rsid w:val="0087487F"/>
    <w:rsid w:val="00874CA1"/>
    <w:rsid w:val="00875286"/>
    <w:rsid w:val="008803A9"/>
    <w:rsid w:val="008819D1"/>
    <w:rsid w:val="00881F19"/>
    <w:rsid w:val="008822E9"/>
    <w:rsid w:val="0088242F"/>
    <w:rsid w:val="00883505"/>
    <w:rsid w:val="0088357C"/>
    <w:rsid w:val="00883D5E"/>
    <w:rsid w:val="0088478D"/>
    <w:rsid w:val="0088487C"/>
    <w:rsid w:val="00885BA5"/>
    <w:rsid w:val="00886595"/>
    <w:rsid w:val="008877D5"/>
    <w:rsid w:val="0089133B"/>
    <w:rsid w:val="00891DA6"/>
    <w:rsid w:val="00892327"/>
    <w:rsid w:val="0089245E"/>
    <w:rsid w:val="00892B19"/>
    <w:rsid w:val="00893371"/>
    <w:rsid w:val="008938D8"/>
    <w:rsid w:val="00893B99"/>
    <w:rsid w:val="008945BF"/>
    <w:rsid w:val="0089596C"/>
    <w:rsid w:val="00895BD0"/>
    <w:rsid w:val="00896A15"/>
    <w:rsid w:val="00897A9F"/>
    <w:rsid w:val="00897E3C"/>
    <w:rsid w:val="00897EA9"/>
    <w:rsid w:val="008A1763"/>
    <w:rsid w:val="008A25B5"/>
    <w:rsid w:val="008A29D3"/>
    <w:rsid w:val="008A43F5"/>
    <w:rsid w:val="008A4D8E"/>
    <w:rsid w:val="008A4EC6"/>
    <w:rsid w:val="008A4F71"/>
    <w:rsid w:val="008A559E"/>
    <w:rsid w:val="008A57E3"/>
    <w:rsid w:val="008A5B30"/>
    <w:rsid w:val="008A61F5"/>
    <w:rsid w:val="008A635D"/>
    <w:rsid w:val="008A68C2"/>
    <w:rsid w:val="008A6A56"/>
    <w:rsid w:val="008A7382"/>
    <w:rsid w:val="008B0360"/>
    <w:rsid w:val="008B0A28"/>
    <w:rsid w:val="008B0C2D"/>
    <w:rsid w:val="008B1427"/>
    <w:rsid w:val="008B1D89"/>
    <w:rsid w:val="008B290A"/>
    <w:rsid w:val="008B2992"/>
    <w:rsid w:val="008B2AE0"/>
    <w:rsid w:val="008B340E"/>
    <w:rsid w:val="008B3762"/>
    <w:rsid w:val="008B37E1"/>
    <w:rsid w:val="008B3F51"/>
    <w:rsid w:val="008B3FCA"/>
    <w:rsid w:val="008B509E"/>
    <w:rsid w:val="008B5537"/>
    <w:rsid w:val="008B5814"/>
    <w:rsid w:val="008B5E29"/>
    <w:rsid w:val="008B60F4"/>
    <w:rsid w:val="008B710C"/>
    <w:rsid w:val="008B7D79"/>
    <w:rsid w:val="008B7D99"/>
    <w:rsid w:val="008C02F1"/>
    <w:rsid w:val="008C05BA"/>
    <w:rsid w:val="008C06D3"/>
    <w:rsid w:val="008C0D42"/>
    <w:rsid w:val="008C0E14"/>
    <w:rsid w:val="008C24C2"/>
    <w:rsid w:val="008C26D5"/>
    <w:rsid w:val="008C2E57"/>
    <w:rsid w:val="008C46D3"/>
    <w:rsid w:val="008C5183"/>
    <w:rsid w:val="008C5194"/>
    <w:rsid w:val="008C5707"/>
    <w:rsid w:val="008C6138"/>
    <w:rsid w:val="008C633E"/>
    <w:rsid w:val="008C6E79"/>
    <w:rsid w:val="008C784B"/>
    <w:rsid w:val="008D00C7"/>
    <w:rsid w:val="008D012D"/>
    <w:rsid w:val="008D0568"/>
    <w:rsid w:val="008D0C4E"/>
    <w:rsid w:val="008D14CE"/>
    <w:rsid w:val="008D182C"/>
    <w:rsid w:val="008D3439"/>
    <w:rsid w:val="008D5DDE"/>
    <w:rsid w:val="008D6859"/>
    <w:rsid w:val="008D6DA3"/>
    <w:rsid w:val="008D71B9"/>
    <w:rsid w:val="008E10CA"/>
    <w:rsid w:val="008E23F9"/>
    <w:rsid w:val="008E25B0"/>
    <w:rsid w:val="008E2B5C"/>
    <w:rsid w:val="008E31EF"/>
    <w:rsid w:val="008E3622"/>
    <w:rsid w:val="008E3753"/>
    <w:rsid w:val="008E3B94"/>
    <w:rsid w:val="008E4AB8"/>
    <w:rsid w:val="008E4E1C"/>
    <w:rsid w:val="008E50E0"/>
    <w:rsid w:val="008E5F07"/>
    <w:rsid w:val="008E61AE"/>
    <w:rsid w:val="008E6433"/>
    <w:rsid w:val="008E6B8E"/>
    <w:rsid w:val="008E7025"/>
    <w:rsid w:val="008E7274"/>
    <w:rsid w:val="008E738D"/>
    <w:rsid w:val="008E765D"/>
    <w:rsid w:val="008E7836"/>
    <w:rsid w:val="008F1038"/>
    <w:rsid w:val="008F11A3"/>
    <w:rsid w:val="008F1462"/>
    <w:rsid w:val="008F22F5"/>
    <w:rsid w:val="008F2508"/>
    <w:rsid w:val="008F2889"/>
    <w:rsid w:val="008F2EFD"/>
    <w:rsid w:val="008F350F"/>
    <w:rsid w:val="008F4107"/>
    <w:rsid w:val="008F436C"/>
    <w:rsid w:val="008F520F"/>
    <w:rsid w:val="008F75BB"/>
    <w:rsid w:val="009009FB"/>
    <w:rsid w:val="0090140B"/>
    <w:rsid w:val="009019F9"/>
    <w:rsid w:val="009022D6"/>
    <w:rsid w:val="009029FD"/>
    <w:rsid w:val="009030A6"/>
    <w:rsid w:val="0090327B"/>
    <w:rsid w:val="0090398E"/>
    <w:rsid w:val="009040A9"/>
    <w:rsid w:val="00904CC5"/>
    <w:rsid w:val="009053F2"/>
    <w:rsid w:val="00905601"/>
    <w:rsid w:val="009069A0"/>
    <w:rsid w:val="00906DF3"/>
    <w:rsid w:val="0090706D"/>
    <w:rsid w:val="009071B1"/>
    <w:rsid w:val="00907CCD"/>
    <w:rsid w:val="00910F12"/>
    <w:rsid w:val="00911003"/>
    <w:rsid w:val="00911252"/>
    <w:rsid w:val="00911367"/>
    <w:rsid w:val="009121DC"/>
    <w:rsid w:val="0091274F"/>
    <w:rsid w:val="009133D4"/>
    <w:rsid w:val="00913917"/>
    <w:rsid w:val="00913A1E"/>
    <w:rsid w:val="009146A1"/>
    <w:rsid w:val="00920D49"/>
    <w:rsid w:val="009212EA"/>
    <w:rsid w:val="0092141B"/>
    <w:rsid w:val="00921621"/>
    <w:rsid w:val="009217F6"/>
    <w:rsid w:val="00921D84"/>
    <w:rsid w:val="0092203B"/>
    <w:rsid w:val="00922841"/>
    <w:rsid w:val="00923E18"/>
    <w:rsid w:val="00924686"/>
    <w:rsid w:val="00924A31"/>
    <w:rsid w:val="00926231"/>
    <w:rsid w:val="00926BC4"/>
    <w:rsid w:val="00926DE3"/>
    <w:rsid w:val="009301CE"/>
    <w:rsid w:val="0093051A"/>
    <w:rsid w:val="00930703"/>
    <w:rsid w:val="009307E9"/>
    <w:rsid w:val="00930843"/>
    <w:rsid w:val="00930E1E"/>
    <w:rsid w:val="00931D1B"/>
    <w:rsid w:val="00931E15"/>
    <w:rsid w:val="00931F3A"/>
    <w:rsid w:val="00931F3B"/>
    <w:rsid w:val="00932196"/>
    <w:rsid w:val="009322A0"/>
    <w:rsid w:val="00932343"/>
    <w:rsid w:val="00932357"/>
    <w:rsid w:val="009327A3"/>
    <w:rsid w:val="0093354E"/>
    <w:rsid w:val="009340D2"/>
    <w:rsid w:val="00934230"/>
    <w:rsid w:val="00935AE7"/>
    <w:rsid w:val="00935D24"/>
    <w:rsid w:val="00936476"/>
    <w:rsid w:val="009369A4"/>
    <w:rsid w:val="00937E37"/>
    <w:rsid w:val="0094040D"/>
    <w:rsid w:val="00940930"/>
    <w:rsid w:val="00940CA8"/>
    <w:rsid w:val="00940E3D"/>
    <w:rsid w:val="00941EAB"/>
    <w:rsid w:val="00942076"/>
    <w:rsid w:val="0094298F"/>
    <w:rsid w:val="00943074"/>
    <w:rsid w:val="0094314A"/>
    <w:rsid w:val="00946710"/>
    <w:rsid w:val="009468AB"/>
    <w:rsid w:val="00947AD9"/>
    <w:rsid w:val="00950216"/>
    <w:rsid w:val="009505E6"/>
    <w:rsid w:val="00950660"/>
    <w:rsid w:val="0095189D"/>
    <w:rsid w:val="00951E89"/>
    <w:rsid w:val="00952C7C"/>
    <w:rsid w:val="0095339D"/>
    <w:rsid w:val="009533F2"/>
    <w:rsid w:val="00953E7A"/>
    <w:rsid w:val="00954079"/>
    <w:rsid w:val="00954DFE"/>
    <w:rsid w:val="0095557C"/>
    <w:rsid w:val="00955AB8"/>
    <w:rsid w:val="009565A2"/>
    <w:rsid w:val="009567CA"/>
    <w:rsid w:val="009568FB"/>
    <w:rsid w:val="009571FA"/>
    <w:rsid w:val="0095733C"/>
    <w:rsid w:val="00957AD8"/>
    <w:rsid w:val="00957CCE"/>
    <w:rsid w:val="009606A9"/>
    <w:rsid w:val="00961657"/>
    <w:rsid w:val="0096179D"/>
    <w:rsid w:val="00961A46"/>
    <w:rsid w:val="0096253F"/>
    <w:rsid w:val="00962685"/>
    <w:rsid w:val="00962D09"/>
    <w:rsid w:val="00963032"/>
    <w:rsid w:val="009641B4"/>
    <w:rsid w:val="00964C53"/>
    <w:rsid w:val="00964F5E"/>
    <w:rsid w:val="00965BC0"/>
    <w:rsid w:val="00965DC5"/>
    <w:rsid w:val="0097006A"/>
    <w:rsid w:val="009707A6"/>
    <w:rsid w:val="00970971"/>
    <w:rsid w:val="009709AB"/>
    <w:rsid w:val="00970AF2"/>
    <w:rsid w:val="009711B9"/>
    <w:rsid w:val="00971277"/>
    <w:rsid w:val="00971593"/>
    <w:rsid w:val="00971FC7"/>
    <w:rsid w:val="009736C0"/>
    <w:rsid w:val="00973A11"/>
    <w:rsid w:val="00973D3A"/>
    <w:rsid w:val="00974AE0"/>
    <w:rsid w:val="00974E39"/>
    <w:rsid w:val="009768B2"/>
    <w:rsid w:val="00976C18"/>
    <w:rsid w:val="0097716A"/>
    <w:rsid w:val="0097733A"/>
    <w:rsid w:val="00977769"/>
    <w:rsid w:val="009777AD"/>
    <w:rsid w:val="00980B04"/>
    <w:rsid w:val="00980DFD"/>
    <w:rsid w:val="00980EF4"/>
    <w:rsid w:val="00981503"/>
    <w:rsid w:val="009823AD"/>
    <w:rsid w:val="009841A5"/>
    <w:rsid w:val="009848F6"/>
    <w:rsid w:val="00984B2B"/>
    <w:rsid w:val="00984E8D"/>
    <w:rsid w:val="0098543C"/>
    <w:rsid w:val="0098582B"/>
    <w:rsid w:val="009861EB"/>
    <w:rsid w:val="009863BB"/>
    <w:rsid w:val="009866B2"/>
    <w:rsid w:val="00987A24"/>
    <w:rsid w:val="00987A55"/>
    <w:rsid w:val="00990313"/>
    <w:rsid w:val="009903B4"/>
    <w:rsid w:val="00990484"/>
    <w:rsid w:val="0099081A"/>
    <w:rsid w:val="00990B39"/>
    <w:rsid w:val="00990F77"/>
    <w:rsid w:val="0099105F"/>
    <w:rsid w:val="0099127C"/>
    <w:rsid w:val="00991521"/>
    <w:rsid w:val="00991B5C"/>
    <w:rsid w:val="00991BA4"/>
    <w:rsid w:val="00992A58"/>
    <w:rsid w:val="00992DC4"/>
    <w:rsid w:val="0099312B"/>
    <w:rsid w:val="00993A61"/>
    <w:rsid w:val="009942CF"/>
    <w:rsid w:val="009946E4"/>
    <w:rsid w:val="00994843"/>
    <w:rsid w:val="00995B69"/>
    <w:rsid w:val="00995F0E"/>
    <w:rsid w:val="00996447"/>
    <w:rsid w:val="009969C7"/>
    <w:rsid w:val="00996D7A"/>
    <w:rsid w:val="00997619"/>
    <w:rsid w:val="00997E22"/>
    <w:rsid w:val="00997F54"/>
    <w:rsid w:val="009A0050"/>
    <w:rsid w:val="009A05B3"/>
    <w:rsid w:val="009A0E54"/>
    <w:rsid w:val="009A1317"/>
    <w:rsid w:val="009A214A"/>
    <w:rsid w:val="009A22E1"/>
    <w:rsid w:val="009A22F7"/>
    <w:rsid w:val="009A23D0"/>
    <w:rsid w:val="009A38FE"/>
    <w:rsid w:val="009A3A2B"/>
    <w:rsid w:val="009A6546"/>
    <w:rsid w:val="009A6EFF"/>
    <w:rsid w:val="009A7A7C"/>
    <w:rsid w:val="009B04E1"/>
    <w:rsid w:val="009B07E4"/>
    <w:rsid w:val="009B0BD4"/>
    <w:rsid w:val="009B1271"/>
    <w:rsid w:val="009B1407"/>
    <w:rsid w:val="009B2198"/>
    <w:rsid w:val="009B22A6"/>
    <w:rsid w:val="009B2535"/>
    <w:rsid w:val="009B2A7A"/>
    <w:rsid w:val="009B35E5"/>
    <w:rsid w:val="009B3698"/>
    <w:rsid w:val="009B3BC8"/>
    <w:rsid w:val="009B3BCE"/>
    <w:rsid w:val="009B4675"/>
    <w:rsid w:val="009B48B2"/>
    <w:rsid w:val="009B4B88"/>
    <w:rsid w:val="009B5338"/>
    <w:rsid w:val="009B5D0D"/>
    <w:rsid w:val="009B60A2"/>
    <w:rsid w:val="009B62C0"/>
    <w:rsid w:val="009B6A34"/>
    <w:rsid w:val="009B7022"/>
    <w:rsid w:val="009B7D22"/>
    <w:rsid w:val="009C07CA"/>
    <w:rsid w:val="009C1486"/>
    <w:rsid w:val="009C1AD0"/>
    <w:rsid w:val="009C2E05"/>
    <w:rsid w:val="009C3432"/>
    <w:rsid w:val="009C4084"/>
    <w:rsid w:val="009C4AE9"/>
    <w:rsid w:val="009C5913"/>
    <w:rsid w:val="009C5C90"/>
    <w:rsid w:val="009C5EB1"/>
    <w:rsid w:val="009C6D9C"/>
    <w:rsid w:val="009C7A88"/>
    <w:rsid w:val="009D03FE"/>
    <w:rsid w:val="009D0907"/>
    <w:rsid w:val="009D0C6A"/>
    <w:rsid w:val="009D1A71"/>
    <w:rsid w:val="009D21B2"/>
    <w:rsid w:val="009D2A47"/>
    <w:rsid w:val="009D2BF2"/>
    <w:rsid w:val="009D2CB6"/>
    <w:rsid w:val="009D2CDA"/>
    <w:rsid w:val="009D5EBE"/>
    <w:rsid w:val="009D682B"/>
    <w:rsid w:val="009D6909"/>
    <w:rsid w:val="009D6E0D"/>
    <w:rsid w:val="009D7056"/>
    <w:rsid w:val="009D7655"/>
    <w:rsid w:val="009E04E4"/>
    <w:rsid w:val="009E07E2"/>
    <w:rsid w:val="009E0C1F"/>
    <w:rsid w:val="009E1005"/>
    <w:rsid w:val="009E1B26"/>
    <w:rsid w:val="009E1EC0"/>
    <w:rsid w:val="009E1F93"/>
    <w:rsid w:val="009E221E"/>
    <w:rsid w:val="009E2717"/>
    <w:rsid w:val="009E27B1"/>
    <w:rsid w:val="009E2B70"/>
    <w:rsid w:val="009E2CDC"/>
    <w:rsid w:val="009E3166"/>
    <w:rsid w:val="009E3BAB"/>
    <w:rsid w:val="009E4D4E"/>
    <w:rsid w:val="009E4E0C"/>
    <w:rsid w:val="009E530E"/>
    <w:rsid w:val="009E5A51"/>
    <w:rsid w:val="009E639C"/>
    <w:rsid w:val="009E6657"/>
    <w:rsid w:val="009E6B30"/>
    <w:rsid w:val="009E7DD3"/>
    <w:rsid w:val="009F0205"/>
    <w:rsid w:val="009F0404"/>
    <w:rsid w:val="009F19FB"/>
    <w:rsid w:val="009F1D21"/>
    <w:rsid w:val="009F1F47"/>
    <w:rsid w:val="009F2AC1"/>
    <w:rsid w:val="009F4205"/>
    <w:rsid w:val="009F470A"/>
    <w:rsid w:val="009F562F"/>
    <w:rsid w:val="009F6294"/>
    <w:rsid w:val="009F6FB0"/>
    <w:rsid w:val="009F77AF"/>
    <w:rsid w:val="009F7822"/>
    <w:rsid w:val="00A00D9E"/>
    <w:rsid w:val="00A01958"/>
    <w:rsid w:val="00A037EA"/>
    <w:rsid w:val="00A04948"/>
    <w:rsid w:val="00A053A3"/>
    <w:rsid w:val="00A05790"/>
    <w:rsid w:val="00A05806"/>
    <w:rsid w:val="00A05B94"/>
    <w:rsid w:val="00A0719C"/>
    <w:rsid w:val="00A07466"/>
    <w:rsid w:val="00A100DD"/>
    <w:rsid w:val="00A112D9"/>
    <w:rsid w:val="00A1137A"/>
    <w:rsid w:val="00A114C1"/>
    <w:rsid w:val="00A11BBC"/>
    <w:rsid w:val="00A13350"/>
    <w:rsid w:val="00A139CB"/>
    <w:rsid w:val="00A13F84"/>
    <w:rsid w:val="00A14EFD"/>
    <w:rsid w:val="00A1503A"/>
    <w:rsid w:val="00A15E3D"/>
    <w:rsid w:val="00A16013"/>
    <w:rsid w:val="00A16489"/>
    <w:rsid w:val="00A16748"/>
    <w:rsid w:val="00A1736C"/>
    <w:rsid w:val="00A17842"/>
    <w:rsid w:val="00A2081A"/>
    <w:rsid w:val="00A20BCD"/>
    <w:rsid w:val="00A20D31"/>
    <w:rsid w:val="00A20D76"/>
    <w:rsid w:val="00A20E19"/>
    <w:rsid w:val="00A21518"/>
    <w:rsid w:val="00A21D9A"/>
    <w:rsid w:val="00A22088"/>
    <w:rsid w:val="00A22B24"/>
    <w:rsid w:val="00A22ECF"/>
    <w:rsid w:val="00A231AC"/>
    <w:rsid w:val="00A2378E"/>
    <w:rsid w:val="00A2389A"/>
    <w:rsid w:val="00A23911"/>
    <w:rsid w:val="00A23C67"/>
    <w:rsid w:val="00A23C97"/>
    <w:rsid w:val="00A24C2D"/>
    <w:rsid w:val="00A258DF"/>
    <w:rsid w:val="00A25E64"/>
    <w:rsid w:val="00A268AC"/>
    <w:rsid w:val="00A278FF"/>
    <w:rsid w:val="00A304C9"/>
    <w:rsid w:val="00A30C27"/>
    <w:rsid w:val="00A30D0C"/>
    <w:rsid w:val="00A312DE"/>
    <w:rsid w:val="00A31849"/>
    <w:rsid w:val="00A31C8B"/>
    <w:rsid w:val="00A31FE0"/>
    <w:rsid w:val="00A32424"/>
    <w:rsid w:val="00A32C8C"/>
    <w:rsid w:val="00A331FE"/>
    <w:rsid w:val="00A349CB"/>
    <w:rsid w:val="00A34EEA"/>
    <w:rsid w:val="00A36A7C"/>
    <w:rsid w:val="00A373F7"/>
    <w:rsid w:val="00A408FE"/>
    <w:rsid w:val="00A412CF"/>
    <w:rsid w:val="00A423E9"/>
    <w:rsid w:val="00A429A5"/>
    <w:rsid w:val="00A43680"/>
    <w:rsid w:val="00A43C1E"/>
    <w:rsid w:val="00A44B3B"/>
    <w:rsid w:val="00A44C2D"/>
    <w:rsid w:val="00A44D31"/>
    <w:rsid w:val="00A45392"/>
    <w:rsid w:val="00A4564B"/>
    <w:rsid w:val="00A46243"/>
    <w:rsid w:val="00A46A7A"/>
    <w:rsid w:val="00A46FC7"/>
    <w:rsid w:val="00A47A85"/>
    <w:rsid w:val="00A47B5D"/>
    <w:rsid w:val="00A5002E"/>
    <w:rsid w:val="00A50E20"/>
    <w:rsid w:val="00A50ECD"/>
    <w:rsid w:val="00A51D0C"/>
    <w:rsid w:val="00A520D4"/>
    <w:rsid w:val="00A53192"/>
    <w:rsid w:val="00A535F5"/>
    <w:rsid w:val="00A53877"/>
    <w:rsid w:val="00A53CCC"/>
    <w:rsid w:val="00A53D96"/>
    <w:rsid w:val="00A54668"/>
    <w:rsid w:val="00A554A8"/>
    <w:rsid w:val="00A55C00"/>
    <w:rsid w:val="00A561F3"/>
    <w:rsid w:val="00A563FD"/>
    <w:rsid w:val="00A567B5"/>
    <w:rsid w:val="00A567DA"/>
    <w:rsid w:val="00A568B8"/>
    <w:rsid w:val="00A56EED"/>
    <w:rsid w:val="00A57BEC"/>
    <w:rsid w:val="00A604BF"/>
    <w:rsid w:val="00A606DD"/>
    <w:rsid w:val="00A609E3"/>
    <w:rsid w:val="00A60DB0"/>
    <w:rsid w:val="00A613F8"/>
    <w:rsid w:val="00A61752"/>
    <w:rsid w:val="00A6287E"/>
    <w:rsid w:val="00A62912"/>
    <w:rsid w:val="00A63348"/>
    <w:rsid w:val="00A63C8D"/>
    <w:rsid w:val="00A645BF"/>
    <w:rsid w:val="00A652E3"/>
    <w:rsid w:val="00A65979"/>
    <w:rsid w:val="00A65A3B"/>
    <w:rsid w:val="00A661EF"/>
    <w:rsid w:val="00A66D78"/>
    <w:rsid w:val="00A70E6A"/>
    <w:rsid w:val="00A71114"/>
    <w:rsid w:val="00A711F3"/>
    <w:rsid w:val="00A712AB"/>
    <w:rsid w:val="00A71A59"/>
    <w:rsid w:val="00A72B2C"/>
    <w:rsid w:val="00A73E5E"/>
    <w:rsid w:val="00A74342"/>
    <w:rsid w:val="00A74938"/>
    <w:rsid w:val="00A74A52"/>
    <w:rsid w:val="00A7530E"/>
    <w:rsid w:val="00A75365"/>
    <w:rsid w:val="00A760D7"/>
    <w:rsid w:val="00A7663D"/>
    <w:rsid w:val="00A76749"/>
    <w:rsid w:val="00A76F4A"/>
    <w:rsid w:val="00A774BD"/>
    <w:rsid w:val="00A77598"/>
    <w:rsid w:val="00A80BE5"/>
    <w:rsid w:val="00A81F2F"/>
    <w:rsid w:val="00A82023"/>
    <w:rsid w:val="00A8350E"/>
    <w:rsid w:val="00A84742"/>
    <w:rsid w:val="00A84BF0"/>
    <w:rsid w:val="00A84D4E"/>
    <w:rsid w:val="00A84EF4"/>
    <w:rsid w:val="00A84F43"/>
    <w:rsid w:val="00A84FD0"/>
    <w:rsid w:val="00A85530"/>
    <w:rsid w:val="00A857AF"/>
    <w:rsid w:val="00A86D0D"/>
    <w:rsid w:val="00A870C2"/>
    <w:rsid w:val="00A87612"/>
    <w:rsid w:val="00A876C4"/>
    <w:rsid w:val="00A87B74"/>
    <w:rsid w:val="00A87D1A"/>
    <w:rsid w:val="00A87DE1"/>
    <w:rsid w:val="00A900EB"/>
    <w:rsid w:val="00A90226"/>
    <w:rsid w:val="00A90389"/>
    <w:rsid w:val="00A9059C"/>
    <w:rsid w:val="00A90C62"/>
    <w:rsid w:val="00A90DD7"/>
    <w:rsid w:val="00A91407"/>
    <w:rsid w:val="00A91EFA"/>
    <w:rsid w:val="00A91FD5"/>
    <w:rsid w:val="00A923E3"/>
    <w:rsid w:val="00A923F9"/>
    <w:rsid w:val="00A92DBB"/>
    <w:rsid w:val="00A93265"/>
    <w:rsid w:val="00A93372"/>
    <w:rsid w:val="00A93D93"/>
    <w:rsid w:val="00A95D7C"/>
    <w:rsid w:val="00A963BA"/>
    <w:rsid w:val="00A96F5F"/>
    <w:rsid w:val="00A973EA"/>
    <w:rsid w:val="00A97501"/>
    <w:rsid w:val="00AA079C"/>
    <w:rsid w:val="00AA0915"/>
    <w:rsid w:val="00AA0CC5"/>
    <w:rsid w:val="00AA0F27"/>
    <w:rsid w:val="00AA1FA1"/>
    <w:rsid w:val="00AA1FA6"/>
    <w:rsid w:val="00AA2F3A"/>
    <w:rsid w:val="00AA3A53"/>
    <w:rsid w:val="00AA4142"/>
    <w:rsid w:val="00AA467C"/>
    <w:rsid w:val="00AA472C"/>
    <w:rsid w:val="00AA4899"/>
    <w:rsid w:val="00AA608B"/>
    <w:rsid w:val="00AA6B4A"/>
    <w:rsid w:val="00AA6F09"/>
    <w:rsid w:val="00AA76E9"/>
    <w:rsid w:val="00AB1579"/>
    <w:rsid w:val="00AB19B9"/>
    <w:rsid w:val="00AB2305"/>
    <w:rsid w:val="00AB25CF"/>
    <w:rsid w:val="00AB2B83"/>
    <w:rsid w:val="00AB2E63"/>
    <w:rsid w:val="00AB3995"/>
    <w:rsid w:val="00AB45FB"/>
    <w:rsid w:val="00AB4F1E"/>
    <w:rsid w:val="00AB5715"/>
    <w:rsid w:val="00AB5B2D"/>
    <w:rsid w:val="00AB5C7B"/>
    <w:rsid w:val="00AB5D57"/>
    <w:rsid w:val="00AB72C3"/>
    <w:rsid w:val="00AC0FB4"/>
    <w:rsid w:val="00AC1AB1"/>
    <w:rsid w:val="00AC2A1F"/>
    <w:rsid w:val="00AC395F"/>
    <w:rsid w:val="00AC3B85"/>
    <w:rsid w:val="00AC5928"/>
    <w:rsid w:val="00AC5A51"/>
    <w:rsid w:val="00AC7386"/>
    <w:rsid w:val="00AD015C"/>
    <w:rsid w:val="00AD0ED0"/>
    <w:rsid w:val="00AD20C5"/>
    <w:rsid w:val="00AD28E9"/>
    <w:rsid w:val="00AD5013"/>
    <w:rsid w:val="00AD59A9"/>
    <w:rsid w:val="00AD5CE2"/>
    <w:rsid w:val="00AD7AAB"/>
    <w:rsid w:val="00AE05C7"/>
    <w:rsid w:val="00AE08C0"/>
    <w:rsid w:val="00AE0909"/>
    <w:rsid w:val="00AE11B6"/>
    <w:rsid w:val="00AE1E61"/>
    <w:rsid w:val="00AE206E"/>
    <w:rsid w:val="00AE385D"/>
    <w:rsid w:val="00AE3AE9"/>
    <w:rsid w:val="00AE3D6C"/>
    <w:rsid w:val="00AE42A0"/>
    <w:rsid w:val="00AE4A53"/>
    <w:rsid w:val="00AE4E98"/>
    <w:rsid w:val="00AE6C1C"/>
    <w:rsid w:val="00AE7240"/>
    <w:rsid w:val="00AE790A"/>
    <w:rsid w:val="00AE7B04"/>
    <w:rsid w:val="00AF0985"/>
    <w:rsid w:val="00AF0DF7"/>
    <w:rsid w:val="00AF1563"/>
    <w:rsid w:val="00AF19D7"/>
    <w:rsid w:val="00AF2D9A"/>
    <w:rsid w:val="00AF357D"/>
    <w:rsid w:val="00AF4337"/>
    <w:rsid w:val="00AF478D"/>
    <w:rsid w:val="00AF4CD8"/>
    <w:rsid w:val="00AF59E3"/>
    <w:rsid w:val="00AF6FC7"/>
    <w:rsid w:val="00AF710B"/>
    <w:rsid w:val="00AF7157"/>
    <w:rsid w:val="00B002B7"/>
    <w:rsid w:val="00B00FB6"/>
    <w:rsid w:val="00B01438"/>
    <w:rsid w:val="00B027A8"/>
    <w:rsid w:val="00B02A17"/>
    <w:rsid w:val="00B02DD8"/>
    <w:rsid w:val="00B02E44"/>
    <w:rsid w:val="00B034CB"/>
    <w:rsid w:val="00B035BA"/>
    <w:rsid w:val="00B037DF"/>
    <w:rsid w:val="00B03FEF"/>
    <w:rsid w:val="00B04480"/>
    <w:rsid w:val="00B05190"/>
    <w:rsid w:val="00B0568E"/>
    <w:rsid w:val="00B05BA0"/>
    <w:rsid w:val="00B068CD"/>
    <w:rsid w:val="00B0774F"/>
    <w:rsid w:val="00B11053"/>
    <w:rsid w:val="00B118D5"/>
    <w:rsid w:val="00B12324"/>
    <w:rsid w:val="00B1237C"/>
    <w:rsid w:val="00B126C7"/>
    <w:rsid w:val="00B12985"/>
    <w:rsid w:val="00B12EDB"/>
    <w:rsid w:val="00B1340B"/>
    <w:rsid w:val="00B13A54"/>
    <w:rsid w:val="00B13D83"/>
    <w:rsid w:val="00B14125"/>
    <w:rsid w:val="00B142B8"/>
    <w:rsid w:val="00B14A1C"/>
    <w:rsid w:val="00B14B4A"/>
    <w:rsid w:val="00B14F54"/>
    <w:rsid w:val="00B158AE"/>
    <w:rsid w:val="00B15E0C"/>
    <w:rsid w:val="00B16A2C"/>
    <w:rsid w:val="00B170AD"/>
    <w:rsid w:val="00B17634"/>
    <w:rsid w:val="00B17DFB"/>
    <w:rsid w:val="00B21133"/>
    <w:rsid w:val="00B21F5B"/>
    <w:rsid w:val="00B22008"/>
    <w:rsid w:val="00B220F4"/>
    <w:rsid w:val="00B2297D"/>
    <w:rsid w:val="00B22AC9"/>
    <w:rsid w:val="00B22ED1"/>
    <w:rsid w:val="00B23A6B"/>
    <w:rsid w:val="00B23C4C"/>
    <w:rsid w:val="00B23CDE"/>
    <w:rsid w:val="00B24699"/>
    <w:rsid w:val="00B249E0"/>
    <w:rsid w:val="00B252B8"/>
    <w:rsid w:val="00B259C8"/>
    <w:rsid w:val="00B27826"/>
    <w:rsid w:val="00B30FD7"/>
    <w:rsid w:val="00B315A2"/>
    <w:rsid w:val="00B32139"/>
    <w:rsid w:val="00B34448"/>
    <w:rsid w:val="00B34CD7"/>
    <w:rsid w:val="00B35909"/>
    <w:rsid w:val="00B35B70"/>
    <w:rsid w:val="00B37199"/>
    <w:rsid w:val="00B377AE"/>
    <w:rsid w:val="00B37996"/>
    <w:rsid w:val="00B37A4D"/>
    <w:rsid w:val="00B37E29"/>
    <w:rsid w:val="00B37FEA"/>
    <w:rsid w:val="00B4032E"/>
    <w:rsid w:val="00B40AE3"/>
    <w:rsid w:val="00B412AA"/>
    <w:rsid w:val="00B417E9"/>
    <w:rsid w:val="00B426E9"/>
    <w:rsid w:val="00B42D5D"/>
    <w:rsid w:val="00B43F24"/>
    <w:rsid w:val="00B44AB2"/>
    <w:rsid w:val="00B44CB9"/>
    <w:rsid w:val="00B44D89"/>
    <w:rsid w:val="00B45278"/>
    <w:rsid w:val="00B45337"/>
    <w:rsid w:val="00B45C1E"/>
    <w:rsid w:val="00B464EA"/>
    <w:rsid w:val="00B47840"/>
    <w:rsid w:val="00B47CFB"/>
    <w:rsid w:val="00B50CC2"/>
    <w:rsid w:val="00B511B6"/>
    <w:rsid w:val="00B51F95"/>
    <w:rsid w:val="00B52C3B"/>
    <w:rsid w:val="00B5355C"/>
    <w:rsid w:val="00B535C8"/>
    <w:rsid w:val="00B55118"/>
    <w:rsid w:val="00B55343"/>
    <w:rsid w:val="00B5576D"/>
    <w:rsid w:val="00B55EFF"/>
    <w:rsid w:val="00B564B1"/>
    <w:rsid w:val="00B56CDE"/>
    <w:rsid w:val="00B57F14"/>
    <w:rsid w:val="00B60037"/>
    <w:rsid w:val="00B61089"/>
    <w:rsid w:val="00B61EA5"/>
    <w:rsid w:val="00B623E2"/>
    <w:rsid w:val="00B637AC"/>
    <w:rsid w:val="00B63F0D"/>
    <w:rsid w:val="00B6520E"/>
    <w:rsid w:val="00B6561B"/>
    <w:rsid w:val="00B65641"/>
    <w:rsid w:val="00B66310"/>
    <w:rsid w:val="00B66351"/>
    <w:rsid w:val="00B67790"/>
    <w:rsid w:val="00B7069F"/>
    <w:rsid w:val="00B70B39"/>
    <w:rsid w:val="00B70CAC"/>
    <w:rsid w:val="00B71AEB"/>
    <w:rsid w:val="00B72373"/>
    <w:rsid w:val="00B73604"/>
    <w:rsid w:val="00B736D1"/>
    <w:rsid w:val="00B7458E"/>
    <w:rsid w:val="00B7460E"/>
    <w:rsid w:val="00B75536"/>
    <w:rsid w:val="00B75903"/>
    <w:rsid w:val="00B7596B"/>
    <w:rsid w:val="00B7699C"/>
    <w:rsid w:val="00B76BC9"/>
    <w:rsid w:val="00B770C7"/>
    <w:rsid w:val="00B8013C"/>
    <w:rsid w:val="00B81421"/>
    <w:rsid w:val="00B82B78"/>
    <w:rsid w:val="00B83248"/>
    <w:rsid w:val="00B83962"/>
    <w:rsid w:val="00B84069"/>
    <w:rsid w:val="00B84FA6"/>
    <w:rsid w:val="00B85556"/>
    <w:rsid w:val="00B85B9A"/>
    <w:rsid w:val="00B85E55"/>
    <w:rsid w:val="00B866FA"/>
    <w:rsid w:val="00B86C24"/>
    <w:rsid w:val="00B870D3"/>
    <w:rsid w:val="00B87931"/>
    <w:rsid w:val="00B879FE"/>
    <w:rsid w:val="00B87A06"/>
    <w:rsid w:val="00B87ADB"/>
    <w:rsid w:val="00B9043B"/>
    <w:rsid w:val="00B90B2D"/>
    <w:rsid w:val="00B91597"/>
    <w:rsid w:val="00B916EE"/>
    <w:rsid w:val="00B92367"/>
    <w:rsid w:val="00B945D7"/>
    <w:rsid w:val="00B948E0"/>
    <w:rsid w:val="00B94AA1"/>
    <w:rsid w:val="00B94AEA"/>
    <w:rsid w:val="00B951C7"/>
    <w:rsid w:val="00B957E4"/>
    <w:rsid w:val="00B96519"/>
    <w:rsid w:val="00B967FA"/>
    <w:rsid w:val="00B96B92"/>
    <w:rsid w:val="00B970B4"/>
    <w:rsid w:val="00B97A6B"/>
    <w:rsid w:val="00BA01CF"/>
    <w:rsid w:val="00BA0410"/>
    <w:rsid w:val="00BA0758"/>
    <w:rsid w:val="00BA0764"/>
    <w:rsid w:val="00BA0F1F"/>
    <w:rsid w:val="00BA1970"/>
    <w:rsid w:val="00BA37E2"/>
    <w:rsid w:val="00BA6F00"/>
    <w:rsid w:val="00BA7644"/>
    <w:rsid w:val="00BA7912"/>
    <w:rsid w:val="00BB0193"/>
    <w:rsid w:val="00BB1344"/>
    <w:rsid w:val="00BB178A"/>
    <w:rsid w:val="00BB1811"/>
    <w:rsid w:val="00BB3150"/>
    <w:rsid w:val="00BB4BF3"/>
    <w:rsid w:val="00BB4DBB"/>
    <w:rsid w:val="00BB5144"/>
    <w:rsid w:val="00BB5178"/>
    <w:rsid w:val="00BB555E"/>
    <w:rsid w:val="00BB5610"/>
    <w:rsid w:val="00BB6BCA"/>
    <w:rsid w:val="00BC0795"/>
    <w:rsid w:val="00BC1FDC"/>
    <w:rsid w:val="00BC2033"/>
    <w:rsid w:val="00BC2EF9"/>
    <w:rsid w:val="00BC37AE"/>
    <w:rsid w:val="00BC3A79"/>
    <w:rsid w:val="00BD0963"/>
    <w:rsid w:val="00BD2047"/>
    <w:rsid w:val="00BD3614"/>
    <w:rsid w:val="00BD3AE9"/>
    <w:rsid w:val="00BD514C"/>
    <w:rsid w:val="00BD557B"/>
    <w:rsid w:val="00BD601E"/>
    <w:rsid w:val="00BD646B"/>
    <w:rsid w:val="00BD7CE3"/>
    <w:rsid w:val="00BE0E00"/>
    <w:rsid w:val="00BE0F37"/>
    <w:rsid w:val="00BE1A27"/>
    <w:rsid w:val="00BE20A2"/>
    <w:rsid w:val="00BE2C28"/>
    <w:rsid w:val="00BE3021"/>
    <w:rsid w:val="00BE34EE"/>
    <w:rsid w:val="00BE35E2"/>
    <w:rsid w:val="00BE3DDD"/>
    <w:rsid w:val="00BE47A2"/>
    <w:rsid w:val="00BE47D8"/>
    <w:rsid w:val="00BE4C25"/>
    <w:rsid w:val="00BE52C3"/>
    <w:rsid w:val="00BE561F"/>
    <w:rsid w:val="00BE5D59"/>
    <w:rsid w:val="00BE5DD8"/>
    <w:rsid w:val="00BE5DFC"/>
    <w:rsid w:val="00BE654C"/>
    <w:rsid w:val="00BE68D7"/>
    <w:rsid w:val="00BE6C12"/>
    <w:rsid w:val="00BE73B0"/>
    <w:rsid w:val="00BE73DF"/>
    <w:rsid w:val="00BF0563"/>
    <w:rsid w:val="00BF162E"/>
    <w:rsid w:val="00BF1979"/>
    <w:rsid w:val="00BF198D"/>
    <w:rsid w:val="00BF3D7C"/>
    <w:rsid w:val="00BF3DAC"/>
    <w:rsid w:val="00BF455E"/>
    <w:rsid w:val="00BF4F7D"/>
    <w:rsid w:val="00BF510A"/>
    <w:rsid w:val="00BF5FF1"/>
    <w:rsid w:val="00BF7024"/>
    <w:rsid w:val="00BF7F8F"/>
    <w:rsid w:val="00C00771"/>
    <w:rsid w:val="00C0090A"/>
    <w:rsid w:val="00C00A4D"/>
    <w:rsid w:val="00C00D1C"/>
    <w:rsid w:val="00C0102D"/>
    <w:rsid w:val="00C011B8"/>
    <w:rsid w:val="00C02E5D"/>
    <w:rsid w:val="00C037CC"/>
    <w:rsid w:val="00C03C73"/>
    <w:rsid w:val="00C04ABE"/>
    <w:rsid w:val="00C04AD6"/>
    <w:rsid w:val="00C04C55"/>
    <w:rsid w:val="00C04E08"/>
    <w:rsid w:val="00C05BEA"/>
    <w:rsid w:val="00C069C8"/>
    <w:rsid w:val="00C073B3"/>
    <w:rsid w:val="00C07F9B"/>
    <w:rsid w:val="00C10C0B"/>
    <w:rsid w:val="00C10D3E"/>
    <w:rsid w:val="00C11304"/>
    <w:rsid w:val="00C11A89"/>
    <w:rsid w:val="00C134E8"/>
    <w:rsid w:val="00C13852"/>
    <w:rsid w:val="00C141A6"/>
    <w:rsid w:val="00C141C5"/>
    <w:rsid w:val="00C1435F"/>
    <w:rsid w:val="00C14B06"/>
    <w:rsid w:val="00C14C9A"/>
    <w:rsid w:val="00C14FAB"/>
    <w:rsid w:val="00C15047"/>
    <w:rsid w:val="00C15C1B"/>
    <w:rsid w:val="00C16086"/>
    <w:rsid w:val="00C17693"/>
    <w:rsid w:val="00C17AF0"/>
    <w:rsid w:val="00C17E47"/>
    <w:rsid w:val="00C17EA7"/>
    <w:rsid w:val="00C2091F"/>
    <w:rsid w:val="00C20A16"/>
    <w:rsid w:val="00C21918"/>
    <w:rsid w:val="00C22AA6"/>
    <w:rsid w:val="00C22BFE"/>
    <w:rsid w:val="00C2354C"/>
    <w:rsid w:val="00C249DF"/>
    <w:rsid w:val="00C24FAF"/>
    <w:rsid w:val="00C251AC"/>
    <w:rsid w:val="00C25286"/>
    <w:rsid w:val="00C25343"/>
    <w:rsid w:val="00C2653C"/>
    <w:rsid w:val="00C2690E"/>
    <w:rsid w:val="00C26FB5"/>
    <w:rsid w:val="00C27196"/>
    <w:rsid w:val="00C272B2"/>
    <w:rsid w:val="00C2742C"/>
    <w:rsid w:val="00C274CE"/>
    <w:rsid w:val="00C27C20"/>
    <w:rsid w:val="00C303D0"/>
    <w:rsid w:val="00C3043D"/>
    <w:rsid w:val="00C3119A"/>
    <w:rsid w:val="00C313D6"/>
    <w:rsid w:val="00C32445"/>
    <w:rsid w:val="00C32A46"/>
    <w:rsid w:val="00C33725"/>
    <w:rsid w:val="00C33C8B"/>
    <w:rsid w:val="00C34A29"/>
    <w:rsid w:val="00C3543A"/>
    <w:rsid w:val="00C35F5F"/>
    <w:rsid w:val="00C360C0"/>
    <w:rsid w:val="00C36BEF"/>
    <w:rsid w:val="00C36D71"/>
    <w:rsid w:val="00C36E43"/>
    <w:rsid w:val="00C37711"/>
    <w:rsid w:val="00C403AD"/>
    <w:rsid w:val="00C40FB3"/>
    <w:rsid w:val="00C410D6"/>
    <w:rsid w:val="00C415E9"/>
    <w:rsid w:val="00C41D90"/>
    <w:rsid w:val="00C41E88"/>
    <w:rsid w:val="00C43489"/>
    <w:rsid w:val="00C43603"/>
    <w:rsid w:val="00C43CBD"/>
    <w:rsid w:val="00C44046"/>
    <w:rsid w:val="00C44A0E"/>
    <w:rsid w:val="00C4523F"/>
    <w:rsid w:val="00C4532C"/>
    <w:rsid w:val="00C466D4"/>
    <w:rsid w:val="00C46F8E"/>
    <w:rsid w:val="00C471A1"/>
    <w:rsid w:val="00C5063C"/>
    <w:rsid w:val="00C54F66"/>
    <w:rsid w:val="00C55300"/>
    <w:rsid w:val="00C553D6"/>
    <w:rsid w:val="00C55695"/>
    <w:rsid w:val="00C56288"/>
    <w:rsid w:val="00C56878"/>
    <w:rsid w:val="00C56D3A"/>
    <w:rsid w:val="00C5759F"/>
    <w:rsid w:val="00C57999"/>
    <w:rsid w:val="00C6028A"/>
    <w:rsid w:val="00C6055D"/>
    <w:rsid w:val="00C60A0F"/>
    <w:rsid w:val="00C60D02"/>
    <w:rsid w:val="00C618DA"/>
    <w:rsid w:val="00C6206E"/>
    <w:rsid w:val="00C62CCB"/>
    <w:rsid w:val="00C63032"/>
    <w:rsid w:val="00C6435C"/>
    <w:rsid w:val="00C644C3"/>
    <w:rsid w:val="00C64661"/>
    <w:rsid w:val="00C6471F"/>
    <w:rsid w:val="00C64B78"/>
    <w:rsid w:val="00C64BD3"/>
    <w:rsid w:val="00C657AF"/>
    <w:rsid w:val="00C66A13"/>
    <w:rsid w:val="00C67C94"/>
    <w:rsid w:val="00C67DD4"/>
    <w:rsid w:val="00C701E5"/>
    <w:rsid w:val="00C70C7A"/>
    <w:rsid w:val="00C71603"/>
    <w:rsid w:val="00C73982"/>
    <w:rsid w:val="00C73C86"/>
    <w:rsid w:val="00C73F71"/>
    <w:rsid w:val="00C74554"/>
    <w:rsid w:val="00C74B31"/>
    <w:rsid w:val="00C74F71"/>
    <w:rsid w:val="00C74F79"/>
    <w:rsid w:val="00C7640D"/>
    <w:rsid w:val="00C765C8"/>
    <w:rsid w:val="00C770BE"/>
    <w:rsid w:val="00C7791B"/>
    <w:rsid w:val="00C80041"/>
    <w:rsid w:val="00C80537"/>
    <w:rsid w:val="00C81EBD"/>
    <w:rsid w:val="00C824A9"/>
    <w:rsid w:val="00C826AF"/>
    <w:rsid w:val="00C83FCA"/>
    <w:rsid w:val="00C849F5"/>
    <w:rsid w:val="00C86ABC"/>
    <w:rsid w:val="00C86E27"/>
    <w:rsid w:val="00C875BC"/>
    <w:rsid w:val="00C87AA2"/>
    <w:rsid w:val="00C91BF4"/>
    <w:rsid w:val="00C91D8F"/>
    <w:rsid w:val="00C92F5F"/>
    <w:rsid w:val="00C93281"/>
    <w:rsid w:val="00C933CE"/>
    <w:rsid w:val="00C93DEF"/>
    <w:rsid w:val="00C9566A"/>
    <w:rsid w:val="00C957E0"/>
    <w:rsid w:val="00C95F5D"/>
    <w:rsid w:val="00C95F69"/>
    <w:rsid w:val="00C95FD9"/>
    <w:rsid w:val="00C9643D"/>
    <w:rsid w:val="00C96DE4"/>
    <w:rsid w:val="00C9769D"/>
    <w:rsid w:val="00CA04DA"/>
    <w:rsid w:val="00CA180C"/>
    <w:rsid w:val="00CA22EA"/>
    <w:rsid w:val="00CA23B4"/>
    <w:rsid w:val="00CA35C4"/>
    <w:rsid w:val="00CA3D13"/>
    <w:rsid w:val="00CA4012"/>
    <w:rsid w:val="00CA439F"/>
    <w:rsid w:val="00CA4F7B"/>
    <w:rsid w:val="00CA58EA"/>
    <w:rsid w:val="00CA5D12"/>
    <w:rsid w:val="00CA622B"/>
    <w:rsid w:val="00CA6AB5"/>
    <w:rsid w:val="00CA6B98"/>
    <w:rsid w:val="00CA71AF"/>
    <w:rsid w:val="00CB20C1"/>
    <w:rsid w:val="00CB2E05"/>
    <w:rsid w:val="00CB33E4"/>
    <w:rsid w:val="00CB3931"/>
    <w:rsid w:val="00CB3CC0"/>
    <w:rsid w:val="00CB46E4"/>
    <w:rsid w:val="00CB48A1"/>
    <w:rsid w:val="00CB4E27"/>
    <w:rsid w:val="00CB5671"/>
    <w:rsid w:val="00CB6545"/>
    <w:rsid w:val="00CB6C91"/>
    <w:rsid w:val="00CB7ADE"/>
    <w:rsid w:val="00CC0159"/>
    <w:rsid w:val="00CC02F1"/>
    <w:rsid w:val="00CC097A"/>
    <w:rsid w:val="00CC230C"/>
    <w:rsid w:val="00CC2BAF"/>
    <w:rsid w:val="00CC2F87"/>
    <w:rsid w:val="00CC3D63"/>
    <w:rsid w:val="00CC4E62"/>
    <w:rsid w:val="00CC500A"/>
    <w:rsid w:val="00CC518F"/>
    <w:rsid w:val="00CC530B"/>
    <w:rsid w:val="00CC66CD"/>
    <w:rsid w:val="00CC670B"/>
    <w:rsid w:val="00CC742D"/>
    <w:rsid w:val="00CC76AF"/>
    <w:rsid w:val="00CC7A0F"/>
    <w:rsid w:val="00CD016F"/>
    <w:rsid w:val="00CD02A3"/>
    <w:rsid w:val="00CD0345"/>
    <w:rsid w:val="00CD0715"/>
    <w:rsid w:val="00CD0CDB"/>
    <w:rsid w:val="00CD0F8D"/>
    <w:rsid w:val="00CD120F"/>
    <w:rsid w:val="00CD16FC"/>
    <w:rsid w:val="00CD1B28"/>
    <w:rsid w:val="00CD1E6C"/>
    <w:rsid w:val="00CD3BBA"/>
    <w:rsid w:val="00CD41B4"/>
    <w:rsid w:val="00CD4475"/>
    <w:rsid w:val="00CD48F2"/>
    <w:rsid w:val="00CD4BC8"/>
    <w:rsid w:val="00CD5E07"/>
    <w:rsid w:val="00CD5E8A"/>
    <w:rsid w:val="00CD6119"/>
    <w:rsid w:val="00CD6519"/>
    <w:rsid w:val="00CD6720"/>
    <w:rsid w:val="00CD70EC"/>
    <w:rsid w:val="00CD7290"/>
    <w:rsid w:val="00CD77F1"/>
    <w:rsid w:val="00CD7C24"/>
    <w:rsid w:val="00CD7C96"/>
    <w:rsid w:val="00CD7F49"/>
    <w:rsid w:val="00CE00D8"/>
    <w:rsid w:val="00CE04F7"/>
    <w:rsid w:val="00CE1A96"/>
    <w:rsid w:val="00CE2466"/>
    <w:rsid w:val="00CE344A"/>
    <w:rsid w:val="00CE3D36"/>
    <w:rsid w:val="00CE4BD8"/>
    <w:rsid w:val="00CE511A"/>
    <w:rsid w:val="00CE570A"/>
    <w:rsid w:val="00CE6C86"/>
    <w:rsid w:val="00CE7A58"/>
    <w:rsid w:val="00CE7F3B"/>
    <w:rsid w:val="00CF1CAD"/>
    <w:rsid w:val="00CF1D1B"/>
    <w:rsid w:val="00CF231A"/>
    <w:rsid w:val="00CF25E1"/>
    <w:rsid w:val="00CF25E4"/>
    <w:rsid w:val="00CF2E50"/>
    <w:rsid w:val="00CF2F55"/>
    <w:rsid w:val="00CF4C69"/>
    <w:rsid w:val="00CF4F01"/>
    <w:rsid w:val="00CF5B3E"/>
    <w:rsid w:val="00CF604C"/>
    <w:rsid w:val="00CF6643"/>
    <w:rsid w:val="00CF6CF1"/>
    <w:rsid w:val="00CF6DE7"/>
    <w:rsid w:val="00CF6E0D"/>
    <w:rsid w:val="00CF72AB"/>
    <w:rsid w:val="00D004C2"/>
    <w:rsid w:val="00D005B1"/>
    <w:rsid w:val="00D00635"/>
    <w:rsid w:val="00D00E9D"/>
    <w:rsid w:val="00D01959"/>
    <w:rsid w:val="00D02750"/>
    <w:rsid w:val="00D03CB8"/>
    <w:rsid w:val="00D04745"/>
    <w:rsid w:val="00D04C86"/>
    <w:rsid w:val="00D0549E"/>
    <w:rsid w:val="00D062B0"/>
    <w:rsid w:val="00D07035"/>
    <w:rsid w:val="00D0784E"/>
    <w:rsid w:val="00D07893"/>
    <w:rsid w:val="00D101D6"/>
    <w:rsid w:val="00D104C7"/>
    <w:rsid w:val="00D105A5"/>
    <w:rsid w:val="00D10DCC"/>
    <w:rsid w:val="00D1132A"/>
    <w:rsid w:val="00D114E4"/>
    <w:rsid w:val="00D116F6"/>
    <w:rsid w:val="00D11810"/>
    <w:rsid w:val="00D120F5"/>
    <w:rsid w:val="00D123A4"/>
    <w:rsid w:val="00D125F8"/>
    <w:rsid w:val="00D13C27"/>
    <w:rsid w:val="00D142D6"/>
    <w:rsid w:val="00D149DE"/>
    <w:rsid w:val="00D159C2"/>
    <w:rsid w:val="00D165C9"/>
    <w:rsid w:val="00D17064"/>
    <w:rsid w:val="00D1710C"/>
    <w:rsid w:val="00D205CF"/>
    <w:rsid w:val="00D20BF9"/>
    <w:rsid w:val="00D212AC"/>
    <w:rsid w:val="00D213A1"/>
    <w:rsid w:val="00D21687"/>
    <w:rsid w:val="00D21A3F"/>
    <w:rsid w:val="00D21D22"/>
    <w:rsid w:val="00D225DA"/>
    <w:rsid w:val="00D23833"/>
    <w:rsid w:val="00D23D3D"/>
    <w:rsid w:val="00D24072"/>
    <w:rsid w:val="00D2454C"/>
    <w:rsid w:val="00D24A55"/>
    <w:rsid w:val="00D24CAD"/>
    <w:rsid w:val="00D2535F"/>
    <w:rsid w:val="00D2554D"/>
    <w:rsid w:val="00D25B3B"/>
    <w:rsid w:val="00D26210"/>
    <w:rsid w:val="00D262C3"/>
    <w:rsid w:val="00D269C6"/>
    <w:rsid w:val="00D276FA"/>
    <w:rsid w:val="00D30331"/>
    <w:rsid w:val="00D30646"/>
    <w:rsid w:val="00D30686"/>
    <w:rsid w:val="00D30719"/>
    <w:rsid w:val="00D30730"/>
    <w:rsid w:val="00D30926"/>
    <w:rsid w:val="00D30AFC"/>
    <w:rsid w:val="00D30EE5"/>
    <w:rsid w:val="00D3167D"/>
    <w:rsid w:val="00D3249D"/>
    <w:rsid w:val="00D32984"/>
    <w:rsid w:val="00D33368"/>
    <w:rsid w:val="00D337FE"/>
    <w:rsid w:val="00D33F86"/>
    <w:rsid w:val="00D3410A"/>
    <w:rsid w:val="00D34EF1"/>
    <w:rsid w:val="00D355C7"/>
    <w:rsid w:val="00D35CC0"/>
    <w:rsid w:val="00D35E55"/>
    <w:rsid w:val="00D35F00"/>
    <w:rsid w:val="00D35F5A"/>
    <w:rsid w:val="00D3674E"/>
    <w:rsid w:val="00D3704F"/>
    <w:rsid w:val="00D371C5"/>
    <w:rsid w:val="00D3743C"/>
    <w:rsid w:val="00D37512"/>
    <w:rsid w:val="00D40F17"/>
    <w:rsid w:val="00D41A02"/>
    <w:rsid w:val="00D41B78"/>
    <w:rsid w:val="00D42C95"/>
    <w:rsid w:val="00D43586"/>
    <w:rsid w:val="00D43758"/>
    <w:rsid w:val="00D440B3"/>
    <w:rsid w:val="00D44A3E"/>
    <w:rsid w:val="00D45956"/>
    <w:rsid w:val="00D45FB0"/>
    <w:rsid w:val="00D46279"/>
    <w:rsid w:val="00D462A6"/>
    <w:rsid w:val="00D46480"/>
    <w:rsid w:val="00D46729"/>
    <w:rsid w:val="00D47143"/>
    <w:rsid w:val="00D479B3"/>
    <w:rsid w:val="00D50037"/>
    <w:rsid w:val="00D516DA"/>
    <w:rsid w:val="00D5241F"/>
    <w:rsid w:val="00D528E2"/>
    <w:rsid w:val="00D52C8D"/>
    <w:rsid w:val="00D5314E"/>
    <w:rsid w:val="00D53A12"/>
    <w:rsid w:val="00D54448"/>
    <w:rsid w:val="00D544CB"/>
    <w:rsid w:val="00D545CD"/>
    <w:rsid w:val="00D54876"/>
    <w:rsid w:val="00D549A7"/>
    <w:rsid w:val="00D54E30"/>
    <w:rsid w:val="00D557DD"/>
    <w:rsid w:val="00D562D1"/>
    <w:rsid w:val="00D5633F"/>
    <w:rsid w:val="00D573AE"/>
    <w:rsid w:val="00D57527"/>
    <w:rsid w:val="00D578B5"/>
    <w:rsid w:val="00D578C4"/>
    <w:rsid w:val="00D608E4"/>
    <w:rsid w:val="00D60DB7"/>
    <w:rsid w:val="00D6102E"/>
    <w:rsid w:val="00D62337"/>
    <w:rsid w:val="00D62FA4"/>
    <w:rsid w:val="00D64234"/>
    <w:rsid w:val="00D64350"/>
    <w:rsid w:val="00D6503C"/>
    <w:rsid w:val="00D65965"/>
    <w:rsid w:val="00D663A4"/>
    <w:rsid w:val="00D67249"/>
    <w:rsid w:val="00D674AC"/>
    <w:rsid w:val="00D67846"/>
    <w:rsid w:val="00D714B7"/>
    <w:rsid w:val="00D71C44"/>
    <w:rsid w:val="00D71C5D"/>
    <w:rsid w:val="00D71E77"/>
    <w:rsid w:val="00D72C0D"/>
    <w:rsid w:val="00D739B8"/>
    <w:rsid w:val="00D754F6"/>
    <w:rsid w:val="00D762C7"/>
    <w:rsid w:val="00D80027"/>
    <w:rsid w:val="00D806AC"/>
    <w:rsid w:val="00D80F99"/>
    <w:rsid w:val="00D8140A"/>
    <w:rsid w:val="00D81682"/>
    <w:rsid w:val="00D81B01"/>
    <w:rsid w:val="00D82341"/>
    <w:rsid w:val="00D82803"/>
    <w:rsid w:val="00D82EE2"/>
    <w:rsid w:val="00D83C6B"/>
    <w:rsid w:val="00D85168"/>
    <w:rsid w:val="00D85E49"/>
    <w:rsid w:val="00D86054"/>
    <w:rsid w:val="00D86248"/>
    <w:rsid w:val="00D8629B"/>
    <w:rsid w:val="00D863CB"/>
    <w:rsid w:val="00D8687A"/>
    <w:rsid w:val="00D86924"/>
    <w:rsid w:val="00D86AF5"/>
    <w:rsid w:val="00D90346"/>
    <w:rsid w:val="00D9179F"/>
    <w:rsid w:val="00D91EBC"/>
    <w:rsid w:val="00D92910"/>
    <w:rsid w:val="00D92A8C"/>
    <w:rsid w:val="00D92B99"/>
    <w:rsid w:val="00D92CA9"/>
    <w:rsid w:val="00D938AD"/>
    <w:rsid w:val="00D943C8"/>
    <w:rsid w:val="00D94427"/>
    <w:rsid w:val="00D948B3"/>
    <w:rsid w:val="00D94CAE"/>
    <w:rsid w:val="00D951F3"/>
    <w:rsid w:val="00D97D1C"/>
    <w:rsid w:val="00DA09D1"/>
    <w:rsid w:val="00DA0F80"/>
    <w:rsid w:val="00DA18C9"/>
    <w:rsid w:val="00DA24A9"/>
    <w:rsid w:val="00DA2EE3"/>
    <w:rsid w:val="00DA3138"/>
    <w:rsid w:val="00DA3A4E"/>
    <w:rsid w:val="00DA424C"/>
    <w:rsid w:val="00DA4309"/>
    <w:rsid w:val="00DA46CD"/>
    <w:rsid w:val="00DA636C"/>
    <w:rsid w:val="00DA7319"/>
    <w:rsid w:val="00DA7BAB"/>
    <w:rsid w:val="00DA7E65"/>
    <w:rsid w:val="00DB01CA"/>
    <w:rsid w:val="00DB0257"/>
    <w:rsid w:val="00DB05AE"/>
    <w:rsid w:val="00DB0DDF"/>
    <w:rsid w:val="00DB2BCE"/>
    <w:rsid w:val="00DB2EA1"/>
    <w:rsid w:val="00DB34C4"/>
    <w:rsid w:val="00DB40EF"/>
    <w:rsid w:val="00DB421C"/>
    <w:rsid w:val="00DB449D"/>
    <w:rsid w:val="00DB5CDB"/>
    <w:rsid w:val="00DB620F"/>
    <w:rsid w:val="00DB71BE"/>
    <w:rsid w:val="00DC036D"/>
    <w:rsid w:val="00DC0848"/>
    <w:rsid w:val="00DC13CB"/>
    <w:rsid w:val="00DC1466"/>
    <w:rsid w:val="00DC1A2D"/>
    <w:rsid w:val="00DC1A61"/>
    <w:rsid w:val="00DC28E6"/>
    <w:rsid w:val="00DC2CFF"/>
    <w:rsid w:val="00DC383A"/>
    <w:rsid w:val="00DC4098"/>
    <w:rsid w:val="00DC4BC6"/>
    <w:rsid w:val="00DC5148"/>
    <w:rsid w:val="00DC5855"/>
    <w:rsid w:val="00DC6210"/>
    <w:rsid w:val="00DD019D"/>
    <w:rsid w:val="00DD0E97"/>
    <w:rsid w:val="00DD1535"/>
    <w:rsid w:val="00DD2E88"/>
    <w:rsid w:val="00DD331A"/>
    <w:rsid w:val="00DD3533"/>
    <w:rsid w:val="00DD3953"/>
    <w:rsid w:val="00DD3977"/>
    <w:rsid w:val="00DD3ACE"/>
    <w:rsid w:val="00DD418F"/>
    <w:rsid w:val="00DD43BA"/>
    <w:rsid w:val="00DD440E"/>
    <w:rsid w:val="00DD61B6"/>
    <w:rsid w:val="00DD66DD"/>
    <w:rsid w:val="00DD6E47"/>
    <w:rsid w:val="00DD740A"/>
    <w:rsid w:val="00DD74DA"/>
    <w:rsid w:val="00DD7B0F"/>
    <w:rsid w:val="00DE0186"/>
    <w:rsid w:val="00DE2243"/>
    <w:rsid w:val="00DE228A"/>
    <w:rsid w:val="00DE2FC4"/>
    <w:rsid w:val="00DE360D"/>
    <w:rsid w:val="00DE41C0"/>
    <w:rsid w:val="00DE4D3E"/>
    <w:rsid w:val="00DE51E9"/>
    <w:rsid w:val="00DE57D7"/>
    <w:rsid w:val="00DE59F5"/>
    <w:rsid w:val="00DE68D9"/>
    <w:rsid w:val="00DE6989"/>
    <w:rsid w:val="00DE7F64"/>
    <w:rsid w:val="00DF059D"/>
    <w:rsid w:val="00DF167B"/>
    <w:rsid w:val="00DF1B34"/>
    <w:rsid w:val="00DF21CD"/>
    <w:rsid w:val="00DF21DF"/>
    <w:rsid w:val="00DF357E"/>
    <w:rsid w:val="00DF48EB"/>
    <w:rsid w:val="00DF4992"/>
    <w:rsid w:val="00DF4B5A"/>
    <w:rsid w:val="00DF65CD"/>
    <w:rsid w:val="00DF6EBD"/>
    <w:rsid w:val="00DF6EC3"/>
    <w:rsid w:val="00E0012F"/>
    <w:rsid w:val="00E01B39"/>
    <w:rsid w:val="00E027F5"/>
    <w:rsid w:val="00E03F49"/>
    <w:rsid w:val="00E0432A"/>
    <w:rsid w:val="00E04D90"/>
    <w:rsid w:val="00E052E5"/>
    <w:rsid w:val="00E057AF"/>
    <w:rsid w:val="00E06064"/>
    <w:rsid w:val="00E066D2"/>
    <w:rsid w:val="00E06AC5"/>
    <w:rsid w:val="00E06B6D"/>
    <w:rsid w:val="00E06E51"/>
    <w:rsid w:val="00E1076C"/>
    <w:rsid w:val="00E110ED"/>
    <w:rsid w:val="00E112C2"/>
    <w:rsid w:val="00E1210B"/>
    <w:rsid w:val="00E123ED"/>
    <w:rsid w:val="00E12402"/>
    <w:rsid w:val="00E13040"/>
    <w:rsid w:val="00E1305C"/>
    <w:rsid w:val="00E130C9"/>
    <w:rsid w:val="00E13498"/>
    <w:rsid w:val="00E137AC"/>
    <w:rsid w:val="00E150B4"/>
    <w:rsid w:val="00E153CC"/>
    <w:rsid w:val="00E16A13"/>
    <w:rsid w:val="00E16CBE"/>
    <w:rsid w:val="00E171D9"/>
    <w:rsid w:val="00E177BE"/>
    <w:rsid w:val="00E17C52"/>
    <w:rsid w:val="00E206D2"/>
    <w:rsid w:val="00E20780"/>
    <w:rsid w:val="00E21343"/>
    <w:rsid w:val="00E21796"/>
    <w:rsid w:val="00E21A4C"/>
    <w:rsid w:val="00E21C7D"/>
    <w:rsid w:val="00E2315A"/>
    <w:rsid w:val="00E23BF0"/>
    <w:rsid w:val="00E23C3B"/>
    <w:rsid w:val="00E24669"/>
    <w:rsid w:val="00E259E0"/>
    <w:rsid w:val="00E25C93"/>
    <w:rsid w:val="00E261C1"/>
    <w:rsid w:val="00E265F0"/>
    <w:rsid w:val="00E26D80"/>
    <w:rsid w:val="00E27278"/>
    <w:rsid w:val="00E300FB"/>
    <w:rsid w:val="00E31269"/>
    <w:rsid w:val="00E31C4C"/>
    <w:rsid w:val="00E31D97"/>
    <w:rsid w:val="00E31F8D"/>
    <w:rsid w:val="00E31FA1"/>
    <w:rsid w:val="00E32B0D"/>
    <w:rsid w:val="00E33A25"/>
    <w:rsid w:val="00E33EF9"/>
    <w:rsid w:val="00E34587"/>
    <w:rsid w:val="00E34FFF"/>
    <w:rsid w:val="00E35179"/>
    <w:rsid w:val="00E35B19"/>
    <w:rsid w:val="00E35E04"/>
    <w:rsid w:val="00E36647"/>
    <w:rsid w:val="00E37544"/>
    <w:rsid w:val="00E4007F"/>
    <w:rsid w:val="00E41116"/>
    <w:rsid w:val="00E419FD"/>
    <w:rsid w:val="00E41AC3"/>
    <w:rsid w:val="00E43A86"/>
    <w:rsid w:val="00E4537B"/>
    <w:rsid w:val="00E45C10"/>
    <w:rsid w:val="00E467CC"/>
    <w:rsid w:val="00E46D66"/>
    <w:rsid w:val="00E46F91"/>
    <w:rsid w:val="00E5028E"/>
    <w:rsid w:val="00E50855"/>
    <w:rsid w:val="00E50AA2"/>
    <w:rsid w:val="00E50CC4"/>
    <w:rsid w:val="00E50D62"/>
    <w:rsid w:val="00E51CF8"/>
    <w:rsid w:val="00E51EF1"/>
    <w:rsid w:val="00E52B56"/>
    <w:rsid w:val="00E53AE4"/>
    <w:rsid w:val="00E53BE9"/>
    <w:rsid w:val="00E549EE"/>
    <w:rsid w:val="00E54B6A"/>
    <w:rsid w:val="00E551EF"/>
    <w:rsid w:val="00E55216"/>
    <w:rsid w:val="00E55ABA"/>
    <w:rsid w:val="00E55CCA"/>
    <w:rsid w:val="00E55EBE"/>
    <w:rsid w:val="00E55F83"/>
    <w:rsid w:val="00E561D4"/>
    <w:rsid w:val="00E5665C"/>
    <w:rsid w:val="00E56EF4"/>
    <w:rsid w:val="00E57AEC"/>
    <w:rsid w:val="00E6099E"/>
    <w:rsid w:val="00E60A5C"/>
    <w:rsid w:val="00E60CD9"/>
    <w:rsid w:val="00E6107E"/>
    <w:rsid w:val="00E62094"/>
    <w:rsid w:val="00E6225B"/>
    <w:rsid w:val="00E63341"/>
    <w:rsid w:val="00E634C3"/>
    <w:rsid w:val="00E6444B"/>
    <w:rsid w:val="00E64EA0"/>
    <w:rsid w:val="00E66628"/>
    <w:rsid w:val="00E66709"/>
    <w:rsid w:val="00E669FE"/>
    <w:rsid w:val="00E67391"/>
    <w:rsid w:val="00E674EB"/>
    <w:rsid w:val="00E67A13"/>
    <w:rsid w:val="00E67DDF"/>
    <w:rsid w:val="00E70640"/>
    <w:rsid w:val="00E70880"/>
    <w:rsid w:val="00E70A98"/>
    <w:rsid w:val="00E70E2A"/>
    <w:rsid w:val="00E7100F"/>
    <w:rsid w:val="00E713BE"/>
    <w:rsid w:val="00E71CC1"/>
    <w:rsid w:val="00E72135"/>
    <w:rsid w:val="00E72BD8"/>
    <w:rsid w:val="00E73398"/>
    <w:rsid w:val="00E73B7B"/>
    <w:rsid w:val="00E7432A"/>
    <w:rsid w:val="00E74575"/>
    <w:rsid w:val="00E74EB6"/>
    <w:rsid w:val="00E75189"/>
    <w:rsid w:val="00E752E8"/>
    <w:rsid w:val="00E76337"/>
    <w:rsid w:val="00E763C1"/>
    <w:rsid w:val="00E76674"/>
    <w:rsid w:val="00E769C6"/>
    <w:rsid w:val="00E7714B"/>
    <w:rsid w:val="00E77C83"/>
    <w:rsid w:val="00E80D4D"/>
    <w:rsid w:val="00E814ED"/>
    <w:rsid w:val="00E81B94"/>
    <w:rsid w:val="00E82A69"/>
    <w:rsid w:val="00E8380F"/>
    <w:rsid w:val="00E83C93"/>
    <w:rsid w:val="00E8453E"/>
    <w:rsid w:val="00E84B94"/>
    <w:rsid w:val="00E851DF"/>
    <w:rsid w:val="00E852A8"/>
    <w:rsid w:val="00E85DC1"/>
    <w:rsid w:val="00E87415"/>
    <w:rsid w:val="00E874A2"/>
    <w:rsid w:val="00E87CB2"/>
    <w:rsid w:val="00E87DB3"/>
    <w:rsid w:val="00E90B0A"/>
    <w:rsid w:val="00E90B0D"/>
    <w:rsid w:val="00E90BBD"/>
    <w:rsid w:val="00E91175"/>
    <w:rsid w:val="00E9153D"/>
    <w:rsid w:val="00E9183D"/>
    <w:rsid w:val="00E91A83"/>
    <w:rsid w:val="00E91BD3"/>
    <w:rsid w:val="00E91D8D"/>
    <w:rsid w:val="00E93A4B"/>
    <w:rsid w:val="00E93E18"/>
    <w:rsid w:val="00E9586E"/>
    <w:rsid w:val="00E9631F"/>
    <w:rsid w:val="00E9688A"/>
    <w:rsid w:val="00E96E9A"/>
    <w:rsid w:val="00E97AB5"/>
    <w:rsid w:val="00E97B0B"/>
    <w:rsid w:val="00EA05E8"/>
    <w:rsid w:val="00EA1865"/>
    <w:rsid w:val="00EA1D61"/>
    <w:rsid w:val="00EA1F26"/>
    <w:rsid w:val="00EA1F4E"/>
    <w:rsid w:val="00EA32FC"/>
    <w:rsid w:val="00EA3359"/>
    <w:rsid w:val="00EA41C7"/>
    <w:rsid w:val="00EA55FF"/>
    <w:rsid w:val="00EA5A46"/>
    <w:rsid w:val="00EA629D"/>
    <w:rsid w:val="00EA62E7"/>
    <w:rsid w:val="00EA726C"/>
    <w:rsid w:val="00EA7A5F"/>
    <w:rsid w:val="00EB0DA5"/>
    <w:rsid w:val="00EB0F24"/>
    <w:rsid w:val="00EB1F1C"/>
    <w:rsid w:val="00EB2437"/>
    <w:rsid w:val="00EB3222"/>
    <w:rsid w:val="00EB335A"/>
    <w:rsid w:val="00EB355A"/>
    <w:rsid w:val="00EB3CA6"/>
    <w:rsid w:val="00EB4480"/>
    <w:rsid w:val="00EB479A"/>
    <w:rsid w:val="00EB4F6A"/>
    <w:rsid w:val="00EB555E"/>
    <w:rsid w:val="00EB629F"/>
    <w:rsid w:val="00EB6667"/>
    <w:rsid w:val="00EB66C0"/>
    <w:rsid w:val="00EB70D6"/>
    <w:rsid w:val="00EB7E50"/>
    <w:rsid w:val="00EC0418"/>
    <w:rsid w:val="00EC0506"/>
    <w:rsid w:val="00EC096E"/>
    <w:rsid w:val="00EC172A"/>
    <w:rsid w:val="00EC3365"/>
    <w:rsid w:val="00EC3E5D"/>
    <w:rsid w:val="00EC3E90"/>
    <w:rsid w:val="00EC4760"/>
    <w:rsid w:val="00EC5855"/>
    <w:rsid w:val="00EC60C6"/>
    <w:rsid w:val="00EC6210"/>
    <w:rsid w:val="00EC6B3C"/>
    <w:rsid w:val="00ED1005"/>
    <w:rsid w:val="00ED163B"/>
    <w:rsid w:val="00ED1709"/>
    <w:rsid w:val="00ED1C01"/>
    <w:rsid w:val="00ED1C74"/>
    <w:rsid w:val="00ED209B"/>
    <w:rsid w:val="00ED3B49"/>
    <w:rsid w:val="00ED3DA4"/>
    <w:rsid w:val="00ED4386"/>
    <w:rsid w:val="00ED56E2"/>
    <w:rsid w:val="00ED6823"/>
    <w:rsid w:val="00ED79C3"/>
    <w:rsid w:val="00ED7AF0"/>
    <w:rsid w:val="00ED7D6D"/>
    <w:rsid w:val="00EE00D4"/>
    <w:rsid w:val="00EE05A9"/>
    <w:rsid w:val="00EE148B"/>
    <w:rsid w:val="00EE2579"/>
    <w:rsid w:val="00EE28CB"/>
    <w:rsid w:val="00EE3251"/>
    <w:rsid w:val="00EE4F60"/>
    <w:rsid w:val="00EE500C"/>
    <w:rsid w:val="00EE5C71"/>
    <w:rsid w:val="00EE5F6B"/>
    <w:rsid w:val="00EE6CEF"/>
    <w:rsid w:val="00EE6D00"/>
    <w:rsid w:val="00EE76C0"/>
    <w:rsid w:val="00EF0577"/>
    <w:rsid w:val="00EF0738"/>
    <w:rsid w:val="00EF0912"/>
    <w:rsid w:val="00EF1F6B"/>
    <w:rsid w:val="00EF26C3"/>
    <w:rsid w:val="00EF27AA"/>
    <w:rsid w:val="00EF2A27"/>
    <w:rsid w:val="00EF379D"/>
    <w:rsid w:val="00EF3899"/>
    <w:rsid w:val="00EF48EE"/>
    <w:rsid w:val="00EF49F4"/>
    <w:rsid w:val="00EF4A60"/>
    <w:rsid w:val="00EF5BBE"/>
    <w:rsid w:val="00EF5E14"/>
    <w:rsid w:val="00EF6812"/>
    <w:rsid w:val="00EF68E5"/>
    <w:rsid w:val="00EF7C76"/>
    <w:rsid w:val="00F01234"/>
    <w:rsid w:val="00F0139A"/>
    <w:rsid w:val="00F01792"/>
    <w:rsid w:val="00F01C23"/>
    <w:rsid w:val="00F0216D"/>
    <w:rsid w:val="00F02220"/>
    <w:rsid w:val="00F02463"/>
    <w:rsid w:val="00F02CF2"/>
    <w:rsid w:val="00F04179"/>
    <w:rsid w:val="00F04517"/>
    <w:rsid w:val="00F05390"/>
    <w:rsid w:val="00F05670"/>
    <w:rsid w:val="00F05D1C"/>
    <w:rsid w:val="00F06B58"/>
    <w:rsid w:val="00F07D4B"/>
    <w:rsid w:val="00F109EF"/>
    <w:rsid w:val="00F10BB8"/>
    <w:rsid w:val="00F10BF6"/>
    <w:rsid w:val="00F1154E"/>
    <w:rsid w:val="00F11F2C"/>
    <w:rsid w:val="00F1267E"/>
    <w:rsid w:val="00F127AA"/>
    <w:rsid w:val="00F148D5"/>
    <w:rsid w:val="00F15005"/>
    <w:rsid w:val="00F15124"/>
    <w:rsid w:val="00F15C32"/>
    <w:rsid w:val="00F17568"/>
    <w:rsid w:val="00F20444"/>
    <w:rsid w:val="00F209CD"/>
    <w:rsid w:val="00F20CBD"/>
    <w:rsid w:val="00F23A79"/>
    <w:rsid w:val="00F245B2"/>
    <w:rsid w:val="00F24DCB"/>
    <w:rsid w:val="00F2547A"/>
    <w:rsid w:val="00F2576F"/>
    <w:rsid w:val="00F264B7"/>
    <w:rsid w:val="00F26A21"/>
    <w:rsid w:val="00F2751B"/>
    <w:rsid w:val="00F3029B"/>
    <w:rsid w:val="00F3055D"/>
    <w:rsid w:val="00F30672"/>
    <w:rsid w:val="00F30CE5"/>
    <w:rsid w:val="00F31C7B"/>
    <w:rsid w:val="00F322CC"/>
    <w:rsid w:val="00F328BA"/>
    <w:rsid w:val="00F3311C"/>
    <w:rsid w:val="00F335AC"/>
    <w:rsid w:val="00F3396F"/>
    <w:rsid w:val="00F33A1B"/>
    <w:rsid w:val="00F350CF"/>
    <w:rsid w:val="00F3518B"/>
    <w:rsid w:val="00F352EB"/>
    <w:rsid w:val="00F35392"/>
    <w:rsid w:val="00F36886"/>
    <w:rsid w:val="00F37B82"/>
    <w:rsid w:val="00F37D62"/>
    <w:rsid w:val="00F406F9"/>
    <w:rsid w:val="00F41381"/>
    <w:rsid w:val="00F41CB4"/>
    <w:rsid w:val="00F420B3"/>
    <w:rsid w:val="00F440EF"/>
    <w:rsid w:val="00F444D7"/>
    <w:rsid w:val="00F4613F"/>
    <w:rsid w:val="00F4622A"/>
    <w:rsid w:val="00F463BB"/>
    <w:rsid w:val="00F46496"/>
    <w:rsid w:val="00F46944"/>
    <w:rsid w:val="00F50409"/>
    <w:rsid w:val="00F51430"/>
    <w:rsid w:val="00F51D88"/>
    <w:rsid w:val="00F524C5"/>
    <w:rsid w:val="00F52B25"/>
    <w:rsid w:val="00F530FE"/>
    <w:rsid w:val="00F5313A"/>
    <w:rsid w:val="00F53D7E"/>
    <w:rsid w:val="00F5445F"/>
    <w:rsid w:val="00F552AA"/>
    <w:rsid w:val="00F563F3"/>
    <w:rsid w:val="00F569DA"/>
    <w:rsid w:val="00F56D49"/>
    <w:rsid w:val="00F56EDA"/>
    <w:rsid w:val="00F57845"/>
    <w:rsid w:val="00F57C54"/>
    <w:rsid w:val="00F57D6D"/>
    <w:rsid w:val="00F603FC"/>
    <w:rsid w:val="00F60A93"/>
    <w:rsid w:val="00F61548"/>
    <w:rsid w:val="00F61A55"/>
    <w:rsid w:val="00F61AFB"/>
    <w:rsid w:val="00F62897"/>
    <w:rsid w:val="00F62A55"/>
    <w:rsid w:val="00F645A1"/>
    <w:rsid w:val="00F647DA"/>
    <w:rsid w:val="00F6486C"/>
    <w:rsid w:val="00F6528B"/>
    <w:rsid w:val="00F656AA"/>
    <w:rsid w:val="00F6717A"/>
    <w:rsid w:val="00F672A5"/>
    <w:rsid w:val="00F67F82"/>
    <w:rsid w:val="00F7047C"/>
    <w:rsid w:val="00F7089E"/>
    <w:rsid w:val="00F708A3"/>
    <w:rsid w:val="00F71FAD"/>
    <w:rsid w:val="00F72603"/>
    <w:rsid w:val="00F72807"/>
    <w:rsid w:val="00F73949"/>
    <w:rsid w:val="00F73C8B"/>
    <w:rsid w:val="00F73FC2"/>
    <w:rsid w:val="00F74169"/>
    <w:rsid w:val="00F7423A"/>
    <w:rsid w:val="00F746EC"/>
    <w:rsid w:val="00F74807"/>
    <w:rsid w:val="00F749E3"/>
    <w:rsid w:val="00F7521A"/>
    <w:rsid w:val="00F75EC2"/>
    <w:rsid w:val="00F763E9"/>
    <w:rsid w:val="00F76532"/>
    <w:rsid w:val="00F76E52"/>
    <w:rsid w:val="00F7768A"/>
    <w:rsid w:val="00F8036B"/>
    <w:rsid w:val="00F80A7C"/>
    <w:rsid w:val="00F80EA9"/>
    <w:rsid w:val="00F813EC"/>
    <w:rsid w:val="00F81623"/>
    <w:rsid w:val="00F816D2"/>
    <w:rsid w:val="00F81892"/>
    <w:rsid w:val="00F81A75"/>
    <w:rsid w:val="00F82A02"/>
    <w:rsid w:val="00F8389B"/>
    <w:rsid w:val="00F83E8B"/>
    <w:rsid w:val="00F8418D"/>
    <w:rsid w:val="00F84484"/>
    <w:rsid w:val="00F8468F"/>
    <w:rsid w:val="00F84707"/>
    <w:rsid w:val="00F849B2"/>
    <w:rsid w:val="00F8543A"/>
    <w:rsid w:val="00F866A5"/>
    <w:rsid w:val="00F87400"/>
    <w:rsid w:val="00F92E98"/>
    <w:rsid w:val="00F9459D"/>
    <w:rsid w:val="00F9462A"/>
    <w:rsid w:val="00F95180"/>
    <w:rsid w:val="00F954F6"/>
    <w:rsid w:val="00F9559C"/>
    <w:rsid w:val="00F967B3"/>
    <w:rsid w:val="00F96C65"/>
    <w:rsid w:val="00F975E4"/>
    <w:rsid w:val="00FA058F"/>
    <w:rsid w:val="00FA1506"/>
    <w:rsid w:val="00FA19E8"/>
    <w:rsid w:val="00FA26B3"/>
    <w:rsid w:val="00FA2732"/>
    <w:rsid w:val="00FA2CBB"/>
    <w:rsid w:val="00FA3250"/>
    <w:rsid w:val="00FA4D39"/>
    <w:rsid w:val="00FA53DF"/>
    <w:rsid w:val="00FA6372"/>
    <w:rsid w:val="00FA66E6"/>
    <w:rsid w:val="00FA68E4"/>
    <w:rsid w:val="00FA78BE"/>
    <w:rsid w:val="00FA7923"/>
    <w:rsid w:val="00FB22EB"/>
    <w:rsid w:val="00FB2998"/>
    <w:rsid w:val="00FB37D5"/>
    <w:rsid w:val="00FB3C90"/>
    <w:rsid w:val="00FB3CE4"/>
    <w:rsid w:val="00FB43A0"/>
    <w:rsid w:val="00FB5548"/>
    <w:rsid w:val="00FB676A"/>
    <w:rsid w:val="00FB75A9"/>
    <w:rsid w:val="00FB77AF"/>
    <w:rsid w:val="00FB7C7C"/>
    <w:rsid w:val="00FB7EBF"/>
    <w:rsid w:val="00FC08E7"/>
    <w:rsid w:val="00FC0ED4"/>
    <w:rsid w:val="00FC18BE"/>
    <w:rsid w:val="00FC1E1D"/>
    <w:rsid w:val="00FC2877"/>
    <w:rsid w:val="00FC2B16"/>
    <w:rsid w:val="00FC31B3"/>
    <w:rsid w:val="00FC42D3"/>
    <w:rsid w:val="00FC4ED2"/>
    <w:rsid w:val="00FC68E4"/>
    <w:rsid w:val="00FC78E3"/>
    <w:rsid w:val="00FD0C00"/>
    <w:rsid w:val="00FD1874"/>
    <w:rsid w:val="00FD1ABD"/>
    <w:rsid w:val="00FD1DAD"/>
    <w:rsid w:val="00FD20F4"/>
    <w:rsid w:val="00FD232F"/>
    <w:rsid w:val="00FD2508"/>
    <w:rsid w:val="00FD2615"/>
    <w:rsid w:val="00FD3025"/>
    <w:rsid w:val="00FD33C3"/>
    <w:rsid w:val="00FD5B27"/>
    <w:rsid w:val="00FD63B1"/>
    <w:rsid w:val="00FD6440"/>
    <w:rsid w:val="00FD6C35"/>
    <w:rsid w:val="00FD7FCE"/>
    <w:rsid w:val="00FE0328"/>
    <w:rsid w:val="00FE06B1"/>
    <w:rsid w:val="00FE097A"/>
    <w:rsid w:val="00FE1C10"/>
    <w:rsid w:val="00FE1E5B"/>
    <w:rsid w:val="00FE2718"/>
    <w:rsid w:val="00FE2F5A"/>
    <w:rsid w:val="00FE3CC3"/>
    <w:rsid w:val="00FE4100"/>
    <w:rsid w:val="00FE4EDD"/>
    <w:rsid w:val="00FE548F"/>
    <w:rsid w:val="00FE5E0F"/>
    <w:rsid w:val="00FE6361"/>
    <w:rsid w:val="00FE65DD"/>
    <w:rsid w:val="00FE65E1"/>
    <w:rsid w:val="00FE6B48"/>
    <w:rsid w:val="00FE75DE"/>
    <w:rsid w:val="00FE7999"/>
    <w:rsid w:val="00FF1053"/>
    <w:rsid w:val="00FF1850"/>
    <w:rsid w:val="00FF1D7D"/>
    <w:rsid w:val="00FF2584"/>
    <w:rsid w:val="00FF2743"/>
    <w:rsid w:val="00FF2BC9"/>
    <w:rsid w:val="00FF2BFF"/>
    <w:rsid w:val="00FF2F76"/>
    <w:rsid w:val="00FF3371"/>
    <w:rsid w:val="00FF3389"/>
    <w:rsid w:val="00FF3980"/>
    <w:rsid w:val="00FF44CB"/>
    <w:rsid w:val="00FF4840"/>
    <w:rsid w:val="00FF4D30"/>
    <w:rsid w:val="00FF4F16"/>
    <w:rsid w:val="00FF4F99"/>
    <w:rsid w:val="00FF5227"/>
    <w:rsid w:val="00FF5F18"/>
    <w:rsid w:val="00FF68E0"/>
    <w:rsid w:val="00FF71B9"/>
    <w:rsid w:val="00FF767D"/>
    <w:rsid w:val="02BECC3E"/>
    <w:rsid w:val="02E3BF9A"/>
    <w:rsid w:val="034613B6"/>
    <w:rsid w:val="0359D9C2"/>
    <w:rsid w:val="046F8E11"/>
    <w:rsid w:val="064FDD65"/>
    <w:rsid w:val="06F42327"/>
    <w:rsid w:val="077ED26B"/>
    <w:rsid w:val="07913179"/>
    <w:rsid w:val="07C9A79F"/>
    <w:rsid w:val="096DB636"/>
    <w:rsid w:val="0FA17354"/>
    <w:rsid w:val="0FE8E997"/>
    <w:rsid w:val="1244E90A"/>
    <w:rsid w:val="138D1A6B"/>
    <w:rsid w:val="139DAF62"/>
    <w:rsid w:val="1468C122"/>
    <w:rsid w:val="167E37E5"/>
    <w:rsid w:val="17080F5F"/>
    <w:rsid w:val="18D7CEB3"/>
    <w:rsid w:val="1953FEF5"/>
    <w:rsid w:val="1C0331AE"/>
    <w:rsid w:val="1CC2F506"/>
    <w:rsid w:val="1CD2C251"/>
    <w:rsid w:val="1DF34B51"/>
    <w:rsid w:val="1EE4C7E1"/>
    <w:rsid w:val="1F119920"/>
    <w:rsid w:val="1FA2205C"/>
    <w:rsid w:val="20529F9E"/>
    <w:rsid w:val="2128FA49"/>
    <w:rsid w:val="23F67A27"/>
    <w:rsid w:val="24984FB0"/>
    <w:rsid w:val="251370F6"/>
    <w:rsid w:val="26AE17FF"/>
    <w:rsid w:val="26FD27F8"/>
    <w:rsid w:val="2AC3360A"/>
    <w:rsid w:val="2D544648"/>
    <w:rsid w:val="2FFC13BE"/>
    <w:rsid w:val="30457B90"/>
    <w:rsid w:val="3163D85A"/>
    <w:rsid w:val="33BBC3A0"/>
    <w:rsid w:val="38CA3A0F"/>
    <w:rsid w:val="39068E03"/>
    <w:rsid w:val="3936649B"/>
    <w:rsid w:val="399F56EB"/>
    <w:rsid w:val="39C72152"/>
    <w:rsid w:val="39FC4C5D"/>
    <w:rsid w:val="3D43A9D5"/>
    <w:rsid w:val="3D4426E5"/>
    <w:rsid w:val="3DA13734"/>
    <w:rsid w:val="3DE760FC"/>
    <w:rsid w:val="3E543AA6"/>
    <w:rsid w:val="3FAD76CD"/>
    <w:rsid w:val="406BD59E"/>
    <w:rsid w:val="40D4F083"/>
    <w:rsid w:val="43028067"/>
    <w:rsid w:val="43E188E8"/>
    <w:rsid w:val="43EB2EEF"/>
    <w:rsid w:val="4562EC1D"/>
    <w:rsid w:val="4770AA4F"/>
    <w:rsid w:val="477CEEDC"/>
    <w:rsid w:val="49460B06"/>
    <w:rsid w:val="495D8097"/>
    <w:rsid w:val="49DF0418"/>
    <w:rsid w:val="4B22A909"/>
    <w:rsid w:val="4B545D95"/>
    <w:rsid w:val="4B8EF7B2"/>
    <w:rsid w:val="4EEFF2B4"/>
    <w:rsid w:val="52922D1A"/>
    <w:rsid w:val="532A924F"/>
    <w:rsid w:val="536DF8E5"/>
    <w:rsid w:val="53C5A820"/>
    <w:rsid w:val="542AC687"/>
    <w:rsid w:val="543275EB"/>
    <w:rsid w:val="54923324"/>
    <w:rsid w:val="5657E41B"/>
    <w:rsid w:val="56DF6A51"/>
    <w:rsid w:val="5840BFCC"/>
    <w:rsid w:val="5A890633"/>
    <w:rsid w:val="5A8A1C5C"/>
    <w:rsid w:val="5D16835D"/>
    <w:rsid w:val="5D47E51B"/>
    <w:rsid w:val="5F268DA3"/>
    <w:rsid w:val="5FF44BCD"/>
    <w:rsid w:val="6380E32F"/>
    <w:rsid w:val="6439F2DF"/>
    <w:rsid w:val="6828F70F"/>
    <w:rsid w:val="68308855"/>
    <w:rsid w:val="69E2FEFD"/>
    <w:rsid w:val="6C0ADE60"/>
    <w:rsid w:val="6D5A5ECE"/>
    <w:rsid w:val="6EE7D017"/>
    <w:rsid w:val="6F1FA7D6"/>
    <w:rsid w:val="70E43655"/>
    <w:rsid w:val="717B188F"/>
    <w:rsid w:val="7297E005"/>
    <w:rsid w:val="76B4DAB0"/>
    <w:rsid w:val="7BA4BE5F"/>
    <w:rsid w:val="7C4F8DD3"/>
    <w:rsid w:val="7CFDF463"/>
    <w:rsid w:val="7E8B1DD2"/>
    <w:rsid w:val="7F9D02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C56BF5B0-EC2B-43D7-89D8-FF9FB5EF935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2D"/>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FollowedHyperlink">
    <w:name w:val="FollowedHyperlink"/>
    <w:basedOn w:val="DefaultParagraphFont"/>
    <w:uiPriority w:val="99"/>
    <w:semiHidden/>
    <w:unhideWhenUsed/>
    <w:rsid w:val="00082763"/>
    <w:rPr>
      <w:color w:val="96607D" w:themeColor="followedHyperlink"/>
      <w:u w:val="single"/>
    </w:rPr>
  </w:style>
  <w:style w:type="character" w:styleId="UnresolvedMention">
    <w:name w:val="Unresolved Mention"/>
    <w:basedOn w:val="DefaultParagraphFont"/>
    <w:uiPriority w:val="99"/>
    <w:semiHidden/>
    <w:unhideWhenUsed/>
    <w:rsid w:val="00955AB8"/>
    <w:rPr>
      <w:color w:val="605E5C"/>
      <w:shd w:val="clear" w:color="auto" w:fill="E1DFDD"/>
    </w:rPr>
  </w:style>
  <w:style w:type="character" w:styleId="Mention">
    <w:name w:val="Mention"/>
    <w:basedOn w:val="DefaultParagraphFont"/>
    <w:uiPriority w:val="99"/>
    <w:unhideWhenUsed/>
    <w:rsid w:val="00A760D7"/>
    <w:rPr>
      <w:color w:val="2B579A"/>
      <w:shd w:val="clear" w:color="auto" w:fill="E1DFDD"/>
    </w:rPr>
  </w:style>
  <w:style w:type="paragraph" w:styleId="Revision">
    <w:name w:val="Revision"/>
    <w:hidden/>
    <w:uiPriority w:val="99"/>
    <w:semiHidden/>
    <w:rsid w:val="00874755"/>
    <w:pPr>
      <w:spacing w:after="0" w:line="240" w:lineRule="auto"/>
    </w:pPr>
  </w:style>
  <w:style w:type="paragraph" w:styleId="FootnoteText">
    <w:name w:val="footnote text"/>
    <w:basedOn w:val="Normal"/>
    <w:link w:val="FootnoteTextChar"/>
    <w:uiPriority w:val="99"/>
    <w:semiHidden/>
    <w:unhideWhenUsed/>
    <w:rsid w:val="00874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755"/>
    <w:rPr>
      <w:sz w:val="20"/>
      <w:szCs w:val="20"/>
    </w:rPr>
  </w:style>
  <w:style w:type="character" w:styleId="FootnoteReference">
    <w:name w:val="footnote reference"/>
    <w:basedOn w:val="DefaultParagraphFont"/>
    <w:uiPriority w:val="99"/>
    <w:semiHidden/>
    <w:unhideWhenUsed/>
    <w:rsid w:val="00874755"/>
    <w:rPr>
      <w:vertAlign w:val="superscript"/>
    </w:rPr>
  </w:style>
  <w:style w:type="table" w:styleId="TableGrid">
    <w:name w:val="Table Grid"/>
    <w:basedOn w:val="TableNormal"/>
    <w:uiPriority w:val="39"/>
    <w:rsid w:val="0087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475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ce.com/business/smart-energy-solar/solar-for-business/grid-interconnections/backup-systems" TargetMode="External"/><Relationship Id="rId2" Type="http://schemas.openxmlformats.org/officeDocument/2006/relationships/hyperlink" Target="https://www.energy.ca.gov/publications/2023/senate-bill-846-load-shift-goal-report" TargetMode="External"/><Relationship Id="rId1" Type="http://schemas.openxmlformats.org/officeDocument/2006/relationships/hyperlink" Target="https://gridworks.org/wp-content/uploads/2020/07/VGI-Working-Group-Final-Report-6.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94eb0b-0742-491f-921b-4c8fe009313f" xsi:nil="true"/>
    <lcf76f155ced4ddcb4097134ff3c332f xmlns="b2d2777c-a1f1-404e-80d5-4b6b735f5353">
      <Terms xmlns="http://schemas.microsoft.com/office/infopath/2007/PartnerControls"/>
    </lcf76f155ced4ddcb4097134ff3c332f>
    <OtherDivisionLeads xmlns="b2d2777c-a1f1-404e-80d5-4b6b735f5353">
      <UserInfo>
        <DisplayName/>
        <AccountId xsi:nil="true"/>
        <AccountType/>
      </UserInfo>
    </OtherDivisionLeads>
    <BCPLead_x0028_s_x0029_ xmlns="b2d2777c-a1f1-404e-80d5-4b6b735f5353">
      <UserInfo>
        <DisplayName/>
        <AccountId xsi:nil="true"/>
        <AccountType/>
      </UserInfo>
    </BCPLead_x0028_s_x0029_>
    <Positions xmlns="b2d2777c-a1f1-404e-80d5-4b6b735f5353" xsi:nil="true"/>
    <BCPName xmlns="b2d2777c-a1f1-404e-80d5-4b6b735f5353" xsi:nil="true"/>
    <DateSignedbyGovernor xmlns="b2d2777c-a1f1-404e-80d5-4b6b735f5353" xsi:nil="true"/>
    <Link xmlns="b2d2777c-a1f1-404e-80d5-4b6b735f5353">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D0DC434EC93649981C54FC51FEC81B" ma:contentTypeVersion="23" ma:contentTypeDescription="Create a new document." ma:contentTypeScope="" ma:versionID="a5562ebecc481c493f2640d6686b12cc">
  <xsd:schema xmlns:xsd="http://www.w3.org/2001/XMLSchema" xmlns:xs="http://www.w3.org/2001/XMLSchema" xmlns:p="http://schemas.microsoft.com/office/2006/metadata/properties" xmlns:ns2="b2d2777c-a1f1-404e-80d5-4b6b735f5353" xmlns:ns3="5294eb0b-0742-491f-921b-4c8fe009313f" targetNamespace="http://schemas.microsoft.com/office/2006/metadata/properties" ma:root="true" ma:fieldsID="a2c692c175dc4a9c562771b57dfd4237" ns2:_="" ns3:_="">
    <xsd:import namespace="b2d2777c-a1f1-404e-80d5-4b6b735f5353"/>
    <xsd:import namespace="5294eb0b-0742-491f-921b-4c8fe00931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BCPLead_x0028_s_x0029_" minOccurs="0"/>
                <xsd:element ref="ns2:BCPName" minOccurs="0"/>
                <xsd:element ref="ns2:Positions" minOccurs="0"/>
                <xsd:element ref="ns2:OtherDivisionLeads" minOccurs="0"/>
                <xsd:element ref="ns2:DateSignedbyGovernor" minOccurs="0"/>
                <xsd:element ref="ns2:lcf76f155ced4ddcb4097134ff3c332f" minOccurs="0"/>
                <xsd:element ref="ns3:TaxCatchAll"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2777c-a1f1-404e-80d5-4b6b735f5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BCPLead_x0028_s_x0029_" ma:index="19" nillable="true" ma:displayName="ED Lead" ma:description="Energy Division lead for BCP" ma:format="Dropdown" ma:list="UserInfo" ma:SharePointGroup="0" ma:internalName="BCPLead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CPName" ma:index="20" nillable="true" ma:displayName="BCP Name" ma:format="Dropdown" ma:internalName="BCPName">
      <xsd:simpleType>
        <xsd:restriction base="dms:Text">
          <xsd:maxLength value="255"/>
        </xsd:restriction>
      </xsd:simpleType>
    </xsd:element>
    <xsd:element name="Positions" ma:index="21" nillable="true" ma:displayName="Positions" ma:format="Dropdown" ma:internalName="Positions">
      <xsd:simpleType>
        <xsd:restriction base="dms:Note">
          <xsd:maxLength value="255"/>
        </xsd:restriction>
      </xsd:simpleType>
    </xsd:element>
    <xsd:element name="OtherDivisionLeads" ma:index="22" nillable="true" ma:displayName="Other Lead(s)" ma:format="Dropdown" ma:list="UserInfo" ma:SharePointGroup="0" ma:internalName="OtherDivisionLead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SignedbyGovernor" ma:index="23" nillable="true" ma:displayName="Date Signed by Governor" ma:format="DateTime" ma:internalName="DateSignedbyGovernor">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ink" ma:index="2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94eb0b-0742-491f-921b-4c8fe00931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86ee5c-bc1d-4224-b12b-34228e56b313}" ma:internalName="TaxCatchAll" ma:showField="CatchAllData" ma:web="5294eb0b-0742-491f-921b-4c8fe0093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5294eb0b-0742-491f-921b-4c8fe009313f"/>
    <ds:schemaRef ds:uri="b2d2777c-a1f1-404e-80d5-4b6b735f5353"/>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CAEC9A6A-4E34-44B7-A9A8-1AED5873F432}">
  <ds:schemaRefs>
    <ds:schemaRef ds:uri="http://schemas.openxmlformats.org/officeDocument/2006/bibliography"/>
  </ds:schemaRefs>
</ds:datastoreItem>
</file>

<file path=customXml/itemProps4.xml><?xml version="1.0" encoding="utf-8"?>
<ds:datastoreItem xmlns:ds="http://schemas.openxmlformats.org/officeDocument/2006/customXml" ds:itemID="{C863C4B0-A340-448D-B71C-4F8989902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2777c-a1f1-404e-80d5-4b6b735f5353"/>
    <ds:schemaRef ds:uri="5294eb0b-0742-491f-921b-4c8fe0093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7485</ap:Words>
  <ap:Characters>42671</ap:Characters>
  <ap:Application>Microsoft Office Word</ap:Application>
  <ap:DocSecurity>0</ap:DocSecurity>
  <ap:Lines>355</ap:Lines>
  <ap:Paragraphs>100</ap:Paragraphs>
  <ap:ScaleCrop>false</ap:ScaleCrop>
  <ap:Company/>
  <ap:LinksUpToDate>false</ap:LinksUpToDate>
  <ap:CharactersWithSpaces>50056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2026-02-11T11:55:53Z</dcterms:created>
  <dcterms:modified xsi:type="dcterms:W3CDTF">2026-02-11T11:55:53Z</dcterms:modified>
</cp:coreProperties>
</file>