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6803" w:rsidR="00C42C76" w:rsidP="00C42C76" w:rsidRDefault="00C42C76" w14:paraId="71F2214F" w14:textId="0D22C2D3">
      <w:pPr>
        <w:tabs>
          <w:tab w:val="center" w:pos="4680"/>
          <w:tab w:val="right" w:pos="9360"/>
        </w:tabs>
        <w:spacing w:line="240" w:lineRule="auto"/>
        <w:ind w:firstLine="0"/>
        <w:rPr>
          <w:b/>
        </w:rPr>
      </w:pPr>
      <w:r w:rsidRPr="00D56803">
        <w:t>ALJ/</w:t>
      </w:r>
      <w:r>
        <w:t>PPE</w:t>
      </w:r>
      <w:r w:rsidRPr="00D56803">
        <w:t>/jds</w:t>
      </w:r>
      <w:r w:rsidRPr="00D56803">
        <w:tab/>
      </w:r>
      <w:r w:rsidRPr="00D56803">
        <w:rPr>
          <w:rFonts w:cs="Arial"/>
          <w:b/>
          <w:sz w:val="28"/>
          <w:szCs w:val="28"/>
        </w:rPr>
        <w:tab/>
      </w:r>
      <w:r w:rsidRPr="00D56803">
        <w:rPr>
          <w:b/>
        </w:rPr>
        <w:t xml:space="preserve">Date of Issuance </w:t>
      </w:r>
      <w:r>
        <w:rPr>
          <w:b/>
        </w:rPr>
        <w:t>2</w:t>
      </w:r>
      <w:r w:rsidRPr="00D56803">
        <w:rPr>
          <w:b/>
        </w:rPr>
        <w:t>/</w:t>
      </w:r>
      <w:r>
        <w:rPr>
          <w:b/>
        </w:rPr>
        <w:t>1</w:t>
      </w:r>
      <w:r w:rsidR="00626A52">
        <w:rPr>
          <w:b/>
        </w:rPr>
        <w:t>1</w:t>
      </w:r>
      <w:r w:rsidRPr="00D56803">
        <w:rPr>
          <w:b/>
        </w:rPr>
        <w:t>/202</w:t>
      </w:r>
      <w:r>
        <w:rPr>
          <w:b/>
        </w:rPr>
        <w:t>6</w:t>
      </w:r>
    </w:p>
    <w:p w:rsidRPr="00D56803" w:rsidR="00C42C76" w:rsidP="00C42C76" w:rsidRDefault="00C42C76" w14:paraId="70F4D4CC" w14:textId="77777777">
      <w:pPr>
        <w:spacing w:line="240" w:lineRule="auto"/>
        <w:ind w:firstLine="0"/>
        <w:rPr>
          <w:rFonts w:eastAsia="Times New Roman" w:cs="Times New Roman"/>
          <w:szCs w:val="20"/>
        </w:rPr>
      </w:pPr>
    </w:p>
    <w:p w:rsidRPr="00D56803" w:rsidR="00C42C76" w:rsidP="00C42C76" w:rsidRDefault="00C42C76" w14:paraId="7B94951C" w14:textId="77777777">
      <w:pPr>
        <w:spacing w:line="240" w:lineRule="auto"/>
        <w:ind w:firstLine="0"/>
        <w:rPr>
          <w:rFonts w:eastAsia="Times New Roman" w:cs="Times New Roman"/>
          <w:szCs w:val="20"/>
        </w:rPr>
      </w:pPr>
    </w:p>
    <w:p w:rsidRPr="00D56803" w:rsidR="00C42C76" w:rsidP="00C42C76" w:rsidRDefault="00C42C76" w14:paraId="0E294EE2" w14:textId="00EDF3B8">
      <w:pPr>
        <w:spacing w:line="240" w:lineRule="auto"/>
        <w:ind w:firstLine="0"/>
        <w:rPr>
          <w:rFonts w:eastAsia="Times New Roman" w:cs="Times New Roman"/>
          <w:szCs w:val="20"/>
        </w:rPr>
      </w:pPr>
      <w:r w:rsidRPr="00D56803">
        <w:rPr>
          <w:rFonts w:eastAsia="Times New Roman" w:cs="Times New Roman"/>
          <w:szCs w:val="20"/>
        </w:rPr>
        <w:t xml:space="preserve">Decision </w:t>
      </w:r>
      <w:r w:rsidRPr="00C42C76">
        <w:rPr>
          <w:rFonts w:eastAsia="Times New Roman" w:cs="Times New Roman"/>
          <w:szCs w:val="20"/>
        </w:rPr>
        <w:t>26-02-007</w:t>
      </w:r>
      <w:r w:rsidRPr="00D56803">
        <w:rPr>
          <w:rFonts w:eastAsia="Times New Roman" w:cs="Times New Roman"/>
          <w:szCs w:val="20"/>
        </w:rPr>
        <w:t xml:space="preserve">  </w:t>
      </w:r>
      <w:r>
        <w:rPr>
          <w:rFonts w:eastAsia="Times New Roman" w:cs="Times New Roman"/>
          <w:szCs w:val="20"/>
        </w:rPr>
        <w:t>February 5</w:t>
      </w:r>
      <w:r w:rsidRPr="00D56803">
        <w:rPr>
          <w:rFonts w:eastAsia="Times New Roman" w:cs="Times New Roman"/>
          <w:szCs w:val="20"/>
        </w:rPr>
        <w:t>, 202</w:t>
      </w:r>
      <w:r>
        <w:rPr>
          <w:rFonts w:eastAsia="Times New Roman" w:cs="Times New Roman"/>
          <w:szCs w:val="20"/>
        </w:rPr>
        <w:t>6</w:t>
      </w:r>
    </w:p>
    <w:p w:rsidRPr="00D56803" w:rsidR="00C42C76" w:rsidP="00C42C76" w:rsidRDefault="00C42C76" w14:paraId="61C3E361" w14:textId="77777777">
      <w:pPr>
        <w:spacing w:line="240" w:lineRule="auto"/>
        <w:ind w:firstLine="0"/>
        <w:rPr>
          <w:rFonts w:eastAsia="Times New Roman" w:cs="Times New Roman"/>
          <w:szCs w:val="20"/>
        </w:rPr>
      </w:pPr>
    </w:p>
    <w:p w:rsidRPr="00D56803" w:rsidR="00C42C76" w:rsidP="00C42C76" w:rsidRDefault="00C42C76" w14:paraId="32F6F1AE" w14:textId="77777777">
      <w:pPr>
        <w:spacing w:line="240" w:lineRule="auto"/>
        <w:ind w:firstLine="0"/>
        <w:rPr>
          <w:rFonts w:eastAsia="Times New Roman" w:cs="Times New Roman"/>
          <w:szCs w:val="20"/>
        </w:rPr>
      </w:pPr>
    </w:p>
    <w:p w:rsidR="00DA7B5D" w:rsidP="00BB0243" w:rsidRDefault="00DA7B5D" w14:paraId="37B9EEF3"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7310A116"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2811AA77"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CE5B29" w14:paraId="6000CDC3" w14:textId="75CAB3FA">
            <w:pPr>
              <w:spacing w:line="240" w:lineRule="auto"/>
              <w:ind w:firstLine="0"/>
              <w:rPr>
                <w:rFonts w:cs="Arial"/>
                <w:szCs w:val="26"/>
              </w:rPr>
            </w:pPr>
            <w:r>
              <w:rPr>
                <w:rFonts w:cs="Arial"/>
                <w:szCs w:val="26"/>
              </w:rPr>
              <w:t>In the Matter of the Application of PacifiCorp</w:t>
            </w:r>
            <w:r w:rsidR="00A16979">
              <w:rPr>
                <w:rFonts w:cs="Arial"/>
                <w:szCs w:val="26"/>
              </w:rPr>
              <w:t xml:space="preserve"> </w:t>
            </w:r>
            <w:r w:rsidR="00A05F3D">
              <w:rPr>
                <w:rFonts w:cs="Arial"/>
                <w:szCs w:val="26"/>
              </w:rPr>
              <w:t>(U</w:t>
            </w:r>
            <w:r w:rsidR="0061424F">
              <w:rPr>
                <w:rFonts w:cs="Arial"/>
                <w:szCs w:val="26"/>
              </w:rPr>
              <w:t>-</w:t>
            </w:r>
            <w:r w:rsidR="00A05F3D">
              <w:rPr>
                <w:rFonts w:cs="Arial"/>
                <w:szCs w:val="26"/>
              </w:rPr>
              <w:t>901E)</w:t>
            </w:r>
            <w:r w:rsidR="00346E7D">
              <w:rPr>
                <w:rFonts w:cs="Arial"/>
                <w:szCs w:val="26"/>
              </w:rPr>
              <w:t xml:space="preserve"> for Authority to Establish the North Temple Property Memorandum Account</w:t>
            </w:r>
            <w:r w:rsidRPr="00DA7B5D" w:rsid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346E7D" w14:paraId="19E2ACF3" w14:textId="6F992819">
            <w:pPr>
              <w:spacing w:line="240" w:lineRule="auto"/>
              <w:ind w:firstLine="0"/>
              <w:jc w:val="center"/>
              <w:rPr>
                <w:rFonts w:cs="Arial"/>
                <w:szCs w:val="26"/>
              </w:rPr>
            </w:pPr>
            <w:r>
              <w:rPr>
                <w:rFonts w:cs="Arial"/>
                <w:szCs w:val="26"/>
              </w:rPr>
              <w:t xml:space="preserve">Application </w:t>
            </w:r>
            <w:r w:rsidR="00C8368A">
              <w:rPr>
                <w:rFonts w:cs="Arial"/>
                <w:szCs w:val="26"/>
              </w:rPr>
              <w:t>24-05-013</w:t>
            </w:r>
          </w:p>
        </w:tc>
      </w:tr>
    </w:tbl>
    <w:p w:rsidR="00DA7B5D" w:rsidP="008F0116" w:rsidRDefault="00DA7B5D" w14:paraId="48C555F2" w14:textId="77777777">
      <w:pPr>
        <w:spacing w:line="240" w:lineRule="auto"/>
        <w:ind w:firstLine="0"/>
        <w:rPr>
          <w:rFonts w:ascii="Arial" w:hAnsi="Arial" w:cs="Arial"/>
          <w:sz w:val="24"/>
          <w:szCs w:val="24"/>
        </w:rPr>
      </w:pPr>
    </w:p>
    <w:p w:rsidR="00DA7B5D" w:rsidP="008F0116" w:rsidRDefault="00DA7B5D" w14:paraId="557F0007" w14:textId="77777777">
      <w:pPr>
        <w:spacing w:line="240" w:lineRule="auto"/>
        <w:ind w:firstLine="0"/>
        <w:rPr>
          <w:rFonts w:ascii="Arial" w:hAnsi="Arial" w:cs="Arial"/>
          <w:sz w:val="24"/>
          <w:szCs w:val="24"/>
        </w:rPr>
      </w:pPr>
    </w:p>
    <w:p w:rsidR="00902384" w:rsidP="00902384" w:rsidRDefault="00C8368A" w14:paraId="5783E22E" w14:textId="4C49B571">
      <w:pPr>
        <w:pStyle w:val="Dummy"/>
        <w:jc w:val="center"/>
      </w:pPr>
      <w:bookmarkStart w:name="_Hlk199862538" w:id="0"/>
      <w:r>
        <w:t xml:space="preserve">DECISION </w:t>
      </w:r>
      <w:r w:rsidR="00B7030A">
        <w:t>APPROVING PACIFIC</w:t>
      </w:r>
      <w:r w:rsidR="002F7860">
        <w:t>ORP’S APPLICATION FOR AUTHORITY TO ESTABLISH THE NORTH TEMPLE PROPERTY</w:t>
      </w:r>
      <w:r w:rsidR="003F3C02">
        <w:br/>
      </w:r>
      <w:r w:rsidR="002F7860">
        <w:t xml:space="preserve"> MEMORANDUM ACCOUN</w:t>
      </w:r>
      <w:r w:rsidR="009766C6">
        <w:t>T</w:t>
      </w:r>
    </w:p>
    <w:p w:rsidR="005A148C" w:rsidP="00902384" w:rsidRDefault="005A148C" w14:paraId="6A85814C" w14:textId="77777777">
      <w:pPr>
        <w:pStyle w:val="Dummy"/>
        <w:ind w:firstLine="720"/>
      </w:pPr>
      <w:bookmarkStart w:name="_Toc8123714" w:id="1"/>
      <w:bookmarkStart w:name="_Toc133843842" w:id="2"/>
      <w:bookmarkEnd w:id="0"/>
      <w:r>
        <w:t>Summary</w:t>
      </w:r>
      <w:bookmarkEnd w:id="1"/>
      <w:bookmarkEnd w:id="2"/>
    </w:p>
    <w:p w:rsidR="00D75189" w:rsidP="00D75189" w:rsidRDefault="00D75189" w14:paraId="661571B7" w14:textId="5D7EE831">
      <w:pPr>
        <w:pStyle w:val="Standard"/>
        <w:rPr>
          <w:rFonts w:ascii="Arial" w:hAnsi="Arial" w:cs="Arial"/>
          <w:color w:val="000000"/>
        </w:rPr>
      </w:pPr>
      <w:r>
        <w:t>Pursuant to Public Utilities Code §</w:t>
      </w:r>
      <w:r w:rsidR="00B6426B">
        <w:t xml:space="preserve"> </w:t>
      </w:r>
      <w:r>
        <w:t xml:space="preserve">851 and </w:t>
      </w:r>
      <w:r w:rsidRPr="00033035" w:rsidR="00634081">
        <w:t>Commission</w:t>
      </w:r>
      <w:r w:rsidR="00634081">
        <w:t xml:space="preserve"> </w:t>
      </w:r>
      <w:r>
        <w:t>General Order 173</w:t>
      </w:r>
      <w:r>
        <w:rPr>
          <w:rFonts w:cs="Arial"/>
          <w:color w:val="000000"/>
        </w:rPr>
        <w:t>, th</w:t>
      </w:r>
      <w:r w:rsidR="00CD0AC7">
        <w:t>is decision</w:t>
      </w:r>
      <w:r>
        <w:t xml:space="preserve"> approves PacifiCorp’s </w:t>
      </w:r>
      <w:r w:rsidR="00CD0AC7">
        <w:t>a</w:t>
      </w:r>
      <w:r w:rsidR="005A728E">
        <w:t>pplication</w:t>
      </w:r>
      <w:r>
        <w:t xml:space="preserve"> to establish the North Temple </w:t>
      </w:r>
      <w:r w:rsidR="00112628">
        <w:t xml:space="preserve">Property </w:t>
      </w:r>
      <w:r>
        <w:t>Memorandum Account</w:t>
      </w:r>
      <w:r w:rsidR="003833CF">
        <w:t xml:space="preserve"> that</w:t>
      </w:r>
      <w:r w:rsidR="005A728E">
        <w:t xml:space="preserve"> </w:t>
      </w:r>
      <w:r>
        <w:t xml:space="preserve">tracks all funds related to the sale of real property in Utah. </w:t>
      </w:r>
    </w:p>
    <w:p w:rsidR="002461CF" w:rsidP="006E6574" w:rsidRDefault="00C7316C" w14:paraId="62FE179A" w14:textId="76BB265E">
      <w:pPr>
        <w:pStyle w:val="Standard"/>
      </w:pPr>
      <w:r w:rsidRPr="00C7316C">
        <w:t>Application A</w:t>
      </w:r>
      <w:r w:rsidR="008F1435">
        <w:t>.</w:t>
      </w:r>
      <w:r w:rsidRPr="00C7316C">
        <w:t>24-05-013 is closed.</w:t>
      </w:r>
    </w:p>
    <w:p w:rsidRPr="00121089" w:rsidR="005A148C" w:rsidP="00A55ACD" w:rsidRDefault="002C7FE9" w14:paraId="4B284079" w14:textId="77777777">
      <w:pPr>
        <w:pStyle w:val="Heading1"/>
        <w:numPr>
          <w:ilvl w:val="0"/>
          <w:numId w:val="1"/>
        </w:numPr>
      </w:pPr>
      <w:bookmarkStart w:name="_Toc8123715" w:id="3"/>
      <w:bookmarkStart w:name="_Toc133843843" w:id="4"/>
      <w:r w:rsidRPr="00121089">
        <w:t>Background</w:t>
      </w:r>
      <w:bookmarkEnd w:id="3"/>
      <w:bookmarkEnd w:id="4"/>
    </w:p>
    <w:p w:rsidR="0063491C" w:rsidP="001853F0" w:rsidRDefault="0063491C" w14:paraId="0A0FC132" w14:textId="111E1F10">
      <w:pPr>
        <w:pStyle w:val="Heading2"/>
        <w:numPr>
          <w:ilvl w:val="1"/>
          <w:numId w:val="24"/>
        </w:numPr>
      </w:pPr>
      <w:bookmarkStart w:name="_Toc8123716" w:id="5"/>
      <w:bookmarkStart w:name="_Toc133843844" w:id="6"/>
      <w:r>
        <w:t xml:space="preserve">Factual </w:t>
      </w:r>
      <w:r w:rsidR="000A1A91">
        <w:t xml:space="preserve">&amp; Procedural </w:t>
      </w:r>
      <w:r>
        <w:t>Background</w:t>
      </w:r>
      <w:bookmarkEnd w:id="5"/>
      <w:bookmarkEnd w:id="6"/>
    </w:p>
    <w:p w:rsidR="00E2156E" w:rsidP="001853F0" w:rsidRDefault="001853F0" w14:paraId="3BD0922E" w14:textId="1B6373C2">
      <w:pPr>
        <w:pStyle w:val="FoF"/>
        <w:numPr>
          <w:ilvl w:val="0"/>
          <w:numId w:val="0"/>
        </w:numPr>
        <w:ind w:firstLine="720"/>
      </w:pPr>
      <w:r>
        <w:t xml:space="preserve">PacifiCorp is a multi-jurisdictional investor-owned utility providing electric retail service to customers in California, Idaho, Oregon, Utah, Washington, and Wyoming.  </w:t>
      </w:r>
      <w:r w:rsidR="00E2156E">
        <w:t xml:space="preserve">PacifiCorp owns the North Temple Property (NTP) that is about 100 acres of real property located in </w:t>
      </w:r>
      <w:r w:rsidR="000F443D">
        <w:t xml:space="preserve">Salt Lake City, </w:t>
      </w:r>
      <w:r w:rsidR="00E2156E">
        <w:t>Utah.</w:t>
      </w:r>
    </w:p>
    <w:p w:rsidR="00461D0A" w:rsidP="00E2156E" w:rsidRDefault="003833CF" w14:paraId="0B02FEE1" w14:textId="126934B4">
      <w:pPr>
        <w:pStyle w:val="Standard"/>
      </w:pPr>
      <w:r>
        <w:t>On May 13, 2024, PacifiCorp submitted</w:t>
      </w:r>
      <w:r w:rsidR="00887D85">
        <w:t xml:space="preserve"> </w:t>
      </w:r>
      <w:r>
        <w:t xml:space="preserve">Advice Letter 740-E (Advice Letter) to the </w:t>
      </w:r>
      <w:r w:rsidR="0034784A">
        <w:t xml:space="preserve">California Public Utilities Commission’s (Commission) </w:t>
      </w:r>
      <w:r>
        <w:t xml:space="preserve">Energy Division </w:t>
      </w:r>
      <w:r w:rsidR="0034784A">
        <w:t xml:space="preserve">to request </w:t>
      </w:r>
      <w:r>
        <w:t>approval to sell the NTP</w:t>
      </w:r>
      <w:r w:rsidR="00E2156E">
        <w:t xml:space="preserve"> </w:t>
      </w:r>
      <w:r>
        <w:t xml:space="preserve">pursuant to </w:t>
      </w:r>
      <w:r w:rsidR="00CD0AC7">
        <w:t>General Order (</w:t>
      </w:r>
      <w:r>
        <w:t>G.O.</w:t>
      </w:r>
      <w:r w:rsidR="00CD0AC7">
        <w:t>)</w:t>
      </w:r>
      <w:r>
        <w:t xml:space="preserve"> </w:t>
      </w:r>
      <w:r>
        <w:lastRenderedPageBreak/>
        <w:t xml:space="preserve">173 and </w:t>
      </w:r>
      <w:r w:rsidR="00CD0AC7">
        <w:t>Public Utilities (</w:t>
      </w:r>
      <w:r>
        <w:t>Pub. Util.</w:t>
      </w:r>
      <w:r w:rsidR="00CD0AC7">
        <w:t>)</w:t>
      </w:r>
      <w:r>
        <w:t xml:space="preserve"> Code § 851.</w:t>
      </w:r>
      <w:r w:rsidR="00887D85">
        <w:rPr>
          <w:rStyle w:val="FootnoteReference"/>
        </w:rPr>
        <w:footnoteReference w:id="2"/>
      </w:r>
      <w:r>
        <w:t xml:space="preserve">  </w:t>
      </w:r>
      <w:r w:rsidR="00DC4F80">
        <w:t xml:space="preserve">On June 12, 2024, the Commission’s Energy Division approved PacifiCorp’s Advice Letter </w:t>
      </w:r>
      <w:r w:rsidR="00E2156E">
        <w:t xml:space="preserve">authorizing the sale of the </w:t>
      </w:r>
      <w:r w:rsidR="00DC4F80">
        <w:t>NTP.</w:t>
      </w:r>
      <w:r w:rsidR="00DC4F80">
        <w:rPr>
          <w:rStyle w:val="FootnoteReference"/>
        </w:rPr>
        <w:footnoteReference w:id="3"/>
      </w:r>
      <w:r w:rsidR="00DC4F80">
        <w:t xml:space="preserve"> </w:t>
      </w:r>
    </w:p>
    <w:p w:rsidR="00AC60E7" w:rsidP="00DC4F80" w:rsidRDefault="00710C9B" w14:paraId="70C654C1" w14:textId="17C2258E">
      <w:pPr>
        <w:pStyle w:val="Standard"/>
      </w:pPr>
      <w:r>
        <w:t xml:space="preserve">On May 16, 2024, PacificCorp filed </w:t>
      </w:r>
      <w:r w:rsidR="00CD0AC7">
        <w:t>Application (</w:t>
      </w:r>
      <w:r>
        <w:t>A.</w:t>
      </w:r>
      <w:r w:rsidR="00CD0AC7">
        <w:t xml:space="preserve">) </w:t>
      </w:r>
      <w:r>
        <w:t>24-05-013 (Application) pursuant to Pub. Util. Code § 851, § 701, G.O. 173, and Rule 2.1 of the Commission’s Rules of Practice and Procedure (Rules)</w:t>
      </w:r>
      <w:r w:rsidR="00B4496B">
        <w:t>.</w:t>
      </w:r>
      <w:r w:rsidR="00B4496B">
        <w:rPr>
          <w:rStyle w:val="FootnoteReference"/>
        </w:rPr>
        <w:footnoteReference w:id="4"/>
      </w:r>
      <w:r>
        <w:t xml:space="preserve"> The Application requests the Commission to grant PacifiCorp the authority to establish the North Temple </w:t>
      </w:r>
      <w:r w:rsidR="00112628">
        <w:t xml:space="preserve">Property </w:t>
      </w:r>
      <w:r>
        <w:t xml:space="preserve">Memorandum Account (NTPMA) to track the proceeds from the </w:t>
      </w:r>
      <w:r w:rsidR="0034784A">
        <w:t>sale of</w:t>
      </w:r>
      <w:r>
        <w:t xml:space="preserve"> </w:t>
      </w:r>
      <w:r w:rsidR="00112628">
        <w:t xml:space="preserve">the </w:t>
      </w:r>
      <w:r w:rsidR="0034784A">
        <w:t xml:space="preserve">NTP. </w:t>
      </w:r>
      <w:r w:rsidR="00AC60E7">
        <w:t>The proposed sale is to a development company through a series of sales transactions scheduled to occur between 2024 and 2039.</w:t>
      </w:r>
      <w:r w:rsidR="00AC60E7">
        <w:rPr>
          <w:rStyle w:val="FootnoteReference"/>
        </w:rPr>
        <w:footnoteReference w:id="5"/>
      </w:r>
    </w:p>
    <w:p w:rsidR="00546E6F" w:rsidP="00DC4F80" w:rsidRDefault="00546E6F" w14:paraId="6A3FA2F4" w14:textId="7DEC6407">
      <w:pPr>
        <w:pStyle w:val="Standard"/>
      </w:pPr>
      <w:r>
        <w:t>PacifiCorp</w:t>
      </w:r>
      <w:r w:rsidR="00B622EE">
        <w:t>’s NTP facilities are outdated, unnecessary for utility operations</w:t>
      </w:r>
      <w:r w:rsidR="00CD0AC7">
        <w:t>,</w:t>
      </w:r>
      <w:r w:rsidR="00B622EE">
        <w:t xml:space="preserve"> and past their useful life.</w:t>
      </w:r>
      <w:r w:rsidR="002F0849">
        <w:rPr>
          <w:rStyle w:val="FootnoteReference"/>
        </w:rPr>
        <w:footnoteReference w:id="6"/>
      </w:r>
      <w:r w:rsidR="00B622EE">
        <w:t xml:space="preserve"> </w:t>
      </w:r>
    </w:p>
    <w:p w:rsidR="00056D62" w:rsidP="000E7D43" w:rsidRDefault="002F0849" w14:paraId="2E7C9366" w14:textId="23B85172">
      <w:pPr>
        <w:pStyle w:val="Standard"/>
      </w:pPr>
      <w:r>
        <w:t>The Application is sub</w:t>
      </w:r>
      <w:r w:rsidR="00056D62">
        <w:t xml:space="preserve">ject to </w:t>
      </w:r>
      <w:r w:rsidR="00260D61">
        <w:t xml:space="preserve">Pub. Util. Code § 851 </w:t>
      </w:r>
      <w:r w:rsidR="00056D62">
        <w:t xml:space="preserve">that </w:t>
      </w:r>
      <w:r w:rsidR="00B601D2">
        <w:t>governs</w:t>
      </w:r>
      <w:r w:rsidR="00AB02C4">
        <w:t xml:space="preserve"> the sale and disposal</w:t>
      </w:r>
      <w:r w:rsidR="00260D61">
        <w:t xml:space="preserve"> of property that is otherwise necessary and useful to a public utility’s duties to the public. </w:t>
      </w:r>
      <w:r w:rsidR="000E7D43">
        <w:t xml:space="preserve">PacifiCorp’s California-allocated portion </w:t>
      </w:r>
      <w:r w:rsidR="004E63EB">
        <w:t xml:space="preserve">of the NTP </w:t>
      </w:r>
      <w:r w:rsidR="000E7D43">
        <w:t>is valued at less than $5 million.</w:t>
      </w:r>
      <w:r w:rsidR="000E7D43">
        <w:rPr>
          <w:rStyle w:val="FootnoteReference"/>
        </w:rPr>
        <w:footnoteReference w:id="7"/>
      </w:r>
      <w:r w:rsidR="000E7D43">
        <w:t xml:space="preserve"> </w:t>
      </w:r>
    </w:p>
    <w:p w:rsidR="00F1679C" w:rsidP="00F1679C" w:rsidRDefault="00F1679C" w14:paraId="08470191" w14:textId="36DC6D8A">
      <w:pPr>
        <w:pStyle w:val="Standard"/>
      </w:pPr>
      <w:r>
        <w:t xml:space="preserve">No protests or responses </w:t>
      </w:r>
      <w:r w:rsidR="00887D85">
        <w:t xml:space="preserve">were filed </w:t>
      </w:r>
      <w:r>
        <w:t>to the Application</w:t>
      </w:r>
      <w:r w:rsidR="00887D85">
        <w:t>.</w:t>
      </w:r>
    </w:p>
    <w:p w:rsidR="00F1679C" w:rsidP="00F1679C" w:rsidRDefault="00F1679C" w14:paraId="3DCFC40E" w14:textId="26EEC499">
      <w:pPr>
        <w:pStyle w:val="Standard"/>
      </w:pPr>
      <w:r>
        <w:t>On September 26, 2024, a remote P</w:t>
      </w:r>
      <w:r w:rsidR="00E7511D">
        <w:t xml:space="preserve">rehearing Conference </w:t>
      </w:r>
      <w:r>
        <w:t xml:space="preserve">was held to address the issues of law and fact, determine the need for evidentiary hearing, </w:t>
      </w:r>
      <w:r>
        <w:lastRenderedPageBreak/>
        <w:t xml:space="preserve">set the proceeding schedule, and </w:t>
      </w:r>
      <w:r w:rsidR="001A4F6B">
        <w:t xml:space="preserve">consider </w:t>
      </w:r>
      <w:r>
        <w:t>other relevant matters. PacifiCorp</w:t>
      </w:r>
      <w:r w:rsidR="00130BD2">
        <w:t xml:space="preserve"> is the only party</w:t>
      </w:r>
      <w:r>
        <w:t xml:space="preserve">. </w:t>
      </w:r>
    </w:p>
    <w:p w:rsidR="00F1679C" w:rsidP="00F1679C" w:rsidRDefault="00F1679C" w14:paraId="66A12773" w14:textId="027CC8E4">
      <w:pPr>
        <w:pStyle w:val="Standard"/>
      </w:pPr>
      <w:r>
        <w:t xml:space="preserve">On October </w:t>
      </w:r>
      <w:r w:rsidR="009D4959">
        <w:t>3</w:t>
      </w:r>
      <w:r>
        <w:t>, 2024, PacifiCorp filed a brief addressing authorizing retroactive effective dates for memorandum accounts.</w:t>
      </w:r>
      <w:r w:rsidDel="00FE28E4" w:rsidR="00FE28E4">
        <w:rPr>
          <w:rStyle w:val="FootnoteReference"/>
        </w:rPr>
        <w:t xml:space="preserve"> </w:t>
      </w:r>
    </w:p>
    <w:p w:rsidR="00EE3060" w:rsidP="00030952" w:rsidRDefault="00F1679C" w14:paraId="64249E6D" w14:textId="49DE63C1">
      <w:pPr>
        <w:pStyle w:val="Standard"/>
      </w:pPr>
      <w:r>
        <w:t xml:space="preserve">On January 6, 2025, the assigned Commissioner issued a Scoping Memo and Ruling (Scoping </w:t>
      </w:r>
      <w:r w:rsidR="006646D1">
        <w:t>Memo</w:t>
      </w:r>
      <w:r>
        <w:t xml:space="preserve">). The Scoping Memo discharged the need for an evidentiary hearing or further analysis under </w:t>
      </w:r>
      <w:r w:rsidR="006646D1">
        <w:t xml:space="preserve">the </w:t>
      </w:r>
      <w:r>
        <w:t xml:space="preserve">California Environmental Quality Act (CEQA) or other environmental and social justice issues. </w:t>
      </w:r>
    </w:p>
    <w:p w:rsidR="00683B2C" w:rsidP="00AC1B76" w:rsidRDefault="00902384" w14:paraId="6BDEAC36" w14:textId="0160EFB0">
      <w:pPr>
        <w:pStyle w:val="Heading2"/>
        <w:tabs>
          <w:tab w:val="clear" w:pos="1080"/>
          <w:tab w:val="num" w:pos="720"/>
        </w:tabs>
      </w:pPr>
      <w:bookmarkStart w:name="_Toc133843846" w:id="7"/>
      <w:r>
        <w:tab/>
      </w:r>
      <w:r w:rsidR="001F2D3E">
        <w:t xml:space="preserve">1.2 </w:t>
      </w:r>
      <w:r w:rsidR="00683B2C">
        <w:t>Submission Date</w:t>
      </w:r>
      <w:bookmarkEnd w:id="7"/>
    </w:p>
    <w:p w:rsidR="00683B2C" w:rsidP="003B28EF" w:rsidRDefault="00683B2C" w14:paraId="7E1950B8" w14:textId="6A8B7321">
      <w:pPr>
        <w:pStyle w:val="Standard"/>
      </w:pPr>
      <w:r w:rsidRPr="00FF0265">
        <w:t xml:space="preserve">This matter was submitted on </w:t>
      </w:r>
      <w:r w:rsidR="008820DF">
        <w:t>October 1</w:t>
      </w:r>
      <w:r w:rsidR="007A02FF">
        <w:t xml:space="preserve">, </w:t>
      </w:r>
      <w:r w:rsidR="00A26191">
        <w:t>2025</w:t>
      </w:r>
      <w:r w:rsidR="003B28EF">
        <w:t xml:space="preserve">, following the issuance of </w:t>
      </w:r>
      <w:r w:rsidR="008820DF">
        <w:t>a ruling to identify and admit evidence into the evidentiary record.</w:t>
      </w:r>
      <w:r w:rsidR="003B28EF">
        <w:t xml:space="preserve"> </w:t>
      </w:r>
    </w:p>
    <w:p w:rsidRPr="00902384" w:rsidR="00C13DC8" w:rsidP="00A359D2" w:rsidRDefault="00C13DC8" w14:paraId="4366483B" w14:textId="2497CEDB">
      <w:pPr>
        <w:pStyle w:val="Heading1"/>
        <w:numPr>
          <w:ilvl w:val="0"/>
          <w:numId w:val="1"/>
        </w:numPr>
      </w:pPr>
      <w:r w:rsidRPr="00902384">
        <w:t>Issues to Address</w:t>
      </w:r>
    </w:p>
    <w:p w:rsidR="009D58C2" w:rsidP="0023307F" w:rsidRDefault="009B1D5F" w14:paraId="5D576916" w14:textId="3ADDE0DD">
      <w:pPr>
        <w:pStyle w:val="Standard"/>
      </w:pPr>
      <w:r>
        <w:t xml:space="preserve">The Scoping </w:t>
      </w:r>
      <w:r w:rsidR="00A65573">
        <w:t>Memo</w:t>
      </w:r>
      <w:r>
        <w:t xml:space="preserve"> identified the following issues to be determined:</w:t>
      </w:r>
    </w:p>
    <w:p w:rsidR="009D58C2" w:rsidP="00AC1B76" w:rsidRDefault="009B1D5F" w14:paraId="6543C3E3" w14:textId="12E5B4C5">
      <w:pPr>
        <w:pStyle w:val="Standard"/>
        <w:numPr>
          <w:ilvl w:val="0"/>
          <w:numId w:val="20"/>
        </w:numPr>
        <w:spacing w:after="120" w:line="240" w:lineRule="auto"/>
        <w:ind w:right="1440"/>
      </w:pPr>
      <w:r>
        <w:t>Should the Commission grant PacifiCorp’s request to create the</w:t>
      </w:r>
      <w:r w:rsidR="009D58C2">
        <w:t xml:space="preserve"> </w:t>
      </w:r>
      <w:r>
        <w:t xml:space="preserve">NTPMA to </w:t>
      </w:r>
      <w:r w:rsidR="00282CB1">
        <w:t xml:space="preserve">manage and distribute </w:t>
      </w:r>
      <w:r>
        <w:t xml:space="preserve">the California-allocated </w:t>
      </w:r>
      <w:r w:rsidR="00282CB1">
        <w:t>portion of</w:t>
      </w:r>
      <w:r>
        <w:t xml:space="preserve"> the NTP sale?</w:t>
      </w:r>
    </w:p>
    <w:p w:rsidR="009D58C2" w:rsidP="00AC1B76" w:rsidRDefault="009B1D5F" w14:paraId="7759C67F" w14:textId="34121E8E">
      <w:pPr>
        <w:pStyle w:val="Standard"/>
        <w:numPr>
          <w:ilvl w:val="0"/>
          <w:numId w:val="20"/>
        </w:numPr>
        <w:spacing w:after="120" w:line="240" w:lineRule="auto"/>
        <w:ind w:right="1440"/>
      </w:pPr>
      <w:r>
        <w:t>If authorized, wh</w:t>
      </w:r>
      <w:r w:rsidR="00282CB1">
        <w:t>en</w:t>
      </w:r>
      <w:r>
        <w:t xml:space="preserve"> should the NTPMA</w:t>
      </w:r>
      <w:r w:rsidR="003C4E29">
        <w:t xml:space="preserve"> be</w:t>
      </w:r>
      <w:r>
        <w:t xml:space="preserve"> </w:t>
      </w:r>
      <w:r w:rsidR="003C4E29">
        <w:t>effective</w:t>
      </w:r>
      <w:r>
        <w:t>?</w:t>
      </w:r>
    </w:p>
    <w:p w:rsidR="009B1D5F" w:rsidP="00AC1B76" w:rsidRDefault="009B1D5F" w14:paraId="4E215CA4" w14:textId="0250F87F">
      <w:pPr>
        <w:pStyle w:val="Standard"/>
        <w:numPr>
          <w:ilvl w:val="0"/>
          <w:numId w:val="20"/>
        </w:numPr>
        <w:spacing w:after="120" w:line="240" w:lineRule="auto"/>
        <w:ind w:right="1440"/>
      </w:pPr>
      <w:r>
        <w:t>Is PacifiCorp’s proposed NTPMA tariff language reasonable and should it be approved?</w:t>
      </w:r>
    </w:p>
    <w:p w:rsidR="00A359D2" w:rsidP="00A359D2" w:rsidRDefault="00A359D2" w14:paraId="729F1605" w14:textId="53508D1A">
      <w:pPr>
        <w:pStyle w:val="Heading1"/>
        <w:numPr>
          <w:ilvl w:val="0"/>
          <w:numId w:val="1"/>
        </w:numPr>
      </w:pPr>
      <w:r>
        <w:t>Pub. Util. Code § 851 and G.O. 173</w:t>
      </w:r>
    </w:p>
    <w:p w:rsidR="00A359D2" w:rsidP="00A359D2" w:rsidRDefault="00A359D2" w14:paraId="5C1CA6DD" w14:textId="6730B26D">
      <w:pPr>
        <w:pStyle w:val="Standard"/>
      </w:pPr>
      <w:r>
        <w:t xml:space="preserve"> Generally, if a transaction is valued at $5 million or less, Pub. Util. Code § 851 approvals may proceed following the Commission’s G.O. 173 expedited process which requires only an Advice Letter. In this case, the Commission’s Energy Division properly approved the sale of the NTP in Advice Letter 740-E because the California-allocated value of the NTP was not greater than $5 million. </w:t>
      </w:r>
    </w:p>
    <w:p w:rsidR="00A359D2" w:rsidP="00A359D2" w:rsidRDefault="00A359D2" w14:paraId="523A5F99" w14:textId="04261723">
      <w:pPr>
        <w:pStyle w:val="Standard"/>
      </w:pPr>
      <w:r>
        <w:t>Pub. Util. Code § 851 requires PacifiCorp to submit the Application if the sale of property is greater than $5 million or if the Commission “</w:t>
      </w:r>
      <w:r w:rsidRPr="00EB7EF9">
        <w:t xml:space="preserve">determines that </w:t>
      </w:r>
      <w:r w:rsidRPr="00EB7EF9">
        <w:lastRenderedPageBreak/>
        <w:t>the transaction warrants a more comprehensive review</w:t>
      </w:r>
      <w:r>
        <w:t xml:space="preserve">.” PacifiCorp submitted this Application to create the NTPMA because this transaction warrants a more comprehensive review </w:t>
      </w:r>
      <w:r w:rsidR="00D01BF5">
        <w:t>because it is a series of transactions spanning a lengthy time</w:t>
      </w:r>
      <w:r w:rsidR="00C01C0D">
        <w:t>-</w:t>
      </w:r>
      <w:r w:rsidR="00D01BF5">
        <w:t xml:space="preserve">period. </w:t>
      </w:r>
    </w:p>
    <w:p w:rsidR="005939A5" w:rsidP="00A359D2" w:rsidRDefault="005939A5" w14:paraId="45527E6F" w14:textId="7574A4ED">
      <w:pPr>
        <w:pStyle w:val="Heading1"/>
        <w:numPr>
          <w:ilvl w:val="0"/>
          <w:numId w:val="1"/>
        </w:numPr>
      </w:pPr>
      <w:bookmarkStart w:name="_Toc8123720" w:id="8"/>
      <w:bookmarkStart w:name="_Toc133843849" w:id="9"/>
      <w:r>
        <w:t>Discussion</w:t>
      </w:r>
      <w:bookmarkEnd w:id="8"/>
      <w:bookmarkEnd w:id="9"/>
    </w:p>
    <w:p w:rsidR="00EA36C6" w:rsidP="001F25FF" w:rsidRDefault="006F64F4" w14:paraId="2E467C8C" w14:textId="4CD058EA">
      <w:pPr>
        <w:pStyle w:val="Heading2"/>
        <w:tabs>
          <w:tab w:val="clear" w:pos="1080"/>
          <w:tab w:val="num" w:pos="720"/>
        </w:tabs>
        <w:ind w:left="360" w:firstLine="0"/>
      </w:pPr>
      <w:r>
        <w:t>4.1 Analysis of Standards for Approval of NTPMA</w:t>
      </w:r>
    </w:p>
    <w:p w:rsidR="002A2EF1" w:rsidP="0023307F" w:rsidRDefault="00B65459" w14:paraId="7564DF83" w14:textId="6190DC1F">
      <w:pPr>
        <w:pStyle w:val="Standard"/>
      </w:pPr>
      <w:r>
        <w:t xml:space="preserve">The NTPMA </w:t>
      </w:r>
      <w:r w:rsidR="00BC3203">
        <w:t>plans to</w:t>
      </w:r>
      <w:r>
        <w:t xml:space="preserve"> track</w:t>
      </w:r>
      <w:r w:rsidR="00BC3203">
        <w:t xml:space="preserve"> the</w:t>
      </w:r>
      <w:r>
        <w:t xml:space="preserve"> proceeds from the sale of </w:t>
      </w:r>
      <w:r w:rsidR="0078432F">
        <w:t>NTP</w:t>
      </w:r>
      <w:r w:rsidR="00BC3203">
        <w:t xml:space="preserve"> parcels</w:t>
      </w:r>
      <w:r w:rsidR="007D7035">
        <w:t>.</w:t>
      </w:r>
      <w:r w:rsidR="00DF1BA2">
        <w:t xml:space="preserve">  </w:t>
      </w:r>
      <w:r w:rsidR="009D4315">
        <w:t>T</w:t>
      </w:r>
      <w:r w:rsidR="00BC3203">
        <w:t xml:space="preserve">he </w:t>
      </w:r>
      <w:r w:rsidR="007D7035">
        <w:t xml:space="preserve">NTP </w:t>
      </w:r>
      <w:r w:rsidR="008F4785">
        <w:t xml:space="preserve">is approximately </w:t>
      </w:r>
      <w:r>
        <w:t>100 acres</w:t>
      </w:r>
      <w:r w:rsidR="008F4785">
        <w:t xml:space="preserve">. </w:t>
      </w:r>
      <w:r>
        <w:t xml:space="preserve">PacifiCorp </w:t>
      </w:r>
      <w:r w:rsidR="008F4785">
        <w:t xml:space="preserve">purchased </w:t>
      </w:r>
      <w:r w:rsidR="00DC39A9">
        <w:t xml:space="preserve">the </w:t>
      </w:r>
      <w:r w:rsidR="008F4785">
        <w:t>NTP in</w:t>
      </w:r>
      <w:r>
        <w:t xml:space="preserve"> the 1940s</w:t>
      </w:r>
      <w:r w:rsidR="00DC39A9">
        <w:t>,</w:t>
      </w:r>
      <w:r w:rsidR="00B04219">
        <w:t xml:space="preserve"> </w:t>
      </w:r>
      <w:r w:rsidR="008F4785">
        <w:t xml:space="preserve">and </w:t>
      </w:r>
      <w:r w:rsidR="00DC39A9">
        <w:t xml:space="preserve">the NTP </w:t>
      </w:r>
      <w:r w:rsidR="008F4785">
        <w:t xml:space="preserve">later became </w:t>
      </w:r>
      <w:r w:rsidR="00DC39A9">
        <w:t>PacifiCorp’s</w:t>
      </w:r>
      <w:r w:rsidR="008F4785">
        <w:t xml:space="preserve"> </w:t>
      </w:r>
      <w:r w:rsidR="00B04219">
        <w:t>corporate headquarters</w:t>
      </w:r>
      <w:r w:rsidR="008F4785">
        <w:t xml:space="preserve">, but these facilities have exceeded their </w:t>
      </w:r>
      <w:r w:rsidR="00B04219">
        <w:t>operational life</w:t>
      </w:r>
      <w:r>
        <w:t>.</w:t>
      </w:r>
      <w:r w:rsidRPr="003F1A2C" w:rsidR="00F7467F">
        <w:rPr>
          <w:rStyle w:val="FootnoteReference"/>
        </w:rPr>
        <w:footnoteReference w:id="8"/>
      </w:r>
      <w:r>
        <w:t xml:space="preserve"> The </w:t>
      </w:r>
      <w:r w:rsidR="00DE27E8">
        <w:t>NTPMA</w:t>
      </w:r>
      <w:r>
        <w:t xml:space="preserve"> will remain open until PacifiCorp and </w:t>
      </w:r>
      <w:r w:rsidR="005E4C4E">
        <w:t>the buyer</w:t>
      </w:r>
      <w:r w:rsidR="00CD7088">
        <w:t xml:space="preserve"> </w:t>
      </w:r>
      <w:r>
        <w:t>have concluded the purchase agreement</w:t>
      </w:r>
      <w:r w:rsidR="001424EE">
        <w:t xml:space="preserve"> period</w:t>
      </w:r>
      <w:r w:rsidR="002C0942">
        <w:t xml:space="preserve">. The NTPMA will also manage </w:t>
      </w:r>
      <w:r>
        <w:t>any remaining costs</w:t>
      </w:r>
      <w:r w:rsidR="008B7614">
        <w:t xml:space="preserve"> or profits</w:t>
      </w:r>
      <w:r>
        <w:t xml:space="preserve"> </w:t>
      </w:r>
      <w:r w:rsidR="002C0942">
        <w:t>until the Commission assesses the</w:t>
      </w:r>
      <w:r w:rsidR="00B003A7">
        <w:t xml:space="preserve"> funds</w:t>
      </w:r>
      <w:r w:rsidR="002C0942">
        <w:t xml:space="preserve"> for</w:t>
      </w:r>
      <w:r>
        <w:t xml:space="preserve"> general ratemaking. </w:t>
      </w:r>
      <w:r w:rsidR="002A2EF1">
        <w:t xml:space="preserve">PacifiCorp plans to maintain the NTPMA to track and record </w:t>
      </w:r>
      <w:r w:rsidR="00B003A7">
        <w:t xml:space="preserve">transactions </w:t>
      </w:r>
      <w:r w:rsidR="002A2EF1">
        <w:t xml:space="preserve">associated with the sale of the </w:t>
      </w:r>
      <w:r w:rsidR="009D33A7">
        <w:t>NTP</w:t>
      </w:r>
      <w:r w:rsidR="002A2EF1">
        <w:t xml:space="preserve"> by making </w:t>
      </w:r>
      <w:r w:rsidR="00B003A7">
        <w:t xml:space="preserve">entries </w:t>
      </w:r>
      <w:r w:rsidR="002A2EF1">
        <w:t>at the end of each month</w:t>
      </w:r>
      <w:r w:rsidR="008F43E7">
        <w:t>.</w:t>
      </w:r>
      <w:r w:rsidRPr="003F1A2C" w:rsidR="009D33A7">
        <w:rPr>
          <w:rStyle w:val="FootnoteReference"/>
        </w:rPr>
        <w:footnoteReference w:id="9"/>
      </w:r>
      <w:r w:rsidR="008F43E7">
        <w:t xml:space="preserve"> The account will track both debits and credits</w:t>
      </w:r>
      <w:r w:rsidR="00A04630">
        <w:t xml:space="preserve">, as well as </w:t>
      </w:r>
      <w:r w:rsidR="009D33A7">
        <w:t xml:space="preserve">record all </w:t>
      </w:r>
      <w:r w:rsidR="00A04630">
        <w:t>associated interest rates.</w:t>
      </w:r>
      <w:r w:rsidRPr="003F1A2C" w:rsidR="00A04630">
        <w:rPr>
          <w:rStyle w:val="FootnoteReference"/>
        </w:rPr>
        <w:footnoteReference w:id="10"/>
      </w:r>
    </w:p>
    <w:p w:rsidR="00120C19" w:rsidP="005B5D59" w:rsidRDefault="005B5D59" w14:paraId="50CDAF7E" w14:textId="2BBED3DA">
      <w:r>
        <w:t xml:space="preserve">The </w:t>
      </w:r>
      <w:r w:rsidR="00560616">
        <w:t>reasonableness</w:t>
      </w:r>
      <w:r>
        <w:t xml:space="preserve"> of establishing a memorandum accou</w:t>
      </w:r>
      <w:r w:rsidR="00F35793">
        <w:t xml:space="preserve">nt is determined by </w:t>
      </w:r>
      <w:r w:rsidR="00DC3ADA">
        <w:t>four</w:t>
      </w:r>
      <w:r w:rsidR="00F35793">
        <w:t xml:space="preserve"> criteria: </w:t>
      </w:r>
      <w:r w:rsidR="007A567B">
        <w:t xml:space="preserve">(1) </w:t>
      </w:r>
      <w:r w:rsidR="00F35793">
        <w:t xml:space="preserve">the ability of the utility to control the expense, </w:t>
      </w:r>
      <w:r w:rsidR="007A567B">
        <w:t xml:space="preserve">(2) </w:t>
      </w:r>
      <w:r w:rsidR="00F35793">
        <w:t>the foreseeab</w:t>
      </w:r>
      <w:r w:rsidR="0070160D">
        <w:t>ility</w:t>
      </w:r>
      <w:r w:rsidR="00F35793">
        <w:t xml:space="preserve"> of the expense to incorporate into </w:t>
      </w:r>
      <w:r w:rsidR="00995D95">
        <w:t xml:space="preserve">the utility’s last general rate case, </w:t>
      </w:r>
      <w:r w:rsidR="007A567B">
        <w:t xml:space="preserve">(3) </w:t>
      </w:r>
      <w:r w:rsidR="00995D95">
        <w:t>the substantial nature of the amount of money to justify the process of establishing a memorandum account, and</w:t>
      </w:r>
      <w:r w:rsidR="007A567B">
        <w:t xml:space="preserve"> (4)</w:t>
      </w:r>
      <w:r w:rsidR="00995D95">
        <w:t xml:space="preserve"> </w:t>
      </w:r>
      <w:r w:rsidR="00560616">
        <w:t>if the memorandum account will provide ratepayer benefits.</w:t>
      </w:r>
      <w:r w:rsidR="00C13CBD">
        <w:rPr>
          <w:rStyle w:val="FootnoteReference"/>
        </w:rPr>
        <w:footnoteReference w:id="11"/>
      </w:r>
      <w:r w:rsidR="00560616">
        <w:t xml:space="preserve"> </w:t>
      </w:r>
      <w:r w:rsidR="00120C19">
        <w:t xml:space="preserve">Each factor is addressed in turn. </w:t>
      </w:r>
      <w:r w:rsidR="005B0EA7">
        <w:t xml:space="preserve">The reasonableness </w:t>
      </w:r>
      <w:r w:rsidR="005B0EA7">
        <w:lastRenderedPageBreak/>
        <w:t>test provides a backstop to ensure that PacifiCorp remains cost-conscious in its transactions with the buyer, and ultimately, protects ratepayer affordability.</w:t>
      </w:r>
    </w:p>
    <w:p w:rsidRPr="00B84D46" w:rsidR="005B5D59" w:rsidP="00B9714E" w:rsidRDefault="00086BD5" w14:paraId="503DF3E5" w14:textId="63CADFCA">
      <w:r>
        <w:t xml:space="preserve">Under the first element, </w:t>
      </w:r>
      <w:r w:rsidR="00B9714E">
        <w:t xml:space="preserve">since </w:t>
      </w:r>
      <w:r w:rsidR="005B04E3">
        <w:t xml:space="preserve">all </w:t>
      </w:r>
      <w:r w:rsidR="00B9714E">
        <w:t xml:space="preserve">infrastructure </w:t>
      </w:r>
      <w:r w:rsidR="005B04E3">
        <w:t xml:space="preserve">ultimately </w:t>
      </w:r>
      <w:r w:rsidR="00B9714E">
        <w:t xml:space="preserve">ages and becomes less useful </w:t>
      </w:r>
      <w:r w:rsidR="00DE3FE5">
        <w:t>and market prices</w:t>
      </w:r>
      <w:r w:rsidR="00975701">
        <w:t xml:space="preserve"> for </w:t>
      </w:r>
      <w:r w:rsidR="004B1B13">
        <w:t>real estate</w:t>
      </w:r>
      <w:r w:rsidR="00DE3FE5">
        <w:t xml:space="preserve"> fluctuate over time</w:t>
      </w:r>
      <w:r w:rsidR="53776CFE">
        <w:t xml:space="preserve">, </w:t>
      </w:r>
      <w:r w:rsidR="007E10D3">
        <w:t>it follows that a future market price for a sale transaction is not necessarily within the utility’s ability to control</w:t>
      </w:r>
      <w:r w:rsidR="00B9714E">
        <w:t xml:space="preserve">. </w:t>
      </w:r>
      <w:r w:rsidR="007C7A6F">
        <w:t>PacifiCorp has maximized the useful life of its current facilities</w:t>
      </w:r>
      <w:r w:rsidR="008E5BAD">
        <w:t xml:space="preserve">. In this </w:t>
      </w:r>
      <w:r w:rsidR="2B781028">
        <w:t xml:space="preserve">specific </w:t>
      </w:r>
      <w:r w:rsidR="008E5BAD">
        <w:t xml:space="preserve">situation, the </w:t>
      </w:r>
      <w:r w:rsidR="008110B0">
        <w:t xml:space="preserve">need to sell the property and the </w:t>
      </w:r>
      <w:r w:rsidR="008E5BAD">
        <w:t xml:space="preserve">exact value of the transactions </w:t>
      </w:r>
      <w:r w:rsidR="00AE4E59">
        <w:t>is</w:t>
      </w:r>
      <w:r w:rsidR="008E5BAD">
        <w:t xml:space="preserve"> outside of PacifiCorp’s ability to estimate with accuracy </w:t>
      </w:r>
      <w:r w:rsidR="00AE4E59">
        <w:t>or</w:t>
      </w:r>
      <w:r w:rsidR="008E5BAD">
        <w:t xml:space="preserve"> precision. </w:t>
      </w:r>
      <w:r w:rsidR="00172050">
        <w:t xml:space="preserve">PacifiCorp’s final plan reserves many acres for PacifiCorp’s remaining buildings and local headquarters, which will continue to accommodate </w:t>
      </w:r>
      <w:r w:rsidR="00D2495B">
        <w:t>roughly</w:t>
      </w:r>
      <w:r w:rsidR="00172050">
        <w:t xml:space="preserve"> 760 employees and provide service.</w:t>
      </w:r>
      <w:r w:rsidR="00172050">
        <w:rPr>
          <w:rStyle w:val="FootnoteReference"/>
        </w:rPr>
        <w:footnoteReference w:id="12"/>
      </w:r>
      <w:r w:rsidR="00172050">
        <w:t xml:space="preserve"> </w:t>
      </w:r>
      <w:r w:rsidR="00B84D46">
        <w:t xml:space="preserve">Aging facilities on the NTP </w:t>
      </w:r>
      <w:r w:rsidR="00D2495B">
        <w:t>are</w:t>
      </w:r>
      <w:r w:rsidR="00B84D46">
        <w:t xml:space="preserve"> inevitable </w:t>
      </w:r>
      <w:r w:rsidR="006661FA">
        <w:t xml:space="preserve">and </w:t>
      </w:r>
      <w:r w:rsidR="29A4E82C">
        <w:t xml:space="preserve">a future market price for a sale transaction is </w:t>
      </w:r>
      <w:r w:rsidR="006661FA">
        <w:t xml:space="preserve">not within the utility’s ability to control. </w:t>
      </w:r>
    </w:p>
    <w:p w:rsidR="008F4785" w:rsidP="00285C06" w:rsidRDefault="00F8655F" w14:paraId="1FE22F69" w14:textId="77777777">
      <w:pPr>
        <w:pStyle w:val="Standard"/>
      </w:pPr>
      <w:r>
        <w:t>The second element to examine is</w:t>
      </w:r>
      <w:r w:rsidR="00BE3CB3">
        <w:t xml:space="preserve"> the</w:t>
      </w:r>
      <w:r>
        <w:t xml:space="preserve"> foreseeability of the expense to incorporate into the utility’s last general rate case</w:t>
      </w:r>
      <w:r w:rsidR="000770B3">
        <w:t xml:space="preserve">. </w:t>
      </w:r>
      <w:r w:rsidR="008049E3">
        <w:t xml:space="preserve">If the expense is foreseeable, there is no need to go through the process of establishing a memorandum account. </w:t>
      </w:r>
      <w:r w:rsidR="00E75EDC">
        <w:t xml:space="preserve">Here, the expense is not foreseeable and so, a memorandum account is necessary. </w:t>
      </w:r>
      <w:r w:rsidR="00056E53">
        <w:t xml:space="preserve">The sales detail window is substantially larger than the general rate case window. The NTP transactions will take place over the next 15 years and will vary in value. The planned use of the land is speculative and likely to change subject to permitting, funding availability, and other market variables. As each parcel is sold and its transaction costs are settled, PacifiCorp can incorporate each transaction into the next applicable rate case. </w:t>
      </w:r>
    </w:p>
    <w:p w:rsidR="008F4785" w:rsidP="00285C06" w:rsidRDefault="00E40E97" w14:paraId="46255DF0" w14:textId="77777777">
      <w:pPr>
        <w:pStyle w:val="Standard"/>
      </w:pPr>
      <w:r>
        <w:lastRenderedPageBreak/>
        <w:t>The Commission historically</w:t>
      </w:r>
      <w:r w:rsidR="008F4785">
        <w:t>,</w:t>
      </w:r>
      <w:r>
        <w:t xml:space="preserve"> but not exclusively</w:t>
      </w:r>
      <w:r w:rsidR="008F4785">
        <w:t>,</w:t>
      </w:r>
      <w:r>
        <w:t xml:space="preserve"> granted memorandum accounts to combat wildfire costs or unexpected natural disasters</w:t>
      </w:r>
      <w:r w:rsidRPr="00356967">
        <w:t xml:space="preserve">. </w:t>
      </w:r>
      <w:r>
        <w:t>By using a</w:t>
      </w:r>
      <w:r w:rsidRPr="00356967">
        <w:t xml:space="preserve"> memorandum account, a utility preserve</w:t>
      </w:r>
      <w:r>
        <w:t>d</w:t>
      </w:r>
      <w:r w:rsidRPr="00356967">
        <w:t xml:space="preserve"> the opportunity to seek recovery of these costs </w:t>
      </w:r>
      <w:r>
        <w:t>after the unforeseeable expenditure of funds</w:t>
      </w:r>
      <w:r w:rsidRPr="00356967">
        <w:t xml:space="preserve">. </w:t>
      </w:r>
      <w:r w:rsidR="000770B3">
        <w:t>Her</w:t>
      </w:r>
      <w:r>
        <w:t>e</w:t>
      </w:r>
      <w:r w:rsidR="000770B3">
        <w:t xml:space="preserve">, </w:t>
      </w:r>
      <w:r w:rsidR="008049E3">
        <w:t>PacifiCorp cannot</w:t>
      </w:r>
      <w:r w:rsidRPr="00245032" w:rsidR="005B5D59">
        <w:t xml:space="preserve"> reasonably foresee</w:t>
      </w:r>
      <w:r w:rsidR="008049E3">
        <w:t xml:space="preserve"> all the NTPMA expenses</w:t>
      </w:r>
      <w:r w:rsidRPr="00245032" w:rsidR="005B5D59">
        <w:t xml:space="preserve"> </w:t>
      </w:r>
      <w:r w:rsidR="008049E3">
        <w:t xml:space="preserve">to </w:t>
      </w:r>
      <w:r w:rsidR="003D5C98">
        <w:t>be included</w:t>
      </w:r>
      <w:r w:rsidR="008049E3">
        <w:t xml:space="preserve"> in the</w:t>
      </w:r>
      <w:r w:rsidRPr="00245032" w:rsidR="005B5D59">
        <w:t xml:space="preserve"> utility’s general rate </w:t>
      </w:r>
      <w:r w:rsidRPr="00245032" w:rsidR="00D92E6E">
        <w:t>case</w:t>
      </w:r>
      <w:r w:rsidR="004A2F44">
        <w:t>.</w:t>
      </w:r>
      <w:r w:rsidR="005B5D59">
        <w:rPr>
          <w:rStyle w:val="FootnoteReference"/>
        </w:rPr>
        <w:footnoteReference w:id="13"/>
      </w:r>
      <w:r w:rsidR="004279FD">
        <w:t xml:space="preserve"> </w:t>
      </w:r>
      <w:r w:rsidR="00B146FC">
        <w:t xml:space="preserve">While these expenses are not tied to an unforeseeable event like a natural disaster, the expenses are equally difficult to predict with the degree of certainty required to submit in a general rate case. </w:t>
      </w:r>
      <w:r w:rsidR="00D135A4">
        <w:t xml:space="preserve">At </w:t>
      </w:r>
      <w:r w:rsidR="005104D0">
        <w:t>the time of the NTPMA formation,</w:t>
      </w:r>
      <w:r w:rsidR="00163E68">
        <w:t xml:space="preserve"> the total </w:t>
      </w:r>
      <w:r w:rsidR="00DB4601">
        <w:t xml:space="preserve">NTP costs and profits cannot be forecasted across the entire </w:t>
      </w:r>
      <w:r w:rsidR="00163E68">
        <w:t xml:space="preserve">multi-year </w:t>
      </w:r>
      <w:r w:rsidR="00DB4601">
        <w:t>period</w:t>
      </w:r>
      <w:r w:rsidR="00D135A4">
        <w:t xml:space="preserve"> and therefore, </w:t>
      </w:r>
      <w:r w:rsidR="000963AA">
        <w:t>it is</w:t>
      </w:r>
      <w:r w:rsidR="00D135A4">
        <w:t xml:space="preserve"> reasonable to track funds via a memorandum account</w:t>
      </w:r>
      <w:r w:rsidR="00DB4601">
        <w:t xml:space="preserve">. </w:t>
      </w:r>
    </w:p>
    <w:p w:rsidR="005B5D59" w:rsidP="00285C06" w:rsidRDefault="007D1B92" w14:paraId="6F5DA713" w14:textId="43419607">
      <w:pPr>
        <w:pStyle w:val="Standard"/>
      </w:pPr>
      <w:r>
        <w:t>Under the third element,</w:t>
      </w:r>
      <w:r w:rsidR="00285C06">
        <w:t xml:space="preserve"> t</w:t>
      </w:r>
      <w:r w:rsidR="005B5D59">
        <w:t xml:space="preserve">he </w:t>
      </w:r>
      <w:r w:rsidR="00285C06">
        <w:t xml:space="preserve">NTP </w:t>
      </w:r>
      <w:r w:rsidR="005B5D59">
        <w:t>expense i</w:t>
      </w:r>
      <w:r w:rsidR="00285C06">
        <w:t>s</w:t>
      </w:r>
      <w:r w:rsidR="005B5D59">
        <w:t xml:space="preserve"> of </w:t>
      </w:r>
      <w:r w:rsidR="009F0F5B">
        <w:t xml:space="preserve">such </w:t>
      </w:r>
      <w:r w:rsidRPr="00245032" w:rsidR="005B5D59">
        <w:t>a substantial nature</w:t>
      </w:r>
      <w:r w:rsidR="009F0F5B">
        <w:t xml:space="preserve"> </w:t>
      </w:r>
      <w:r w:rsidRPr="00245032" w:rsidR="005B5D59">
        <w:t xml:space="preserve">that </w:t>
      </w:r>
      <w:r w:rsidR="00A74E16">
        <w:t>it is</w:t>
      </w:r>
      <w:r w:rsidRPr="00245032" w:rsidR="005B5D59">
        <w:t xml:space="preserve"> worth the </w:t>
      </w:r>
      <w:r w:rsidR="003D5C98">
        <w:t>cost</w:t>
      </w:r>
      <w:r w:rsidR="00583CE6">
        <w:t>s</w:t>
      </w:r>
      <w:r w:rsidRPr="00245032" w:rsidR="005B5D59">
        <w:t xml:space="preserve"> of </w:t>
      </w:r>
      <w:r w:rsidR="009F0F5B">
        <w:t>establishing</w:t>
      </w:r>
      <w:r w:rsidRPr="00245032" w:rsidR="005B5D59">
        <w:t xml:space="preserve"> a memo</w:t>
      </w:r>
      <w:r w:rsidR="005B5D59">
        <w:t>randum</w:t>
      </w:r>
      <w:r w:rsidRPr="00245032" w:rsidR="005B5D59">
        <w:t xml:space="preserve"> account</w:t>
      </w:r>
      <w:r w:rsidR="00285C06">
        <w:t>.</w:t>
      </w:r>
      <w:r w:rsidR="00285C06">
        <w:rPr>
          <w:rStyle w:val="FootnoteReference"/>
        </w:rPr>
        <w:footnoteReference w:id="14"/>
      </w:r>
      <w:r w:rsidR="00285C06">
        <w:t xml:space="preserve"> </w:t>
      </w:r>
      <w:r w:rsidR="00DD06C2">
        <w:t xml:space="preserve">The </w:t>
      </w:r>
      <w:r w:rsidR="00BF73C8">
        <w:t xml:space="preserve">purpose of this element is to ensure the costs of establishing the memorandum account </w:t>
      </w:r>
      <w:r w:rsidR="00A74E16">
        <w:t xml:space="preserve">do not outweigh the actual funds to be managed in the memorandum account. </w:t>
      </w:r>
      <w:r w:rsidR="00A407F4">
        <w:t>The exact value of the property is confidential, but worth a substantial amount to justify the expense.</w:t>
      </w:r>
      <w:r w:rsidR="00A407F4">
        <w:rPr>
          <w:rStyle w:val="FootnoteReference"/>
        </w:rPr>
        <w:footnoteReference w:id="15"/>
      </w:r>
      <w:r w:rsidR="00A407F4">
        <w:t xml:space="preserve"> </w:t>
      </w:r>
      <w:r w:rsidR="000E72FA">
        <w:t xml:space="preserve">The costs to set up </w:t>
      </w:r>
      <w:r w:rsidR="00BC593F">
        <w:t>the NTPMA</w:t>
      </w:r>
      <w:r w:rsidR="000E72FA">
        <w:t xml:space="preserve"> are negligible in comparison to the value of the property.</w:t>
      </w:r>
      <w:r w:rsidR="000E72FA">
        <w:rPr>
          <w:rStyle w:val="FootnoteReference"/>
        </w:rPr>
        <w:footnoteReference w:id="16"/>
      </w:r>
      <w:r w:rsidR="000E72FA">
        <w:t xml:space="preserve"> The substantial nature of the potential NTP value justifies the minimal effort associated with the memorandum account creation.</w:t>
      </w:r>
      <w:r w:rsidR="000E72FA">
        <w:rPr>
          <w:rStyle w:val="FootnoteReference"/>
        </w:rPr>
        <w:footnoteReference w:id="17"/>
      </w:r>
      <w:r w:rsidR="00F437B9">
        <w:t xml:space="preserve"> </w:t>
      </w:r>
      <w:r w:rsidR="00341CD4">
        <w:lastRenderedPageBreak/>
        <w:t>Based on t</w:t>
      </w:r>
      <w:r w:rsidR="00C845F0">
        <w:t xml:space="preserve">he original cost of </w:t>
      </w:r>
      <w:r w:rsidR="00FA019E">
        <w:t xml:space="preserve">the </w:t>
      </w:r>
      <w:r w:rsidR="00341CD4">
        <w:t xml:space="preserve">property alone, the NTP is </w:t>
      </w:r>
      <w:r w:rsidR="00C845F0">
        <w:t xml:space="preserve">valued at </w:t>
      </w:r>
      <w:r w:rsidR="00341CD4">
        <w:t xml:space="preserve">least </w:t>
      </w:r>
      <w:r w:rsidR="00C845F0">
        <w:t>$730,948</w:t>
      </w:r>
      <w:r w:rsidR="008B1EA9">
        <w:t>.</w:t>
      </w:r>
      <w:r w:rsidR="008B1EA9">
        <w:rPr>
          <w:rStyle w:val="FootnoteReference"/>
        </w:rPr>
        <w:footnoteReference w:id="18"/>
      </w:r>
      <w:r w:rsidR="008B1EA9">
        <w:t xml:space="preserve"> </w:t>
      </w:r>
    </w:p>
    <w:p w:rsidR="008938A6" w:rsidP="003430A8" w:rsidRDefault="008B1EA9" w14:paraId="1D509C9D" w14:textId="71C5165A">
      <w:r w:rsidRPr="007D11E9">
        <w:t>Lastly, th</w:t>
      </w:r>
      <w:r w:rsidRPr="007D11E9" w:rsidR="005B5D59">
        <w:t xml:space="preserve">e </w:t>
      </w:r>
      <w:r w:rsidRPr="007D11E9">
        <w:t xml:space="preserve">NTPMA </w:t>
      </w:r>
      <w:r w:rsidRPr="007D11E9" w:rsidR="005B5D59">
        <w:t xml:space="preserve">will provide </w:t>
      </w:r>
      <w:r w:rsidRPr="007D11E9" w:rsidR="008938A6">
        <w:t xml:space="preserve">both present and future </w:t>
      </w:r>
      <w:r w:rsidRPr="007D11E9" w:rsidR="005B5D59">
        <w:t>ratepayer benefits.</w:t>
      </w:r>
      <w:r w:rsidRPr="007D11E9" w:rsidR="005B5D59">
        <w:rPr>
          <w:rStyle w:val="FootnoteReference"/>
        </w:rPr>
        <w:footnoteReference w:id="19"/>
      </w:r>
      <w:r w:rsidR="00501613">
        <w:t xml:space="preserve"> </w:t>
      </w:r>
      <w:r w:rsidR="00D37684">
        <w:t>The NTPMA will b</w:t>
      </w:r>
      <w:r w:rsidR="00876F70">
        <w:t xml:space="preserve">enefit </w:t>
      </w:r>
      <w:r w:rsidR="008938A6">
        <w:t xml:space="preserve">current </w:t>
      </w:r>
      <w:r w:rsidR="00876F70">
        <w:t>ratepayers</w:t>
      </w:r>
      <w:r w:rsidR="00255693">
        <w:t xml:space="preserve"> through the generation of value for the utility, subject to any costs. </w:t>
      </w:r>
      <w:r w:rsidR="0038338B">
        <w:t>Additionally, t</w:t>
      </w:r>
      <w:r w:rsidR="00255693">
        <w:t>he sale of the outdated NTP with unused facilities will not cause any disruptions in current operations or customer support</w:t>
      </w:r>
      <w:r w:rsidR="00583CE6">
        <w:t xml:space="preserve"> and </w:t>
      </w:r>
      <w:r w:rsidR="007443FA">
        <w:t>instead</w:t>
      </w:r>
      <w:r w:rsidR="00583CE6">
        <w:t xml:space="preserve"> provide greater efficiency</w:t>
      </w:r>
      <w:r w:rsidR="00255693">
        <w:t>.</w:t>
      </w:r>
      <w:r w:rsidR="00255693">
        <w:rPr>
          <w:rStyle w:val="FootnoteReference"/>
        </w:rPr>
        <w:footnoteReference w:id="20"/>
      </w:r>
      <w:r w:rsidR="00F50A6F">
        <w:t xml:space="preserve"> </w:t>
      </w:r>
      <w:r w:rsidR="007443FA">
        <w:t xml:space="preserve">The removal of old facilities will lead to less maintenance costs and time spent repairing old equipment. </w:t>
      </w:r>
      <w:r w:rsidR="00F50A6F">
        <w:t xml:space="preserve">The </w:t>
      </w:r>
      <w:r w:rsidR="00740C4F">
        <w:t>sales</w:t>
      </w:r>
      <w:r w:rsidR="00F50A6F">
        <w:t xml:space="preserve"> will yield a net benefit</w:t>
      </w:r>
      <w:r w:rsidR="00E0569D">
        <w:t xml:space="preserve">, generating </w:t>
      </w:r>
      <w:r w:rsidR="00F50A6F">
        <w:t xml:space="preserve">some </w:t>
      </w:r>
      <w:r w:rsidR="0060710B">
        <w:t xml:space="preserve">profit </w:t>
      </w:r>
      <w:r w:rsidR="00992F4F">
        <w:t>to</w:t>
      </w:r>
      <w:r w:rsidR="0060710B">
        <w:t xml:space="preserve"> reinvest in improved service, </w:t>
      </w:r>
      <w:r w:rsidR="00992F4F">
        <w:t xml:space="preserve">upgrade </w:t>
      </w:r>
      <w:r w:rsidR="0060710B">
        <w:t xml:space="preserve">current utility facilities, and </w:t>
      </w:r>
      <w:r w:rsidR="00992F4F">
        <w:t xml:space="preserve">improve </w:t>
      </w:r>
      <w:r w:rsidR="0060710B">
        <w:t xml:space="preserve">operations. </w:t>
      </w:r>
    </w:p>
    <w:p w:rsidR="005B5D59" w:rsidP="003430A8" w:rsidRDefault="00892F36" w14:paraId="52DC838F" w14:textId="523F90ED">
      <w:r>
        <w:t>Moreover, t</w:t>
      </w:r>
      <w:r w:rsidR="008938A6">
        <w:t xml:space="preserve">he NTPMA will benefit future ratepayers in several ways. </w:t>
      </w:r>
      <w:r w:rsidR="00193B58">
        <w:t xml:space="preserve">PacifiCorp provides ratepayers with a net benefit as the sale of real property will generate value and </w:t>
      </w:r>
      <w:r w:rsidR="00A921FE">
        <w:t xml:space="preserve">translate to savings on customer bills. </w:t>
      </w:r>
      <w:r w:rsidR="008938A6">
        <w:t xml:space="preserve">When the transactions occur </w:t>
      </w:r>
      <w:r>
        <w:t>in future years</w:t>
      </w:r>
      <w:r w:rsidR="008938A6">
        <w:t xml:space="preserve">, </w:t>
      </w:r>
      <w:r>
        <w:t xml:space="preserve">PacifiCorp can </w:t>
      </w:r>
      <w:r w:rsidR="00740C4F">
        <w:t xml:space="preserve">then </w:t>
      </w:r>
      <w:r>
        <w:t xml:space="preserve">submit the </w:t>
      </w:r>
      <w:r w:rsidR="00740C4F">
        <w:t xml:space="preserve">actual </w:t>
      </w:r>
      <w:r w:rsidR="00A43E7D">
        <w:t>numbers in its</w:t>
      </w:r>
      <w:r w:rsidR="008938A6">
        <w:t xml:space="preserve"> general rate case with</w:t>
      </w:r>
      <w:r w:rsidR="00740C4F">
        <w:t xml:space="preserve"> </w:t>
      </w:r>
      <w:r w:rsidR="008938A6">
        <w:t xml:space="preserve">certainty. If PacifiCorp attempted to forecast </w:t>
      </w:r>
      <w:r w:rsidR="00A43E7D">
        <w:t xml:space="preserve">all </w:t>
      </w:r>
      <w:r w:rsidR="008938A6">
        <w:t>sales values today, these projections would be inaccurate and</w:t>
      </w:r>
      <w:r w:rsidR="00257AD5">
        <w:t xml:space="preserve"> lead to </w:t>
      </w:r>
      <w:r w:rsidR="00A43E7D">
        <w:t>either a surplus</w:t>
      </w:r>
      <w:r w:rsidR="00257AD5">
        <w:t xml:space="preserve"> recovery or</w:t>
      </w:r>
      <w:r w:rsidR="00A43E7D">
        <w:t xml:space="preserve"> </w:t>
      </w:r>
      <w:r w:rsidR="00257AD5">
        <w:t xml:space="preserve">shortfall. </w:t>
      </w:r>
      <w:r w:rsidR="00453ADE">
        <w:t xml:space="preserve">The NTPMA allows the Commission to determine at a future date how </w:t>
      </w:r>
      <w:r w:rsidR="00A8113B">
        <w:t xml:space="preserve">the </w:t>
      </w:r>
      <w:r w:rsidR="00453ADE">
        <w:t xml:space="preserve">rates should be changed. </w:t>
      </w:r>
      <w:r w:rsidR="00C93474">
        <w:t>The reasonableness of any costs incurred over the course of the NTPMA will be assessed in PacifiCorp’s future general rate case(s)</w:t>
      </w:r>
      <w:r w:rsidR="003430A8">
        <w:t xml:space="preserve"> and disposed of accordingly</w:t>
      </w:r>
      <w:r w:rsidR="00C93474">
        <w:t xml:space="preserve">. </w:t>
      </w:r>
      <w:r w:rsidR="00A8113B">
        <w:t xml:space="preserve">Any expenses incurred and maintained in the NTPMA will need to be accounted for and determined to be reasonable </w:t>
      </w:r>
      <w:r w:rsidR="00895ABE">
        <w:t>if the utility seeks to recover</w:t>
      </w:r>
      <w:r w:rsidR="00DE6FA8">
        <w:t xml:space="preserve"> </w:t>
      </w:r>
      <w:r w:rsidR="00BB157B">
        <w:t>said expenses</w:t>
      </w:r>
      <w:r w:rsidR="00895ABE">
        <w:t>.</w:t>
      </w:r>
      <w:r w:rsidR="00AB47CD">
        <w:t xml:space="preserve"> As a result, we determine that establishing the NTPMA is just and reasonable.</w:t>
      </w:r>
      <w:r w:rsidR="00895ABE">
        <w:t xml:space="preserve"> </w:t>
      </w:r>
    </w:p>
    <w:p w:rsidR="00842F25" w:rsidP="00AC1B76" w:rsidRDefault="006F64F4" w14:paraId="18B0091D" w14:textId="3F1AF16F">
      <w:pPr>
        <w:pStyle w:val="Heading2"/>
        <w:tabs>
          <w:tab w:val="clear" w:pos="1080"/>
          <w:tab w:val="num" w:pos="720"/>
        </w:tabs>
        <w:ind w:left="720" w:hanging="360"/>
      </w:pPr>
      <w:r>
        <w:lastRenderedPageBreak/>
        <w:t xml:space="preserve">4.2 </w:t>
      </w:r>
      <w:r w:rsidR="00D407DF">
        <w:t>Effective Date of NTPMA</w:t>
      </w:r>
      <w:r w:rsidR="00D0528E">
        <w:t xml:space="preserve"> </w:t>
      </w:r>
    </w:p>
    <w:p w:rsidR="00D407DF" w:rsidP="00D407DF" w:rsidRDefault="002C24FA" w14:paraId="258F7082" w14:textId="7B1C031D">
      <w:pPr>
        <w:pStyle w:val="Standard"/>
      </w:pPr>
      <w:r w:rsidRPr="002C24FA">
        <w:t xml:space="preserve">The effective date of the NTPMA </w:t>
      </w:r>
      <w:r w:rsidR="005636A9">
        <w:t>is</w:t>
      </w:r>
      <w:r w:rsidRPr="002C24FA">
        <w:t xml:space="preserve"> May 16, </w:t>
      </w:r>
      <w:r w:rsidRPr="002C24FA" w:rsidR="00045BA1">
        <w:t>2024,</w:t>
      </w:r>
      <w:r w:rsidRPr="002C24FA">
        <w:t xml:space="preserve"> when the </w:t>
      </w:r>
      <w:r w:rsidR="00DA4DBE">
        <w:t>A</w:t>
      </w:r>
      <w:r w:rsidRPr="002C24FA">
        <w:t>pplication was filed</w:t>
      </w:r>
      <w:r w:rsidR="005636A9">
        <w:t>. This effective date</w:t>
      </w:r>
      <w:r w:rsidRPr="002C24FA">
        <w:t xml:space="preserve"> </w:t>
      </w:r>
      <w:r w:rsidR="005636A9">
        <w:t xml:space="preserve">allows </w:t>
      </w:r>
      <w:r w:rsidRPr="002C24FA">
        <w:t xml:space="preserve">PacifiCorp to recover any costs </w:t>
      </w:r>
      <w:r w:rsidR="005636A9">
        <w:t xml:space="preserve">spent </w:t>
      </w:r>
      <w:r w:rsidRPr="002C24FA">
        <w:t xml:space="preserve">in preparation for the sale of real property </w:t>
      </w:r>
      <w:r w:rsidR="00B80DCE">
        <w:t xml:space="preserve">or </w:t>
      </w:r>
      <w:r w:rsidRPr="002C24FA">
        <w:t>incurred during the duration of this proceeding. Under Pub</w:t>
      </w:r>
      <w:r w:rsidR="00186F1F">
        <w:t>.</w:t>
      </w:r>
      <w:r w:rsidRPr="002C24FA">
        <w:t xml:space="preserve"> Util</w:t>
      </w:r>
      <w:r w:rsidR="00186F1F">
        <w:t xml:space="preserve">. </w:t>
      </w:r>
      <w:r w:rsidRPr="002C24FA">
        <w:t xml:space="preserve">Code </w:t>
      </w:r>
      <w:r w:rsidR="00464A2F">
        <w:t>§</w:t>
      </w:r>
      <w:r w:rsidRPr="002C24FA">
        <w:t xml:space="preserve"> 1731(a), the Commission can set an effective date of an </w:t>
      </w:r>
      <w:r w:rsidR="00F26A81">
        <w:t>O</w:t>
      </w:r>
      <w:r w:rsidRPr="002C24FA">
        <w:t xml:space="preserve">rder or </w:t>
      </w:r>
      <w:r w:rsidR="00F26A81">
        <w:t>D</w:t>
      </w:r>
      <w:r w:rsidRPr="002C24FA">
        <w:t xml:space="preserve">ecision before the date of issuance of the </w:t>
      </w:r>
      <w:r w:rsidR="00AC5060">
        <w:t>O</w:t>
      </w:r>
      <w:r w:rsidRPr="002C24FA">
        <w:t xml:space="preserve">rder or </w:t>
      </w:r>
      <w:r w:rsidR="00AC5060">
        <w:t>D</w:t>
      </w:r>
      <w:r w:rsidRPr="002C24FA">
        <w:t xml:space="preserve">ecision. </w:t>
      </w:r>
      <w:r w:rsidR="698EFF94">
        <w:t>T</w:t>
      </w:r>
      <w:r w:rsidR="00C90475">
        <w:t xml:space="preserve">he </w:t>
      </w:r>
      <w:r w:rsidRPr="002C24FA">
        <w:t xml:space="preserve">Commission has authorized many </w:t>
      </w:r>
      <w:r w:rsidR="008D7A45">
        <w:t xml:space="preserve">retroactively effective </w:t>
      </w:r>
      <w:r w:rsidRPr="002C24FA">
        <w:t xml:space="preserve">memorandum accounts that </w:t>
      </w:r>
      <w:r w:rsidR="008D7A45">
        <w:t>do not</w:t>
      </w:r>
      <w:r w:rsidRPr="002C24FA">
        <w:t xml:space="preserve"> disrupt the proper ratemaking process</w:t>
      </w:r>
      <w:r w:rsidR="008D7A45">
        <w:t xml:space="preserve">. </w:t>
      </w:r>
      <w:r w:rsidR="003F1A2C">
        <w:t>PacifiCorp asserts t</w:t>
      </w:r>
      <w:r w:rsidR="008D7A45">
        <w:t xml:space="preserve">hese accounts do not </w:t>
      </w:r>
      <w:r w:rsidR="00C90475">
        <w:t>constitute retroactive ratemaking</w:t>
      </w:r>
      <w:r w:rsidR="00697BB8">
        <w:t xml:space="preserve"> </w:t>
      </w:r>
      <w:r w:rsidR="008D7A45">
        <w:t>since</w:t>
      </w:r>
      <w:r w:rsidR="00697BB8">
        <w:t xml:space="preserve"> memorandum accounts have no present impact on rates</w:t>
      </w:r>
      <w:r w:rsidRPr="002C24FA">
        <w:t>.</w:t>
      </w:r>
      <w:r w:rsidR="004040AA">
        <w:rPr>
          <w:rStyle w:val="FootnoteReference"/>
        </w:rPr>
        <w:footnoteReference w:id="21"/>
      </w:r>
    </w:p>
    <w:p w:rsidRPr="00D407DF" w:rsidR="00A5127A" w:rsidP="00D407DF" w:rsidRDefault="00A5127A" w14:paraId="0DEBA5C2" w14:textId="792DE678">
      <w:pPr>
        <w:pStyle w:val="Standard"/>
      </w:pPr>
      <w:r w:rsidRPr="00A5127A">
        <w:t xml:space="preserve">PacifiCorp sought to make the NTPMA effective as of </w:t>
      </w:r>
      <w:r w:rsidRPr="00A5127A" w:rsidR="00751DE5">
        <w:t>June 12, 2024</w:t>
      </w:r>
      <w:r w:rsidR="00751DE5">
        <w:t xml:space="preserve">, the date of </w:t>
      </w:r>
      <w:r w:rsidRPr="00A5127A">
        <w:t xml:space="preserve">the </w:t>
      </w:r>
      <w:r w:rsidR="00B80DCE">
        <w:t>Commission</w:t>
      </w:r>
      <w:r w:rsidRPr="00A5127A">
        <w:t>’s approval of Advice Letter 740-E</w:t>
      </w:r>
      <w:r w:rsidR="00A56031">
        <w:t>. On June 12, 2024,</w:t>
      </w:r>
      <w:r w:rsidRPr="00A5127A">
        <w:t xml:space="preserve"> the Commission</w:t>
      </w:r>
      <w:r w:rsidR="00A56031">
        <w:t>’s Energy Division</w:t>
      </w:r>
      <w:r w:rsidRPr="00A5127A">
        <w:t xml:space="preserve"> approved the underlying transaction</w:t>
      </w:r>
      <w:r w:rsidR="00333C33">
        <w:t xml:space="preserve"> to sell</w:t>
      </w:r>
      <w:r w:rsidR="002A6405">
        <w:t xml:space="preserve"> the</w:t>
      </w:r>
      <w:r w:rsidR="00333C33">
        <w:t xml:space="preserve"> NTP</w:t>
      </w:r>
      <w:r w:rsidRPr="00A5127A">
        <w:t>.</w:t>
      </w:r>
      <w:r w:rsidR="00A56031">
        <w:rPr>
          <w:rStyle w:val="FootnoteReference"/>
        </w:rPr>
        <w:footnoteReference w:id="22"/>
      </w:r>
      <w:r w:rsidRPr="00A5127A">
        <w:t xml:space="preserve"> </w:t>
      </w:r>
      <w:r w:rsidR="00D213B4">
        <w:t>PacifiCorp</w:t>
      </w:r>
      <w:r w:rsidRPr="00A5127A">
        <w:t xml:space="preserve">’s justification </w:t>
      </w:r>
      <w:r w:rsidR="00333C33">
        <w:t>for this date is that June 12</w:t>
      </w:r>
      <w:r w:rsidRPr="00A5127A">
        <w:t xml:space="preserve"> is one month later than the date PacifiCorp filed </w:t>
      </w:r>
      <w:r w:rsidR="00333C33">
        <w:t>its</w:t>
      </w:r>
      <w:r w:rsidRPr="00A5127A">
        <w:t xml:space="preserve"> </w:t>
      </w:r>
      <w:r w:rsidR="005C452B">
        <w:t>A</w:t>
      </w:r>
      <w:r w:rsidRPr="00A5127A">
        <w:t>pplication</w:t>
      </w:r>
      <w:r w:rsidR="00D213B4">
        <w:t xml:space="preserve"> and is “appropriate</w:t>
      </w:r>
      <w:r w:rsidR="00333C33">
        <w:t xml:space="preserve">.” </w:t>
      </w:r>
      <w:r w:rsidR="00EF59C3">
        <w:t>Despite the fact tha</w:t>
      </w:r>
      <w:r w:rsidR="002B370A">
        <w:t xml:space="preserve">t PacifiCorp </w:t>
      </w:r>
      <w:r w:rsidR="00FE28E4">
        <w:t xml:space="preserve">Application requests </w:t>
      </w:r>
      <w:r w:rsidR="002B370A">
        <w:t>June 12, 2024</w:t>
      </w:r>
      <w:r w:rsidR="00FE28E4">
        <w:t xml:space="preserve"> </w:t>
      </w:r>
      <w:r w:rsidR="002B370A">
        <w:t xml:space="preserve">as </w:t>
      </w:r>
      <w:r w:rsidR="00FE289D">
        <w:t xml:space="preserve">the </w:t>
      </w:r>
      <w:r w:rsidR="002B370A">
        <w:t>effective date, the Commission grants</w:t>
      </w:r>
      <w:r w:rsidR="009B2896">
        <w:t xml:space="preserve"> an earlier date based on pr</w:t>
      </w:r>
      <w:r w:rsidR="00D77832">
        <w:t>ior decisions</w:t>
      </w:r>
      <w:r w:rsidR="009B2896">
        <w:t>. T</w:t>
      </w:r>
      <w:r w:rsidR="00333C33">
        <w:t>he C</w:t>
      </w:r>
      <w:r w:rsidRPr="00A5127A" w:rsidR="00333C33">
        <w:t>ommission</w:t>
      </w:r>
      <w:r w:rsidR="00333C33">
        <w:t xml:space="preserve"> </w:t>
      </w:r>
      <w:r w:rsidR="00D77832">
        <w:t xml:space="preserve">has </w:t>
      </w:r>
      <w:r w:rsidR="00333C33">
        <w:t xml:space="preserve">generally </w:t>
      </w:r>
      <w:r w:rsidRPr="00A5127A">
        <w:t>approve</w:t>
      </w:r>
      <w:r w:rsidR="00D77832">
        <w:t>d</w:t>
      </w:r>
      <w:r w:rsidRPr="00A5127A">
        <w:t xml:space="preserve"> the date when the application was filed</w:t>
      </w:r>
      <w:r w:rsidR="00D77832">
        <w:t xml:space="preserve"> as the effective date.</w:t>
      </w:r>
      <w:r w:rsidR="00852256">
        <w:rPr>
          <w:rStyle w:val="FootnoteReference"/>
        </w:rPr>
        <w:footnoteReference w:id="23"/>
      </w:r>
      <w:r w:rsidR="00D77832">
        <w:t xml:space="preserve"> </w:t>
      </w:r>
      <w:r w:rsidRPr="00A5127A">
        <w:t xml:space="preserve"> </w:t>
      </w:r>
      <w:r w:rsidR="00D213B4">
        <w:t>Following th</w:t>
      </w:r>
      <w:r w:rsidR="00333C33">
        <w:t>is</w:t>
      </w:r>
      <w:r w:rsidR="00D213B4">
        <w:t xml:space="preserve"> </w:t>
      </w:r>
      <w:r w:rsidR="00D77832">
        <w:t>series of Commission decisions</w:t>
      </w:r>
      <w:r w:rsidR="00D213B4">
        <w:t xml:space="preserve">, the Commission grants </w:t>
      </w:r>
      <w:r w:rsidR="000574E9">
        <w:t xml:space="preserve">PacifiCorp’s </w:t>
      </w:r>
      <w:r w:rsidR="00226015">
        <w:t xml:space="preserve">NTPMA </w:t>
      </w:r>
      <w:r w:rsidR="00D77832">
        <w:t>to be</w:t>
      </w:r>
      <w:r w:rsidR="00333C33">
        <w:t xml:space="preserve"> </w:t>
      </w:r>
      <w:r w:rsidR="000574E9">
        <w:t xml:space="preserve">effective </w:t>
      </w:r>
      <w:r w:rsidR="00226015">
        <w:t xml:space="preserve">as </w:t>
      </w:r>
      <w:r w:rsidR="007F1A54">
        <w:t xml:space="preserve">of </w:t>
      </w:r>
      <w:r w:rsidR="000574E9">
        <w:t xml:space="preserve">May 16, 2024. </w:t>
      </w:r>
    </w:p>
    <w:p w:rsidR="00D407DF" w:rsidP="00AC1B76" w:rsidRDefault="00D77832" w14:paraId="70F96D06" w14:textId="07ACF53C">
      <w:pPr>
        <w:pStyle w:val="Heading2"/>
        <w:tabs>
          <w:tab w:val="clear" w:pos="1080"/>
          <w:tab w:val="num" w:pos="720"/>
        </w:tabs>
        <w:ind w:left="720" w:hanging="360"/>
      </w:pPr>
      <w:r>
        <w:lastRenderedPageBreak/>
        <w:t xml:space="preserve">4.3 </w:t>
      </w:r>
      <w:r w:rsidR="00D407DF">
        <w:t xml:space="preserve">PacifiCorp’s NTPMA Tariff Language is Reasonable. </w:t>
      </w:r>
    </w:p>
    <w:p w:rsidR="00E83866" w:rsidP="00AC1B76" w:rsidRDefault="004372AC" w14:paraId="23C4FF93" w14:textId="03EC9A2E">
      <w:pPr>
        <w:pStyle w:val="Standard"/>
      </w:pPr>
      <w:r>
        <w:t xml:space="preserve">This </w:t>
      </w:r>
      <w:r w:rsidR="00031279">
        <w:t>d</w:t>
      </w:r>
      <w:r>
        <w:t>ecision determines that PacifiCorp’s proposed memorandum account</w:t>
      </w:r>
      <w:r w:rsidR="000574E9">
        <w:t xml:space="preserve"> </w:t>
      </w:r>
      <w:r w:rsidR="00AF11F7">
        <w:t xml:space="preserve">is reasonable and just. </w:t>
      </w:r>
      <w:r w:rsidR="0029242B">
        <w:t xml:space="preserve">This memorandum account will effectively provide </w:t>
      </w:r>
      <w:r w:rsidR="003B6B54">
        <w:t>PacifiCorp with</w:t>
      </w:r>
      <w:r w:rsidR="0029242B">
        <w:t xml:space="preserve"> the ability to record all costs and proceeds associated with the </w:t>
      </w:r>
      <w:r w:rsidR="006174E9">
        <w:t>sales</w:t>
      </w:r>
      <w:r w:rsidR="0029242B">
        <w:t xml:space="preserve"> of </w:t>
      </w:r>
      <w:r w:rsidR="00172050">
        <w:t>NTP</w:t>
      </w:r>
      <w:r w:rsidR="006D26D1">
        <w:t xml:space="preserve"> </w:t>
      </w:r>
      <w:r w:rsidR="006174E9">
        <w:t xml:space="preserve">parcels </w:t>
      </w:r>
      <w:r w:rsidR="006D26D1">
        <w:t>over the multi-year period.</w:t>
      </w:r>
    </w:p>
    <w:p w:rsidR="006D26D1" w:rsidP="00AC1B76" w:rsidRDefault="00E83866" w14:paraId="77DE92C5" w14:textId="64CCBBF5">
      <w:pPr>
        <w:pStyle w:val="Standard"/>
      </w:pPr>
      <w:r>
        <w:t xml:space="preserve">PacifiCorp provided its proposed tariff language for the NTPMA </w:t>
      </w:r>
      <w:r w:rsidR="002A6405">
        <w:t>a</w:t>
      </w:r>
      <w:r w:rsidR="00493A45">
        <w:t xml:space="preserve">s </w:t>
      </w:r>
      <w:r>
        <w:t>an exhibit to the Application.</w:t>
      </w:r>
      <w:r w:rsidR="001C18B4">
        <w:rPr>
          <w:rStyle w:val="FootnoteReference"/>
        </w:rPr>
        <w:footnoteReference w:id="24"/>
      </w:r>
      <w:r w:rsidR="001C18B4">
        <w:t xml:space="preserve"> In the following paragraphs of this Section, we review PacifiCorp’s proposed tariff language to determine whether it is reasonable. </w:t>
      </w:r>
      <w:r w:rsidR="006D26D1">
        <w:t xml:space="preserve"> </w:t>
      </w:r>
    </w:p>
    <w:p w:rsidR="00875B87" w:rsidP="00AC1B76" w:rsidRDefault="001C18B4" w14:paraId="4D186CF1" w14:textId="46A77F53">
      <w:pPr>
        <w:pStyle w:val="Standard"/>
      </w:pPr>
      <w:r>
        <w:t>PacifiCorp states that</w:t>
      </w:r>
      <w:r w:rsidR="008A36E0">
        <w:t xml:space="preserve"> </w:t>
      </w:r>
      <w:r w:rsidR="00E84706">
        <w:t>the purpose of the NTPMA is to track and record the proceeds from and costs associated with the proposed sale of real property.</w:t>
      </w:r>
      <w:r w:rsidR="00E84706">
        <w:rPr>
          <w:rStyle w:val="FootnoteReference"/>
        </w:rPr>
        <w:footnoteReference w:id="25"/>
      </w:r>
      <w:r w:rsidR="003B6B54">
        <w:t xml:space="preserve"> This purpose is just and reasonable as stated above</w:t>
      </w:r>
      <w:r>
        <w:t>:</w:t>
      </w:r>
      <w:r w:rsidR="003B6B54">
        <w:t xml:space="preserve"> PacifiCorp could not control the expense, the </w:t>
      </w:r>
      <w:r w:rsidR="00BA246B">
        <w:t>property sale</w:t>
      </w:r>
      <w:r w:rsidR="003F1A2C">
        <w:t xml:space="preserve"> value</w:t>
      </w:r>
      <w:r w:rsidR="00BA246B">
        <w:t>s are not foreseeable given the design of the deal</w:t>
      </w:r>
      <w:r w:rsidR="003B6B54">
        <w:t xml:space="preserve">, </w:t>
      </w:r>
      <w:r w:rsidR="00BA246B">
        <w:t>the amount of money from the sale is substantial</w:t>
      </w:r>
      <w:r w:rsidR="003B6B54">
        <w:t xml:space="preserve">, and </w:t>
      </w:r>
      <w:r w:rsidR="00BA246B">
        <w:t xml:space="preserve">the </w:t>
      </w:r>
      <w:r w:rsidR="003B6B54">
        <w:t xml:space="preserve">memorandum account will provide </w:t>
      </w:r>
      <w:r w:rsidR="00BA246B">
        <w:t xml:space="preserve">both current and future </w:t>
      </w:r>
      <w:r w:rsidR="003B6B54">
        <w:t>ratepayer benefits</w:t>
      </w:r>
      <w:r w:rsidR="00BA246B">
        <w:t>.</w:t>
      </w:r>
    </w:p>
    <w:p w:rsidR="00F30BE7" w:rsidP="002B7DD4" w:rsidRDefault="00CF4FE7" w14:paraId="203C5A68" w14:textId="5999F16A">
      <w:pPr>
        <w:pStyle w:val="Standard"/>
      </w:pPr>
      <w:r>
        <w:t>PacifiCorp asse</w:t>
      </w:r>
      <w:r w:rsidR="000574E9">
        <w:t>r</w:t>
      </w:r>
      <w:r>
        <w:t>ts that</w:t>
      </w:r>
      <w:r w:rsidR="00D02742">
        <w:t xml:space="preserve"> </w:t>
      </w:r>
      <w:r w:rsidR="00031279">
        <w:t xml:space="preserve">the </w:t>
      </w:r>
      <w:r w:rsidR="00D02742">
        <w:t>NTPMA applies to all customer classes.</w:t>
      </w:r>
      <w:r w:rsidR="00D02742">
        <w:rPr>
          <w:rStyle w:val="FootnoteReference"/>
        </w:rPr>
        <w:footnoteReference w:id="26"/>
      </w:r>
      <w:r w:rsidR="001B1306">
        <w:t xml:space="preserve"> </w:t>
      </w:r>
      <w:r w:rsidR="00027DF3">
        <w:t xml:space="preserve">This is just and reasonable, as the disposition of property will generate </w:t>
      </w:r>
      <w:r w:rsidR="00172050">
        <w:t>savings</w:t>
      </w:r>
      <w:r w:rsidR="00027DF3">
        <w:t xml:space="preserve"> to be shared </w:t>
      </w:r>
      <w:r w:rsidR="00172050">
        <w:t xml:space="preserve">and distributed </w:t>
      </w:r>
      <w:r w:rsidR="00027DF3">
        <w:t xml:space="preserve">across customers. </w:t>
      </w:r>
    </w:p>
    <w:p w:rsidR="00AC7FB5" w:rsidP="00172050" w:rsidRDefault="00D14D93" w14:paraId="14B9802A" w14:textId="4E3DF4AB">
      <w:pPr>
        <w:pStyle w:val="Standard"/>
      </w:pPr>
      <w:r>
        <w:t>PacifiCorp</w:t>
      </w:r>
      <w:r w:rsidR="0026087B">
        <w:t xml:space="preserve">’s described </w:t>
      </w:r>
      <w:r w:rsidR="00FE289D">
        <w:t>a</w:t>
      </w:r>
      <w:r w:rsidR="0026087B">
        <w:t xml:space="preserve">ccount </w:t>
      </w:r>
      <w:r w:rsidR="0016400A">
        <w:t>procedures</w:t>
      </w:r>
      <w:r w:rsidR="0026087B">
        <w:t xml:space="preserve"> are just and reasonable, following standard memorandum account methodology to manage both debts and credits.</w:t>
      </w:r>
      <w:r w:rsidR="0026087B">
        <w:rPr>
          <w:rStyle w:val="FootnoteReference"/>
        </w:rPr>
        <w:footnoteReference w:id="27"/>
      </w:r>
      <w:r>
        <w:t xml:space="preserve"> </w:t>
      </w:r>
      <w:r w:rsidR="00432B51">
        <w:t xml:space="preserve">The interest will be added at the beginning of the month and </w:t>
      </w:r>
      <w:r w:rsidR="00CC36E3">
        <w:t xml:space="preserve">kept </w:t>
      </w:r>
      <w:r w:rsidR="00CC36E3">
        <w:lastRenderedPageBreak/>
        <w:t>at a rate equal to one-twelfth the interest rate on three-month Commercial Paper for the previous month.</w:t>
      </w:r>
      <w:r w:rsidR="00CC36E3">
        <w:rPr>
          <w:rStyle w:val="FootnoteReference"/>
        </w:rPr>
        <w:footnoteReference w:id="28"/>
      </w:r>
      <w:r w:rsidR="00CC36E3">
        <w:t xml:space="preserve"> </w:t>
      </w:r>
      <w:r w:rsidR="002D3EE3">
        <w:t xml:space="preserve">The previous month’s rate is dictated by the Federal Reserve. This is a </w:t>
      </w:r>
      <w:r w:rsidR="00E3498A">
        <w:t>just</w:t>
      </w:r>
      <w:r w:rsidR="002D3EE3">
        <w:t xml:space="preserve"> </w:t>
      </w:r>
      <w:r w:rsidR="001C18B4">
        <w:t xml:space="preserve">and </w:t>
      </w:r>
      <w:r w:rsidR="002D3EE3">
        <w:t xml:space="preserve">reasonable approach to a memorandum account </w:t>
      </w:r>
      <w:r w:rsidR="00E3498A">
        <w:t>structure and</w:t>
      </w:r>
      <w:r w:rsidR="002D3EE3">
        <w:t xml:space="preserve"> follows </w:t>
      </w:r>
      <w:r w:rsidR="00061EB4">
        <w:t xml:space="preserve">appropriate procedures for tracking all funds. </w:t>
      </w:r>
    </w:p>
    <w:p w:rsidR="00017987" w:rsidP="00172050" w:rsidRDefault="00061EB4" w14:paraId="0D63604F" w14:textId="77777777">
      <w:pPr>
        <w:pStyle w:val="Standard"/>
      </w:pPr>
      <w:r>
        <w:t xml:space="preserve">PacifiCorp plans to </w:t>
      </w:r>
      <w:r w:rsidR="00E3498A">
        <w:t>dispose</w:t>
      </w:r>
      <w:r>
        <w:t xml:space="preserve"> of any amount tracked </w:t>
      </w:r>
      <w:r w:rsidR="00E3498A">
        <w:t>via its future general rate case(s).</w:t>
      </w:r>
      <w:r w:rsidR="00E3498A">
        <w:rPr>
          <w:rStyle w:val="FootnoteReference"/>
        </w:rPr>
        <w:footnoteReference w:id="29"/>
      </w:r>
      <w:r w:rsidR="001C48FC">
        <w:t xml:space="preserve"> By distributing funds through the general rate case, the Commission is able to ensure ratepayers are protected, all funds are appropriately tracked, and ratepayers receive their portion of the benefits.</w:t>
      </w:r>
    </w:p>
    <w:p w:rsidR="00061EB4" w:rsidP="00172050" w:rsidRDefault="00017987" w14:paraId="4712BC82" w14:textId="4D994611">
      <w:pPr>
        <w:pStyle w:val="Standard"/>
      </w:pPr>
      <w:r>
        <w:t xml:space="preserve">After review, we find that PacifiCorp’s proposed tariff language is reasonable and </w:t>
      </w:r>
      <w:r w:rsidR="001C18B4">
        <w:t>should be</w:t>
      </w:r>
      <w:r>
        <w:t xml:space="preserve"> approved.</w:t>
      </w:r>
      <w:r w:rsidR="001C48FC">
        <w:t xml:space="preserve"> </w:t>
      </w:r>
    </w:p>
    <w:p w:rsidR="00603238" w:rsidP="00A359D2" w:rsidRDefault="00603238" w14:paraId="4FCAF847" w14:textId="77777777">
      <w:pPr>
        <w:pStyle w:val="Heading1"/>
        <w:numPr>
          <w:ilvl w:val="0"/>
          <w:numId w:val="1"/>
        </w:numPr>
      </w:pPr>
      <w:bookmarkStart w:name="_Toc133843852" w:id="11"/>
      <w:bookmarkStart w:name="_Toc8123721" w:id="12"/>
      <w:r>
        <w:t>Summary of Public Comment</w:t>
      </w:r>
      <w:bookmarkEnd w:id="11"/>
    </w:p>
    <w:p w:rsidR="00291AAE" w:rsidP="00291AAE" w:rsidRDefault="00291AAE" w14:paraId="249F3AED" w14:textId="7417060D">
      <w:r>
        <w:t xml:space="preserve">Rule 1.18 allows any member of the public to submit written </w:t>
      </w:r>
      <w:r w:rsidR="0016400A">
        <w:t>comments</w:t>
      </w:r>
      <w:r>
        <w:t xml:space="preserve"> in any Commission proceeding using the </w:t>
      </w:r>
      <w:r w:rsidR="00263442">
        <w:t>“</w:t>
      </w:r>
      <w:r>
        <w:t>Public Comment</w:t>
      </w:r>
      <w:r w:rsidR="00262382">
        <w:t>”</w:t>
      </w:r>
      <w:r>
        <w:t xml:space="preserve"> tab of the online Docket Card for that proceeding on the Commission’s website. Rule 1.18(b) requires that relevant written comment submitted in a proceeding be summarized in the final </w:t>
      </w:r>
      <w:r w:rsidR="00AC5060">
        <w:t>D</w:t>
      </w:r>
      <w:r>
        <w:t xml:space="preserve">ecision issued in that proceeding. </w:t>
      </w:r>
    </w:p>
    <w:p w:rsidRPr="008C3CB7" w:rsidR="00603238" w:rsidP="00291AAE" w:rsidRDefault="00291AAE" w14:paraId="779BEEEA" w14:textId="7C9571A0">
      <w:pPr>
        <w:rPr>
          <w:rFonts w:ascii="Calibri" w:hAnsi="Calibri"/>
          <w:i/>
          <w:iCs/>
          <w:sz w:val="22"/>
        </w:rPr>
      </w:pPr>
      <w:r>
        <w:t xml:space="preserve">At the time of issuance of this </w:t>
      </w:r>
      <w:r w:rsidR="001520DD">
        <w:t>d</w:t>
      </w:r>
      <w:r>
        <w:t>ecision, no public comments had been submitted in this proceeding.</w:t>
      </w:r>
    </w:p>
    <w:p w:rsidR="00FA1B4F" w:rsidP="00A359D2" w:rsidRDefault="005939A5" w14:paraId="393D6877" w14:textId="77777777">
      <w:pPr>
        <w:pStyle w:val="Heading1"/>
        <w:numPr>
          <w:ilvl w:val="0"/>
          <w:numId w:val="1"/>
        </w:numPr>
      </w:pPr>
      <w:bookmarkStart w:name="_Toc133843853" w:id="13"/>
      <w:r>
        <w:t>Conclusion</w:t>
      </w:r>
      <w:bookmarkEnd w:id="12"/>
      <w:bookmarkEnd w:id="13"/>
    </w:p>
    <w:p w:rsidRPr="00343E5C" w:rsidR="00343E5C" w:rsidP="00343E5C" w:rsidRDefault="00B93A1A" w14:paraId="03DD8217" w14:textId="2A8F2B26">
      <w:pPr>
        <w:pStyle w:val="Standard"/>
      </w:pPr>
      <w:r>
        <w:t xml:space="preserve">The Commission grants PacifiCorp’s request to </w:t>
      </w:r>
      <w:r w:rsidR="00DF5D88">
        <w:t xml:space="preserve">establish </w:t>
      </w:r>
      <w:r w:rsidR="00584120">
        <w:t xml:space="preserve">the NTPMA </w:t>
      </w:r>
      <w:r w:rsidR="00DF5D88">
        <w:t xml:space="preserve">to manage </w:t>
      </w:r>
      <w:r w:rsidR="00925409">
        <w:t xml:space="preserve">and distribute </w:t>
      </w:r>
      <w:r w:rsidR="00DF5D88">
        <w:t xml:space="preserve">the proceeds and costs associated with the sale of </w:t>
      </w:r>
      <w:r w:rsidR="00925409">
        <w:t xml:space="preserve">real </w:t>
      </w:r>
      <w:r w:rsidR="00DF5D88">
        <w:t>property in Utah</w:t>
      </w:r>
      <w:r w:rsidR="00584120">
        <w:t xml:space="preserve">. All </w:t>
      </w:r>
      <w:r w:rsidR="00394FD2">
        <w:t xml:space="preserve">California-allocated </w:t>
      </w:r>
      <w:r w:rsidR="00584120">
        <w:t xml:space="preserve">costs </w:t>
      </w:r>
      <w:r w:rsidR="00F65C40">
        <w:t xml:space="preserve">and proceeds </w:t>
      </w:r>
      <w:r w:rsidR="00394FD2">
        <w:t xml:space="preserve">related to the sale of the NTPMA </w:t>
      </w:r>
      <w:r w:rsidR="00E1632D">
        <w:t>m</w:t>
      </w:r>
      <w:r w:rsidR="00F65C40">
        <w:t>ay</w:t>
      </w:r>
      <w:r w:rsidR="00E1632D">
        <w:t xml:space="preserve"> be </w:t>
      </w:r>
      <w:r w:rsidR="00DF5D88">
        <w:t>track</w:t>
      </w:r>
      <w:r w:rsidR="00E1632D">
        <w:t>ed</w:t>
      </w:r>
      <w:r w:rsidR="00DF5D88">
        <w:t xml:space="preserve"> retroactively</w:t>
      </w:r>
      <w:r w:rsidR="00F65C40">
        <w:t>,</w:t>
      </w:r>
      <w:r w:rsidR="00DF5D88">
        <w:t xml:space="preserve"> effective as of May 16, 2024. </w:t>
      </w:r>
    </w:p>
    <w:p w:rsidR="004A1EAD" w:rsidP="00A359D2" w:rsidRDefault="004A1EAD" w14:paraId="63D44C33" w14:textId="77777777">
      <w:pPr>
        <w:pStyle w:val="Heading1"/>
        <w:numPr>
          <w:ilvl w:val="0"/>
          <w:numId w:val="1"/>
        </w:numPr>
      </w:pPr>
      <w:bookmarkStart w:name="_Toc8123723" w:id="14"/>
      <w:bookmarkStart w:name="_Toc133843854" w:id="15"/>
      <w:r>
        <w:lastRenderedPageBreak/>
        <w:t>Procedural Matters</w:t>
      </w:r>
    </w:p>
    <w:p w:rsidRPr="008B175A" w:rsidR="004A1EAD" w:rsidP="004A1EAD" w:rsidRDefault="004A1EAD" w14:paraId="627C21EF" w14:textId="51772C11">
      <w:pPr>
        <w:pStyle w:val="Standard"/>
      </w:pPr>
      <w:r w:rsidRPr="008B175A">
        <w:t xml:space="preserve">This </w:t>
      </w:r>
      <w:r w:rsidR="00586D54">
        <w:t>d</w:t>
      </w:r>
      <w:r w:rsidRPr="008B175A">
        <w:t xml:space="preserve">ecision affirms all rulings made by the </w:t>
      </w:r>
      <w:r w:rsidR="001366BE">
        <w:t xml:space="preserve">ALJ </w:t>
      </w:r>
      <w:r w:rsidRPr="008B175A">
        <w:t>in this proceeding. All motions not ruled on are deemed denied.</w:t>
      </w:r>
    </w:p>
    <w:p w:rsidR="005939A5" w:rsidP="00A359D2" w:rsidRDefault="00D516C9" w14:paraId="4F2EACC2" w14:textId="63E2798A">
      <w:pPr>
        <w:pStyle w:val="Heading1"/>
        <w:numPr>
          <w:ilvl w:val="0"/>
          <w:numId w:val="1"/>
        </w:numPr>
      </w:pPr>
      <w:r>
        <w:t>Waiver of Comment Period</w:t>
      </w:r>
      <w:bookmarkEnd w:id="14"/>
      <w:bookmarkEnd w:id="15"/>
    </w:p>
    <w:p w:rsidR="005939A5" w:rsidP="00DF5846" w:rsidRDefault="00D516C9" w14:paraId="27C8D3EB" w14:textId="65EEB597">
      <w:pPr>
        <w:pStyle w:val="Standard"/>
      </w:pPr>
      <w:r>
        <w:t>This proceeding is an uncontested matter in which this decision grants the relief requested by PacifiCorp. As a result, pursuant to Rule 14.6(c)(2), it is appropriate to waive the 30-day period for public review and comment regarding this decision.</w:t>
      </w:r>
    </w:p>
    <w:p w:rsidR="005939A5" w:rsidP="00A359D2" w:rsidRDefault="005939A5" w14:paraId="5E769FB5" w14:textId="77777777">
      <w:pPr>
        <w:pStyle w:val="Heading1"/>
        <w:numPr>
          <w:ilvl w:val="0"/>
          <w:numId w:val="1"/>
        </w:numPr>
      </w:pPr>
      <w:bookmarkStart w:name="_Toc8123724" w:id="16"/>
      <w:bookmarkStart w:name="_Toc133843855" w:id="17"/>
      <w:r>
        <w:t>Assignment of Proceeding</w:t>
      </w:r>
      <w:bookmarkEnd w:id="16"/>
      <w:bookmarkEnd w:id="17"/>
    </w:p>
    <w:p w:rsidR="005939A5" w:rsidP="006E6574" w:rsidRDefault="003F51EC" w14:paraId="07D9CB95" w14:textId="69C78541">
      <w:pPr>
        <w:pStyle w:val="Standard"/>
      </w:pPr>
      <w:r>
        <w:t xml:space="preserve">John Reynolds </w:t>
      </w:r>
      <w:r w:rsidR="005939A5">
        <w:t xml:space="preserve">is the assigned Commissioner and </w:t>
      </w:r>
      <w:r>
        <w:t xml:space="preserve">Patrick Petersen </w:t>
      </w:r>
      <w:r w:rsidR="005939A5">
        <w:t xml:space="preserve">is the assigned </w:t>
      </w:r>
      <w:r w:rsidR="00102368">
        <w:t xml:space="preserve">ALJ </w:t>
      </w:r>
      <w:r w:rsidR="005939A5">
        <w:t>in this proceeding.</w:t>
      </w:r>
    </w:p>
    <w:p w:rsidR="005939A5" w:rsidP="00AC1B76" w:rsidRDefault="005939A5" w14:paraId="4963CB06" w14:textId="77777777">
      <w:pPr>
        <w:pStyle w:val="Dummy"/>
      </w:pPr>
      <w:bookmarkStart w:name="_Toc8123725" w:id="18"/>
      <w:bookmarkStart w:name="_Toc133843856" w:id="19"/>
      <w:r>
        <w:t>Findings of Fact</w:t>
      </w:r>
      <w:bookmarkEnd w:id="18"/>
      <w:bookmarkEnd w:id="19"/>
    </w:p>
    <w:p w:rsidR="00C52941" w:rsidP="00C52941" w:rsidRDefault="00C52941" w14:paraId="372C7B0C" w14:textId="03230C4C">
      <w:pPr>
        <w:pStyle w:val="FoF"/>
      </w:pPr>
      <w:r>
        <w:t xml:space="preserve">PacifiCorp is a multi-jurisdictional investor-owned utility providing electric retail service to customers in California, Idaho, Oregon, Utah, Washington, and Wyoming. </w:t>
      </w:r>
    </w:p>
    <w:p w:rsidRPr="001E2A62" w:rsidR="00B34081" w:rsidP="00B34081" w:rsidRDefault="00B34081" w14:paraId="53B98FB9" w14:textId="7559EEDE">
      <w:pPr>
        <w:pStyle w:val="FoF"/>
      </w:pPr>
      <w:r>
        <w:t>PacifiCorp filed A</w:t>
      </w:r>
      <w:r w:rsidR="00F66FF2">
        <w:t>.</w:t>
      </w:r>
      <w:r>
        <w:t xml:space="preserve">24-05-013 to establish a memorandum account to track all funds from the sale of </w:t>
      </w:r>
      <w:r w:rsidR="00F66FF2">
        <w:t xml:space="preserve">approximately 100 acres of </w:t>
      </w:r>
      <w:r>
        <w:t xml:space="preserve">real property in </w:t>
      </w:r>
      <w:r w:rsidR="00FD5100">
        <w:t xml:space="preserve">Salt Lake City, </w:t>
      </w:r>
      <w:r>
        <w:t>Utah</w:t>
      </w:r>
      <w:r w:rsidR="00F66FF2">
        <w:t xml:space="preserve"> identified as the NTP</w:t>
      </w:r>
      <w:r>
        <w:t xml:space="preserve">. This Application was filed concurrently with Advice Letter 740-E seeking to dispose of the </w:t>
      </w:r>
      <w:r w:rsidR="00F66FF2">
        <w:t>NTP</w:t>
      </w:r>
      <w:r>
        <w:t xml:space="preserve">. </w:t>
      </w:r>
    </w:p>
    <w:p w:rsidR="00B34081" w:rsidP="00B34081" w:rsidRDefault="00B34081" w14:paraId="3DE6A0F4" w14:textId="117D53FF">
      <w:pPr>
        <w:pStyle w:val="FoF"/>
      </w:pPr>
      <w:r>
        <w:t xml:space="preserve">PacifiCorp’s Advice Letter was approved on June 12, 2024, by the Commission’s Energy Division, permitting the sale of </w:t>
      </w:r>
      <w:r w:rsidR="00F66FF2">
        <w:t>the NTP</w:t>
      </w:r>
      <w:r>
        <w:t xml:space="preserve"> to the buyer. </w:t>
      </w:r>
    </w:p>
    <w:p w:rsidR="0036517E" w:rsidP="0036517E" w:rsidRDefault="0036517E" w14:paraId="18F6A311" w14:textId="20CC0522">
      <w:pPr>
        <w:pStyle w:val="FoF"/>
      </w:pPr>
      <w:r>
        <w:t xml:space="preserve">PacifiCorp’s California-allocated portion of the total </w:t>
      </w:r>
      <w:r w:rsidR="00F66FF2">
        <w:t xml:space="preserve">NTP </w:t>
      </w:r>
      <w:r>
        <w:t xml:space="preserve">transaction will be less than $5 million. </w:t>
      </w:r>
    </w:p>
    <w:p w:rsidR="005C1819" w:rsidP="00AD3EB5" w:rsidRDefault="00C52941" w14:paraId="017D598D" w14:textId="2E4A8BFC">
      <w:pPr>
        <w:pStyle w:val="FoF"/>
      </w:pPr>
      <w:r w:rsidRPr="001E0456">
        <w:t xml:space="preserve">PacifiCorp seeks authorization to establish </w:t>
      </w:r>
      <w:r w:rsidR="00DA575C">
        <w:t>the NTPMA</w:t>
      </w:r>
      <w:r w:rsidRPr="001E0456">
        <w:t xml:space="preserve"> </w:t>
      </w:r>
      <w:r w:rsidR="00EB45DF">
        <w:t xml:space="preserve">to track the California portion </w:t>
      </w:r>
      <w:r w:rsidR="00AD3EB5">
        <w:t xml:space="preserve">of the sale of </w:t>
      </w:r>
      <w:r w:rsidR="00F66FF2">
        <w:t xml:space="preserve">the </w:t>
      </w:r>
      <w:r w:rsidR="005C1819">
        <w:t>NTP</w:t>
      </w:r>
      <w:r w:rsidR="008F3C15">
        <w:t xml:space="preserve">. </w:t>
      </w:r>
    </w:p>
    <w:p w:rsidR="00B30EAA" w:rsidP="00493A45" w:rsidRDefault="00C52941" w14:paraId="4782FB54" w14:textId="0F780586">
      <w:pPr>
        <w:pStyle w:val="FoF"/>
      </w:pPr>
      <w:r>
        <w:t xml:space="preserve"> </w:t>
      </w:r>
      <w:r w:rsidR="00472B5C">
        <w:t>The</w:t>
      </w:r>
      <w:r w:rsidR="00493A45">
        <w:t xml:space="preserve"> </w:t>
      </w:r>
      <w:r w:rsidR="008855DE">
        <w:t>NTP</w:t>
      </w:r>
      <w:r w:rsidR="008D6E43">
        <w:t xml:space="preserve"> is comprised of </w:t>
      </w:r>
      <w:r w:rsidR="00472B5C">
        <w:t>PacifiCo</w:t>
      </w:r>
      <w:r w:rsidR="00AC5EE9">
        <w:t>rp</w:t>
      </w:r>
      <w:r w:rsidR="00472B5C">
        <w:t>’s</w:t>
      </w:r>
      <w:r w:rsidR="008855DE">
        <w:t xml:space="preserve"> </w:t>
      </w:r>
      <w:r w:rsidR="00D13D04">
        <w:t>corporate headquarters and outdated fac</w:t>
      </w:r>
      <w:r w:rsidR="00B30EAA">
        <w:t xml:space="preserve">ilities beyond </w:t>
      </w:r>
      <w:r w:rsidR="006E561D">
        <w:t xml:space="preserve">their </w:t>
      </w:r>
      <w:r w:rsidR="008855DE">
        <w:t>useful</w:t>
      </w:r>
      <w:r w:rsidR="00B30EAA">
        <w:t xml:space="preserve"> life.</w:t>
      </w:r>
    </w:p>
    <w:p w:rsidR="00155249" w:rsidP="00493A45" w:rsidRDefault="00CD7088" w14:paraId="458B35FA" w14:textId="2360F2ED">
      <w:pPr>
        <w:pStyle w:val="FoF"/>
      </w:pPr>
      <w:r>
        <w:lastRenderedPageBreak/>
        <w:t xml:space="preserve">The </w:t>
      </w:r>
      <w:r w:rsidR="00CB64AD">
        <w:t xml:space="preserve">NTP </w:t>
      </w:r>
      <w:r w:rsidR="001C48FC">
        <w:t>buyer</w:t>
      </w:r>
      <w:r>
        <w:t xml:space="preserve"> </w:t>
      </w:r>
      <w:r w:rsidR="003342E0">
        <w:t xml:space="preserve">plans to </w:t>
      </w:r>
      <w:r w:rsidR="000C25DD">
        <w:t xml:space="preserve">use the property for development, </w:t>
      </w:r>
      <w:r w:rsidR="00962EBE">
        <w:t>but the exact purpose</w:t>
      </w:r>
      <w:r w:rsidR="009C6B6B">
        <w:t xml:space="preserve"> of the property, the </w:t>
      </w:r>
      <w:r w:rsidR="00962EBE">
        <w:t xml:space="preserve">number of future transactions, </w:t>
      </w:r>
      <w:r w:rsidR="00472B5C">
        <w:t xml:space="preserve">and </w:t>
      </w:r>
      <w:r w:rsidR="00962EBE">
        <w:t>amount</w:t>
      </w:r>
      <w:r w:rsidR="00F7697B">
        <w:t xml:space="preserve"> </w:t>
      </w:r>
      <w:r w:rsidR="009C6B6B">
        <w:t>paid</w:t>
      </w:r>
      <w:r w:rsidR="00F7697B">
        <w:t xml:space="preserve"> </w:t>
      </w:r>
      <w:r w:rsidR="009C6B6B">
        <w:t>to</w:t>
      </w:r>
      <w:r w:rsidR="00F7697B">
        <w:t xml:space="preserve"> PacifiCorp, </w:t>
      </w:r>
      <w:r w:rsidR="00475D23">
        <w:t xml:space="preserve">are </w:t>
      </w:r>
      <w:r w:rsidR="00F7697B">
        <w:t>unknown</w:t>
      </w:r>
      <w:r w:rsidR="009C6B6B">
        <w:t xml:space="preserve"> and unforeseeable</w:t>
      </w:r>
      <w:r w:rsidR="00F7697B">
        <w:t xml:space="preserve">. </w:t>
      </w:r>
    </w:p>
    <w:p w:rsidRPr="001E2A62" w:rsidR="008E6AE6" w:rsidP="00DF1BA2" w:rsidRDefault="00282173" w14:paraId="70A0B097" w14:textId="1E4336B0">
      <w:pPr>
        <w:pStyle w:val="FoF"/>
        <w:numPr>
          <w:ilvl w:val="0"/>
          <w:numId w:val="0"/>
        </w:numPr>
        <w:ind w:firstLine="540"/>
      </w:pPr>
      <w:r>
        <w:t>8.</w:t>
      </w:r>
      <w:r w:rsidR="00BE7FCA">
        <w:t xml:space="preserve"> </w:t>
      </w:r>
      <w:r w:rsidR="00B052EF">
        <w:t xml:space="preserve">The Application is not contested. </w:t>
      </w:r>
    </w:p>
    <w:p w:rsidR="005939A5" w:rsidP="00AC1B76" w:rsidRDefault="005939A5" w14:paraId="5FA37303" w14:textId="77777777">
      <w:pPr>
        <w:pStyle w:val="Dummy"/>
      </w:pPr>
      <w:bookmarkStart w:name="_Toc8123726" w:id="20"/>
      <w:bookmarkStart w:name="_Toc133843857" w:id="21"/>
      <w:r>
        <w:t>Conclusions of Law</w:t>
      </w:r>
      <w:bookmarkEnd w:id="20"/>
      <w:bookmarkEnd w:id="21"/>
    </w:p>
    <w:p w:rsidR="008F143D" w:rsidP="00D44DB6" w:rsidRDefault="00CB2DCB" w14:paraId="7312FB5D" w14:textId="56962B71">
      <w:pPr>
        <w:pStyle w:val="CoL"/>
      </w:pPr>
      <w:r>
        <w:t>PacifiCorp</w:t>
      </w:r>
      <w:r w:rsidR="00D84889">
        <w:t>’s Application request</w:t>
      </w:r>
      <w:r>
        <w:t xml:space="preserve"> </w:t>
      </w:r>
      <w:r w:rsidR="00E21B09">
        <w:t xml:space="preserve">for Commission authorization </w:t>
      </w:r>
      <w:r>
        <w:t xml:space="preserve">to </w:t>
      </w:r>
      <w:r w:rsidR="00E21B09">
        <w:t>establish</w:t>
      </w:r>
      <w:r>
        <w:t xml:space="preserve"> </w:t>
      </w:r>
      <w:r w:rsidR="002E27C5">
        <w:t>the NTPMA</w:t>
      </w:r>
      <w:r>
        <w:t xml:space="preserve"> to track the </w:t>
      </w:r>
      <w:r w:rsidR="00D84889">
        <w:t>California-</w:t>
      </w:r>
      <w:r w:rsidR="00E21B09">
        <w:t xml:space="preserve">allocated </w:t>
      </w:r>
      <w:r w:rsidR="00D84889">
        <w:t xml:space="preserve">portion of the </w:t>
      </w:r>
      <w:r>
        <w:t xml:space="preserve">sale of </w:t>
      </w:r>
      <w:r w:rsidR="002E27C5">
        <w:t>the NTP</w:t>
      </w:r>
      <w:r>
        <w:t xml:space="preserve"> </w:t>
      </w:r>
      <w:r w:rsidR="00E21B09">
        <w:t>is reasonable and should be approved</w:t>
      </w:r>
      <w:r w:rsidR="006F15AC">
        <w:t xml:space="preserve">. </w:t>
      </w:r>
    </w:p>
    <w:p w:rsidR="007A3195" w:rsidP="00D44DB6" w:rsidRDefault="00B50311" w14:paraId="2A381251" w14:textId="628B353D">
      <w:pPr>
        <w:pStyle w:val="CoL"/>
      </w:pPr>
      <w:r>
        <w:t xml:space="preserve">The Commission should allow the memorandum account to take effect starting May 16, 2024, </w:t>
      </w:r>
      <w:r w:rsidR="000B4922">
        <w:t xml:space="preserve">given the precedent of granting a retroactive </w:t>
      </w:r>
      <w:r w:rsidR="006A23BB">
        <w:t>effective</w:t>
      </w:r>
      <w:r w:rsidR="000B4922">
        <w:t xml:space="preserve"> date based on </w:t>
      </w:r>
      <w:r w:rsidR="003E7C53">
        <w:t xml:space="preserve">the </w:t>
      </w:r>
      <w:r w:rsidR="006A23BB">
        <w:t xml:space="preserve">utility’s </w:t>
      </w:r>
      <w:r w:rsidR="000B4922">
        <w:t xml:space="preserve">application filing date. </w:t>
      </w:r>
    </w:p>
    <w:p w:rsidR="00205F1A" w:rsidRDefault="00000909" w14:paraId="700BBFC3" w14:textId="726FDBCE">
      <w:pPr>
        <w:pStyle w:val="CoL"/>
      </w:pPr>
      <w:r>
        <w:t xml:space="preserve"> </w:t>
      </w:r>
      <w:r w:rsidR="00BC3007">
        <w:t>PacifiCorp’s proposed NTPMA</w:t>
      </w:r>
      <w:r w:rsidR="000E470F">
        <w:t xml:space="preserve"> tariff language</w:t>
      </w:r>
      <w:r w:rsidR="00FF4C96">
        <w:t xml:space="preserve"> </w:t>
      </w:r>
      <w:r w:rsidR="00BC3007">
        <w:t xml:space="preserve">is </w:t>
      </w:r>
      <w:r w:rsidR="00FF4C96">
        <w:t>reasonable</w:t>
      </w:r>
      <w:r w:rsidR="00BC3007">
        <w:t xml:space="preserve"> and should be approved.</w:t>
      </w:r>
    </w:p>
    <w:p w:rsidR="004F4C3E" w:rsidP="00DF1BA2" w:rsidRDefault="00E33FD3" w14:paraId="7497F204" w14:textId="5C448D2C">
      <w:pPr>
        <w:pStyle w:val="CoL"/>
      </w:pPr>
      <w:r>
        <w:t xml:space="preserve"> </w:t>
      </w:r>
      <w:r w:rsidR="00F9494C">
        <w:t xml:space="preserve">Application 24-05-013 should be closed. </w:t>
      </w:r>
    </w:p>
    <w:p w:rsidR="00B6426B" w:rsidP="00B6426B" w:rsidRDefault="00B6426B" w14:paraId="174E2981" w14:textId="77777777">
      <w:pPr>
        <w:pStyle w:val="CoL"/>
        <w:numPr>
          <w:ilvl w:val="0"/>
          <w:numId w:val="0"/>
        </w:numPr>
        <w:ind w:firstLine="540"/>
      </w:pPr>
    </w:p>
    <w:p w:rsidR="00BB0243" w:rsidP="000A6E05" w:rsidRDefault="005939A5" w14:paraId="3A420A75" w14:textId="77777777">
      <w:pPr>
        <w:pStyle w:val="Mainex"/>
      </w:pPr>
      <w:bookmarkStart w:name="_Toc133843858" w:id="22"/>
      <w:r>
        <w:t>O</w:t>
      </w:r>
      <w:r w:rsidR="00722850">
        <w:t>RDER</w:t>
      </w:r>
      <w:bookmarkEnd w:id="22"/>
    </w:p>
    <w:p w:rsidRPr="00B6426B" w:rsidR="00B6426B" w:rsidP="00B6426B" w:rsidRDefault="00B6426B" w14:paraId="2C91722F" w14:textId="77777777"/>
    <w:p w:rsidR="00BB0243" w:rsidP="000A6E05" w:rsidRDefault="00BB0243" w14:paraId="12980518" w14:textId="77777777">
      <w:pPr>
        <w:keepNext/>
      </w:pPr>
      <w:r w:rsidRPr="00BB0243">
        <w:rPr>
          <w:b/>
        </w:rPr>
        <w:t>IT IS ORDERED</w:t>
      </w:r>
      <w:r>
        <w:t xml:space="preserve"> that:</w:t>
      </w:r>
    </w:p>
    <w:p w:rsidR="008033E5" w:rsidP="00B6426B" w:rsidRDefault="008033E5" w14:paraId="78990011" w14:textId="099678D8">
      <w:pPr>
        <w:pStyle w:val="OP"/>
        <w:numPr>
          <w:ilvl w:val="0"/>
          <w:numId w:val="5"/>
        </w:numPr>
      </w:pPr>
      <w:r>
        <w:t xml:space="preserve">PacifiCorp is authorized to establish the North Temple Property Memorandum Account </w:t>
      </w:r>
      <w:r w:rsidR="00BC3007">
        <w:t xml:space="preserve">with an effective date of May 16, 2024, </w:t>
      </w:r>
      <w:r>
        <w:t xml:space="preserve">to track the proceeds from the sale of </w:t>
      </w:r>
      <w:r w:rsidR="00DA4DBE">
        <w:t xml:space="preserve">the North Temple Property located </w:t>
      </w:r>
      <w:r>
        <w:t xml:space="preserve">in </w:t>
      </w:r>
      <w:r w:rsidR="00E8326A">
        <w:t xml:space="preserve">Salt Lake City, </w:t>
      </w:r>
      <w:r>
        <w:t>Utah</w:t>
      </w:r>
      <w:r w:rsidR="003363AE">
        <w:t xml:space="preserve">. </w:t>
      </w:r>
      <w:r w:rsidR="00921E7E">
        <w:t xml:space="preserve"> </w:t>
      </w:r>
      <w:r>
        <w:t xml:space="preserve"> </w:t>
      </w:r>
    </w:p>
    <w:p w:rsidR="00060730" w:rsidP="00060730" w:rsidRDefault="00D9304C" w14:paraId="6325F840" w14:textId="0614046F">
      <w:pPr>
        <w:pStyle w:val="OP"/>
        <w:numPr>
          <w:ilvl w:val="0"/>
          <w:numId w:val="5"/>
        </w:numPr>
        <w:spacing w:after="240" w:line="240" w:lineRule="auto"/>
      </w:pPr>
      <w:r>
        <w:t>Application 24-05-013 is</w:t>
      </w:r>
      <w:r w:rsidRPr="001E2A62" w:rsidR="00E23CBB">
        <w:t xml:space="preserve"> closed.</w:t>
      </w:r>
    </w:p>
    <w:p w:rsidR="00C01C0D" w:rsidP="00060730" w:rsidRDefault="00060730" w14:paraId="641A5516" w14:textId="4E3F0815">
      <w:pPr>
        <w:pStyle w:val="OP"/>
        <w:spacing w:after="240" w:line="240" w:lineRule="auto"/>
        <w:ind w:firstLine="720"/>
      </w:pPr>
      <w:r>
        <w:t>T</w:t>
      </w:r>
      <w:r w:rsidR="008F0116">
        <w:t>his order is effective today.</w:t>
      </w:r>
    </w:p>
    <w:p w:rsidR="00714CF2" w:rsidP="00060730" w:rsidRDefault="008F0116" w14:paraId="317A8C2E" w14:textId="2C5EBF33">
      <w:pPr>
        <w:spacing w:after="240" w:line="240" w:lineRule="auto"/>
      </w:pPr>
      <w:r>
        <w:t xml:space="preserve">Dated </w:t>
      </w:r>
      <w:r w:rsidR="00C01C0D">
        <w:t>February</w:t>
      </w:r>
      <w:r w:rsidR="00902384">
        <w:t xml:space="preserve"> </w:t>
      </w:r>
      <w:r w:rsidR="00C42C76">
        <w:t>5</w:t>
      </w:r>
      <w:r w:rsidR="00902384">
        <w:t>, 202</w:t>
      </w:r>
      <w:r w:rsidR="00FE28E4">
        <w:t>6</w:t>
      </w:r>
      <w:r>
        <w:t xml:space="preserve">, at </w:t>
      </w:r>
      <w:r w:rsidRPr="00AC1B76">
        <w:t>San Francisco, California</w:t>
      </w:r>
      <w:r w:rsidR="00AC1B76">
        <w:t>.</w:t>
      </w:r>
    </w:p>
    <w:p w:rsidR="00060730" w:rsidP="00060730" w:rsidRDefault="00060730" w14:paraId="7C9018F9" w14:textId="77777777">
      <w:pPr>
        <w:spacing w:after="240" w:line="240" w:lineRule="auto"/>
      </w:pPr>
    </w:p>
    <w:p w:rsidRPr="00A85129" w:rsidR="00A85129" w:rsidP="00A85129" w:rsidRDefault="00A85129" w14:paraId="398C72E7" w14:textId="77777777">
      <w:pPr>
        <w:adjustRightInd w:val="0"/>
        <w:spacing w:line="240" w:lineRule="auto"/>
        <w:ind w:left="5040" w:firstLine="0"/>
        <w:jc w:val="both"/>
        <w:rPr>
          <w:rFonts w:eastAsia="Times New Roman" w:cs="Times New Roman"/>
          <w:szCs w:val="26"/>
        </w:rPr>
      </w:pPr>
      <w:r w:rsidRPr="00A85129">
        <w:rPr>
          <w:rFonts w:eastAsia="Times New Roman" w:cs="Times New Roman"/>
          <w:szCs w:val="26"/>
        </w:rPr>
        <w:lastRenderedPageBreak/>
        <w:t>ALICE REYNOLDS</w:t>
      </w:r>
    </w:p>
    <w:p w:rsidRPr="00A85129" w:rsidR="00A85129" w:rsidP="00A85129" w:rsidRDefault="00A85129" w14:paraId="5C20DBD6" w14:textId="2BEA13A7">
      <w:pPr>
        <w:adjustRightInd w:val="0"/>
        <w:spacing w:line="240" w:lineRule="auto"/>
        <w:ind w:left="5040" w:firstLine="0"/>
        <w:jc w:val="both"/>
        <w:rPr>
          <w:rFonts w:eastAsia="Times New Roman" w:cs="Times New Roman"/>
          <w:szCs w:val="26"/>
        </w:rPr>
      </w:pPr>
      <w:r w:rsidRPr="00A85129">
        <w:rPr>
          <w:rFonts w:eastAsia="Times New Roman" w:cs="Times New Roman"/>
          <w:szCs w:val="26"/>
        </w:rPr>
        <w:t xml:space="preserve">            President</w:t>
      </w:r>
    </w:p>
    <w:p w:rsidRPr="00A85129" w:rsidR="00A85129" w:rsidP="00A85129" w:rsidRDefault="00A85129" w14:paraId="739E8B5D" w14:textId="77777777">
      <w:pPr>
        <w:adjustRightInd w:val="0"/>
        <w:spacing w:line="240" w:lineRule="auto"/>
        <w:ind w:left="5040" w:firstLine="0"/>
        <w:jc w:val="both"/>
        <w:rPr>
          <w:rFonts w:eastAsia="Times New Roman" w:cs="Times New Roman"/>
          <w:szCs w:val="26"/>
        </w:rPr>
      </w:pPr>
      <w:r w:rsidRPr="00A85129">
        <w:rPr>
          <w:rFonts w:eastAsia="Times New Roman" w:cs="Times New Roman"/>
          <w:szCs w:val="26"/>
        </w:rPr>
        <w:t>DARCIE L. HOUCK</w:t>
      </w:r>
    </w:p>
    <w:p w:rsidRPr="00A85129" w:rsidR="00A85129" w:rsidP="00A85129" w:rsidRDefault="00A85129" w14:paraId="24555AD5" w14:textId="77777777">
      <w:pPr>
        <w:adjustRightInd w:val="0"/>
        <w:spacing w:line="240" w:lineRule="auto"/>
        <w:ind w:left="5040" w:firstLine="0"/>
        <w:jc w:val="both"/>
        <w:rPr>
          <w:rFonts w:eastAsia="Times New Roman" w:cs="Times New Roman"/>
          <w:szCs w:val="26"/>
        </w:rPr>
      </w:pPr>
      <w:r w:rsidRPr="00A85129">
        <w:rPr>
          <w:rFonts w:eastAsia="Times New Roman" w:cs="Times New Roman"/>
          <w:szCs w:val="26"/>
        </w:rPr>
        <w:t>JOHN REYNOLDS</w:t>
      </w:r>
    </w:p>
    <w:p w:rsidRPr="00A85129" w:rsidR="00A85129" w:rsidP="00A85129" w:rsidRDefault="00A85129" w14:paraId="798A7484" w14:textId="77777777">
      <w:pPr>
        <w:adjustRightInd w:val="0"/>
        <w:spacing w:line="240" w:lineRule="auto"/>
        <w:ind w:left="5040" w:firstLine="0"/>
        <w:jc w:val="both"/>
        <w:rPr>
          <w:rFonts w:eastAsia="Times New Roman" w:cs="Times New Roman"/>
          <w:szCs w:val="26"/>
        </w:rPr>
      </w:pPr>
      <w:r w:rsidRPr="00A85129">
        <w:rPr>
          <w:rFonts w:eastAsia="Times New Roman" w:cs="Times New Roman"/>
          <w:szCs w:val="26"/>
        </w:rPr>
        <w:t>MATTHEW BAKER</w:t>
      </w:r>
    </w:p>
    <w:p w:rsidRPr="00A85129" w:rsidR="00A85129" w:rsidP="00A85129" w:rsidRDefault="00A85129" w14:paraId="4FA4F5AC" w14:textId="77777777">
      <w:pPr>
        <w:adjustRightInd w:val="0"/>
        <w:spacing w:line="240" w:lineRule="auto"/>
        <w:ind w:left="5040" w:firstLine="0"/>
        <w:jc w:val="both"/>
        <w:rPr>
          <w:rFonts w:eastAsia="Times New Roman" w:cs="Times New Roman"/>
          <w:szCs w:val="26"/>
        </w:rPr>
      </w:pPr>
      <w:r w:rsidRPr="00A85129">
        <w:rPr>
          <w:rFonts w:eastAsia="Times New Roman" w:cs="Times New Roman"/>
          <w:szCs w:val="26"/>
        </w:rPr>
        <w:t>KAREN DOUGLAS</w:t>
      </w:r>
    </w:p>
    <w:p w:rsidRPr="00A85129" w:rsidR="00A85129" w:rsidP="00A85129" w:rsidRDefault="00A85129" w14:paraId="06719BEF" w14:textId="77777777">
      <w:pPr>
        <w:adjustRightInd w:val="0"/>
        <w:spacing w:line="240" w:lineRule="auto"/>
        <w:ind w:left="5040" w:firstLine="0"/>
        <w:jc w:val="both"/>
        <w:rPr>
          <w:rFonts w:eastAsia="Times New Roman" w:cs="Times New Roman"/>
          <w:szCs w:val="26"/>
        </w:rPr>
      </w:pPr>
      <w:r w:rsidRPr="00A85129">
        <w:rPr>
          <w:rFonts w:eastAsia="Times New Roman" w:cs="Times New Roman"/>
          <w:szCs w:val="26"/>
        </w:rPr>
        <w:t xml:space="preserve">           Commissioners</w:t>
      </w:r>
    </w:p>
    <w:p w:rsidRPr="00714CF2" w:rsidR="00A85129" w:rsidP="00A85129" w:rsidRDefault="00A85129" w14:paraId="48B3B999" w14:textId="77777777">
      <w:pPr>
        <w:spacing w:after="240" w:line="240" w:lineRule="auto"/>
        <w:ind w:firstLine="0"/>
        <w:jc w:val="center"/>
      </w:pPr>
    </w:p>
    <w:sectPr w:rsidRPr="00714CF2" w:rsidR="00A85129" w:rsidSect="00AC1B76">
      <w:headerReference w:type="default" r:id="rId11"/>
      <w:footerReference w:type="default" r:id="rId12"/>
      <w:footerReference w:type="first" r:id="rId13"/>
      <w:pgSz w:w="12240" w:h="15840"/>
      <w:pgMar w:top="1728"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9035D" w14:textId="77777777" w:rsidR="00910707" w:rsidRDefault="00910707" w:rsidP="0098138E">
      <w:pPr>
        <w:spacing w:line="240" w:lineRule="auto"/>
      </w:pPr>
      <w:r>
        <w:separator/>
      </w:r>
    </w:p>
  </w:endnote>
  <w:endnote w:type="continuationSeparator" w:id="0">
    <w:p w14:paraId="5ECBC028" w14:textId="77777777" w:rsidR="00910707" w:rsidRDefault="00910707" w:rsidP="0098138E">
      <w:pPr>
        <w:spacing w:line="240" w:lineRule="auto"/>
      </w:pPr>
      <w:r>
        <w:continuationSeparator/>
      </w:r>
    </w:p>
  </w:endnote>
  <w:endnote w:type="continuationNotice" w:id="1">
    <w:p w14:paraId="5CB0ED26" w14:textId="77777777" w:rsidR="00910707" w:rsidRDefault="009107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249C" w14:textId="183E1829" w:rsidR="00AC1B76" w:rsidRPr="0042723F" w:rsidRDefault="00AC1B76" w:rsidP="0042723F">
    <w:pPr>
      <w:pStyle w:val="Footer"/>
      <w:ind w:firstLine="0"/>
    </w:pPr>
    <w:r>
      <w:tab/>
      <w:t xml:space="preserve"> </w:t>
    </w:r>
    <w:r w:rsidRPr="003A07C0">
      <w:rPr>
        <w:rStyle w:val="PageNumber"/>
      </w:rPr>
      <w:fldChar w:fldCharType="begin"/>
    </w:r>
    <w:r w:rsidRPr="003A07C0">
      <w:rPr>
        <w:rStyle w:val="PageNumber"/>
      </w:rPr>
      <w:instrText xml:space="preserve"> PAGE </w:instrText>
    </w:r>
    <w:r w:rsidRPr="003A07C0">
      <w:rPr>
        <w:rStyle w:val="PageNumber"/>
      </w:rPr>
      <w:fldChar w:fldCharType="separate"/>
    </w:r>
    <w:r>
      <w:rPr>
        <w:rStyle w:val="PageNumber"/>
      </w:rPr>
      <w:t>1</w:t>
    </w:r>
    <w:r w:rsidRPr="003A07C0">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E129" w14:textId="0C857031" w:rsidR="00AC1B76" w:rsidRDefault="004F1D17" w:rsidP="00C42C76">
    <w:pPr>
      <w:pStyle w:val="Footer"/>
      <w:ind w:firstLine="0"/>
    </w:pPr>
    <w:r w:rsidRPr="004F1D17">
      <w:rPr>
        <w:sz w:val="16"/>
        <w:szCs w:val="16"/>
      </w:rPr>
      <w:t>598873231</w:t>
    </w:r>
    <w:r w:rsidR="00AC1B76">
      <w:rPr>
        <w:sz w:val="16"/>
        <w:szCs w:val="16"/>
      </w:rPr>
      <w:tab/>
    </w:r>
    <w:sdt>
      <w:sdtPr>
        <w:id w:val="-1175643465"/>
        <w:docPartObj>
          <w:docPartGallery w:val="Page Numbers (Bottom of Page)"/>
          <w:docPartUnique/>
        </w:docPartObj>
      </w:sdtPr>
      <w:sdtEndPr>
        <w:rPr>
          <w:noProof/>
        </w:rPr>
      </w:sdtEndPr>
      <w:sdtContent>
        <w:r w:rsidR="00AC1B76">
          <w:fldChar w:fldCharType="begin"/>
        </w:r>
        <w:r w:rsidR="00AC1B76">
          <w:instrText xml:space="preserve"> PAGE   \* MERGEFORMAT </w:instrText>
        </w:r>
        <w:r w:rsidR="00AC1B76">
          <w:fldChar w:fldCharType="separate"/>
        </w:r>
        <w:r w:rsidR="00AC1B76">
          <w:rPr>
            <w:noProof/>
          </w:rPr>
          <w:t>2</w:t>
        </w:r>
        <w:r w:rsidR="00AC1B7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4F01C" w14:textId="77777777" w:rsidR="00910707" w:rsidRDefault="00910707" w:rsidP="00DF58E7">
      <w:pPr>
        <w:spacing w:line="240" w:lineRule="auto"/>
        <w:ind w:firstLine="0"/>
      </w:pPr>
      <w:r>
        <w:separator/>
      </w:r>
    </w:p>
  </w:footnote>
  <w:footnote w:type="continuationSeparator" w:id="0">
    <w:p w14:paraId="2AE3B484" w14:textId="77777777" w:rsidR="00910707" w:rsidRDefault="00910707" w:rsidP="00DF58E7">
      <w:pPr>
        <w:spacing w:line="240" w:lineRule="auto"/>
        <w:ind w:firstLine="0"/>
      </w:pPr>
      <w:r>
        <w:continuationSeparator/>
      </w:r>
    </w:p>
  </w:footnote>
  <w:footnote w:type="continuationNotice" w:id="1">
    <w:p w14:paraId="5D70A9C7" w14:textId="77777777" w:rsidR="00910707" w:rsidRPr="00DF58E7" w:rsidRDefault="00910707" w:rsidP="00DF58E7">
      <w:pPr>
        <w:spacing w:line="240" w:lineRule="auto"/>
        <w:ind w:firstLine="0"/>
        <w:jc w:val="right"/>
        <w:rPr>
          <w:i/>
          <w:sz w:val="22"/>
        </w:rPr>
      </w:pPr>
      <w:r w:rsidRPr="00DF58E7">
        <w:rPr>
          <w:i/>
          <w:sz w:val="22"/>
        </w:rPr>
        <w:t>Footnote continued next page.</w:t>
      </w:r>
    </w:p>
  </w:footnote>
  <w:footnote w:id="2">
    <w:p w14:paraId="12C10476" w14:textId="5E335133" w:rsidR="00887D85" w:rsidRDefault="00887D85">
      <w:pPr>
        <w:pStyle w:val="FootnoteText"/>
      </w:pPr>
      <w:r>
        <w:rPr>
          <w:rStyle w:val="FootnoteReference"/>
        </w:rPr>
        <w:footnoteRef/>
      </w:r>
      <w:r>
        <w:t xml:space="preserve"> On May 15, 202</w:t>
      </w:r>
      <w:r w:rsidR="00B06165">
        <w:t>4</w:t>
      </w:r>
      <w:r>
        <w:t xml:space="preserve">, PacifiCorp submitted a confidential version of the Advice Letter to the Energy Division. </w:t>
      </w:r>
    </w:p>
  </w:footnote>
  <w:footnote w:id="3">
    <w:p w14:paraId="4DAF4209" w14:textId="26F96D77" w:rsidR="00DC4F80" w:rsidRDefault="00DC4F80" w:rsidP="00DC4F80">
      <w:pPr>
        <w:pStyle w:val="FootnoteText"/>
      </w:pPr>
      <w:r>
        <w:rPr>
          <w:rStyle w:val="FootnoteReference"/>
        </w:rPr>
        <w:footnoteRef/>
      </w:r>
      <w:r>
        <w:t xml:space="preserve"> Advice Letter 740-E at 1, 9</w:t>
      </w:r>
      <w:r w:rsidR="00B06165">
        <w:t>.</w:t>
      </w:r>
      <w:r>
        <w:t xml:space="preserve">  </w:t>
      </w:r>
    </w:p>
  </w:footnote>
  <w:footnote w:id="4">
    <w:p w14:paraId="5514062A" w14:textId="2A1E87FC" w:rsidR="00B4496B" w:rsidRDefault="00B4496B">
      <w:pPr>
        <w:pStyle w:val="FootnoteText"/>
      </w:pPr>
      <w:r>
        <w:rPr>
          <w:rStyle w:val="FootnoteReference"/>
        </w:rPr>
        <w:footnoteRef/>
      </w:r>
      <w:r w:rsidR="00DF1BA2">
        <w:t xml:space="preserve"> A ruling issued October 1, 2025, that identified the Application and its Exhibits A and B as evidence and admitted into the evidentiary record. </w:t>
      </w:r>
    </w:p>
  </w:footnote>
  <w:footnote w:id="5">
    <w:p w14:paraId="00466B6B" w14:textId="3DE8C77E" w:rsidR="00AC60E7" w:rsidRDefault="00AC60E7" w:rsidP="00AC60E7">
      <w:pPr>
        <w:pStyle w:val="FootnoteText"/>
      </w:pPr>
      <w:r>
        <w:rPr>
          <w:rStyle w:val="FootnoteReference"/>
        </w:rPr>
        <w:footnoteRef/>
      </w:r>
      <w:r>
        <w:t xml:space="preserve"> A.24-05-013 at 2.</w:t>
      </w:r>
    </w:p>
  </w:footnote>
  <w:footnote w:id="6">
    <w:p w14:paraId="3E882A2F" w14:textId="1E31A08D" w:rsidR="002F0849" w:rsidRDefault="002F0849">
      <w:pPr>
        <w:pStyle w:val="FootnoteText"/>
      </w:pPr>
      <w:r>
        <w:rPr>
          <w:rStyle w:val="FootnoteReference"/>
        </w:rPr>
        <w:footnoteRef/>
      </w:r>
      <w:r>
        <w:t xml:space="preserve"> </w:t>
      </w:r>
      <w:r w:rsidR="00D25CDB">
        <w:rPr>
          <w:i/>
          <w:iCs/>
        </w:rPr>
        <w:t>Ibid</w:t>
      </w:r>
      <w:r>
        <w:t>.</w:t>
      </w:r>
    </w:p>
  </w:footnote>
  <w:footnote w:id="7">
    <w:p w14:paraId="29759B8F" w14:textId="3B78E2D0" w:rsidR="000E7D43" w:rsidRDefault="000E7D43" w:rsidP="000E7D43">
      <w:pPr>
        <w:pStyle w:val="FootnoteText"/>
      </w:pPr>
      <w:r>
        <w:rPr>
          <w:rStyle w:val="FootnoteReference"/>
        </w:rPr>
        <w:footnoteRef/>
      </w:r>
      <w:r>
        <w:t xml:space="preserve"> </w:t>
      </w:r>
      <w:r w:rsidR="00DF1BA2">
        <w:rPr>
          <w:i/>
          <w:iCs/>
        </w:rPr>
        <w:t xml:space="preserve">Id. </w:t>
      </w:r>
      <w:r>
        <w:t>at 1.</w:t>
      </w:r>
    </w:p>
  </w:footnote>
  <w:footnote w:id="8">
    <w:p w14:paraId="6ECC9529" w14:textId="368294C8" w:rsidR="00F7467F" w:rsidRDefault="00F7467F">
      <w:pPr>
        <w:pStyle w:val="FootnoteText"/>
      </w:pPr>
      <w:r>
        <w:rPr>
          <w:rStyle w:val="FootnoteReference"/>
        </w:rPr>
        <w:footnoteRef/>
      </w:r>
      <w:r>
        <w:t xml:space="preserve"> </w:t>
      </w:r>
      <w:r w:rsidR="000E7B88">
        <w:t>A.</w:t>
      </w:r>
      <w:r w:rsidR="00ED011B">
        <w:t>24</w:t>
      </w:r>
      <w:r w:rsidR="00BA3CFD">
        <w:t>-</w:t>
      </w:r>
      <w:r w:rsidR="00ED011B">
        <w:t>05</w:t>
      </w:r>
      <w:r w:rsidR="00BA3CFD">
        <w:t>-</w:t>
      </w:r>
      <w:r w:rsidR="00ED011B">
        <w:t>013 at 2.</w:t>
      </w:r>
    </w:p>
  </w:footnote>
  <w:footnote w:id="9">
    <w:p w14:paraId="4331843D" w14:textId="78A37ACE" w:rsidR="009D33A7" w:rsidRDefault="009D33A7">
      <w:pPr>
        <w:pStyle w:val="FootnoteText"/>
      </w:pPr>
      <w:r>
        <w:rPr>
          <w:rStyle w:val="FootnoteReference"/>
        </w:rPr>
        <w:footnoteRef/>
      </w:r>
      <w:r>
        <w:t xml:space="preserve"> </w:t>
      </w:r>
      <w:r w:rsidR="00E84706">
        <w:t xml:space="preserve">A.24-05-013, </w:t>
      </w:r>
      <w:r>
        <w:t>Exhibit A at 1</w:t>
      </w:r>
      <w:r w:rsidR="003B4325">
        <w:t>0</w:t>
      </w:r>
      <w:r>
        <w:t>.</w:t>
      </w:r>
    </w:p>
  </w:footnote>
  <w:footnote w:id="10">
    <w:p w14:paraId="140FCC8A" w14:textId="0608F50B" w:rsidR="00A04630" w:rsidRDefault="00A04630">
      <w:pPr>
        <w:pStyle w:val="FootnoteText"/>
      </w:pPr>
      <w:r>
        <w:rPr>
          <w:rStyle w:val="FootnoteReference"/>
        </w:rPr>
        <w:footnoteRef/>
      </w:r>
      <w:r>
        <w:t xml:space="preserve"> </w:t>
      </w:r>
      <w:r w:rsidR="009D33A7">
        <w:rPr>
          <w:i/>
          <w:iCs/>
        </w:rPr>
        <w:t>Ibid</w:t>
      </w:r>
      <w:r w:rsidR="004121F7">
        <w:t xml:space="preserve">. </w:t>
      </w:r>
    </w:p>
  </w:footnote>
  <w:footnote w:id="11">
    <w:p w14:paraId="7D39FBDA" w14:textId="59DB5CA4" w:rsidR="00C13CBD" w:rsidRDefault="00C13CBD" w:rsidP="00C13CBD">
      <w:pPr>
        <w:pStyle w:val="FootnoteText"/>
      </w:pPr>
      <w:r>
        <w:rPr>
          <w:rStyle w:val="FootnoteReference"/>
        </w:rPr>
        <w:footnoteRef/>
      </w:r>
      <w:r>
        <w:t xml:space="preserve"> D.94</w:t>
      </w:r>
      <w:r w:rsidR="003E7C53">
        <w:t>-</w:t>
      </w:r>
      <w:r>
        <w:t>06</w:t>
      </w:r>
      <w:r w:rsidR="003E7C53">
        <w:t>-</w:t>
      </w:r>
      <w:r>
        <w:t>033 at 51;</w:t>
      </w:r>
      <w:r w:rsidR="00120C19">
        <w:t xml:space="preserve"> </w:t>
      </w:r>
      <w:r>
        <w:t>D.08</w:t>
      </w:r>
      <w:r w:rsidR="003E7C53">
        <w:t>-</w:t>
      </w:r>
      <w:r>
        <w:t>03</w:t>
      </w:r>
      <w:r w:rsidR="003E7C53">
        <w:t>-</w:t>
      </w:r>
      <w:r>
        <w:t xml:space="preserve">020 at 18.  </w:t>
      </w:r>
    </w:p>
  </w:footnote>
  <w:footnote w:id="12">
    <w:p w14:paraId="7356AF7C" w14:textId="77777777" w:rsidR="00172050" w:rsidRDefault="00172050" w:rsidP="00172050">
      <w:pPr>
        <w:pStyle w:val="FootnoteText"/>
      </w:pPr>
      <w:r>
        <w:rPr>
          <w:rStyle w:val="FootnoteReference"/>
        </w:rPr>
        <w:footnoteRef/>
      </w:r>
      <w:r>
        <w:t xml:space="preserve"> Advice Letter 740-E at 3. </w:t>
      </w:r>
    </w:p>
  </w:footnote>
  <w:footnote w:id="13">
    <w:p w14:paraId="43AE34DE" w14:textId="141935B3" w:rsidR="005B5D59" w:rsidRDefault="005B5D59" w:rsidP="005B5D59">
      <w:pPr>
        <w:pStyle w:val="FootnoteText"/>
      </w:pPr>
      <w:r>
        <w:rPr>
          <w:rStyle w:val="FootnoteReference"/>
        </w:rPr>
        <w:footnoteRef/>
      </w:r>
      <w:r>
        <w:t xml:space="preserve"> D.94</w:t>
      </w:r>
      <w:r w:rsidR="00BA3CFD">
        <w:t>-</w:t>
      </w:r>
      <w:r>
        <w:t>06</w:t>
      </w:r>
      <w:r w:rsidR="00BA3CFD">
        <w:t>-</w:t>
      </w:r>
      <w:r>
        <w:t xml:space="preserve">033 at 51. </w:t>
      </w:r>
    </w:p>
  </w:footnote>
  <w:footnote w:id="14">
    <w:p w14:paraId="45FB64DC" w14:textId="41FEE4FA" w:rsidR="00285C06" w:rsidRDefault="00285C06">
      <w:pPr>
        <w:pStyle w:val="FootnoteText"/>
      </w:pPr>
      <w:r>
        <w:rPr>
          <w:rStyle w:val="FootnoteReference"/>
        </w:rPr>
        <w:footnoteRef/>
      </w:r>
      <w:r>
        <w:t xml:space="preserve"> </w:t>
      </w:r>
      <w:r w:rsidR="007D11E9">
        <w:t>D.94-06-033 at 51</w:t>
      </w:r>
      <w:r>
        <w:t xml:space="preserve">. </w:t>
      </w:r>
    </w:p>
  </w:footnote>
  <w:footnote w:id="15">
    <w:p w14:paraId="30DED5C0" w14:textId="77777777" w:rsidR="00A407F4" w:rsidRDefault="00A407F4" w:rsidP="00A407F4">
      <w:pPr>
        <w:pStyle w:val="FootnoteText"/>
      </w:pPr>
      <w:r>
        <w:rPr>
          <w:rStyle w:val="FootnoteReference"/>
        </w:rPr>
        <w:footnoteRef/>
      </w:r>
      <w:r>
        <w:t xml:space="preserve"> </w:t>
      </w:r>
      <w:r>
        <w:rPr>
          <w:i/>
          <w:iCs/>
        </w:rPr>
        <w:t xml:space="preserve">See </w:t>
      </w:r>
      <w:r>
        <w:t xml:space="preserve">Advice Letter 740-E at 4 to learn about the Confidential Advice Letter. </w:t>
      </w:r>
    </w:p>
  </w:footnote>
  <w:footnote w:id="16">
    <w:p w14:paraId="6E8405D0" w14:textId="3C50FE9D" w:rsidR="000E72FA" w:rsidRPr="003D5C98" w:rsidRDefault="000E72FA" w:rsidP="000E72FA">
      <w:pPr>
        <w:pStyle w:val="FootnoteText"/>
      </w:pPr>
      <w:r>
        <w:rPr>
          <w:rStyle w:val="FootnoteReference"/>
        </w:rPr>
        <w:footnoteRef/>
      </w:r>
      <w:r>
        <w:t xml:space="preserve"> </w:t>
      </w:r>
      <w:r>
        <w:rPr>
          <w:i/>
          <w:iCs/>
        </w:rPr>
        <w:t xml:space="preserve">See </w:t>
      </w:r>
      <w:r>
        <w:t>Advice Letter 740-E at 4.</w:t>
      </w:r>
    </w:p>
  </w:footnote>
  <w:footnote w:id="17">
    <w:p w14:paraId="59DFF20C" w14:textId="0AD7F2E0" w:rsidR="000E72FA" w:rsidRDefault="000E72FA" w:rsidP="000E72FA">
      <w:pPr>
        <w:pStyle w:val="FootnoteText"/>
      </w:pPr>
      <w:r>
        <w:rPr>
          <w:rStyle w:val="FootnoteReference"/>
        </w:rPr>
        <w:footnoteRef/>
      </w:r>
      <w:r>
        <w:t xml:space="preserve"> </w:t>
      </w:r>
      <w:r w:rsidR="007D11E9">
        <w:rPr>
          <w:i/>
          <w:iCs/>
        </w:rPr>
        <w:t>Ibid</w:t>
      </w:r>
      <w:r>
        <w:t xml:space="preserve">. </w:t>
      </w:r>
    </w:p>
  </w:footnote>
  <w:footnote w:id="18">
    <w:p w14:paraId="28284305" w14:textId="47267BC7" w:rsidR="008B1EA9" w:rsidRDefault="008B1EA9">
      <w:pPr>
        <w:pStyle w:val="FootnoteText"/>
      </w:pPr>
      <w:r>
        <w:rPr>
          <w:rStyle w:val="FootnoteReference"/>
        </w:rPr>
        <w:footnoteRef/>
      </w:r>
      <w:r>
        <w:t xml:space="preserve"> </w:t>
      </w:r>
      <w:r w:rsidR="00A5726D">
        <w:rPr>
          <w:i/>
          <w:iCs/>
        </w:rPr>
        <w:t>Id</w:t>
      </w:r>
      <w:r w:rsidR="00A5726D">
        <w:t>.</w:t>
      </w:r>
      <w:r>
        <w:t xml:space="preserve"> at 6. </w:t>
      </w:r>
    </w:p>
  </w:footnote>
  <w:footnote w:id="19">
    <w:p w14:paraId="0D2F06B0" w14:textId="1C473872" w:rsidR="005B5D59" w:rsidRDefault="005B5D59" w:rsidP="005B5D59">
      <w:pPr>
        <w:pStyle w:val="FootnoteText"/>
      </w:pPr>
      <w:r>
        <w:rPr>
          <w:rStyle w:val="FootnoteReference"/>
        </w:rPr>
        <w:footnoteRef/>
      </w:r>
      <w:r>
        <w:t xml:space="preserve"> D.08</w:t>
      </w:r>
      <w:r w:rsidR="00BA3CFD">
        <w:t>-</w:t>
      </w:r>
      <w:r>
        <w:t>03</w:t>
      </w:r>
      <w:r w:rsidR="00BA3CFD">
        <w:t>-</w:t>
      </w:r>
      <w:r>
        <w:t xml:space="preserve">020 at 18.  </w:t>
      </w:r>
    </w:p>
  </w:footnote>
  <w:footnote w:id="20">
    <w:p w14:paraId="63407266" w14:textId="77777777" w:rsidR="00255693" w:rsidRDefault="00255693" w:rsidP="00255693">
      <w:pPr>
        <w:pStyle w:val="FootnoteText"/>
      </w:pPr>
      <w:r>
        <w:rPr>
          <w:rStyle w:val="FootnoteReference"/>
        </w:rPr>
        <w:footnoteRef/>
      </w:r>
      <w:r>
        <w:t xml:space="preserve"> A.24-05-013 at 2. </w:t>
      </w:r>
    </w:p>
  </w:footnote>
  <w:footnote w:id="21">
    <w:p w14:paraId="373B2C26" w14:textId="5F0FF8CF" w:rsidR="004040AA" w:rsidRDefault="004040AA">
      <w:pPr>
        <w:pStyle w:val="FootnoteText"/>
      </w:pPr>
      <w:r>
        <w:rPr>
          <w:rStyle w:val="FootnoteReference"/>
        </w:rPr>
        <w:footnoteRef/>
      </w:r>
      <w:r>
        <w:t xml:space="preserve"> Brief Addressing Precedent Authorizing Retroactive Effective Dates for Memorandum Accounts </w:t>
      </w:r>
      <w:r w:rsidR="00F22D23">
        <w:t xml:space="preserve">at </w:t>
      </w:r>
      <w:r w:rsidR="00581D61">
        <w:t xml:space="preserve">3. </w:t>
      </w:r>
    </w:p>
  </w:footnote>
  <w:footnote w:id="22">
    <w:p w14:paraId="3A20D76F" w14:textId="46FBF7FB" w:rsidR="00A56031" w:rsidRDefault="00A56031">
      <w:pPr>
        <w:pStyle w:val="FootnoteText"/>
      </w:pPr>
      <w:r>
        <w:rPr>
          <w:rStyle w:val="FootnoteReference"/>
        </w:rPr>
        <w:footnoteRef/>
      </w:r>
      <w:r>
        <w:t xml:space="preserve"> </w:t>
      </w:r>
      <w:r w:rsidR="00B36FC7">
        <w:t>A.24</w:t>
      </w:r>
      <w:r w:rsidR="003E7C53">
        <w:t>-</w:t>
      </w:r>
      <w:r w:rsidR="00B36FC7">
        <w:t>05</w:t>
      </w:r>
      <w:r w:rsidR="003E7C53">
        <w:t>-</w:t>
      </w:r>
      <w:r w:rsidR="00B36FC7">
        <w:t xml:space="preserve">013 Scoping Memo and Ruling at </w:t>
      </w:r>
      <w:r w:rsidR="00D213B4">
        <w:t xml:space="preserve">2. </w:t>
      </w:r>
    </w:p>
  </w:footnote>
  <w:footnote w:id="23">
    <w:p w14:paraId="24F5E8B4" w14:textId="4620C406" w:rsidR="00852256" w:rsidRDefault="00852256">
      <w:pPr>
        <w:pStyle w:val="FootnoteText"/>
      </w:pPr>
      <w:r>
        <w:rPr>
          <w:rStyle w:val="FootnoteReference"/>
        </w:rPr>
        <w:footnoteRef/>
      </w:r>
      <w:r>
        <w:t xml:space="preserve"> </w:t>
      </w:r>
      <w:r w:rsidRPr="00852256">
        <w:rPr>
          <w:i/>
          <w:iCs/>
        </w:rPr>
        <w:t>See</w:t>
      </w:r>
      <w:r w:rsidR="00FE28E4">
        <w:rPr>
          <w:i/>
          <w:iCs/>
        </w:rPr>
        <w:t xml:space="preserve"> </w:t>
      </w:r>
      <w:r w:rsidRPr="00A5127A">
        <w:t>A.24-03-011, D.23-04-007, D.18-06-029, D.18-11-051, D.19-01-019</w:t>
      </w:r>
      <w:r>
        <w:t xml:space="preserve"> and </w:t>
      </w:r>
      <w:r w:rsidRPr="00A5127A">
        <w:t>D.19-09-026</w:t>
      </w:r>
    </w:p>
  </w:footnote>
  <w:footnote w:id="24">
    <w:p w14:paraId="15E9FDA5" w14:textId="4F616E50" w:rsidR="001C18B4" w:rsidRDefault="001C18B4">
      <w:pPr>
        <w:pStyle w:val="FootnoteText"/>
      </w:pPr>
      <w:r>
        <w:rPr>
          <w:rStyle w:val="FootnoteReference"/>
        </w:rPr>
        <w:footnoteRef/>
      </w:r>
      <w:r>
        <w:t xml:space="preserve"> Application, Exhibit A. </w:t>
      </w:r>
    </w:p>
  </w:footnote>
  <w:footnote w:id="25">
    <w:p w14:paraId="2049EDBA" w14:textId="0F452EFF" w:rsidR="00E84706" w:rsidRDefault="00E84706">
      <w:pPr>
        <w:pStyle w:val="FootnoteText"/>
      </w:pPr>
      <w:r>
        <w:rPr>
          <w:rStyle w:val="FootnoteReference"/>
        </w:rPr>
        <w:footnoteRef/>
      </w:r>
      <w:r>
        <w:t xml:space="preserve"> </w:t>
      </w:r>
      <w:r w:rsidR="003B4325">
        <w:t>A</w:t>
      </w:r>
      <w:r w:rsidR="001C18B4">
        <w:t>pplication</w:t>
      </w:r>
      <w:r w:rsidR="003B4325">
        <w:t>, Exhibit A at 10.</w:t>
      </w:r>
    </w:p>
  </w:footnote>
  <w:footnote w:id="26">
    <w:p w14:paraId="23618B31" w14:textId="5E015AE3" w:rsidR="00D02742" w:rsidRDefault="00D02742">
      <w:pPr>
        <w:pStyle w:val="FootnoteText"/>
      </w:pPr>
      <w:r>
        <w:rPr>
          <w:rStyle w:val="FootnoteReference"/>
        </w:rPr>
        <w:footnoteRef/>
      </w:r>
      <w:r>
        <w:t xml:space="preserve"> </w:t>
      </w:r>
      <w:r w:rsidR="003F1A2C">
        <w:rPr>
          <w:i/>
          <w:iCs/>
        </w:rPr>
        <w:t>Ibid</w:t>
      </w:r>
      <w:r w:rsidR="003F1A2C">
        <w:t>.</w:t>
      </w:r>
    </w:p>
  </w:footnote>
  <w:footnote w:id="27">
    <w:p w14:paraId="4ECAF284" w14:textId="4285E618" w:rsidR="0026087B" w:rsidRDefault="0026087B">
      <w:pPr>
        <w:pStyle w:val="FootnoteText"/>
      </w:pPr>
      <w:r>
        <w:rPr>
          <w:rStyle w:val="FootnoteReference"/>
        </w:rPr>
        <w:footnoteRef/>
      </w:r>
      <w:r>
        <w:t xml:space="preserve"> </w:t>
      </w:r>
      <w:bookmarkStart w:id="10" w:name="_Hlk210756454"/>
      <w:r w:rsidR="00FE289D">
        <w:rPr>
          <w:i/>
          <w:iCs/>
        </w:rPr>
        <w:t>Id</w:t>
      </w:r>
      <w:r>
        <w:t>.</w:t>
      </w:r>
      <w:bookmarkEnd w:id="10"/>
    </w:p>
  </w:footnote>
  <w:footnote w:id="28">
    <w:p w14:paraId="12F0C5AF" w14:textId="25D8F193" w:rsidR="00CC36E3" w:rsidRDefault="00CC36E3">
      <w:pPr>
        <w:pStyle w:val="FootnoteText"/>
      </w:pPr>
      <w:r>
        <w:rPr>
          <w:rStyle w:val="FootnoteReference"/>
        </w:rPr>
        <w:footnoteRef/>
      </w:r>
      <w:r>
        <w:t xml:space="preserve"> </w:t>
      </w:r>
      <w:r w:rsidR="00FE289D">
        <w:rPr>
          <w:i/>
          <w:iCs/>
        </w:rPr>
        <w:t>Id</w:t>
      </w:r>
      <w:r>
        <w:t>.</w:t>
      </w:r>
    </w:p>
  </w:footnote>
  <w:footnote w:id="29">
    <w:p w14:paraId="49925193" w14:textId="0EB8597D" w:rsidR="00E3498A" w:rsidRDefault="00E3498A">
      <w:pPr>
        <w:pStyle w:val="FootnoteText"/>
      </w:pPr>
      <w:r>
        <w:rPr>
          <w:rStyle w:val="FootnoteReference"/>
        </w:rPr>
        <w:footnoteRef/>
      </w:r>
      <w:r>
        <w:t xml:space="preserve"> </w:t>
      </w:r>
      <w:r w:rsidR="00FE289D">
        <w:rPr>
          <w:i/>
          <w:iCs/>
        </w:rPr>
        <w:t>Id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26D3" w14:textId="1D1E6163" w:rsidR="00E63C5E" w:rsidRDefault="00E63C5E" w:rsidP="00E63C5E">
    <w:pPr>
      <w:pStyle w:val="Header"/>
      <w:ind w:firstLine="0"/>
    </w:pPr>
    <w:r>
      <w:t>A.24-05-013  ALJ/PPE/jds</w:t>
    </w:r>
  </w:p>
  <w:p w14:paraId="075E1F28" w14:textId="77777777" w:rsidR="00E63C5E" w:rsidRDefault="00E63C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E24B93"/>
    <w:multiLevelType w:val="hybridMultilevel"/>
    <w:tmpl w:val="29D41F52"/>
    <w:lvl w:ilvl="0" w:tplc="4D729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18F4A5AC"/>
    <w:numStyleLink w:val="FoFCoLOP"/>
  </w:abstractNum>
  <w:abstractNum w:abstractNumId="4"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0038F"/>
    <w:multiLevelType w:val="multilevel"/>
    <w:tmpl w:val="3C526EDE"/>
    <w:numStyleLink w:val="Headings"/>
  </w:abstractNum>
  <w:abstractNum w:abstractNumId="6" w15:restartNumberingAfterBreak="0">
    <w:nsid w:val="1E2242C9"/>
    <w:multiLevelType w:val="multilevel"/>
    <w:tmpl w:val="3C526EDE"/>
    <w:numStyleLink w:val="Headings"/>
  </w:abstractNum>
  <w:abstractNum w:abstractNumId="7" w15:restartNumberingAfterBreak="0">
    <w:nsid w:val="208A79BA"/>
    <w:multiLevelType w:val="multilevel"/>
    <w:tmpl w:val="4DBA5E3E"/>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8" w15:restartNumberingAfterBreak="0">
    <w:nsid w:val="21FB58FE"/>
    <w:multiLevelType w:val="multilevel"/>
    <w:tmpl w:val="3C526EDE"/>
    <w:numStyleLink w:val="Headings"/>
  </w:abstractNum>
  <w:abstractNum w:abstractNumId="9" w15:restartNumberingAfterBreak="0">
    <w:nsid w:val="243663A0"/>
    <w:multiLevelType w:val="multilevel"/>
    <w:tmpl w:val="3C526EDE"/>
    <w:numStyleLink w:val="Headings"/>
  </w:abstractNum>
  <w:abstractNum w:abstractNumId="10" w15:restartNumberingAfterBreak="0">
    <w:nsid w:val="25D352D2"/>
    <w:multiLevelType w:val="hybridMultilevel"/>
    <w:tmpl w:val="DB3AFE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47694"/>
    <w:multiLevelType w:val="hybridMultilevel"/>
    <w:tmpl w:val="54AEF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8124D7"/>
    <w:multiLevelType w:val="multilevel"/>
    <w:tmpl w:val="3C526EDE"/>
    <w:numStyleLink w:val="Headings"/>
  </w:abstractNum>
  <w:abstractNum w:abstractNumId="13"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4" w15:restartNumberingAfterBreak="0">
    <w:nsid w:val="3B9A407F"/>
    <w:multiLevelType w:val="hybridMultilevel"/>
    <w:tmpl w:val="30463790"/>
    <w:lvl w:ilvl="0" w:tplc="1B340B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D042D7"/>
    <w:multiLevelType w:val="multilevel"/>
    <w:tmpl w:val="18F4A5AC"/>
    <w:numStyleLink w:val="FoFCoLOP"/>
  </w:abstractNum>
  <w:abstractNum w:abstractNumId="16" w15:restartNumberingAfterBreak="0">
    <w:nsid w:val="5A9E2171"/>
    <w:multiLevelType w:val="multilevel"/>
    <w:tmpl w:val="3C526EDE"/>
    <w:numStyleLink w:val="Headings"/>
  </w:abstractNum>
  <w:abstractNum w:abstractNumId="17" w15:restartNumberingAfterBreak="0">
    <w:nsid w:val="5B075F62"/>
    <w:multiLevelType w:val="hybridMultilevel"/>
    <w:tmpl w:val="E578AD98"/>
    <w:lvl w:ilvl="0" w:tplc="27368FDC">
      <w:start w:val="1"/>
      <w:numFmt w:val="decimal"/>
      <w:lvlText w:val="%1."/>
      <w:lvlJc w:val="left"/>
      <w:pPr>
        <w:ind w:left="1020" w:hanging="360"/>
      </w:pPr>
    </w:lvl>
    <w:lvl w:ilvl="1" w:tplc="51DE46F2">
      <w:start w:val="1"/>
      <w:numFmt w:val="decimal"/>
      <w:lvlText w:val="%2."/>
      <w:lvlJc w:val="left"/>
      <w:pPr>
        <w:ind w:left="1020" w:hanging="360"/>
      </w:pPr>
    </w:lvl>
    <w:lvl w:ilvl="2" w:tplc="2548B2FA">
      <w:start w:val="1"/>
      <w:numFmt w:val="decimal"/>
      <w:lvlText w:val="%3."/>
      <w:lvlJc w:val="left"/>
      <w:pPr>
        <w:ind w:left="1020" w:hanging="360"/>
      </w:pPr>
    </w:lvl>
    <w:lvl w:ilvl="3" w:tplc="9A5E6FF6">
      <w:start w:val="1"/>
      <w:numFmt w:val="decimal"/>
      <w:lvlText w:val="%4."/>
      <w:lvlJc w:val="left"/>
      <w:pPr>
        <w:ind w:left="1020" w:hanging="360"/>
      </w:pPr>
    </w:lvl>
    <w:lvl w:ilvl="4" w:tplc="9E3CF7E0">
      <w:start w:val="1"/>
      <w:numFmt w:val="decimal"/>
      <w:lvlText w:val="%5."/>
      <w:lvlJc w:val="left"/>
      <w:pPr>
        <w:ind w:left="1020" w:hanging="360"/>
      </w:pPr>
    </w:lvl>
    <w:lvl w:ilvl="5" w:tplc="0FF46484">
      <w:start w:val="1"/>
      <w:numFmt w:val="decimal"/>
      <w:lvlText w:val="%6."/>
      <w:lvlJc w:val="left"/>
      <w:pPr>
        <w:ind w:left="1020" w:hanging="360"/>
      </w:pPr>
    </w:lvl>
    <w:lvl w:ilvl="6" w:tplc="9364EB68">
      <w:start w:val="1"/>
      <w:numFmt w:val="decimal"/>
      <w:lvlText w:val="%7."/>
      <w:lvlJc w:val="left"/>
      <w:pPr>
        <w:ind w:left="1020" w:hanging="360"/>
      </w:pPr>
    </w:lvl>
    <w:lvl w:ilvl="7" w:tplc="A9106CBC">
      <w:start w:val="1"/>
      <w:numFmt w:val="decimal"/>
      <w:lvlText w:val="%8."/>
      <w:lvlJc w:val="left"/>
      <w:pPr>
        <w:ind w:left="1020" w:hanging="360"/>
      </w:pPr>
    </w:lvl>
    <w:lvl w:ilvl="8" w:tplc="D8E465C0">
      <w:start w:val="1"/>
      <w:numFmt w:val="decimal"/>
      <w:lvlText w:val="%9."/>
      <w:lvlJc w:val="left"/>
      <w:pPr>
        <w:ind w:left="1020" w:hanging="360"/>
      </w:pPr>
    </w:lvl>
  </w:abstractNum>
  <w:abstractNum w:abstractNumId="18" w15:restartNumberingAfterBreak="0">
    <w:nsid w:val="61A25780"/>
    <w:multiLevelType w:val="multilevel"/>
    <w:tmpl w:val="3C526EDE"/>
    <w:numStyleLink w:val="Headings"/>
  </w:abstractNum>
  <w:abstractNum w:abstractNumId="19" w15:restartNumberingAfterBreak="0">
    <w:nsid w:val="6AC96DC9"/>
    <w:multiLevelType w:val="multilevel"/>
    <w:tmpl w:val="3C526EDE"/>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20"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89A0AFE"/>
    <w:multiLevelType w:val="multilevel"/>
    <w:tmpl w:val="18F4A5AC"/>
    <w:numStyleLink w:val="FoFCoLOP"/>
  </w:abstractNum>
  <w:num w:numId="1" w16cid:durableId="1354526949">
    <w:abstractNumId w:val="16"/>
  </w:num>
  <w:num w:numId="2" w16cid:durableId="140774137">
    <w:abstractNumId w:val="2"/>
  </w:num>
  <w:num w:numId="3" w16cid:durableId="1898543446">
    <w:abstractNumId w:val="15"/>
  </w:num>
  <w:num w:numId="4" w16cid:durableId="701521005">
    <w:abstractNumId w:val="3"/>
  </w:num>
  <w:num w:numId="5" w16cid:durableId="2017029027">
    <w:abstractNumId w:val="21"/>
  </w:num>
  <w:num w:numId="6" w16cid:durableId="973756952">
    <w:abstractNumId w:val="13"/>
  </w:num>
  <w:num w:numId="7" w16cid:durableId="827667741">
    <w:abstractNumId w:val="6"/>
  </w:num>
  <w:num w:numId="8" w16cid:durableId="1760327020">
    <w:abstractNumId w:val="20"/>
  </w:num>
  <w:num w:numId="9" w16cid:durableId="816924040">
    <w:abstractNumId w:val="0"/>
  </w:num>
  <w:num w:numId="10" w16cid:durableId="1817916489">
    <w:abstractNumId w:val="5"/>
  </w:num>
  <w:num w:numId="11" w16cid:durableId="291985460">
    <w:abstractNumId w:val="8"/>
  </w:num>
  <w:num w:numId="12" w16cid:durableId="467941983">
    <w:abstractNumId w:val="4"/>
  </w:num>
  <w:num w:numId="13" w16cid:durableId="712996464">
    <w:abstractNumId w:val="9"/>
  </w:num>
  <w:num w:numId="14" w16cid:durableId="1303778653">
    <w:abstractNumId w:val="12"/>
  </w:num>
  <w:num w:numId="15" w16cid:durableId="1714382259">
    <w:abstractNumId w:val="18"/>
  </w:num>
  <w:num w:numId="16" w16cid:durableId="5481076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8"/>
  </w:num>
  <w:num w:numId="18" w16cid:durableId="1673796793">
    <w:abstractNumId w:val="11"/>
  </w:num>
  <w:num w:numId="19" w16cid:durableId="1318798639">
    <w:abstractNumId w:val="19"/>
  </w:num>
  <w:num w:numId="20" w16cid:durableId="425197825">
    <w:abstractNumId w:val="1"/>
  </w:num>
  <w:num w:numId="21" w16cid:durableId="1799449560">
    <w:abstractNumId w:val="17"/>
  </w:num>
  <w:num w:numId="22" w16cid:durableId="1587228711">
    <w:abstractNumId w:val="14"/>
  </w:num>
  <w:num w:numId="23" w16cid:durableId="430248373">
    <w:abstractNumId w:val="10"/>
  </w:num>
  <w:num w:numId="24" w16cid:durableId="199144640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808"/>
    <w:rsid w:val="00000909"/>
    <w:rsid w:val="00000F6A"/>
    <w:rsid w:val="00002FDD"/>
    <w:rsid w:val="00003899"/>
    <w:rsid w:val="000053D4"/>
    <w:rsid w:val="00007427"/>
    <w:rsid w:val="00015808"/>
    <w:rsid w:val="00016608"/>
    <w:rsid w:val="0001782C"/>
    <w:rsid w:val="00017987"/>
    <w:rsid w:val="00021BFC"/>
    <w:rsid w:val="00025387"/>
    <w:rsid w:val="00026690"/>
    <w:rsid w:val="00027DF3"/>
    <w:rsid w:val="00030952"/>
    <w:rsid w:val="00031279"/>
    <w:rsid w:val="0003164D"/>
    <w:rsid w:val="000318A8"/>
    <w:rsid w:val="00033035"/>
    <w:rsid w:val="00033365"/>
    <w:rsid w:val="00033CE9"/>
    <w:rsid w:val="00034BBD"/>
    <w:rsid w:val="00034E9D"/>
    <w:rsid w:val="000367C9"/>
    <w:rsid w:val="00036A3B"/>
    <w:rsid w:val="0004238B"/>
    <w:rsid w:val="00042D86"/>
    <w:rsid w:val="00045B44"/>
    <w:rsid w:val="00045BA1"/>
    <w:rsid w:val="00051A84"/>
    <w:rsid w:val="000529B0"/>
    <w:rsid w:val="000538EA"/>
    <w:rsid w:val="00053A4A"/>
    <w:rsid w:val="00055F42"/>
    <w:rsid w:val="00056D62"/>
    <w:rsid w:val="00056E53"/>
    <w:rsid w:val="000574E9"/>
    <w:rsid w:val="00060196"/>
    <w:rsid w:val="00060730"/>
    <w:rsid w:val="00061EB4"/>
    <w:rsid w:val="000643EC"/>
    <w:rsid w:val="000658C3"/>
    <w:rsid w:val="00065FC3"/>
    <w:rsid w:val="0006603B"/>
    <w:rsid w:val="00067D89"/>
    <w:rsid w:val="0007115A"/>
    <w:rsid w:val="00073CEE"/>
    <w:rsid w:val="000741C3"/>
    <w:rsid w:val="00075A4B"/>
    <w:rsid w:val="000770B3"/>
    <w:rsid w:val="000805A2"/>
    <w:rsid w:val="00080CAB"/>
    <w:rsid w:val="000812F9"/>
    <w:rsid w:val="00085ADA"/>
    <w:rsid w:val="00086BD5"/>
    <w:rsid w:val="00093210"/>
    <w:rsid w:val="00094D84"/>
    <w:rsid w:val="000963AA"/>
    <w:rsid w:val="00096C0E"/>
    <w:rsid w:val="000973C8"/>
    <w:rsid w:val="00097946"/>
    <w:rsid w:val="000A0159"/>
    <w:rsid w:val="000A1A91"/>
    <w:rsid w:val="000A2AA9"/>
    <w:rsid w:val="000A2F8A"/>
    <w:rsid w:val="000A317D"/>
    <w:rsid w:val="000A56F2"/>
    <w:rsid w:val="000A6938"/>
    <w:rsid w:val="000A6E05"/>
    <w:rsid w:val="000A6E8A"/>
    <w:rsid w:val="000A710E"/>
    <w:rsid w:val="000B12FA"/>
    <w:rsid w:val="000B373E"/>
    <w:rsid w:val="000B4449"/>
    <w:rsid w:val="000B4922"/>
    <w:rsid w:val="000B5383"/>
    <w:rsid w:val="000C08BF"/>
    <w:rsid w:val="000C1374"/>
    <w:rsid w:val="000C25DD"/>
    <w:rsid w:val="000C3B9A"/>
    <w:rsid w:val="000C4FE8"/>
    <w:rsid w:val="000C6F14"/>
    <w:rsid w:val="000D0161"/>
    <w:rsid w:val="000D02F7"/>
    <w:rsid w:val="000D07B4"/>
    <w:rsid w:val="000D25A8"/>
    <w:rsid w:val="000D3513"/>
    <w:rsid w:val="000D3913"/>
    <w:rsid w:val="000D3E2D"/>
    <w:rsid w:val="000D4D91"/>
    <w:rsid w:val="000D5A18"/>
    <w:rsid w:val="000E249F"/>
    <w:rsid w:val="000E270A"/>
    <w:rsid w:val="000E28A9"/>
    <w:rsid w:val="000E470F"/>
    <w:rsid w:val="000E4C53"/>
    <w:rsid w:val="000E6CDB"/>
    <w:rsid w:val="000E72FA"/>
    <w:rsid w:val="000E7B88"/>
    <w:rsid w:val="000E7D43"/>
    <w:rsid w:val="000F05FC"/>
    <w:rsid w:val="000F353B"/>
    <w:rsid w:val="000F3A57"/>
    <w:rsid w:val="000F3B95"/>
    <w:rsid w:val="000F443D"/>
    <w:rsid w:val="000F48C6"/>
    <w:rsid w:val="00101EFE"/>
    <w:rsid w:val="00102368"/>
    <w:rsid w:val="001029A7"/>
    <w:rsid w:val="001037EC"/>
    <w:rsid w:val="00103E00"/>
    <w:rsid w:val="00104A78"/>
    <w:rsid w:val="001061C4"/>
    <w:rsid w:val="0010643A"/>
    <w:rsid w:val="00110DA7"/>
    <w:rsid w:val="00110F3D"/>
    <w:rsid w:val="00112628"/>
    <w:rsid w:val="001126A5"/>
    <w:rsid w:val="0011735D"/>
    <w:rsid w:val="00120C19"/>
    <w:rsid w:val="00121089"/>
    <w:rsid w:val="001230FF"/>
    <w:rsid w:val="001231FE"/>
    <w:rsid w:val="0012411C"/>
    <w:rsid w:val="00124546"/>
    <w:rsid w:val="00126171"/>
    <w:rsid w:val="00127096"/>
    <w:rsid w:val="00127264"/>
    <w:rsid w:val="001301CB"/>
    <w:rsid w:val="00130670"/>
    <w:rsid w:val="00130B66"/>
    <w:rsid w:val="00130BD2"/>
    <w:rsid w:val="001328F7"/>
    <w:rsid w:val="00132EDE"/>
    <w:rsid w:val="00135EAA"/>
    <w:rsid w:val="0013616B"/>
    <w:rsid w:val="001366BE"/>
    <w:rsid w:val="001424EE"/>
    <w:rsid w:val="001434E3"/>
    <w:rsid w:val="00143F6A"/>
    <w:rsid w:val="001441BC"/>
    <w:rsid w:val="001477C4"/>
    <w:rsid w:val="001520DD"/>
    <w:rsid w:val="001546D5"/>
    <w:rsid w:val="00155249"/>
    <w:rsid w:val="001567B9"/>
    <w:rsid w:val="00157457"/>
    <w:rsid w:val="00157DBC"/>
    <w:rsid w:val="0016022F"/>
    <w:rsid w:val="00160935"/>
    <w:rsid w:val="001617C2"/>
    <w:rsid w:val="001621C8"/>
    <w:rsid w:val="0016331F"/>
    <w:rsid w:val="00163E68"/>
    <w:rsid w:val="0016400A"/>
    <w:rsid w:val="0016695C"/>
    <w:rsid w:val="0016700A"/>
    <w:rsid w:val="00167DE1"/>
    <w:rsid w:val="00172050"/>
    <w:rsid w:val="00173B9D"/>
    <w:rsid w:val="00175079"/>
    <w:rsid w:val="00175687"/>
    <w:rsid w:val="00176187"/>
    <w:rsid w:val="00180562"/>
    <w:rsid w:val="00180DC6"/>
    <w:rsid w:val="00181005"/>
    <w:rsid w:val="0018315A"/>
    <w:rsid w:val="00184A8F"/>
    <w:rsid w:val="00184D92"/>
    <w:rsid w:val="001853F0"/>
    <w:rsid w:val="00186F1F"/>
    <w:rsid w:val="0018726E"/>
    <w:rsid w:val="001904BE"/>
    <w:rsid w:val="00193B58"/>
    <w:rsid w:val="001942C4"/>
    <w:rsid w:val="00194643"/>
    <w:rsid w:val="001976D4"/>
    <w:rsid w:val="001A0174"/>
    <w:rsid w:val="001A4F6B"/>
    <w:rsid w:val="001A53BA"/>
    <w:rsid w:val="001A570B"/>
    <w:rsid w:val="001A69FF"/>
    <w:rsid w:val="001B1306"/>
    <w:rsid w:val="001B27B1"/>
    <w:rsid w:val="001B5B1F"/>
    <w:rsid w:val="001B61F0"/>
    <w:rsid w:val="001B6DA5"/>
    <w:rsid w:val="001B7D5F"/>
    <w:rsid w:val="001C18B4"/>
    <w:rsid w:val="001C2330"/>
    <w:rsid w:val="001C2DC0"/>
    <w:rsid w:val="001C363F"/>
    <w:rsid w:val="001C4383"/>
    <w:rsid w:val="001C48FC"/>
    <w:rsid w:val="001C7C50"/>
    <w:rsid w:val="001D2264"/>
    <w:rsid w:val="001D312B"/>
    <w:rsid w:val="001D3312"/>
    <w:rsid w:val="001D5D27"/>
    <w:rsid w:val="001D7E68"/>
    <w:rsid w:val="001E1055"/>
    <w:rsid w:val="001E2A62"/>
    <w:rsid w:val="001E33DE"/>
    <w:rsid w:val="001E52DF"/>
    <w:rsid w:val="001E5891"/>
    <w:rsid w:val="001F17EC"/>
    <w:rsid w:val="001F1B1F"/>
    <w:rsid w:val="001F20DB"/>
    <w:rsid w:val="001F25FF"/>
    <w:rsid w:val="001F2819"/>
    <w:rsid w:val="001F2D3E"/>
    <w:rsid w:val="001F4D37"/>
    <w:rsid w:val="00200737"/>
    <w:rsid w:val="00201AD4"/>
    <w:rsid w:val="00203A14"/>
    <w:rsid w:val="0020401A"/>
    <w:rsid w:val="00204267"/>
    <w:rsid w:val="002043EC"/>
    <w:rsid w:val="00205F1A"/>
    <w:rsid w:val="00206982"/>
    <w:rsid w:val="00207E42"/>
    <w:rsid w:val="00207FA7"/>
    <w:rsid w:val="002120AD"/>
    <w:rsid w:val="002121EF"/>
    <w:rsid w:val="0021273C"/>
    <w:rsid w:val="00213187"/>
    <w:rsid w:val="0021346B"/>
    <w:rsid w:val="00213792"/>
    <w:rsid w:val="00214936"/>
    <w:rsid w:val="00215070"/>
    <w:rsid w:val="002179C8"/>
    <w:rsid w:val="00220B15"/>
    <w:rsid w:val="00220E61"/>
    <w:rsid w:val="00223799"/>
    <w:rsid w:val="00226015"/>
    <w:rsid w:val="00230CF8"/>
    <w:rsid w:val="002318CD"/>
    <w:rsid w:val="0023307F"/>
    <w:rsid w:val="002332C9"/>
    <w:rsid w:val="00233F48"/>
    <w:rsid w:val="0023698F"/>
    <w:rsid w:val="0023786C"/>
    <w:rsid w:val="0024214D"/>
    <w:rsid w:val="00243DC0"/>
    <w:rsid w:val="00244726"/>
    <w:rsid w:val="00245032"/>
    <w:rsid w:val="002461CF"/>
    <w:rsid w:val="00247477"/>
    <w:rsid w:val="00251BD1"/>
    <w:rsid w:val="00253CDF"/>
    <w:rsid w:val="00254081"/>
    <w:rsid w:val="00255693"/>
    <w:rsid w:val="00255B97"/>
    <w:rsid w:val="00257AD5"/>
    <w:rsid w:val="0026087B"/>
    <w:rsid w:val="00260D61"/>
    <w:rsid w:val="00261B2C"/>
    <w:rsid w:val="00261E07"/>
    <w:rsid w:val="00262258"/>
    <w:rsid w:val="00262382"/>
    <w:rsid w:val="00262414"/>
    <w:rsid w:val="002627FB"/>
    <w:rsid w:val="00262CDB"/>
    <w:rsid w:val="00263442"/>
    <w:rsid w:val="00265CE4"/>
    <w:rsid w:val="002668D1"/>
    <w:rsid w:val="00266EF5"/>
    <w:rsid w:val="0026716C"/>
    <w:rsid w:val="00267B5D"/>
    <w:rsid w:val="00270440"/>
    <w:rsid w:val="0027215D"/>
    <w:rsid w:val="0027378D"/>
    <w:rsid w:val="00273B33"/>
    <w:rsid w:val="0028073D"/>
    <w:rsid w:val="00282173"/>
    <w:rsid w:val="00282CB1"/>
    <w:rsid w:val="00283563"/>
    <w:rsid w:val="00284D8D"/>
    <w:rsid w:val="00285C06"/>
    <w:rsid w:val="00286050"/>
    <w:rsid w:val="00287BC5"/>
    <w:rsid w:val="00291AAE"/>
    <w:rsid w:val="0029242B"/>
    <w:rsid w:val="002927DB"/>
    <w:rsid w:val="002936CD"/>
    <w:rsid w:val="00293DEE"/>
    <w:rsid w:val="00294902"/>
    <w:rsid w:val="002959B6"/>
    <w:rsid w:val="00296FF0"/>
    <w:rsid w:val="002A0B5D"/>
    <w:rsid w:val="002A1766"/>
    <w:rsid w:val="002A2A94"/>
    <w:rsid w:val="002A2EF1"/>
    <w:rsid w:val="002A3D11"/>
    <w:rsid w:val="002A61A7"/>
    <w:rsid w:val="002A6405"/>
    <w:rsid w:val="002A7236"/>
    <w:rsid w:val="002A7B72"/>
    <w:rsid w:val="002B0A54"/>
    <w:rsid w:val="002B370A"/>
    <w:rsid w:val="002B6263"/>
    <w:rsid w:val="002B6A04"/>
    <w:rsid w:val="002B765C"/>
    <w:rsid w:val="002B7DD4"/>
    <w:rsid w:val="002C0942"/>
    <w:rsid w:val="002C24FA"/>
    <w:rsid w:val="002C6D06"/>
    <w:rsid w:val="002C7FE9"/>
    <w:rsid w:val="002D01DE"/>
    <w:rsid w:val="002D0DC5"/>
    <w:rsid w:val="002D1012"/>
    <w:rsid w:val="002D25CA"/>
    <w:rsid w:val="002D27E9"/>
    <w:rsid w:val="002D2834"/>
    <w:rsid w:val="002D3EE3"/>
    <w:rsid w:val="002D4D4D"/>
    <w:rsid w:val="002D4EFD"/>
    <w:rsid w:val="002D77B0"/>
    <w:rsid w:val="002E0891"/>
    <w:rsid w:val="002E12A3"/>
    <w:rsid w:val="002E27C5"/>
    <w:rsid w:val="002E2A8D"/>
    <w:rsid w:val="002E2C96"/>
    <w:rsid w:val="002E4858"/>
    <w:rsid w:val="002E519F"/>
    <w:rsid w:val="002E7820"/>
    <w:rsid w:val="002F0849"/>
    <w:rsid w:val="002F4844"/>
    <w:rsid w:val="002F617A"/>
    <w:rsid w:val="002F6291"/>
    <w:rsid w:val="002F721F"/>
    <w:rsid w:val="002F7860"/>
    <w:rsid w:val="002F78B6"/>
    <w:rsid w:val="0030504C"/>
    <w:rsid w:val="00313226"/>
    <w:rsid w:val="00315A97"/>
    <w:rsid w:val="00316071"/>
    <w:rsid w:val="00316ED1"/>
    <w:rsid w:val="0031727D"/>
    <w:rsid w:val="00317493"/>
    <w:rsid w:val="00322050"/>
    <w:rsid w:val="003255D9"/>
    <w:rsid w:val="003258D7"/>
    <w:rsid w:val="00325AA1"/>
    <w:rsid w:val="00330A60"/>
    <w:rsid w:val="003312C9"/>
    <w:rsid w:val="00331923"/>
    <w:rsid w:val="0033310B"/>
    <w:rsid w:val="00333C33"/>
    <w:rsid w:val="003342E0"/>
    <w:rsid w:val="0033530E"/>
    <w:rsid w:val="003363AE"/>
    <w:rsid w:val="00340711"/>
    <w:rsid w:val="00341CD4"/>
    <w:rsid w:val="003430A8"/>
    <w:rsid w:val="00343A11"/>
    <w:rsid w:val="00343E5C"/>
    <w:rsid w:val="00344FB8"/>
    <w:rsid w:val="003457C5"/>
    <w:rsid w:val="00345D7D"/>
    <w:rsid w:val="00346E7D"/>
    <w:rsid w:val="0034784A"/>
    <w:rsid w:val="0035039C"/>
    <w:rsid w:val="003505F4"/>
    <w:rsid w:val="003507A2"/>
    <w:rsid w:val="00356967"/>
    <w:rsid w:val="00356A7F"/>
    <w:rsid w:val="00356B1D"/>
    <w:rsid w:val="0036017B"/>
    <w:rsid w:val="003615AE"/>
    <w:rsid w:val="00362755"/>
    <w:rsid w:val="0036517E"/>
    <w:rsid w:val="00373B93"/>
    <w:rsid w:val="00374758"/>
    <w:rsid w:val="00374A88"/>
    <w:rsid w:val="003757AC"/>
    <w:rsid w:val="003767A5"/>
    <w:rsid w:val="00380BEF"/>
    <w:rsid w:val="00380CD1"/>
    <w:rsid w:val="00381AA2"/>
    <w:rsid w:val="00381E84"/>
    <w:rsid w:val="0038276F"/>
    <w:rsid w:val="0038338B"/>
    <w:rsid w:val="003833CF"/>
    <w:rsid w:val="00383E3A"/>
    <w:rsid w:val="00385F55"/>
    <w:rsid w:val="00387416"/>
    <w:rsid w:val="0039164B"/>
    <w:rsid w:val="00391B37"/>
    <w:rsid w:val="00393685"/>
    <w:rsid w:val="003940F2"/>
    <w:rsid w:val="00394FD2"/>
    <w:rsid w:val="003952CC"/>
    <w:rsid w:val="003A02CA"/>
    <w:rsid w:val="003A2E5B"/>
    <w:rsid w:val="003A38F0"/>
    <w:rsid w:val="003A43CC"/>
    <w:rsid w:val="003A58A7"/>
    <w:rsid w:val="003A5C3C"/>
    <w:rsid w:val="003A6135"/>
    <w:rsid w:val="003A7522"/>
    <w:rsid w:val="003B28EF"/>
    <w:rsid w:val="003B3BBD"/>
    <w:rsid w:val="003B4325"/>
    <w:rsid w:val="003B5136"/>
    <w:rsid w:val="003B6B54"/>
    <w:rsid w:val="003B79AA"/>
    <w:rsid w:val="003B7D55"/>
    <w:rsid w:val="003C0D34"/>
    <w:rsid w:val="003C3779"/>
    <w:rsid w:val="003C4A08"/>
    <w:rsid w:val="003C4E29"/>
    <w:rsid w:val="003C560B"/>
    <w:rsid w:val="003C6994"/>
    <w:rsid w:val="003C70D2"/>
    <w:rsid w:val="003D1CA3"/>
    <w:rsid w:val="003D2E93"/>
    <w:rsid w:val="003D5C98"/>
    <w:rsid w:val="003D6C22"/>
    <w:rsid w:val="003E1BAF"/>
    <w:rsid w:val="003E219D"/>
    <w:rsid w:val="003E26F8"/>
    <w:rsid w:val="003E3020"/>
    <w:rsid w:val="003E355C"/>
    <w:rsid w:val="003E3A70"/>
    <w:rsid w:val="003E5AAB"/>
    <w:rsid w:val="003E679A"/>
    <w:rsid w:val="003E7C53"/>
    <w:rsid w:val="003F069A"/>
    <w:rsid w:val="003F1A2C"/>
    <w:rsid w:val="003F2518"/>
    <w:rsid w:val="003F2CB5"/>
    <w:rsid w:val="003F3C02"/>
    <w:rsid w:val="003F4329"/>
    <w:rsid w:val="003F48BA"/>
    <w:rsid w:val="003F51EC"/>
    <w:rsid w:val="003F76ED"/>
    <w:rsid w:val="004003AA"/>
    <w:rsid w:val="004012BF"/>
    <w:rsid w:val="00401677"/>
    <w:rsid w:val="004040AA"/>
    <w:rsid w:val="00404594"/>
    <w:rsid w:val="00405FE5"/>
    <w:rsid w:val="00407668"/>
    <w:rsid w:val="00411259"/>
    <w:rsid w:val="004120DD"/>
    <w:rsid w:val="004121F7"/>
    <w:rsid w:val="00412534"/>
    <w:rsid w:val="00412C83"/>
    <w:rsid w:val="004138EA"/>
    <w:rsid w:val="00415007"/>
    <w:rsid w:val="0042079E"/>
    <w:rsid w:val="0042146E"/>
    <w:rsid w:val="004215B4"/>
    <w:rsid w:val="00421E64"/>
    <w:rsid w:val="0042511E"/>
    <w:rsid w:val="00426014"/>
    <w:rsid w:val="0042723F"/>
    <w:rsid w:val="00427566"/>
    <w:rsid w:val="004279FD"/>
    <w:rsid w:val="00427A57"/>
    <w:rsid w:val="00432B51"/>
    <w:rsid w:val="00432E2B"/>
    <w:rsid w:val="00434EDF"/>
    <w:rsid w:val="0043698B"/>
    <w:rsid w:val="004372AC"/>
    <w:rsid w:val="00440354"/>
    <w:rsid w:val="00444D12"/>
    <w:rsid w:val="00444FCD"/>
    <w:rsid w:val="00445D4F"/>
    <w:rsid w:val="0044617E"/>
    <w:rsid w:val="0044755A"/>
    <w:rsid w:val="00451884"/>
    <w:rsid w:val="004520BA"/>
    <w:rsid w:val="004523FB"/>
    <w:rsid w:val="00453806"/>
    <w:rsid w:val="00453ADE"/>
    <w:rsid w:val="00453B12"/>
    <w:rsid w:val="00453C5C"/>
    <w:rsid w:val="00453C9E"/>
    <w:rsid w:val="0045601F"/>
    <w:rsid w:val="00457506"/>
    <w:rsid w:val="0046078B"/>
    <w:rsid w:val="00460B7D"/>
    <w:rsid w:val="004611A5"/>
    <w:rsid w:val="00461D0A"/>
    <w:rsid w:val="004638CF"/>
    <w:rsid w:val="004641FD"/>
    <w:rsid w:val="00464A2F"/>
    <w:rsid w:val="004656D8"/>
    <w:rsid w:val="004666BE"/>
    <w:rsid w:val="00467389"/>
    <w:rsid w:val="00470025"/>
    <w:rsid w:val="00472B5C"/>
    <w:rsid w:val="00472D9B"/>
    <w:rsid w:val="0047406E"/>
    <w:rsid w:val="0047596C"/>
    <w:rsid w:val="00475D23"/>
    <w:rsid w:val="00480CB0"/>
    <w:rsid w:val="00482622"/>
    <w:rsid w:val="00483603"/>
    <w:rsid w:val="00483936"/>
    <w:rsid w:val="00485292"/>
    <w:rsid w:val="0048529F"/>
    <w:rsid w:val="00485846"/>
    <w:rsid w:val="0049034A"/>
    <w:rsid w:val="004917E2"/>
    <w:rsid w:val="00492FBC"/>
    <w:rsid w:val="00493A45"/>
    <w:rsid w:val="00493C75"/>
    <w:rsid w:val="00495617"/>
    <w:rsid w:val="004A03F1"/>
    <w:rsid w:val="004A1EAD"/>
    <w:rsid w:val="004A2F44"/>
    <w:rsid w:val="004A3122"/>
    <w:rsid w:val="004A47BE"/>
    <w:rsid w:val="004A621C"/>
    <w:rsid w:val="004A7CA0"/>
    <w:rsid w:val="004B1B13"/>
    <w:rsid w:val="004B34EA"/>
    <w:rsid w:val="004B51AC"/>
    <w:rsid w:val="004B5494"/>
    <w:rsid w:val="004B6AA2"/>
    <w:rsid w:val="004B6B28"/>
    <w:rsid w:val="004B7934"/>
    <w:rsid w:val="004C2912"/>
    <w:rsid w:val="004C40BC"/>
    <w:rsid w:val="004C42B1"/>
    <w:rsid w:val="004C4DC3"/>
    <w:rsid w:val="004C70E1"/>
    <w:rsid w:val="004C764E"/>
    <w:rsid w:val="004C7A2B"/>
    <w:rsid w:val="004C7D3A"/>
    <w:rsid w:val="004D167D"/>
    <w:rsid w:val="004D4777"/>
    <w:rsid w:val="004D503D"/>
    <w:rsid w:val="004D57EB"/>
    <w:rsid w:val="004D5F99"/>
    <w:rsid w:val="004E0B48"/>
    <w:rsid w:val="004E3642"/>
    <w:rsid w:val="004E37E4"/>
    <w:rsid w:val="004E3EDF"/>
    <w:rsid w:val="004E4417"/>
    <w:rsid w:val="004E63EB"/>
    <w:rsid w:val="004E6FEB"/>
    <w:rsid w:val="004F0559"/>
    <w:rsid w:val="004F198F"/>
    <w:rsid w:val="004F1D17"/>
    <w:rsid w:val="004F2507"/>
    <w:rsid w:val="004F3348"/>
    <w:rsid w:val="004F4C3E"/>
    <w:rsid w:val="004F50BB"/>
    <w:rsid w:val="004F5B3C"/>
    <w:rsid w:val="004F6B04"/>
    <w:rsid w:val="004F77E1"/>
    <w:rsid w:val="005015BB"/>
    <w:rsid w:val="00501613"/>
    <w:rsid w:val="005018A8"/>
    <w:rsid w:val="00502365"/>
    <w:rsid w:val="005040A3"/>
    <w:rsid w:val="0050441A"/>
    <w:rsid w:val="00504DE9"/>
    <w:rsid w:val="00505A39"/>
    <w:rsid w:val="005064E8"/>
    <w:rsid w:val="0050691B"/>
    <w:rsid w:val="005069C9"/>
    <w:rsid w:val="00506EB8"/>
    <w:rsid w:val="00506FA4"/>
    <w:rsid w:val="00510448"/>
    <w:rsid w:val="005104D0"/>
    <w:rsid w:val="00513C25"/>
    <w:rsid w:val="005153A2"/>
    <w:rsid w:val="00520679"/>
    <w:rsid w:val="00520D48"/>
    <w:rsid w:val="005211B7"/>
    <w:rsid w:val="00521D02"/>
    <w:rsid w:val="00522B38"/>
    <w:rsid w:val="0052391A"/>
    <w:rsid w:val="005240BF"/>
    <w:rsid w:val="0052431B"/>
    <w:rsid w:val="00525596"/>
    <w:rsid w:val="00525C63"/>
    <w:rsid w:val="00526072"/>
    <w:rsid w:val="005262D2"/>
    <w:rsid w:val="00526D43"/>
    <w:rsid w:val="00527945"/>
    <w:rsid w:val="0053101E"/>
    <w:rsid w:val="0053122B"/>
    <w:rsid w:val="00531CCD"/>
    <w:rsid w:val="0053304E"/>
    <w:rsid w:val="005333B6"/>
    <w:rsid w:val="005337BD"/>
    <w:rsid w:val="0054157D"/>
    <w:rsid w:val="00541B12"/>
    <w:rsid w:val="00546E6F"/>
    <w:rsid w:val="00550856"/>
    <w:rsid w:val="00551CD0"/>
    <w:rsid w:val="00553650"/>
    <w:rsid w:val="00556F36"/>
    <w:rsid w:val="00557C0E"/>
    <w:rsid w:val="00560451"/>
    <w:rsid w:val="00560616"/>
    <w:rsid w:val="005636A9"/>
    <w:rsid w:val="005638A5"/>
    <w:rsid w:val="00563F34"/>
    <w:rsid w:val="0056445E"/>
    <w:rsid w:val="00566969"/>
    <w:rsid w:val="00566BE6"/>
    <w:rsid w:val="00571396"/>
    <w:rsid w:val="00572D78"/>
    <w:rsid w:val="00573665"/>
    <w:rsid w:val="0057674C"/>
    <w:rsid w:val="00577524"/>
    <w:rsid w:val="005813DF"/>
    <w:rsid w:val="00581D61"/>
    <w:rsid w:val="0058368F"/>
    <w:rsid w:val="00583CE6"/>
    <w:rsid w:val="00584120"/>
    <w:rsid w:val="00585390"/>
    <w:rsid w:val="00586D54"/>
    <w:rsid w:val="00590609"/>
    <w:rsid w:val="00591AD1"/>
    <w:rsid w:val="00593641"/>
    <w:rsid w:val="005939A5"/>
    <w:rsid w:val="00596E6F"/>
    <w:rsid w:val="005A0961"/>
    <w:rsid w:val="005A148C"/>
    <w:rsid w:val="005A2BF0"/>
    <w:rsid w:val="005A6C0C"/>
    <w:rsid w:val="005A6F25"/>
    <w:rsid w:val="005A728E"/>
    <w:rsid w:val="005B04E3"/>
    <w:rsid w:val="005B0EA7"/>
    <w:rsid w:val="005B2E26"/>
    <w:rsid w:val="005B4E7D"/>
    <w:rsid w:val="005B5D59"/>
    <w:rsid w:val="005B6B7E"/>
    <w:rsid w:val="005C021F"/>
    <w:rsid w:val="005C1819"/>
    <w:rsid w:val="005C3EEE"/>
    <w:rsid w:val="005C452B"/>
    <w:rsid w:val="005C58FA"/>
    <w:rsid w:val="005C5A39"/>
    <w:rsid w:val="005C6BCB"/>
    <w:rsid w:val="005C7AF4"/>
    <w:rsid w:val="005D19AA"/>
    <w:rsid w:val="005D26A3"/>
    <w:rsid w:val="005D2E13"/>
    <w:rsid w:val="005D38AC"/>
    <w:rsid w:val="005D4088"/>
    <w:rsid w:val="005D6FB0"/>
    <w:rsid w:val="005D7854"/>
    <w:rsid w:val="005E02A0"/>
    <w:rsid w:val="005E1D1F"/>
    <w:rsid w:val="005E223B"/>
    <w:rsid w:val="005E297D"/>
    <w:rsid w:val="005E4C4E"/>
    <w:rsid w:val="005E6AAB"/>
    <w:rsid w:val="005E7D3E"/>
    <w:rsid w:val="005E7E1B"/>
    <w:rsid w:val="005F00A9"/>
    <w:rsid w:val="005F026F"/>
    <w:rsid w:val="005F0DE3"/>
    <w:rsid w:val="005F1F11"/>
    <w:rsid w:val="005F2B7E"/>
    <w:rsid w:val="005F2E55"/>
    <w:rsid w:val="005F3003"/>
    <w:rsid w:val="005F325C"/>
    <w:rsid w:val="005F3647"/>
    <w:rsid w:val="005F4B3E"/>
    <w:rsid w:val="005F5D1E"/>
    <w:rsid w:val="005F60B2"/>
    <w:rsid w:val="005F6C25"/>
    <w:rsid w:val="005F7F2E"/>
    <w:rsid w:val="0060226F"/>
    <w:rsid w:val="00603238"/>
    <w:rsid w:val="00604045"/>
    <w:rsid w:val="00604F18"/>
    <w:rsid w:val="00605D33"/>
    <w:rsid w:val="00606304"/>
    <w:rsid w:val="00606765"/>
    <w:rsid w:val="0060710B"/>
    <w:rsid w:val="00613C77"/>
    <w:rsid w:val="0061424F"/>
    <w:rsid w:val="0061512A"/>
    <w:rsid w:val="006159F0"/>
    <w:rsid w:val="006174E9"/>
    <w:rsid w:val="00621103"/>
    <w:rsid w:val="0062134C"/>
    <w:rsid w:val="0062233F"/>
    <w:rsid w:val="006225A4"/>
    <w:rsid w:val="006234C8"/>
    <w:rsid w:val="006244E4"/>
    <w:rsid w:val="006263DD"/>
    <w:rsid w:val="00626A52"/>
    <w:rsid w:val="00626F82"/>
    <w:rsid w:val="00630D57"/>
    <w:rsid w:val="00630E4D"/>
    <w:rsid w:val="006314E5"/>
    <w:rsid w:val="00632207"/>
    <w:rsid w:val="00634081"/>
    <w:rsid w:val="0063491C"/>
    <w:rsid w:val="006369E7"/>
    <w:rsid w:val="0063745E"/>
    <w:rsid w:val="0063754A"/>
    <w:rsid w:val="00641A5C"/>
    <w:rsid w:val="00644785"/>
    <w:rsid w:val="0064563F"/>
    <w:rsid w:val="00646358"/>
    <w:rsid w:val="0064705B"/>
    <w:rsid w:val="006505D7"/>
    <w:rsid w:val="00650E14"/>
    <w:rsid w:val="0065387C"/>
    <w:rsid w:val="00654D9D"/>
    <w:rsid w:val="00655543"/>
    <w:rsid w:val="006563E2"/>
    <w:rsid w:val="00660F0D"/>
    <w:rsid w:val="00661AFE"/>
    <w:rsid w:val="00662379"/>
    <w:rsid w:val="006636F9"/>
    <w:rsid w:val="006640E0"/>
    <w:rsid w:val="0066467A"/>
    <w:rsid w:val="006646D1"/>
    <w:rsid w:val="00664769"/>
    <w:rsid w:val="006661FA"/>
    <w:rsid w:val="006712A1"/>
    <w:rsid w:val="00671D33"/>
    <w:rsid w:val="006729EE"/>
    <w:rsid w:val="00672A5B"/>
    <w:rsid w:val="00672EDD"/>
    <w:rsid w:val="0067411F"/>
    <w:rsid w:val="00680F19"/>
    <w:rsid w:val="00682336"/>
    <w:rsid w:val="0068344C"/>
    <w:rsid w:val="00683B2C"/>
    <w:rsid w:val="0068408E"/>
    <w:rsid w:val="00684968"/>
    <w:rsid w:val="0068684C"/>
    <w:rsid w:val="0068753F"/>
    <w:rsid w:val="00687C9A"/>
    <w:rsid w:val="00691184"/>
    <w:rsid w:val="00691BB1"/>
    <w:rsid w:val="0069205F"/>
    <w:rsid w:val="00695808"/>
    <w:rsid w:val="00697BB8"/>
    <w:rsid w:val="006A23BB"/>
    <w:rsid w:val="006A39FF"/>
    <w:rsid w:val="006A4600"/>
    <w:rsid w:val="006A4BFD"/>
    <w:rsid w:val="006A5C32"/>
    <w:rsid w:val="006A68E8"/>
    <w:rsid w:val="006A7757"/>
    <w:rsid w:val="006B3251"/>
    <w:rsid w:val="006B5882"/>
    <w:rsid w:val="006B6374"/>
    <w:rsid w:val="006C1F10"/>
    <w:rsid w:val="006C2C7F"/>
    <w:rsid w:val="006C4163"/>
    <w:rsid w:val="006C6DEA"/>
    <w:rsid w:val="006C6F16"/>
    <w:rsid w:val="006D1AC3"/>
    <w:rsid w:val="006D26D1"/>
    <w:rsid w:val="006D62D1"/>
    <w:rsid w:val="006E001C"/>
    <w:rsid w:val="006E2B6A"/>
    <w:rsid w:val="006E47F8"/>
    <w:rsid w:val="006E561D"/>
    <w:rsid w:val="006E5E28"/>
    <w:rsid w:val="006E6574"/>
    <w:rsid w:val="006E7655"/>
    <w:rsid w:val="006E7BEE"/>
    <w:rsid w:val="006F15AC"/>
    <w:rsid w:val="006F166E"/>
    <w:rsid w:val="006F1A4A"/>
    <w:rsid w:val="006F64F4"/>
    <w:rsid w:val="006F7586"/>
    <w:rsid w:val="0070160D"/>
    <w:rsid w:val="00702524"/>
    <w:rsid w:val="00707511"/>
    <w:rsid w:val="00710820"/>
    <w:rsid w:val="00710C9B"/>
    <w:rsid w:val="007130CD"/>
    <w:rsid w:val="007138FE"/>
    <w:rsid w:val="00713D73"/>
    <w:rsid w:val="0071476C"/>
    <w:rsid w:val="00714CF2"/>
    <w:rsid w:val="007156B9"/>
    <w:rsid w:val="00715C2E"/>
    <w:rsid w:val="00720817"/>
    <w:rsid w:val="00722850"/>
    <w:rsid w:val="00722ADC"/>
    <w:rsid w:val="00725527"/>
    <w:rsid w:val="0072635C"/>
    <w:rsid w:val="00726751"/>
    <w:rsid w:val="007326BB"/>
    <w:rsid w:val="0073353F"/>
    <w:rsid w:val="0073461C"/>
    <w:rsid w:val="00735057"/>
    <w:rsid w:val="00735A91"/>
    <w:rsid w:val="007368EC"/>
    <w:rsid w:val="00736E20"/>
    <w:rsid w:val="00736E57"/>
    <w:rsid w:val="00740C4F"/>
    <w:rsid w:val="00742E45"/>
    <w:rsid w:val="0074311E"/>
    <w:rsid w:val="007443FA"/>
    <w:rsid w:val="007447AF"/>
    <w:rsid w:val="007453BB"/>
    <w:rsid w:val="00747917"/>
    <w:rsid w:val="00747FE9"/>
    <w:rsid w:val="00750816"/>
    <w:rsid w:val="00751504"/>
    <w:rsid w:val="0075169E"/>
    <w:rsid w:val="007516EE"/>
    <w:rsid w:val="00751DE5"/>
    <w:rsid w:val="00752DD5"/>
    <w:rsid w:val="00757395"/>
    <w:rsid w:val="007573C4"/>
    <w:rsid w:val="00757646"/>
    <w:rsid w:val="007576AA"/>
    <w:rsid w:val="00763E95"/>
    <w:rsid w:val="00764F50"/>
    <w:rsid w:val="00765766"/>
    <w:rsid w:val="007657C1"/>
    <w:rsid w:val="00770DBB"/>
    <w:rsid w:val="007710A4"/>
    <w:rsid w:val="00773515"/>
    <w:rsid w:val="00773F58"/>
    <w:rsid w:val="00775EEC"/>
    <w:rsid w:val="0077741C"/>
    <w:rsid w:val="0077755F"/>
    <w:rsid w:val="0078432F"/>
    <w:rsid w:val="00785A09"/>
    <w:rsid w:val="007871C7"/>
    <w:rsid w:val="007903F3"/>
    <w:rsid w:val="007915DC"/>
    <w:rsid w:val="0079380D"/>
    <w:rsid w:val="00793D07"/>
    <w:rsid w:val="00794984"/>
    <w:rsid w:val="00796F22"/>
    <w:rsid w:val="007974D7"/>
    <w:rsid w:val="00797C48"/>
    <w:rsid w:val="00797E2B"/>
    <w:rsid w:val="007A02FF"/>
    <w:rsid w:val="007A0456"/>
    <w:rsid w:val="007A1B9A"/>
    <w:rsid w:val="007A3195"/>
    <w:rsid w:val="007A406D"/>
    <w:rsid w:val="007A43A6"/>
    <w:rsid w:val="007A567B"/>
    <w:rsid w:val="007A62B0"/>
    <w:rsid w:val="007A669A"/>
    <w:rsid w:val="007B36B6"/>
    <w:rsid w:val="007B3811"/>
    <w:rsid w:val="007B3DB0"/>
    <w:rsid w:val="007B3DF3"/>
    <w:rsid w:val="007B4053"/>
    <w:rsid w:val="007B51FD"/>
    <w:rsid w:val="007B653E"/>
    <w:rsid w:val="007B65A5"/>
    <w:rsid w:val="007B7A8F"/>
    <w:rsid w:val="007C030D"/>
    <w:rsid w:val="007C210A"/>
    <w:rsid w:val="007C4405"/>
    <w:rsid w:val="007C461E"/>
    <w:rsid w:val="007C4C30"/>
    <w:rsid w:val="007C5A0C"/>
    <w:rsid w:val="007C7A6F"/>
    <w:rsid w:val="007D11E9"/>
    <w:rsid w:val="007D1B92"/>
    <w:rsid w:val="007D361E"/>
    <w:rsid w:val="007D656A"/>
    <w:rsid w:val="007D7035"/>
    <w:rsid w:val="007D7281"/>
    <w:rsid w:val="007D7747"/>
    <w:rsid w:val="007E0FEE"/>
    <w:rsid w:val="007E10D3"/>
    <w:rsid w:val="007E155C"/>
    <w:rsid w:val="007E337E"/>
    <w:rsid w:val="007E3C99"/>
    <w:rsid w:val="007E431E"/>
    <w:rsid w:val="007E5294"/>
    <w:rsid w:val="007E60A3"/>
    <w:rsid w:val="007F1A54"/>
    <w:rsid w:val="007F2017"/>
    <w:rsid w:val="007F516D"/>
    <w:rsid w:val="007F7EF2"/>
    <w:rsid w:val="00800FFA"/>
    <w:rsid w:val="008033E5"/>
    <w:rsid w:val="0080390E"/>
    <w:rsid w:val="008049E3"/>
    <w:rsid w:val="00804B90"/>
    <w:rsid w:val="00804D14"/>
    <w:rsid w:val="00804F16"/>
    <w:rsid w:val="00805666"/>
    <w:rsid w:val="00806BD6"/>
    <w:rsid w:val="00810BD1"/>
    <w:rsid w:val="008110B0"/>
    <w:rsid w:val="008120EC"/>
    <w:rsid w:val="00815397"/>
    <w:rsid w:val="00815679"/>
    <w:rsid w:val="008159CF"/>
    <w:rsid w:val="00816E05"/>
    <w:rsid w:val="00817BCE"/>
    <w:rsid w:val="00821443"/>
    <w:rsid w:val="00824879"/>
    <w:rsid w:val="008260B0"/>
    <w:rsid w:val="00827AB7"/>
    <w:rsid w:val="00827AEA"/>
    <w:rsid w:val="00831B89"/>
    <w:rsid w:val="00832259"/>
    <w:rsid w:val="008326F3"/>
    <w:rsid w:val="008331DD"/>
    <w:rsid w:val="008339BB"/>
    <w:rsid w:val="00835634"/>
    <w:rsid w:val="00836FB1"/>
    <w:rsid w:val="0083796A"/>
    <w:rsid w:val="00842F25"/>
    <w:rsid w:val="008430BA"/>
    <w:rsid w:val="008463C3"/>
    <w:rsid w:val="00846D34"/>
    <w:rsid w:val="00846F3B"/>
    <w:rsid w:val="00847A41"/>
    <w:rsid w:val="0085093C"/>
    <w:rsid w:val="00851613"/>
    <w:rsid w:val="00852256"/>
    <w:rsid w:val="008546C9"/>
    <w:rsid w:val="00855788"/>
    <w:rsid w:val="00856CA8"/>
    <w:rsid w:val="00856F84"/>
    <w:rsid w:val="00860959"/>
    <w:rsid w:val="00863291"/>
    <w:rsid w:val="008639F0"/>
    <w:rsid w:val="0086419A"/>
    <w:rsid w:val="008652FC"/>
    <w:rsid w:val="0086532B"/>
    <w:rsid w:val="00866211"/>
    <w:rsid w:val="0087023B"/>
    <w:rsid w:val="008758BE"/>
    <w:rsid w:val="00875B87"/>
    <w:rsid w:val="00876366"/>
    <w:rsid w:val="0087663D"/>
    <w:rsid w:val="008767A7"/>
    <w:rsid w:val="00876918"/>
    <w:rsid w:val="00876F70"/>
    <w:rsid w:val="00880709"/>
    <w:rsid w:val="008820DF"/>
    <w:rsid w:val="0088228C"/>
    <w:rsid w:val="008836BC"/>
    <w:rsid w:val="008855DE"/>
    <w:rsid w:val="00887D85"/>
    <w:rsid w:val="008906F1"/>
    <w:rsid w:val="00890B01"/>
    <w:rsid w:val="00891131"/>
    <w:rsid w:val="00891CE1"/>
    <w:rsid w:val="00892174"/>
    <w:rsid w:val="0089261C"/>
    <w:rsid w:val="00892F36"/>
    <w:rsid w:val="008938A6"/>
    <w:rsid w:val="00895ABE"/>
    <w:rsid w:val="00895F17"/>
    <w:rsid w:val="00896C89"/>
    <w:rsid w:val="008A08BF"/>
    <w:rsid w:val="008A0F62"/>
    <w:rsid w:val="008A179F"/>
    <w:rsid w:val="008A36E0"/>
    <w:rsid w:val="008A4B3F"/>
    <w:rsid w:val="008A595C"/>
    <w:rsid w:val="008A6221"/>
    <w:rsid w:val="008A73F1"/>
    <w:rsid w:val="008A7776"/>
    <w:rsid w:val="008B04E0"/>
    <w:rsid w:val="008B080E"/>
    <w:rsid w:val="008B0864"/>
    <w:rsid w:val="008B0A32"/>
    <w:rsid w:val="008B175A"/>
    <w:rsid w:val="008B1EA9"/>
    <w:rsid w:val="008B28E2"/>
    <w:rsid w:val="008B4EF5"/>
    <w:rsid w:val="008B5E0D"/>
    <w:rsid w:val="008B7614"/>
    <w:rsid w:val="008C159D"/>
    <w:rsid w:val="008C2209"/>
    <w:rsid w:val="008C33F6"/>
    <w:rsid w:val="008C3CB7"/>
    <w:rsid w:val="008C42DB"/>
    <w:rsid w:val="008C42FB"/>
    <w:rsid w:val="008C5CFB"/>
    <w:rsid w:val="008C7413"/>
    <w:rsid w:val="008C7FDC"/>
    <w:rsid w:val="008D1483"/>
    <w:rsid w:val="008D16B7"/>
    <w:rsid w:val="008D3523"/>
    <w:rsid w:val="008D5E2D"/>
    <w:rsid w:val="008D6E43"/>
    <w:rsid w:val="008D75B9"/>
    <w:rsid w:val="008D7A45"/>
    <w:rsid w:val="008E0084"/>
    <w:rsid w:val="008E0153"/>
    <w:rsid w:val="008E1DFD"/>
    <w:rsid w:val="008E2435"/>
    <w:rsid w:val="008E26C2"/>
    <w:rsid w:val="008E2EEA"/>
    <w:rsid w:val="008E4EAC"/>
    <w:rsid w:val="008E5BAD"/>
    <w:rsid w:val="008E6AE6"/>
    <w:rsid w:val="008E6C05"/>
    <w:rsid w:val="008E74D0"/>
    <w:rsid w:val="008F0116"/>
    <w:rsid w:val="008F1435"/>
    <w:rsid w:val="008F143D"/>
    <w:rsid w:val="008F3308"/>
    <w:rsid w:val="008F3C15"/>
    <w:rsid w:val="008F43E7"/>
    <w:rsid w:val="008F4785"/>
    <w:rsid w:val="008F55E9"/>
    <w:rsid w:val="00900F38"/>
    <w:rsid w:val="009012EF"/>
    <w:rsid w:val="00901EED"/>
    <w:rsid w:val="00902384"/>
    <w:rsid w:val="00902669"/>
    <w:rsid w:val="00910707"/>
    <w:rsid w:val="00910C35"/>
    <w:rsid w:val="0091503D"/>
    <w:rsid w:val="00916EF0"/>
    <w:rsid w:val="00917051"/>
    <w:rsid w:val="00917C0F"/>
    <w:rsid w:val="009206DD"/>
    <w:rsid w:val="00921E7E"/>
    <w:rsid w:val="009231C2"/>
    <w:rsid w:val="0092337E"/>
    <w:rsid w:val="00925409"/>
    <w:rsid w:val="00931AC6"/>
    <w:rsid w:val="00931BD8"/>
    <w:rsid w:val="00931EFB"/>
    <w:rsid w:val="00932865"/>
    <w:rsid w:val="0093359B"/>
    <w:rsid w:val="0093480E"/>
    <w:rsid w:val="00935087"/>
    <w:rsid w:val="00935E4C"/>
    <w:rsid w:val="00936501"/>
    <w:rsid w:val="009404F2"/>
    <w:rsid w:val="00940598"/>
    <w:rsid w:val="00940CCD"/>
    <w:rsid w:val="00942D03"/>
    <w:rsid w:val="00944EA4"/>
    <w:rsid w:val="00946550"/>
    <w:rsid w:val="00947303"/>
    <w:rsid w:val="00950DD6"/>
    <w:rsid w:val="00953591"/>
    <w:rsid w:val="009552D0"/>
    <w:rsid w:val="00955F6A"/>
    <w:rsid w:val="009579E3"/>
    <w:rsid w:val="00957AD2"/>
    <w:rsid w:val="00960CB2"/>
    <w:rsid w:val="00960FCB"/>
    <w:rsid w:val="00962667"/>
    <w:rsid w:val="00962EBE"/>
    <w:rsid w:val="00966374"/>
    <w:rsid w:val="009704B8"/>
    <w:rsid w:val="00970939"/>
    <w:rsid w:val="009710DA"/>
    <w:rsid w:val="0097171F"/>
    <w:rsid w:val="00973F8C"/>
    <w:rsid w:val="0097436C"/>
    <w:rsid w:val="00974E7C"/>
    <w:rsid w:val="00975701"/>
    <w:rsid w:val="00975D09"/>
    <w:rsid w:val="009766C6"/>
    <w:rsid w:val="00976C7F"/>
    <w:rsid w:val="0098138E"/>
    <w:rsid w:val="00981B87"/>
    <w:rsid w:val="00981CCF"/>
    <w:rsid w:val="00983D2E"/>
    <w:rsid w:val="0098559E"/>
    <w:rsid w:val="009857A5"/>
    <w:rsid w:val="00985A2C"/>
    <w:rsid w:val="0098655A"/>
    <w:rsid w:val="00987A4D"/>
    <w:rsid w:val="009914D7"/>
    <w:rsid w:val="00992F4F"/>
    <w:rsid w:val="00993CC6"/>
    <w:rsid w:val="00995D95"/>
    <w:rsid w:val="009A02CE"/>
    <w:rsid w:val="009A16ED"/>
    <w:rsid w:val="009A3B82"/>
    <w:rsid w:val="009A68F7"/>
    <w:rsid w:val="009A6E36"/>
    <w:rsid w:val="009A72CE"/>
    <w:rsid w:val="009A7725"/>
    <w:rsid w:val="009B00F9"/>
    <w:rsid w:val="009B1D5F"/>
    <w:rsid w:val="009B2896"/>
    <w:rsid w:val="009B3FC7"/>
    <w:rsid w:val="009B57F8"/>
    <w:rsid w:val="009B5B67"/>
    <w:rsid w:val="009B5CC1"/>
    <w:rsid w:val="009C0050"/>
    <w:rsid w:val="009C0203"/>
    <w:rsid w:val="009C2E67"/>
    <w:rsid w:val="009C41C5"/>
    <w:rsid w:val="009C445C"/>
    <w:rsid w:val="009C5038"/>
    <w:rsid w:val="009C5F05"/>
    <w:rsid w:val="009C6598"/>
    <w:rsid w:val="009C6B6B"/>
    <w:rsid w:val="009C759D"/>
    <w:rsid w:val="009D1B9B"/>
    <w:rsid w:val="009D33A7"/>
    <w:rsid w:val="009D4315"/>
    <w:rsid w:val="009D444F"/>
    <w:rsid w:val="009D4959"/>
    <w:rsid w:val="009D5877"/>
    <w:rsid w:val="009D58C2"/>
    <w:rsid w:val="009E4A30"/>
    <w:rsid w:val="009E4AAE"/>
    <w:rsid w:val="009E5D91"/>
    <w:rsid w:val="009E6052"/>
    <w:rsid w:val="009E7C7F"/>
    <w:rsid w:val="009F0D36"/>
    <w:rsid w:val="009F0F5B"/>
    <w:rsid w:val="009F15C9"/>
    <w:rsid w:val="009F2D19"/>
    <w:rsid w:val="009F2DD7"/>
    <w:rsid w:val="009F3671"/>
    <w:rsid w:val="009F511C"/>
    <w:rsid w:val="00A01596"/>
    <w:rsid w:val="00A04630"/>
    <w:rsid w:val="00A05F3D"/>
    <w:rsid w:val="00A10240"/>
    <w:rsid w:val="00A124D0"/>
    <w:rsid w:val="00A128FB"/>
    <w:rsid w:val="00A12CA1"/>
    <w:rsid w:val="00A134A2"/>
    <w:rsid w:val="00A13AC0"/>
    <w:rsid w:val="00A14477"/>
    <w:rsid w:val="00A14B64"/>
    <w:rsid w:val="00A15001"/>
    <w:rsid w:val="00A16979"/>
    <w:rsid w:val="00A17CE0"/>
    <w:rsid w:val="00A2147C"/>
    <w:rsid w:val="00A21E14"/>
    <w:rsid w:val="00A22A19"/>
    <w:rsid w:val="00A23D48"/>
    <w:rsid w:val="00A241E6"/>
    <w:rsid w:val="00A25E07"/>
    <w:rsid w:val="00A26191"/>
    <w:rsid w:val="00A26194"/>
    <w:rsid w:val="00A27B6D"/>
    <w:rsid w:val="00A3028D"/>
    <w:rsid w:val="00A325F7"/>
    <w:rsid w:val="00A32633"/>
    <w:rsid w:val="00A338AF"/>
    <w:rsid w:val="00A359D2"/>
    <w:rsid w:val="00A35C00"/>
    <w:rsid w:val="00A3694E"/>
    <w:rsid w:val="00A36C1B"/>
    <w:rsid w:val="00A407F4"/>
    <w:rsid w:val="00A41784"/>
    <w:rsid w:val="00A42306"/>
    <w:rsid w:val="00A43E7D"/>
    <w:rsid w:val="00A44E8D"/>
    <w:rsid w:val="00A451B0"/>
    <w:rsid w:val="00A4526F"/>
    <w:rsid w:val="00A45A12"/>
    <w:rsid w:val="00A46EA8"/>
    <w:rsid w:val="00A46F89"/>
    <w:rsid w:val="00A474CE"/>
    <w:rsid w:val="00A5127A"/>
    <w:rsid w:val="00A55A31"/>
    <w:rsid w:val="00A55ACD"/>
    <w:rsid w:val="00A56031"/>
    <w:rsid w:val="00A5726D"/>
    <w:rsid w:val="00A608F3"/>
    <w:rsid w:val="00A61A6C"/>
    <w:rsid w:val="00A621CE"/>
    <w:rsid w:val="00A623BC"/>
    <w:rsid w:val="00A6375D"/>
    <w:rsid w:val="00A63B9F"/>
    <w:rsid w:val="00A63DBF"/>
    <w:rsid w:val="00A65573"/>
    <w:rsid w:val="00A66146"/>
    <w:rsid w:val="00A70373"/>
    <w:rsid w:val="00A718C1"/>
    <w:rsid w:val="00A7195B"/>
    <w:rsid w:val="00A72BA6"/>
    <w:rsid w:val="00A74E16"/>
    <w:rsid w:val="00A77207"/>
    <w:rsid w:val="00A7742C"/>
    <w:rsid w:val="00A77FDC"/>
    <w:rsid w:val="00A8024B"/>
    <w:rsid w:val="00A80570"/>
    <w:rsid w:val="00A8113B"/>
    <w:rsid w:val="00A8356E"/>
    <w:rsid w:val="00A85129"/>
    <w:rsid w:val="00A85D27"/>
    <w:rsid w:val="00A921FE"/>
    <w:rsid w:val="00A926D9"/>
    <w:rsid w:val="00A92EF8"/>
    <w:rsid w:val="00A96816"/>
    <w:rsid w:val="00A96AAD"/>
    <w:rsid w:val="00AA152A"/>
    <w:rsid w:val="00AA1FD5"/>
    <w:rsid w:val="00AA55BC"/>
    <w:rsid w:val="00AA5E95"/>
    <w:rsid w:val="00AA6D88"/>
    <w:rsid w:val="00AB02C4"/>
    <w:rsid w:val="00AB1418"/>
    <w:rsid w:val="00AB1487"/>
    <w:rsid w:val="00AB47CD"/>
    <w:rsid w:val="00AB7875"/>
    <w:rsid w:val="00AC1B76"/>
    <w:rsid w:val="00AC3164"/>
    <w:rsid w:val="00AC47CA"/>
    <w:rsid w:val="00AC5060"/>
    <w:rsid w:val="00AC5EE9"/>
    <w:rsid w:val="00AC5F33"/>
    <w:rsid w:val="00AC60E7"/>
    <w:rsid w:val="00AC68EE"/>
    <w:rsid w:val="00AC7FB5"/>
    <w:rsid w:val="00AD06A9"/>
    <w:rsid w:val="00AD3EB5"/>
    <w:rsid w:val="00AD6A33"/>
    <w:rsid w:val="00AD7385"/>
    <w:rsid w:val="00AE063F"/>
    <w:rsid w:val="00AE072A"/>
    <w:rsid w:val="00AE4E59"/>
    <w:rsid w:val="00AE5730"/>
    <w:rsid w:val="00AE68A5"/>
    <w:rsid w:val="00AE7017"/>
    <w:rsid w:val="00AF0F40"/>
    <w:rsid w:val="00AF11F7"/>
    <w:rsid w:val="00AF2E12"/>
    <w:rsid w:val="00AF3F8B"/>
    <w:rsid w:val="00AF42C1"/>
    <w:rsid w:val="00AF514A"/>
    <w:rsid w:val="00AF6DAE"/>
    <w:rsid w:val="00AF700D"/>
    <w:rsid w:val="00AF76DE"/>
    <w:rsid w:val="00AF7A30"/>
    <w:rsid w:val="00AF7D2D"/>
    <w:rsid w:val="00B003A7"/>
    <w:rsid w:val="00B00596"/>
    <w:rsid w:val="00B01F7E"/>
    <w:rsid w:val="00B026D1"/>
    <w:rsid w:val="00B029ED"/>
    <w:rsid w:val="00B04219"/>
    <w:rsid w:val="00B052EF"/>
    <w:rsid w:val="00B0545E"/>
    <w:rsid w:val="00B05A06"/>
    <w:rsid w:val="00B06165"/>
    <w:rsid w:val="00B108A1"/>
    <w:rsid w:val="00B10FCC"/>
    <w:rsid w:val="00B1192C"/>
    <w:rsid w:val="00B125A6"/>
    <w:rsid w:val="00B12EE9"/>
    <w:rsid w:val="00B146FC"/>
    <w:rsid w:val="00B16C2A"/>
    <w:rsid w:val="00B17D1C"/>
    <w:rsid w:val="00B20CE4"/>
    <w:rsid w:val="00B21F8C"/>
    <w:rsid w:val="00B223CC"/>
    <w:rsid w:val="00B23EBB"/>
    <w:rsid w:val="00B242FC"/>
    <w:rsid w:val="00B25411"/>
    <w:rsid w:val="00B2558F"/>
    <w:rsid w:val="00B25B70"/>
    <w:rsid w:val="00B271D6"/>
    <w:rsid w:val="00B27D60"/>
    <w:rsid w:val="00B3087D"/>
    <w:rsid w:val="00B30EAA"/>
    <w:rsid w:val="00B33690"/>
    <w:rsid w:val="00B34081"/>
    <w:rsid w:val="00B34794"/>
    <w:rsid w:val="00B34B5C"/>
    <w:rsid w:val="00B3621D"/>
    <w:rsid w:val="00B36FC7"/>
    <w:rsid w:val="00B41F0C"/>
    <w:rsid w:val="00B41F23"/>
    <w:rsid w:val="00B421A8"/>
    <w:rsid w:val="00B4496B"/>
    <w:rsid w:val="00B457D9"/>
    <w:rsid w:val="00B4601D"/>
    <w:rsid w:val="00B50311"/>
    <w:rsid w:val="00B50DF5"/>
    <w:rsid w:val="00B516C5"/>
    <w:rsid w:val="00B520E1"/>
    <w:rsid w:val="00B52EA3"/>
    <w:rsid w:val="00B545CF"/>
    <w:rsid w:val="00B56856"/>
    <w:rsid w:val="00B601D2"/>
    <w:rsid w:val="00B60421"/>
    <w:rsid w:val="00B622EE"/>
    <w:rsid w:val="00B62741"/>
    <w:rsid w:val="00B632C8"/>
    <w:rsid w:val="00B6426B"/>
    <w:rsid w:val="00B65459"/>
    <w:rsid w:val="00B66BB6"/>
    <w:rsid w:val="00B7030A"/>
    <w:rsid w:val="00B7145F"/>
    <w:rsid w:val="00B71B65"/>
    <w:rsid w:val="00B7268B"/>
    <w:rsid w:val="00B73915"/>
    <w:rsid w:val="00B742F8"/>
    <w:rsid w:val="00B80836"/>
    <w:rsid w:val="00B80DCE"/>
    <w:rsid w:val="00B80DEA"/>
    <w:rsid w:val="00B80F80"/>
    <w:rsid w:val="00B81EB6"/>
    <w:rsid w:val="00B83FC7"/>
    <w:rsid w:val="00B84D46"/>
    <w:rsid w:val="00B85483"/>
    <w:rsid w:val="00B85A28"/>
    <w:rsid w:val="00B85AA4"/>
    <w:rsid w:val="00B85E8F"/>
    <w:rsid w:val="00B86458"/>
    <w:rsid w:val="00B86AC7"/>
    <w:rsid w:val="00B86B75"/>
    <w:rsid w:val="00B8744C"/>
    <w:rsid w:val="00B90011"/>
    <w:rsid w:val="00B915E2"/>
    <w:rsid w:val="00B917CB"/>
    <w:rsid w:val="00B9375A"/>
    <w:rsid w:val="00B93A1A"/>
    <w:rsid w:val="00B93C42"/>
    <w:rsid w:val="00B9431C"/>
    <w:rsid w:val="00B9467D"/>
    <w:rsid w:val="00B9495C"/>
    <w:rsid w:val="00B950FC"/>
    <w:rsid w:val="00B9714E"/>
    <w:rsid w:val="00B9729B"/>
    <w:rsid w:val="00BA246B"/>
    <w:rsid w:val="00BA2A5D"/>
    <w:rsid w:val="00BA2DF8"/>
    <w:rsid w:val="00BA3B1A"/>
    <w:rsid w:val="00BA3CFD"/>
    <w:rsid w:val="00BA46AD"/>
    <w:rsid w:val="00BA64F7"/>
    <w:rsid w:val="00BB0243"/>
    <w:rsid w:val="00BB157B"/>
    <w:rsid w:val="00BB51FD"/>
    <w:rsid w:val="00BB5ABC"/>
    <w:rsid w:val="00BB79C5"/>
    <w:rsid w:val="00BC1C22"/>
    <w:rsid w:val="00BC3007"/>
    <w:rsid w:val="00BC3203"/>
    <w:rsid w:val="00BC4520"/>
    <w:rsid w:val="00BC593F"/>
    <w:rsid w:val="00BD09A9"/>
    <w:rsid w:val="00BD0AA0"/>
    <w:rsid w:val="00BD1C8F"/>
    <w:rsid w:val="00BD24E7"/>
    <w:rsid w:val="00BD31E5"/>
    <w:rsid w:val="00BD31EB"/>
    <w:rsid w:val="00BD53A3"/>
    <w:rsid w:val="00BE10E4"/>
    <w:rsid w:val="00BE3CB3"/>
    <w:rsid w:val="00BE5A0D"/>
    <w:rsid w:val="00BE6D53"/>
    <w:rsid w:val="00BE7FCA"/>
    <w:rsid w:val="00BF57DA"/>
    <w:rsid w:val="00BF6333"/>
    <w:rsid w:val="00BF6DBD"/>
    <w:rsid w:val="00BF73C8"/>
    <w:rsid w:val="00C0135A"/>
    <w:rsid w:val="00C0197A"/>
    <w:rsid w:val="00C01C0D"/>
    <w:rsid w:val="00C02DB6"/>
    <w:rsid w:val="00C03155"/>
    <w:rsid w:val="00C06632"/>
    <w:rsid w:val="00C07CBA"/>
    <w:rsid w:val="00C10B5F"/>
    <w:rsid w:val="00C12203"/>
    <w:rsid w:val="00C133CB"/>
    <w:rsid w:val="00C13CBD"/>
    <w:rsid w:val="00C13DC8"/>
    <w:rsid w:val="00C14709"/>
    <w:rsid w:val="00C1609B"/>
    <w:rsid w:val="00C16660"/>
    <w:rsid w:val="00C17E0E"/>
    <w:rsid w:val="00C21E1C"/>
    <w:rsid w:val="00C25485"/>
    <w:rsid w:val="00C2574C"/>
    <w:rsid w:val="00C25A88"/>
    <w:rsid w:val="00C261E4"/>
    <w:rsid w:val="00C30552"/>
    <w:rsid w:val="00C30DF1"/>
    <w:rsid w:val="00C31528"/>
    <w:rsid w:val="00C41073"/>
    <w:rsid w:val="00C427DA"/>
    <w:rsid w:val="00C42C76"/>
    <w:rsid w:val="00C4451E"/>
    <w:rsid w:val="00C44679"/>
    <w:rsid w:val="00C451B2"/>
    <w:rsid w:val="00C46E1D"/>
    <w:rsid w:val="00C46E2A"/>
    <w:rsid w:val="00C475DE"/>
    <w:rsid w:val="00C503F3"/>
    <w:rsid w:val="00C514F9"/>
    <w:rsid w:val="00C52941"/>
    <w:rsid w:val="00C53E61"/>
    <w:rsid w:val="00C54FDC"/>
    <w:rsid w:val="00C629DC"/>
    <w:rsid w:val="00C6353B"/>
    <w:rsid w:val="00C6447A"/>
    <w:rsid w:val="00C676F1"/>
    <w:rsid w:val="00C707B0"/>
    <w:rsid w:val="00C71B64"/>
    <w:rsid w:val="00C7316C"/>
    <w:rsid w:val="00C753F2"/>
    <w:rsid w:val="00C75DB5"/>
    <w:rsid w:val="00C7773C"/>
    <w:rsid w:val="00C823A8"/>
    <w:rsid w:val="00C8368A"/>
    <w:rsid w:val="00C83FD9"/>
    <w:rsid w:val="00C841B9"/>
    <w:rsid w:val="00C845F0"/>
    <w:rsid w:val="00C873E9"/>
    <w:rsid w:val="00C878D5"/>
    <w:rsid w:val="00C9033B"/>
    <w:rsid w:val="00C90475"/>
    <w:rsid w:val="00C913A1"/>
    <w:rsid w:val="00C914B0"/>
    <w:rsid w:val="00C93023"/>
    <w:rsid w:val="00C93474"/>
    <w:rsid w:val="00C93920"/>
    <w:rsid w:val="00C95014"/>
    <w:rsid w:val="00C95EDB"/>
    <w:rsid w:val="00C9655D"/>
    <w:rsid w:val="00CA0506"/>
    <w:rsid w:val="00CA186F"/>
    <w:rsid w:val="00CA6145"/>
    <w:rsid w:val="00CA66BB"/>
    <w:rsid w:val="00CB09FC"/>
    <w:rsid w:val="00CB2267"/>
    <w:rsid w:val="00CB2DCB"/>
    <w:rsid w:val="00CB64AD"/>
    <w:rsid w:val="00CB69F8"/>
    <w:rsid w:val="00CB7C89"/>
    <w:rsid w:val="00CC1964"/>
    <w:rsid w:val="00CC271C"/>
    <w:rsid w:val="00CC36E3"/>
    <w:rsid w:val="00CC5515"/>
    <w:rsid w:val="00CC57BC"/>
    <w:rsid w:val="00CC5D84"/>
    <w:rsid w:val="00CC665A"/>
    <w:rsid w:val="00CC6A99"/>
    <w:rsid w:val="00CC72A1"/>
    <w:rsid w:val="00CD0AC7"/>
    <w:rsid w:val="00CD1D9D"/>
    <w:rsid w:val="00CD2A15"/>
    <w:rsid w:val="00CD54A5"/>
    <w:rsid w:val="00CD588F"/>
    <w:rsid w:val="00CD7088"/>
    <w:rsid w:val="00CD7989"/>
    <w:rsid w:val="00CD7E40"/>
    <w:rsid w:val="00CE373F"/>
    <w:rsid w:val="00CE3D30"/>
    <w:rsid w:val="00CE5B29"/>
    <w:rsid w:val="00CE5BBA"/>
    <w:rsid w:val="00CE6402"/>
    <w:rsid w:val="00CE6A6B"/>
    <w:rsid w:val="00CF106B"/>
    <w:rsid w:val="00CF191A"/>
    <w:rsid w:val="00CF2FE1"/>
    <w:rsid w:val="00CF3139"/>
    <w:rsid w:val="00CF41A5"/>
    <w:rsid w:val="00CF4FE7"/>
    <w:rsid w:val="00CF5234"/>
    <w:rsid w:val="00D00AA3"/>
    <w:rsid w:val="00D01BF5"/>
    <w:rsid w:val="00D02483"/>
    <w:rsid w:val="00D02742"/>
    <w:rsid w:val="00D0433A"/>
    <w:rsid w:val="00D043A8"/>
    <w:rsid w:val="00D0504E"/>
    <w:rsid w:val="00D0528E"/>
    <w:rsid w:val="00D06C4A"/>
    <w:rsid w:val="00D06F9D"/>
    <w:rsid w:val="00D07F73"/>
    <w:rsid w:val="00D10EEC"/>
    <w:rsid w:val="00D12450"/>
    <w:rsid w:val="00D135A4"/>
    <w:rsid w:val="00D13D04"/>
    <w:rsid w:val="00D1459F"/>
    <w:rsid w:val="00D14844"/>
    <w:rsid w:val="00D14D93"/>
    <w:rsid w:val="00D2041C"/>
    <w:rsid w:val="00D2086E"/>
    <w:rsid w:val="00D213B4"/>
    <w:rsid w:val="00D21D6F"/>
    <w:rsid w:val="00D2245D"/>
    <w:rsid w:val="00D2495B"/>
    <w:rsid w:val="00D25787"/>
    <w:rsid w:val="00D25ADE"/>
    <w:rsid w:val="00D25CDB"/>
    <w:rsid w:val="00D33190"/>
    <w:rsid w:val="00D346E7"/>
    <w:rsid w:val="00D37684"/>
    <w:rsid w:val="00D407DF"/>
    <w:rsid w:val="00D41804"/>
    <w:rsid w:val="00D41850"/>
    <w:rsid w:val="00D41F46"/>
    <w:rsid w:val="00D43297"/>
    <w:rsid w:val="00D43343"/>
    <w:rsid w:val="00D43E1C"/>
    <w:rsid w:val="00D44DB6"/>
    <w:rsid w:val="00D45C6A"/>
    <w:rsid w:val="00D47B32"/>
    <w:rsid w:val="00D47C05"/>
    <w:rsid w:val="00D50119"/>
    <w:rsid w:val="00D504EB"/>
    <w:rsid w:val="00D516C9"/>
    <w:rsid w:val="00D51CA7"/>
    <w:rsid w:val="00D52852"/>
    <w:rsid w:val="00D55CD5"/>
    <w:rsid w:val="00D56A42"/>
    <w:rsid w:val="00D62A48"/>
    <w:rsid w:val="00D71ADE"/>
    <w:rsid w:val="00D71EF3"/>
    <w:rsid w:val="00D7280C"/>
    <w:rsid w:val="00D72C43"/>
    <w:rsid w:val="00D7510F"/>
    <w:rsid w:val="00D75189"/>
    <w:rsid w:val="00D759CE"/>
    <w:rsid w:val="00D75DF5"/>
    <w:rsid w:val="00D77778"/>
    <w:rsid w:val="00D77832"/>
    <w:rsid w:val="00D8093F"/>
    <w:rsid w:val="00D8164B"/>
    <w:rsid w:val="00D82A43"/>
    <w:rsid w:val="00D841EB"/>
    <w:rsid w:val="00D84889"/>
    <w:rsid w:val="00D84C9F"/>
    <w:rsid w:val="00D859C2"/>
    <w:rsid w:val="00D87906"/>
    <w:rsid w:val="00D90055"/>
    <w:rsid w:val="00D924D6"/>
    <w:rsid w:val="00D92E6E"/>
    <w:rsid w:val="00D9304C"/>
    <w:rsid w:val="00DA063F"/>
    <w:rsid w:val="00DA0F14"/>
    <w:rsid w:val="00DA2876"/>
    <w:rsid w:val="00DA3228"/>
    <w:rsid w:val="00DA4441"/>
    <w:rsid w:val="00DA4DBE"/>
    <w:rsid w:val="00DA571A"/>
    <w:rsid w:val="00DA575C"/>
    <w:rsid w:val="00DA5DD7"/>
    <w:rsid w:val="00DA61FC"/>
    <w:rsid w:val="00DA7102"/>
    <w:rsid w:val="00DA7B5D"/>
    <w:rsid w:val="00DB2C8F"/>
    <w:rsid w:val="00DB2E1B"/>
    <w:rsid w:val="00DB4601"/>
    <w:rsid w:val="00DB71B7"/>
    <w:rsid w:val="00DB72C6"/>
    <w:rsid w:val="00DC39A9"/>
    <w:rsid w:val="00DC3ADA"/>
    <w:rsid w:val="00DC47B3"/>
    <w:rsid w:val="00DC4F80"/>
    <w:rsid w:val="00DC5C7E"/>
    <w:rsid w:val="00DD06C2"/>
    <w:rsid w:val="00DD07E7"/>
    <w:rsid w:val="00DD0F10"/>
    <w:rsid w:val="00DD1463"/>
    <w:rsid w:val="00DD175B"/>
    <w:rsid w:val="00DD289D"/>
    <w:rsid w:val="00DD3DC4"/>
    <w:rsid w:val="00DD5014"/>
    <w:rsid w:val="00DD52F6"/>
    <w:rsid w:val="00DD5B2A"/>
    <w:rsid w:val="00DD6297"/>
    <w:rsid w:val="00DD6C82"/>
    <w:rsid w:val="00DD6D84"/>
    <w:rsid w:val="00DD7FAA"/>
    <w:rsid w:val="00DE27E8"/>
    <w:rsid w:val="00DE3FE5"/>
    <w:rsid w:val="00DE4281"/>
    <w:rsid w:val="00DE54AF"/>
    <w:rsid w:val="00DE5FB1"/>
    <w:rsid w:val="00DE653D"/>
    <w:rsid w:val="00DE666D"/>
    <w:rsid w:val="00DE6FA8"/>
    <w:rsid w:val="00DF1BA2"/>
    <w:rsid w:val="00DF4A66"/>
    <w:rsid w:val="00DF4EDD"/>
    <w:rsid w:val="00DF5846"/>
    <w:rsid w:val="00DF58E7"/>
    <w:rsid w:val="00DF5D88"/>
    <w:rsid w:val="00DF6D1E"/>
    <w:rsid w:val="00DF7B7A"/>
    <w:rsid w:val="00E04388"/>
    <w:rsid w:val="00E04A95"/>
    <w:rsid w:val="00E0569D"/>
    <w:rsid w:val="00E061F8"/>
    <w:rsid w:val="00E06727"/>
    <w:rsid w:val="00E11876"/>
    <w:rsid w:val="00E1632D"/>
    <w:rsid w:val="00E16467"/>
    <w:rsid w:val="00E176B7"/>
    <w:rsid w:val="00E17EDF"/>
    <w:rsid w:val="00E20DE4"/>
    <w:rsid w:val="00E2156E"/>
    <w:rsid w:val="00E21B09"/>
    <w:rsid w:val="00E22E2C"/>
    <w:rsid w:val="00E230BC"/>
    <w:rsid w:val="00E23300"/>
    <w:rsid w:val="00E23CBB"/>
    <w:rsid w:val="00E243A9"/>
    <w:rsid w:val="00E2540E"/>
    <w:rsid w:val="00E30F01"/>
    <w:rsid w:val="00E31B6D"/>
    <w:rsid w:val="00E33FD3"/>
    <w:rsid w:val="00E3498A"/>
    <w:rsid w:val="00E368A1"/>
    <w:rsid w:val="00E3732E"/>
    <w:rsid w:val="00E37B59"/>
    <w:rsid w:val="00E40E97"/>
    <w:rsid w:val="00E42AF8"/>
    <w:rsid w:val="00E43AAB"/>
    <w:rsid w:val="00E47FF5"/>
    <w:rsid w:val="00E51A66"/>
    <w:rsid w:val="00E52A80"/>
    <w:rsid w:val="00E53438"/>
    <w:rsid w:val="00E54096"/>
    <w:rsid w:val="00E54618"/>
    <w:rsid w:val="00E572E9"/>
    <w:rsid w:val="00E63C5E"/>
    <w:rsid w:val="00E67B1A"/>
    <w:rsid w:val="00E67F44"/>
    <w:rsid w:val="00E725FC"/>
    <w:rsid w:val="00E73057"/>
    <w:rsid w:val="00E7463D"/>
    <w:rsid w:val="00E7511D"/>
    <w:rsid w:val="00E7552E"/>
    <w:rsid w:val="00E75680"/>
    <w:rsid w:val="00E75EDC"/>
    <w:rsid w:val="00E769E0"/>
    <w:rsid w:val="00E76AF7"/>
    <w:rsid w:val="00E80F16"/>
    <w:rsid w:val="00E818F2"/>
    <w:rsid w:val="00E82A6B"/>
    <w:rsid w:val="00E8326A"/>
    <w:rsid w:val="00E83866"/>
    <w:rsid w:val="00E8386F"/>
    <w:rsid w:val="00E84706"/>
    <w:rsid w:val="00E84F8C"/>
    <w:rsid w:val="00E8704E"/>
    <w:rsid w:val="00E93A4E"/>
    <w:rsid w:val="00E944E4"/>
    <w:rsid w:val="00E954CE"/>
    <w:rsid w:val="00E96395"/>
    <w:rsid w:val="00E96AA6"/>
    <w:rsid w:val="00E970FF"/>
    <w:rsid w:val="00EA1B63"/>
    <w:rsid w:val="00EA36C6"/>
    <w:rsid w:val="00EA4D59"/>
    <w:rsid w:val="00EA5AEC"/>
    <w:rsid w:val="00EA7088"/>
    <w:rsid w:val="00EA7BF0"/>
    <w:rsid w:val="00EA7F66"/>
    <w:rsid w:val="00EB3568"/>
    <w:rsid w:val="00EB3D19"/>
    <w:rsid w:val="00EB45DF"/>
    <w:rsid w:val="00EB72D4"/>
    <w:rsid w:val="00EB7EF9"/>
    <w:rsid w:val="00EC08B4"/>
    <w:rsid w:val="00EC2BA3"/>
    <w:rsid w:val="00EC2E02"/>
    <w:rsid w:val="00EC30F9"/>
    <w:rsid w:val="00EC3459"/>
    <w:rsid w:val="00EC3C19"/>
    <w:rsid w:val="00EC497D"/>
    <w:rsid w:val="00EC7A35"/>
    <w:rsid w:val="00EC7AEF"/>
    <w:rsid w:val="00EC7F57"/>
    <w:rsid w:val="00ED011B"/>
    <w:rsid w:val="00ED14C8"/>
    <w:rsid w:val="00ED22BF"/>
    <w:rsid w:val="00ED5359"/>
    <w:rsid w:val="00ED5725"/>
    <w:rsid w:val="00ED7031"/>
    <w:rsid w:val="00ED73EA"/>
    <w:rsid w:val="00ED7FC0"/>
    <w:rsid w:val="00EE23AA"/>
    <w:rsid w:val="00EE23CF"/>
    <w:rsid w:val="00EE3060"/>
    <w:rsid w:val="00EE4315"/>
    <w:rsid w:val="00EE47CD"/>
    <w:rsid w:val="00EE5B26"/>
    <w:rsid w:val="00EE6F7C"/>
    <w:rsid w:val="00EE6FEC"/>
    <w:rsid w:val="00EF13CA"/>
    <w:rsid w:val="00EF256F"/>
    <w:rsid w:val="00EF361F"/>
    <w:rsid w:val="00EF3A5E"/>
    <w:rsid w:val="00EF3E12"/>
    <w:rsid w:val="00EF4557"/>
    <w:rsid w:val="00EF59C3"/>
    <w:rsid w:val="00EF6925"/>
    <w:rsid w:val="00EF75DF"/>
    <w:rsid w:val="00F009D2"/>
    <w:rsid w:val="00F014FF"/>
    <w:rsid w:val="00F015BC"/>
    <w:rsid w:val="00F02966"/>
    <w:rsid w:val="00F0384E"/>
    <w:rsid w:val="00F0446B"/>
    <w:rsid w:val="00F044F2"/>
    <w:rsid w:val="00F05DDA"/>
    <w:rsid w:val="00F0643A"/>
    <w:rsid w:val="00F103BD"/>
    <w:rsid w:val="00F12118"/>
    <w:rsid w:val="00F12D3F"/>
    <w:rsid w:val="00F130DB"/>
    <w:rsid w:val="00F1333C"/>
    <w:rsid w:val="00F144A9"/>
    <w:rsid w:val="00F1679C"/>
    <w:rsid w:val="00F172A1"/>
    <w:rsid w:val="00F1787F"/>
    <w:rsid w:val="00F227CA"/>
    <w:rsid w:val="00F22D23"/>
    <w:rsid w:val="00F23480"/>
    <w:rsid w:val="00F25205"/>
    <w:rsid w:val="00F26A81"/>
    <w:rsid w:val="00F26ED3"/>
    <w:rsid w:val="00F309FE"/>
    <w:rsid w:val="00F30BE7"/>
    <w:rsid w:val="00F3102B"/>
    <w:rsid w:val="00F32156"/>
    <w:rsid w:val="00F32643"/>
    <w:rsid w:val="00F337F9"/>
    <w:rsid w:val="00F34427"/>
    <w:rsid w:val="00F349AF"/>
    <w:rsid w:val="00F34F50"/>
    <w:rsid w:val="00F35793"/>
    <w:rsid w:val="00F41831"/>
    <w:rsid w:val="00F41A3D"/>
    <w:rsid w:val="00F437B9"/>
    <w:rsid w:val="00F437F9"/>
    <w:rsid w:val="00F455DA"/>
    <w:rsid w:val="00F46465"/>
    <w:rsid w:val="00F50A6F"/>
    <w:rsid w:val="00F515E9"/>
    <w:rsid w:val="00F51F1A"/>
    <w:rsid w:val="00F52B08"/>
    <w:rsid w:val="00F54A34"/>
    <w:rsid w:val="00F55859"/>
    <w:rsid w:val="00F57440"/>
    <w:rsid w:val="00F57493"/>
    <w:rsid w:val="00F616AE"/>
    <w:rsid w:val="00F619C9"/>
    <w:rsid w:val="00F6232E"/>
    <w:rsid w:val="00F62B7A"/>
    <w:rsid w:val="00F62F5C"/>
    <w:rsid w:val="00F6397D"/>
    <w:rsid w:val="00F65C40"/>
    <w:rsid w:val="00F66FF2"/>
    <w:rsid w:val="00F67803"/>
    <w:rsid w:val="00F7293E"/>
    <w:rsid w:val="00F7467F"/>
    <w:rsid w:val="00F76228"/>
    <w:rsid w:val="00F76650"/>
    <w:rsid w:val="00F7697B"/>
    <w:rsid w:val="00F76E06"/>
    <w:rsid w:val="00F77D20"/>
    <w:rsid w:val="00F8200F"/>
    <w:rsid w:val="00F8555E"/>
    <w:rsid w:val="00F85D72"/>
    <w:rsid w:val="00F863CF"/>
    <w:rsid w:val="00F8655F"/>
    <w:rsid w:val="00F8699E"/>
    <w:rsid w:val="00F9187B"/>
    <w:rsid w:val="00F92103"/>
    <w:rsid w:val="00F92385"/>
    <w:rsid w:val="00F9494C"/>
    <w:rsid w:val="00F96FCF"/>
    <w:rsid w:val="00FA019E"/>
    <w:rsid w:val="00FA1B4F"/>
    <w:rsid w:val="00FA24ED"/>
    <w:rsid w:val="00FA3AD8"/>
    <w:rsid w:val="00FA4E8B"/>
    <w:rsid w:val="00FA7311"/>
    <w:rsid w:val="00FA7381"/>
    <w:rsid w:val="00FA7B0F"/>
    <w:rsid w:val="00FB1E9F"/>
    <w:rsid w:val="00FB322F"/>
    <w:rsid w:val="00FB422E"/>
    <w:rsid w:val="00FB5065"/>
    <w:rsid w:val="00FB53E2"/>
    <w:rsid w:val="00FB5895"/>
    <w:rsid w:val="00FB6E18"/>
    <w:rsid w:val="00FB7A4D"/>
    <w:rsid w:val="00FC2A2F"/>
    <w:rsid w:val="00FC47F9"/>
    <w:rsid w:val="00FC7DF5"/>
    <w:rsid w:val="00FD039A"/>
    <w:rsid w:val="00FD2BB6"/>
    <w:rsid w:val="00FD3479"/>
    <w:rsid w:val="00FD5100"/>
    <w:rsid w:val="00FD65F5"/>
    <w:rsid w:val="00FE04EB"/>
    <w:rsid w:val="00FE11AD"/>
    <w:rsid w:val="00FE2351"/>
    <w:rsid w:val="00FE289D"/>
    <w:rsid w:val="00FE28E4"/>
    <w:rsid w:val="00FE2DB1"/>
    <w:rsid w:val="00FE337D"/>
    <w:rsid w:val="00FE4B30"/>
    <w:rsid w:val="00FE5580"/>
    <w:rsid w:val="00FE6F85"/>
    <w:rsid w:val="00FF110C"/>
    <w:rsid w:val="00FF22F0"/>
    <w:rsid w:val="00FF4C96"/>
    <w:rsid w:val="0174A618"/>
    <w:rsid w:val="050D52EE"/>
    <w:rsid w:val="0C2C653D"/>
    <w:rsid w:val="0D2AF976"/>
    <w:rsid w:val="0D75D27F"/>
    <w:rsid w:val="11FFDD54"/>
    <w:rsid w:val="1934B160"/>
    <w:rsid w:val="1962A9EF"/>
    <w:rsid w:val="1AF4260E"/>
    <w:rsid w:val="1F3A0072"/>
    <w:rsid w:val="2094E2D0"/>
    <w:rsid w:val="224F5517"/>
    <w:rsid w:val="225D2D36"/>
    <w:rsid w:val="29A4E82C"/>
    <w:rsid w:val="2B781028"/>
    <w:rsid w:val="2E9C483A"/>
    <w:rsid w:val="32630BBA"/>
    <w:rsid w:val="32B51FED"/>
    <w:rsid w:val="3612280A"/>
    <w:rsid w:val="36EABE0C"/>
    <w:rsid w:val="38EC9271"/>
    <w:rsid w:val="39E9E8A9"/>
    <w:rsid w:val="41480510"/>
    <w:rsid w:val="4CB99B95"/>
    <w:rsid w:val="53776CFE"/>
    <w:rsid w:val="5502C90A"/>
    <w:rsid w:val="604C7AF1"/>
    <w:rsid w:val="63889EA2"/>
    <w:rsid w:val="67711E6C"/>
    <w:rsid w:val="68EC75B2"/>
    <w:rsid w:val="698D1C2B"/>
    <w:rsid w:val="698EFF94"/>
    <w:rsid w:val="6B684CB9"/>
    <w:rsid w:val="6BE0F4CB"/>
    <w:rsid w:val="710CE9AE"/>
    <w:rsid w:val="76428E8F"/>
    <w:rsid w:val="774DA5D3"/>
    <w:rsid w:val="7E54F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9E152"/>
  <w15:chartTrackingRefBased/>
  <w15:docId w15:val="{E896944B-6EE5-4E9F-B73C-0DCACB8C3A8F}"/>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ind w:left="720" w:right="2160" w:hanging="720"/>
    </w:pPr>
    <w:rPr>
      <w:rFonts w:eastAsiaTheme="majorEastAsia" w:cstheme="majorBidi"/>
      <w:szCs w:val="32"/>
    </w:rPr>
  </w:style>
  <w:style w:type="paragraph" w:styleId="Heading2">
    <w:name w:val="heading 2"/>
    <w:basedOn w:val="Dummy"/>
    <w:next w:val="Standard"/>
    <w:link w:val="Heading2Char"/>
    <w:uiPriority w:val="4"/>
    <w:qFormat/>
    <w:rsid w:val="000E270A"/>
    <w:pPr>
      <w:tabs>
        <w:tab w:val="num" w:pos="1080"/>
      </w:tabs>
      <w:ind w:left="1080" w:right="2160" w:hanging="720"/>
      <w:outlineLvl w:val="1"/>
    </w:pPr>
  </w:style>
  <w:style w:type="paragraph" w:styleId="Heading3">
    <w:name w:val="heading 3"/>
    <w:basedOn w:val="Dummy"/>
    <w:next w:val="Standard"/>
    <w:link w:val="Heading3Char"/>
    <w:uiPriority w:val="4"/>
    <w:qFormat/>
    <w:rsid w:val="000E270A"/>
    <w:pPr>
      <w:tabs>
        <w:tab w:val="num" w:pos="1656"/>
      </w:tabs>
      <w:ind w:left="1656" w:right="2160" w:hanging="936"/>
      <w:outlineLvl w:val="2"/>
    </w:pPr>
    <w:rPr>
      <w:rFonts w:eastAsiaTheme="majorEastAsia" w:cstheme="majorBidi"/>
      <w:szCs w:val="24"/>
    </w:rPr>
  </w:style>
  <w:style w:type="paragraph" w:styleId="Heading4">
    <w:name w:val="heading 4"/>
    <w:basedOn w:val="Dummy"/>
    <w:next w:val="Standard"/>
    <w:link w:val="Heading4Char"/>
    <w:uiPriority w:val="4"/>
    <w:rsid w:val="000E270A"/>
    <w:pPr>
      <w:tabs>
        <w:tab w:val="num" w:pos="2232"/>
      </w:tabs>
      <w:ind w:left="2232" w:right="2160" w:hanging="1152"/>
      <w:outlineLvl w:val="3"/>
    </w:pPr>
    <w:rPr>
      <w:rFonts w:eastAsiaTheme="majorEastAsia" w:cstheme="majorBidi"/>
      <w:iCs/>
    </w:rPr>
  </w:style>
  <w:style w:type="paragraph" w:styleId="Heading5">
    <w:name w:val="heading 5"/>
    <w:basedOn w:val="Dummy"/>
    <w:next w:val="Standard"/>
    <w:link w:val="Heading5Char"/>
    <w:uiPriority w:val="4"/>
    <w:rsid w:val="000E270A"/>
    <w:pPr>
      <w:tabs>
        <w:tab w:val="num" w:pos="2880"/>
      </w:tabs>
      <w:ind w:left="2880" w:right="2160" w:hanging="1440"/>
      <w:outlineLvl w:val="4"/>
    </w:pPr>
    <w:rPr>
      <w:rFonts w:eastAsiaTheme="majorEastAsia" w:cstheme="majorBidi"/>
    </w:rPr>
  </w:style>
  <w:style w:type="paragraph" w:styleId="Heading6">
    <w:name w:val="heading 6"/>
    <w:basedOn w:val="Dummy"/>
    <w:next w:val="Standard"/>
    <w:link w:val="Heading6Char"/>
    <w:uiPriority w:val="4"/>
    <w:rsid w:val="000E270A"/>
    <w:pPr>
      <w:tabs>
        <w:tab w:val="num" w:pos="3528"/>
      </w:tabs>
      <w:spacing w:before="40"/>
      <w:ind w:left="3528" w:right="2160" w:hanging="1728"/>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pPr>
  </w:style>
  <w:style w:type="paragraph" w:customStyle="1" w:styleId="CoL">
    <w:name w:val="CoL"/>
    <w:basedOn w:val="Standard"/>
    <w:uiPriority w:val="7"/>
    <w:qFormat/>
    <w:rsid w:val="001E2A62"/>
    <w:pPr>
      <w:numPr>
        <w:numId w:val="4"/>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ind w:firstLine="0"/>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spacing w:after="120" w:line="240" w:lineRule="auto"/>
      <w:ind w:left="1080" w:hanging="360"/>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tabs>
        <w:tab w:val="num" w:pos="1080"/>
      </w:tabs>
      <w:spacing w:after="120" w:line="240" w:lineRule="auto"/>
      <w:ind w:left="1080" w:hanging="360"/>
    </w:pPr>
  </w:style>
  <w:style w:type="character" w:styleId="CommentReference">
    <w:name w:val="annotation reference"/>
    <w:basedOn w:val="DefaultParagraphFont"/>
    <w:uiPriority w:val="99"/>
    <w:semiHidden/>
    <w:unhideWhenUsed/>
    <w:rsid w:val="00DE653D"/>
    <w:rPr>
      <w:sz w:val="16"/>
      <w:szCs w:val="16"/>
    </w:rPr>
  </w:style>
  <w:style w:type="paragraph" w:styleId="CommentText">
    <w:name w:val="annotation text"/>
    <w:basedOn w:val="Normal"/>
    <w:link w:val="CommentTextChar"/>
    <w:uiPriority w:val="99"/>
    <w:unhideWhenUsed/>
    <w:rsid w:val="00DE653D"/>
    <w:pPr>
      <w:spacing w:line="240" w:lineRule="auto"/>
    </w:pPr>
    <w:rPr>
      <w:sz w:val="20"/>
      <w:szCs w:val="20"/>
    </w:rPr>
  </w:style>
  <w:style w:type="character" w:customStyle="1" w:styleId="CommentTextChar">
    <w:name w:val="Comment Text Char"/>
    <w:basedOn w:val="DefaultParagraphFont"/>
    <w:link w:val="CommentText"/>
    <w:uiPriority w:val="99"/>
    <w:rsid w:val="00DE653D"/>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DE653D"/>
    <w:rPr>
      <w:b/>
      <w:bCs/>
    </w:rPr>
  </w:style>
  <w:style w:type="character" w:customStyle="1" w:styleId="CommentSubjectChar">
    <w:name w:val="Comment Subject Char"/>
    <w:basedOn w:val="CommentTextChar"/>
    <w:link w:val="CommentSubject"/>
    <w:uiPriority w:val="99"/>
    <w:semiHidden/>
    <w:rsid w:val="00DE653D"/>
    <w:rPr>
      <w:rFonts w:ascii="Book Antiqua" w:hAnsi="Book Antiqua"/>
      <w:b/>
      <w:bCs/>
      <w:sz w:val="20"/>
      <w:szCs w:val="20"/>
    </w:rPr>
  </w:style>
  <w:style w:type="character" w:styleId="UnresolvedMention">
    <w:name w:val="Unresolved Mention"/>
    <w:basedOn w:val="DefaultParagraphFont"/>
    <w:uiPriority w:val="99"/>
    <w:semiHidden/>
    <w:unhideWhenUsed/>
    <w:rsid w:val="000F05FC"/>
    <w:rPr>
      <w:color w:val="605E5C"/>
      <w:shd w:val="clear" w:color="auto" w:fill="E1DFDD"/>
    </w:rPr>
  </w:style>
  <w:style w:type="character" w:styleId="PlaceholderText">
    <w:name w:val="Placeholder Text"/>
    <w:basedOn w:val="DefaultParagraphFont"/>
    <w:uiPriority w:val="99"/>
    <w:semiHidden/>
    <w:rsid w:val="00EC08B4"/>
    <w:rPr>
      <w:color w:val="666666"/>
    </w:rPr>
  </w:style>
  <w:style w:type="paragraph" w:styleId="ListParagraph">
    <w:name w:val="List Paragraph"/>
    <w:basedOn w:val="Normal"/>
    <w:uiPriority w:val="34"/>
    <w:qFormat/>
    <w:rsid w:val="00C52941"/>
    <w:pPr>
      <w:spacing w:after="160" w:line="259" w:lineRule="auto"/>
      <w:ind w:left="720" w:firstLine="0"/>
      <w:contextualSpacing/>
    </w:pPr>
    <w:rPr>
      <w:rFonts w:asciiTheme="minorHAnsi" w:hAnsiTheme="minorHAnsi"/>
      <w:sz w:val="22"/>
    </w:rPr>
  </w:style>
  <w:style w:type="character" w:styleId="Mention">
    <w:name w:val="Mention"/>
    <w:basedOn w:val="DefaultParagraphFont"/>
    <w:uiPriority w:val="99"/>
    <w:unhideWhenUsed/>
    <w:rsid w:val="006369E7"/>
    <w:rPr>
      <w:color w:val="2B579A"/>
      <w:shd w:val="clear" w:color="auto" w:fill="E1DFDD"/>
    </w:rPr>
  </w:style>
  <w:style w:type="paragraph" w:styleId="Revision">
    <w:name w:val="Revision"/>
    <w:hidden/>
    <w:uiPriority w:val="99"/>
    <w:semiHidden/>
    <w:rsid w:val="008E1DFD"/>
    <w:pPr>
      <w:spacing w:after="0" w:line="240" w:lineRule="auto"/>
    </w:pPr>
    <w:rPr>
      <w:rFonts w:ascii="Book Antiqua" w:hAnsi="Book Antiqua"/>
      <w:sz w:val="26"/>
    </w:rPr>
  </w:style>
  <w:style w:type="character" w:styleId="PageNumber">
    <w:name w:val="page number"/>
    <w:basedOn w:val="DefaultParagraphFont"/>
    <w:rsid w:val="00427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847794443">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1150C3125F864C9CCCEC1861A1B2F5" ma:contentTypeVersion="16" ma:contentTypeDescription="Create a new document." ma:contentTypeScope="" ma:versionID="b9ed4897cb1e1fddd35890f231545e46">
  <xsd:schema xmlns:xsd="http://www.w3.org/2001/XMLSchema" xmlns:xs="http://www.w3.org/2001/XMLSchema" xmlns:p="http://schemas.microsoft.com/office/2006/metadata/properties" xmlns:ns2="666bae34-6e25-4200-951c-37ff8952d53f" xmlns:ns3="ad978288-04a1-4831-9970-6956df3b715e" targetNamespace="http://schemas.microsoft.com/office/2006/metadata/properties" ma:root="true" ma:fieldsID="6fdb3ba31039aab68724eccd25667a99" ns2:_="" ns3:_="">
    <xsd:import namespace="666bae34-6e25-4200-951c-37ff8952d53f"/>
    <xsd:import namespace="ad978288-04a1-4831-9970-6956df3b71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ae34-6e25-4200-951c-37ff8952d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78288-04a1-4831-9970-6956df3b71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49e56d6-1a3d-410f-a22d-9aa7c51d4345}" ma:internalName="TaxCatchAll" ma:showField="CatchAllData" ma:web="ad978288-04a1-4831-9970-6956df3b71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ad978288-04a1-4831-9970-6956df3b715e">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666bae34-6e25-4200-951c-37ff8952d53f">
      <Terms xmlns="http://schemas.microsoft.com/office/infopath/2007/PartnerControls"/>
    </lcf76f155ced4ddcb4097134ff3c332f>
    <TaxCatchAll xmlns="ad978288-04a1-4831-9970-6956df3b715e" xsi:nil="true"/>
  </documentManagement>
</p:properties>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452F20ED-1BD1-490C-A9B4-100504222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ae34-6e25-4200-951c-37ff8952d53f"/>
    <ds:schemaRef ds:uri="ad978288-04a1-4831-9970-6956df3b7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4.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ad978288-04a1-4831-9970-6956df3b715e"/>
    <ds:schemaRef ds:uri="666bae34-6e25-4200-951c-37ff8952d53f"/>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13</ap:Pages>
  <ap:Words>2635</ap:Words>
  <ap:Characters>15022</ap:Characters>
  <ap:Application>Microsoft Office Word</ap:Application>
  <ap:DocSecurity>0</ap:DocSecurity>
  <ap:Lines>125</ap:Lines>
  <ap:Paragraphs>35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17622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2025-12-30T18:21:00Z</cp:lastPrinted>
  <dcterms:created xsi:type="dcterms:W3CDTF">2026-02-11T11:23:09Z</dcterms:created>
  <dcterms:modified xsi:type="dcterms:W3CDTF">2026-02-11T11:23:09Z</dcterms:modified>
</cp:coreProperties>
</file>