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2ADF" w:rsidR="00C47C2A" w:rsidRDefault="00C47C2A" w14:paraId="1BAEFF4F" w14:textId="77777777">
      <w:pPr>
        <w:pStyle w:val="Title"/>
        <w:rPr>
          <w:szCs w:val="24"/>
        </w:rPr>
      </w:pPr>
    </w:p>
    <w:p w:rsidRPr="00592ADF" w:rsidR="00C47C2A" w:rsidRDefault="00C47C2A" w14:paraId="23852DB4" w14:textId="77777777">
      <w:pPr>
        <w:pStyle w:val="Title"/>
        <w:rPr>
          <w:rFonts w:ascii="Arial" w:hAnsi="Arial" w:cs="Arial"/>
          <w:szCs w:val="24"/>
        </w:rPr>
      </w:pPr>
      <w:r w:rsidRPr="00592ADF">
        <w:rPr>
          <w:rFonts w:ascii="Arial" w:hAnsi="Arial" w:cs="Arial"/>
          <w:szCs w:val="24"/>
        </w:rPr>
        <w:t>PUBLIC UTILITIES COMMISSION OF THE STATE OF CALIFORNIA</w:t>
      </w:r>
    </w:p>
    <w:p w:rsidRPr="00592ADF" w:rsidR="00C47C2A" w:rsidRDefault="00C47C2A" w14:paraId="4737081D" w14:textId="77777777">
      <w:pPr>
        <w:rPr>
          <w:szCs w:val="24"/>
        </w:rPr>
      </w:pPr>
    </w:p>
    <w:p w:rsidRPr="00592ADF" w:rsidR="00C47C2A" w:rsidRDefault="00C47C2A" w14:paraId="253F2371" w14:textId="12CD2D8C">
      <w:pPr>
        <w:rPr>
          <w:rFonts w:ascii="Book Antiqua" w:hAnsi="Book Antiqua"/>
          <w:szCs w:val="24"/>
        </w:rPr>
      </w:pPr>
      <w:r w:rsidRPr="00592ADF">
        <w:rPr>
          <w:szCs w:val="24"/>
        </w:rPr>
        <w:tab/>
      </w:r>
      <w:r w:rsidRPr="00592ADF">
        <w:rPr>
          <w:szCs w:val="24"/>
        </w:rPr>
        <w:tab/>
      </w:r>
      <w:r w:rsidRPr="00592ADF">
        <w:rPr>
          <w:szCs w:val="24"/>
        </w:rPr>
        <w:tab/>
      </w:r>
      <w:r w:rsidRPr="00592ADF">
        <w:rPr>
          <w:szCs w:val="24"/>
        </w:rPr>
        <w:tab/>
      </w:r>
      <w:r w:rsidRPr="00592ADF">
        <w:rPr>
          <w:szCs w:val="24"/>
        </w:rPr>
        <w:tab/>
      </w:r>
      <w:r w:rsidRPr="00592ADF">
        <w:rPr>
          <w:rFonts w:ascii="Book Antiqua" w:hAnsi="Book Antiqua"/>
          <w:szCs w:val="24"/>
        </w:rPr>
        <w:t>Resolution ALJ-</w:t>
      </w:r>
      <w:r w:rsidRPr="00592ADF" w:rsidR="00C2140D">
        <w:rPr>
          <w:rFonts w:ascii="Book Antiqua" w:hAnsi="Book Antiqua"/>
          <w:szCs w:val="24"/>
        </w:rPr>
        <w:t>48</w:t>
      </w:r>
      <w:r w:rsidR="00B92882">
        <w:rPr>
          <w:rFonts w:ascii="Book Antiqua" w:hAnsi="Book Antiqua"/>
          <w:szCs w:val="24"/>
        </w:rPr>
        <w:t>7</w:t>
      </w:r>
    </w:p>
    <w:p w:rsidRPr="00592ADF" w:rsidR="00C47C2A" w:rsidRDefault="00C47C2A" w14:paraId="023F76E7" w14:textId="77777777">
      <w:pPr>
        <w:rPr>
          <w:rFonts w:ascii="Book Antiqua" w:hAnsi="Book Antiqua"/>
          <w:szCs w:val="24"/>
        </w:rPr>
      </w:pPr>
      <w:r w:rsidRPr="00592ADF">
        <w:rPr>
          <w:rFonts w:ascii="Book Antiqua" w:hAnsi="Book Antiqua"/>
          <w:szCs w:val="24"/>
        </w:rPr>
        <w:tab/>
      </w:r>
      <w:r w:rsidRPr="00592ADF">
        <w:rPr>
          <w:rFonts w:ascii="Book Antiqua" w:hAnsi="Book Antiqua"/>
          <w:szCs w:val="24"/>
        </w:rPr>
        <w:tab/>
      </w:r>
      <w:r w:rsidRPr="00592ADF">
        <w:rPr>
          <w:rFonts w:ascii="Book Antiqua" w:hAnsi="Book Antiqua"/>
          <w:szCs w:val="24"/>
        </w:rPr>
        <w:tab/>
      </w:r>
      <w:r w:rsidRPr="00592ADF">
        <w:rPr>
          <w:rFonts w:ascii="Book Antiqua" w:hAnsi="Book Antiqua"/>
          <w:szCs w:val="24"/>
        </w:rPr>
        <w:tab/>
      </w:r>
      <w:r w:rsidRPr="00592ADF">
        <w:rPr>
          <w:rFonts w:ascii="Book Antiqua" w:hAnsi="Book Antiqua"/>
          <w:szCs w:val="24"/>
        </w:rPr>
        <w:tab/>
        <w:t>Administrative Law Judge Division</w:t>
      </w:r>
    </w:p>
    <w:p w:rsidRPr="00DB758B" w:rsidR="00891EBA" w:rsidRDefault="00C47C2A" w14:paraId="526022A7" w14:textId="420E3458">
      <w:pPr>
        <w:rPr>
          <w:rFonts w:ascii="Book Antiqua" w:hAnsi="Book Antiqua"/>
          <w:szCs w:val="24"/>
          <w:lang w:val="it-IT"/>
        </w:rPr>
      </w:pPr>
      <w:r w:rsidRPr="00592ADF">
        <w:rPr>
          <w:rFonts w:ascii="Book Antiqua" w:hAnsi="Book Antiqua"/>
          <w:szCs w:val="24"/>
        </w:rPr>
        <w:tab/>
      </w:r>
      <w:r w:rsidRPr="00592ADF">
        <w:rPr>
          <w:rFonts w:ascii="Book Antiqua" w:hAnsi="Book Antiqua"/>
          <w:szCs w:val="24"/>
        </w:rPr>
        <w:tab/>
      </w:r>
      <w:r w:rsidRPr="00592ADF">
        <w:rPr>
          <w:rFonts w:ascii="Book Antiqua" w:hAnsi="Book Antiqua"/>
          <w:szCs w:val="24"/>
        </w:rPr>
        <w:tab/>
      </w:r>
      <w:r w:rsidRPr="00592ADF">
        <w:rPr>
          <w:rFonts w:ascii="Book Antiqua" w:hAnsi="Book Antiqua"/>
          <w:szCs w:val="24"/>
        </w:rPr>
        <w:tab/>
      </w:r>
      <w:r w:rsidRPr="00592ADF">
        <w:rPr>
          <w:rFonts w:ascii="Book Antiqua" w:hAnsi="Book Antiqua"/>
          <w:szCs w:val="24"/>
        </w:rPr>
        <w:tab/>
      </w:r>
      <w:r w:rsidR="000F099A">
        <w:rPr>
          <w:rFonts w:ascii="Book Antiqua" w:hAnsi="Book Antiqua"/>
          <w:szCs w:val="24"/>
        </w:rPr>
        <w:t>[DATE]</w:t>
      </w:r>
      <w:r w:rsidR="00FB5322">
        <w:rPr>
          <w:rFonts w:ascii="Book Antiqua" w:hAnsi="Book Antiqua"/>
          <w:szCs w:val="24"/>
          <w:lang w:val="it-IT"/>
        </w:rPr>
        <w:t xml:space="preserve"> </w:t>
      </w:r>
    </w:p>
    <w:p w:rsidRPr="00DB758B" w:rsidR="00C47C2A" w:rsidRDefault="00C47C2A" w14:paraId="2935A804" w14:textId="77777777">
      <w:pPr>
        <w:rPr>
          <w:szCs w:val="24"/>
          <w:lang w:val="it-IT"/>
        </w:rPr>
      </w:pPr>
    </w:p>
    <w:p w:rsidRPr="00DB758B" w:rsidR="00C47C2A" w:rsidRDefault="00C47C2A" w14:paraId="0A7B59BA" w14:textId="77777777">
      <w:pPr>
        <w:rPr>
          <w:szCs w:val="24"/>
          <w:lang w:val="it-IT"/>
        </w:rPr>
      </w:pPr>
    </w:p>
    <w:p w:rsidRPr="00DB758B" w:rsidR="00C47C2A" w:rsidRDefault="00C47C2A" w14:paraId="392DF7DB" w14:textId="77777777">
      <w:pPr>
        <w:jc w:val="center"/>
        <w:rPr>
          <w:rFonts w:ascii="Arial" w:hAnsi="Arial" w:cs="Arial"/>
          <w:b/>
          <w:szCs w:val="24"/>
          <w:u w:val="single"/>
          <w:lang w:val="it-IT"/>
        </w:rPr>
      </w:pPr>
      <w:r w:rsidRPr="00DB758B">
        <w:rPr>
          <w:rFonts w:ascii="Arial" w:hAnsi="Arial" w:cs="Arial"/>
          <w:b/>
          <w:szCs w:val="24"/>
          <w:u w:val="single"/>
          <w:lang w:val="it-IT"/>
        </w:rPr>
        <w:t>R</w:t>
      </w:r>
      <w:r w:rsidRPr="00DB758B">
        <w:rPr>
          <w:rFonts w:ascii="Arial" w:hAnsi="Arial" w:cs="Arial"/>
          <w:b/>
          <w:szCs w:val="24"/>
          <w:lang w:val="it-IT"/>
        </w:rPr>
        <w:t xml:space="preserve"> </w:t>
      </w:r>
      <w:r w:rsidRPr="00DB758B">
        <w:rPr>
          <w:rFonts w:ascii="Arial" w:hAnsi="Arial" w:cs="Arial"/>
          <w:b/>
          <w:szCs w:val="24"/>
          <w:u w:val="single"/>
          <w:lang w:val="it-IT"/>
        </w:rPr>
        <w:t>E</w:t>
      </w:r>
      <w:r w:rsidRPr="00DB758B">
        <w:rPr>
          <w:rFonts w:ascii="Arial" w:hAnsi="Arial" w:cs="Arial"/>
          <w:b/>
          <w:szCs w:val="24"/>
          <w:lang w:val="it-IT"/>
        </w:rPr>
        <w:t xml:space="preserve"> </w:t>
      </w:r>
      <w:r w:rsidRPr="00DB758B">
        <w:rPr>
          <w:rFonts w:ascii="Arial" w:hAnsi="Arial" w:cs="Arial"/>
          <w:b/>
          <w:szCs w:val="24"/>
          <w:u w:val="single"/>
          <w:lang w:val="it-IT"/>
        </w:rPr>
        <w:t>S</w:t>
      </w:r>
      <w:r w:rsidRPr="00DB758B">
        <w:rPr>
          <w:rFonts w:ascii="Arial" w:hAnsi="Arial" w:cs="Arial"/>
          <w:b/>
          <w:szCs w:val="24"/>
          <w:lang w:val="it-IT"/>
        </w:rPr>
        <w:t xml:space="preserve"> </w:t>
      </w:r>
      <w:r w:rsidRPr="00DB758B">
        <w:rPr>
          <w:rFonts w:ascii="Arial" w:hAnsi="Arial" w:cs="Arial"/>
          <w:b/>
          <w:szCs w:val="24"/>
          <w:u w:val="single"/>
          <w:lang w:val="it-IT"/>
        </w:rPr>
        <w:t>O</w:t>
      </w:r>
      <w:r w:rsidRPr="00DB758B">
        <w:rPr>
          <w:rFonts w:ascii="Arial" w:hAnsi="Arial" w:cs="Arial"/>
          <w:b/>
          <w:szCs w:val="24"/>
          <w:lang w:val="it-IT"/>
        </w:rPr>
        <w:t xml:space="preserve"> </w:t>
      </w:r>
      <w:r w:rsidRPr="00DB758B">
        <w:rPr>
          <w:rFonts w:ascii="Arial" w:hAnsi="Arial" w:cs="Arial"/>
          <w:b/>
          <w:szCs w:val="24"/>
          <w:u w:val="single"/>
          <w:lang w:val="it-IT"/>
        </w:rPr>
        <w:t>L</w:t>
      </w:r>
      <w:r w:rsidRPr="00DB758B">
        <w:rPr>
          <w:rFonts w:ascii="Arial" w:hAnsi="Arial" w:cs="Arial"/>
          <w:b/>
          <w:szCs w:val="24"/>
          <w:lang w:val="it-IT"/>
        </w:rPr>
        <w:t xml:space="preserve"> </w:t>
      </w:r>
      <w:r w:rsidRPr="00DB758B">
        <w:rPr>
          <w:rFonts w:ascii="Arial" w:hAnsi="Arial" w:cs="Arial"/>
          <w:b/>
          <w:szCs w:val="24"/>
          <w:u w:val="single"/>
          <w:lang w:val="it-IT"/>
        </w:rPr>
        <w:t>U</w:t>
      </w:r>
      <w:r w:rsidRPr="00DB758B">
        <w:rPr>
          <w:rFonts w:ascii="Arial" w:hAnsi="Arial" w:cs="Arial"/>
          <w:b/>
          <w:szCs w:val="24"/>
          <w:lang w:val="it-IT"/>
        </w:rPr>
        <w:t xml:space="preserve"> </w:t>
      </w:r>
      <w:r w:rsidRPr="00DB758B">
        <w:rPr>
          <w:rFonts w:ascii="Arial" w:hAnsi="Arial" w:cs="Arial"/>
          <w:b/>
          <w:szCs w:val="24"/>
          <w:u w:val="single"/>
          <w:lang w:val="it-IT"/>
        </w:rPr>
        <w:t>T</w:t>
      </w:r>
      <w:r w:rsidRPr="00DB758B">
        <w:rPr>
          <w:rFonts w:ascii="Arial" w:hAnsi="Arial" w:cs="Arial"/>
          <w:b/>
          <w:szCs w:val="24"/>
          <w:lang w:val="it-IT"/>
        </w:rPr>
        <w:t xml:space="preserve"> </w:t>
      </w:r>
      <w:r w:rsidRPr="00DB758B">
        <w:rPr>
          <w:rFonts w:ascii="Arial" w:hAnsi="Arial" w:cs="Arial"/>
          <w:b/>
          <w:szCs w:val="24"/>
          <w:u w:val="single"/>
          <w:lang w:val="it-IT"/>
        </w:rPr>
        <w:t>I</w:t>
      </w:r>
      <w:r w:rsidRPr="00DB758B">
        <w:rPr>
          <w:rFonts w:ascii="Arial" w:hAnsi="Arial" w:cs="Arial"/>
          <w:b/>
          <w:szCs w:val="24"/>
          <w:lang w:val="it-IT"/>
        </w:rPr>
        <w:t xml:space="preserve"> </w:t>
      </w:r>
      <w:r w:rsidRPr="00DB758B">
        <w:rPr>
          <w:rFonts w:ascii="Arial" w:hAnsi="Arial" w:cs="Arial"/>
          <w:b/>
          <w:szCs w:val="24"/>
          <w:u w:val="single"/>
          <w:lang w:val="it-IT"/>
        </w:rPr>
        <w:t>O</w:t>
      </w:r>
      <w:r w:rsidRPr="00DB758B">
        <w:rPr>
          <w:rFonts w:ascii="Arial" w:hAnsi="Arial" w:cs="Arial"/>
          <w:b/>
          <w:szCs w:val="24"/>
          <w:lang w:val="it-IT"/>
        </w:rPr>
        <w:t xml:space="preserve"> </w:t>
      </w:r>
      <w:r w:rsidRPr="00DB758B">
        <w:rPr>
          <w:rFonts w:ascii="Arial" w:hAnsi="Arial" w:cs="Arial"/>
          <w:b/>
          <w:szCs w:val="24"/>
          <w:u w:val="single"/>
          <w:lang w:val="it-IT"/>
        </w:rPr>
        <w:t>N</w:t>
      </w:r>
    </w:p>
    <w:p w:rsidRPr="00DB758B" w:rsidR="00C47C2A" w:rsidRDefault="00C47C2A" w14:paraId="338A6ABF" w14:textId="77777777">
      <w:pPr>
        <w:jc w:val="center"/>
        <w:rPr>
          <w:b/>
          <w:szCs w:val="24"/>
          <w:lang w:val="it-IT"/>
        </w:rPr>
      </w:pPr>
    </w:p>
    <w:p w:rsidRPr="00DB758B" w:rsidR="00C47C2A" w:rsidRDefault="00C47C2A" w14:paraId="602DE139" w14:textId="77777777">
      <w:pPr>
        <w:rPr>
          <w:szCs w:val="24"/>
          <w:lang w:val="it-IT"/>
        </w:rPr>
      </w:pPr>
    </w:p>
    <w:p w:rsidRPr="00592ADF" w:rsidR="00C47C2A" w:rsidRDefault="00C47C2A" w14:paraId="5B263E9E" w14:textId="4C88E19A">
      <w:pPr>
        <w:pStyle w:val="BlockText"/>
        <w:rPr>
          <w:rFonts w:ascii="Book Antiqua" w:hAnsi="Book Antiqua"/>
          <w:szCs w:val="24"/>
          <w:u w:val="single"/>
        </w:rPr>
      </w:pPr>
      <w:r w:rsidRPr="00592ADF">
        <w:rPr>
          <w:rFonts w:ascii="Book Antiqua" w:hAnsi="Book Antiqua"/>
          <w:szCs w:val="24"/>
        </w:rPr>
        <w:t>RESOLUTION ALJ-</w:t>
      </w:r>
      <w:r w:rsidRPr="00592ADF" w:rsidR="005F4C50">
        <w:rPr>
          <w:rFonts w:ascii="Book Antiqua" w:hAnsi="Book Antiqua"/>
          <w:szCs w:val="24"/>
        </w:rPr>
        <w:t>3576</w:t>
      </w:r>
      <w:r w:rsidRPr="00592ADF" w:rsidR="00004249">
        <w:rPr>
          <w:rFonts w:ascii="Book Antiqua" w:hAnsi="Book Antiqua"/>
          <w:szCs w:val="24"/>
        </w:rPr>
        <w:t xml:space="preserve"> Resolves </w:t>
      </w:r>
      <w:r w:rsidRPr="00592ADF" w:rsidR="00087FBD">
        <w:rPr>
          <w:rFonts w:ascii="Book Antiqua" w:hAnsi="Book Antiqua"/>
          <w:szCs w:val="24"/>
        </w:rPr>
        <w:t>K.24-0</w:t>
      </w:r>
      <w:r w:rsidRPr="00592ADF" w:rsidR="0027489D">
        <w:rPr>
          <w:rFonts w:ascii="Book Antiqua" w:hAnsi="Book Antiqua"/>
          <w:szCs w:val="24"/>
        </w:rPr>
        <w:t>7</w:t>
      </w:r>
      <w:r w:rsidRPr="00592ADF" w:rsidR="00087FBD">
        <w:rPr>
          <w:rFonts w:ascii="Book Antiqua" w:hAnsi="Book Antiqua"/>
          <w:szCs w:val="24"/>
        </w:rPr>
        <w:t xml:space="preserve">-007, the </w:t>
      </w:r>
      <w:r w:rsidRPr="00592ADF" w:rsidR="000A72B8">
        <w:rPr>
          <w:rFonts w:ascii="Book Antiqua" w:hAnsi="Book Antiqua"/>
          <w:szCs w:val="24"/>
        </w:rPr>
        <w:t xml:space="preserve">Appeal of </w:t>
      </w:r>
      <w:proofErr w:type="spellStart"/>
      <w:r w:rsidRPr="00592ADF" w:rsidR="0027489D">
        <w:rPr>
          <w:rFonts w:ascii="Book Antiqua" w:hAnsi="Book Antiqua"/>
          <w:szCs w:val="24"/>
        </w:rPr>
        <w:t>Mexicoach</w:t>
      </w:r>
      <w:proofErr w:type="spellEnd"/>
      <w:r w:rsidRPr="00592ADF" w:rsidR="0027489D">
        <w:rPr>
          <w:rFonts w:ascii="Book Antiqua" w:hAnsi="Book Antiqua"/>
          <w:szCs w:val="24"/>
        </w:rPr>
        <w:t xml:space="preserve"> Inc., </w:t>
      </w:r>
      <w:r w:rsidRPr="00592ADF" w:rsidR="00AB0EFF">
        <w:rPr>
          <w:rFonts w:ascii="Book Antiqua" w:hAnsi="Book Antiqua"/>
          <w:szCs w:val="24"/>
        </w:rPr>
        <w:t xml:space="preserve">from </w:t>
      </w:r>
      <w:r w:rsidRPr="00592ADF" w:rsidR="00DC3262">
        <w:rPr>
          <w:rFonts w:ascii="Book Antiqua" w:hAnsi="Book Antiqua"/>
          <w:szCs w:val="24"/>
        </w:rPr>
        <w:t xml:space="preserve">Citation </w:t>
      </w:r>
      <w:r w:rsidRPr="00592ADF" w:rsidR="00AB0EFF">
        <w:rPr>
          <w:rFonts w:ascii="Book Antiqua" w:hAnsi="Book Antiqua"/>
          <w:szCs w:val="24"/>
        </w:rPr>
        <w:t>T.24-0</w:t>
      </w:r>
      <w:r w:rsidRPr="00592ADF" w:rsidR="00B46AF6">
        <w:rPr>
          <w:rFonts w:ascii="Book Antiqua" w:hAnsi="Book Antiqua"/>
          <w:szCs w:val="24"/>
        </w:rPr>
        <w:t>5</w:t>
      </w:r>
      <w:r w:rsidRPr="00592ADF" w:rsidR="00AB0EFF">
        <w:rPr>
          <w:rFonts w:ascii="Book Antiqua" w:hAnsi="Book Antiqua"/>
          <w:szCs w:val="24"/>
        </w:rPr>
        <w:t>-00</w:t>
      </w:r>
      <w:r w:rsidRPr="00592ADF" w:rsidR="00B46AF6">
        <w:rPr>
          <w:rFonts w:ascii="Book Antiqua" w:hAnsi="Book Antiqua"/>
          <w:szCs w:val="24"/>
        </w:rPr>
        <w:t>7</w:t>
      </w:r>
      <w:r w:rsidRPr="00592ADF" w:rsidR="00AB0EFF">
        <w:rPr>
          <w:rFonts w:ascii="Book Antiqua" w:hAnsi="Book Antiqua"/>
          <w:szCs w:val="24"/>
        </w:rPr>
        <w:t xml:space="preserve"> in the amount of $20,000 </w:t>
      </w:r>
      <w:r w:rsidRPr="00592ADF" w:rsidR="00476BC8">
        <w:rPr>
          <w:rFonts w:ascii="Book Antiqua" w:hAnsi="Book Antiqua"/>
          <w:szCs w:val="24"/>
        </w:rPr>
        <w:t xml:space="preserve">issued by the California Public Utilities Commission Consumer Protection and Enforcement Division. </w:t>
      </w:r>
    </w:p>
    <w:p w:rsidRPr="00592ADF" w:rsidR="00C47C2A" w:rsidRDefault="00C47C2A" w14:paraId="73B5BD5F" w14:textId="77777777">
      <w:pPr>
        <w:rPr>
          <w:szCs w:val="24"/>
        </w:rPr>
      </w:pPr>
    </w:p>
    <w:p w:rsidRPr="00592ADF" w:rsidR="00C47C2A" w:rsidRDefault="00C47C2A" w14:paraId="1E2ED203" w14:textId="77777777">
      <w:pPr>
        <w:tabs>
          <w:tab w:val="right" w:pos="8550"/>
        </w:tabs>
        <w:ind w:left="720" w:right="720"/>
        <w:rPr>
          <w:szCs w:val="24"/>
        </w:rPr>
      </w:pPr>
      <w:r w:rsidRPr="00592ADF">
        <w:rPr>
          <w:szCs w:val="24"/>
          <w:u w:val="single"/>
        </w:rPr>
        <w:tab/>
      </w:r>
    </w:p>
    <w:p w:rsidRPr="00592ADF" w:rsidR="00C47C2A" w:rsidRDefault="00C47C2A" w14:paraId="053B712B" w14:textId="77777777">
      <w:pPr>
        <w:rPr>
          <w:szCs w:val="24"/>
        </w:rPr>
      </w:pPr>
    </w:p>
    <w:p w:rsidRPr="00592ADF" w:rsidR="00C47C2A" w:rsidRDefault="00C47C2A" w14:paraId="54713B50" w14:textId="77777777">
      <w:pPr>
        <w:rPr>
          <w:rFonts w:ascii="Book Antiqua" w:hAnsi="Book Antiqua"/>
          <w:b/>
          <w:szCs w:val="24"/>
          <w:u w:val="single"/>
        </w:rPr>
      </w:pPr>
      <w:r w:rsidRPr="00592ADF">
        <w:rPr>
          <w:rFonts w:ascii="Book Antiqua" w:hAnsi="Book Antiqua"/>
          <w:b/>
          <w:szCs w:val="24"/>
          <w:u w:val="single"/>
        </w:rPr>
        <w:t>SUMMARY</w:t>
      </w:r>
    </w:p>
    <w:p w:rsidRPr="00592ADF" w:rsidR="00C47C2A" w:rsidRDefault="00C47C2A" w14:paraId="16FD4ADA" w14:textId="77777777">
      <w:pPr>
        <w:rPr>
          <w:rFonts w:ascii="Book Antiqua" w:hAnsi="Book Antiqua"/>
          <w:szCs w:val="24"/>
        </w:rPr>
      </w:pPr>
    </w:p>
    <w:p w:rsidRPr="00592ADF" w:rsidR="0083535A" w:rsidRDefault="00D1440A" w14:paraId="6CB016DB" w14:textId="5B16B6E7">
      <w:pPr>
        <w:rPr>
          <w:rFonts w:ascii="Book Antiqua" w:hAnsi="Book Antiqua"/>
          <w:color w:val="000000"/>
          <w:szCs w:val="24"/>
        </w:rPr>
      </w:pPr>
      <w:r w:rsidRPr="00592ADF">
        <w:rPr>
          <w:rFonts w:ascii="Book Antiqua" w:hAnsi="Book Antiqua"/>
          <w:color w:val="000000"/>
          <w:szCs w:val="24"/>
        </w:rPr>
        <w:t xml:space="preserve">The </w:t>
      </w:r>
      <w:r w:rsidRPr="00592ADF" w:rsidR="00D32788">
        <w:rPr>
          <w:rFonts w:ascii="Book Antiqua" w:hAnsi="Book Antiqua"/>
          <w:color w:val="000000"/>
          <w:szCs w:val="24"/>
        </w:rPr>
        <w:t xml:space="preserve">California Public Utilities Commission’s </w:t>
      </w:r>
      <w:r w:rsidRPr="00592ADF" w:rsidR="003E21EE">
        <w:rPr>
          <w:rFonts w:ascii="Book Antiqua" w:hAnsi="Book Antiqua"/>
          <w:color w:val="000000"/>
          <w:szCs w:val="24"/>
        </w:rPr>
        <w:t xml:space="preserve">(Commission) </w:t>
      </w:r>
      <w:r w:rsidRPr="00592ADF" w:rsidR="00D32788">
        <w:rPr>
          <w:rFonts w:ascii="Book Antiqua" w:hAnsi="Book Antiqua"/>
          <w:color w:val="000000"/>
          <w:szCs w:val="24"/>
        </w:rPr>
        <w:t>Consumer Protection and Enforcement Division</w:t>
      </w:r>
      <w:r w:rsidRPr="00592ADF" w:rsidR="00BD6130">
        <w:rPr>
          <w:rFonts w:ascii="Book Antiqua" w:hAnsi="Book Antiqua"/>
          <w:color w:val="000000"/>
          <w:szCs w:val="24"/>
        </w:rPr>
        <w:t xml:space="preserve"> (</w:t>
      </w:r>
      <w:r w:rsidRPr="00592ADF" w:rsidR="005709A9">
        <w:rPr>
          <w:rFonts w:ascii="Book Antiqua" w:hAnsi="Book Antiqua"/>
          <w:color w:val="000000"/>
          <w:szCs w:val="24"/>
        </w:rPr>
        <w:t>CPED</w:t>
      </w:r>
      <w:r w:rsidRPr="00592ADF" w:rsidR="00BD6130">
        <w:rPr>
          <w:rFonts w:ascii="Book Antiqua" w:hAnsi="Book Antiqua"/>
          <w:color w:val="000000"/>
          <w:szCs w:val="24"/>
        </w:rPr>
        <w:t>)</w:t>
      </w:r>
      <w:r w:rsidRPr="00592ADF" w:rsidR="00D32788">
        <w:rPr>
          <w:rFonts w:ascii="Book Antiqua" w:hAnsi="Book Antiqua"/>
          <w:color w:val="000000"/>
          <w:szCs w:val="24"/>
        </w:rPr>
        <w:t xml:space="preserve"> </w:t>
      </w:r>
      <w:r w:rsidRPr="00592ADF" w:rsidR="00FB7AF0">
        <w:rPr>
          <w:rFonts w:ascii="Book Antiqua" w:hAnsi="Book Antiqua"/>
          <w:color w:val="000000"/>
          <w:szCs w:val="24"/>
        </w:rPr>
        <w:t>issued Citation T.24-0</w:t>
      </w:r>
      <w:r w:rsidRPr="00592ADF" w:rsidR="00594EBC">
        <w:rPr>
          <w:rFonts w:ascii="Book Antiqua" w:hAnsi="Book Antiqua"/>
          <w:color w:val="000000"/>
          <w:szCs w:val="24"/>
        </w:rPr>
        <w:t>5</w:t>
      </w:r>
      <w:r w:rsidRPr="00592ADF" w:rsidR="00FB7AF0">
        <w:rPr>
          <w:rFonts w:ascii="Book Antiqua" w:hAnsi="Book Antiqua"/>
          <w:color w:val="000000"/>
          <w:szCs w:val="24"/>
        </w:rPr>
        <w:t>-00</w:t>
      </w:r>
      <w:r w:rsidRPr="00592ADF" w:rsidR="0027489D">
        <w:rPr>
          <w:rFonts w:ascii="Book Antiqua" w:hAnsi="Book Antiqua"/>
          <w:color w:val="000000"/>
          <w:szCs w:val="24"/>
        </w:rPr>
        <w:t>7</w:t>
      </w:r>
      <w:r w:rsidRPr="00592ADF" w:rsidR="0038048C">
        <w:rPr>
          <w:rFonts w:ascii="Book Antiqua" w:hAnsi="Book Antiqua"/>
          <w:color w:val="000000"/>
          <w:szCs w:val="24"/>
        </w:rPr>
        <w:t xml:space="preserve"> </w:t>
      </w:r>
      <w:r w:rsidRPr="00592ADF" w:rsidR="009F0305">
        <w:rPr>
          <w:rFonts w:ascii="Book Antiqua" w:hAnsi="Book Antiqua"/>
          <w:color w:val="000000"/>
          <w:szCs w:val="24"/>
        </w:rPr>
        <w:t xml:space="preserve">(Citation) </w:t>
      </w:r>
      <w:r w:rsidRPr="00592ADF" w:rsidR="00EE494B">
        <w:rPr>
          <w:rFonts w:ascii="Book Antiqua" w:hAnsi="Book Antiqua"/>
          <w:color w:val="000000"/>
          <w:szCs w:val="24"/>
        </w:rPr>
        <w:t xml:space="preserve">to </w:t>
      </w:r>
      <w:proofErr w:type="spellStart"/>
      <w:r w:rsidRPr="00592ADF" w:rsidR="0027489D">
        <w:rPr>
          <w:rFonts w:ascii="Book Antiqua" w:hAnsi="Book Antiqua"/>
          <w:color w:val="000000"/>
          <w:szCs w:val="24"/>
        </w:rPr>
        <w:t>Mexicoach</w:t>
      </w:r>
      <w:proofErr w:type="spellEnd"/>
      <w:r w:rsidRPr="00592ADF" w:rsidR="0027489D">
        <w:rPr>
          <w:rFonts w:ascii="Book Antiqua" w:hAnsi="Book Antiqua"/>
          <w:color w:val="000000"/>
          <w:szCs w:val="24"/>
        </w:rPr>
        <w:t xml:space="preserve"> Inc.</w:t>
      </w:r>
      <w:r w:rsidRPr="00592ADF" w:rsidR="00594EBC">
        <w:rPr>
          <w:rFonts w:ascii="Book Antiqua" w:hAnsi="Book Antiqua"/>
          <w:color w:val="000000"/>
          <w:szCs w:val="24"/>
        </w:rPr>
        <w:t xml:space="preserve"> (</w:t>
      </w:r>
      <w:proofErr w:type="spellStart"/>
      <w:r w:rsidRPr="00592ADF" w:rsidR="00594EBC">
        <w:rPr>
          <w:rFonts w:ascii="Book Antiqua" w:hAnsi="Book Antiqua"/>
          <w:color w:val="000000"/>
          <w:szCs w:val="24"/>
        </w:rPr>
        <w:t>Mexicoach</w:t>
      </w:r>
      <w:proofErr w:type="spellEnd"/>
      <w:r w:rsidRPr="00592ADF" w:rsidR="00594EBC">
        <w:rPr>
          <w:rFonts w:ascii="Book Antiqua" w:hAnsi="Book Antiqua"/>
          <w:color w:val="000000"/>
          <w:szCs w:val="24"/>
        </w:rPr>
        <w:t>)</w:t>
      </w:r>
      <w:r w:rsidRPr="00592ADF" w:rsidR="0083535A">
        <w:rPr>
          <w:rFonts w:ascii="Book Antiqua" w:hAnsi="Book Antiqua"/>
          <w:color w:val="000000"/>
          <w:szCs w:val="24"/>
        </w:rPr>
        <w:t xml:space="preserve"> and imposed a $20,000 </w:t>
      </w:r>
      <w:r w:rsidRPr="00592ADF" w:rsidR="000F5C65">
        <w:rPr>
          <w:rFonts w:ascii="Book Antiqua" w:hAnsi="Book Antiqua"/>
          <w:color w:val="000000"/>
          <w:szCs w:val="24"/>
        </w:rPr>
        <w:t>penalty</w:t>
      </w:r>
      <w:r w:rsidRPr="00592ADF" w:rsidR="007D520D">
        <w:rPr>
          <w:rFonts w:ascii="Book Antiqua" w:hAnsi="Book Antiqua"/>
          <w:color w:val="000000"/>
          <w:szCs w:val="24"/>
        </w:rPr>
        <w:t xml:space="preserve">. </w:t>
      </w:r>
      <w:r w:rsidR="00AD316E">
        <w:rPr>
          <w:rFonts w:ascii="Book Antiqua" w:hAnsi="Book Antiqua"/>
          <w:color w:val="000000"/>
          <w:szCs w:val="24"/>
        </w:rPr>
        <w:t xml:space="preserve">On July 12, 2024, </w:t>
      </w:r>
      <w:proofErr w:type="spellStart"/>
      <w:r w:rsidRPr="00592ADF" w:rsidR="00594EBC">
        <w:rPr>
          <w:rFonts w:ascii="Book Antiqua" w:hAnsi="Book Antiqua"/>
          <w:color w:val="000000"/>
          <w:szCs w:val="24"/>
        </w:rPr>
        <w:t>Mexicoach</w:t>
      </w:r>
      <w:proofErr w:type="spellEnd"/>
      <w:r w:rsidRPr="00592ADF" w:rsidR="003476F7">
        <w:rPr>
          <w:rFonts w:ascii="Book Antiqua" w:hAnsi="Book Antiqua"/>
          <w:color w:val="000000"/>
          <w:szCs w:val="24"/>
        </w:rPr>
        <w:t xml:space="preserve"> </w:t>
      </w:r>
      <w:r w:rsidR="00AD316E">
        <w:rPr>
          <w:rFonts w:ascii="Book Antiqua" w:hAnsi="Book Antiqua"/>
          <w:color w:val="000000"/>
          <w:szCs w:val="24"/>
        </w:rPr>
        <w:t xml:space="preserve">filed a timely citation appeal </w:t>
      </w:r>
      <w:r w:rsidRPr="00592ADF" w:rsidR="00025010">
        <w:rPr>
          <w:rFonts w:ascii="Book Antiqua" w:hAnsi="Book Antiqua"/>
          <w:color w:val="000000"/>
          <w:szCs w:val="24"/>
        </w:rPr>
        <w:t xml:space="preserve">K. 24-07-007 (Appeal). </w:t>
      </w:r>
    </w:p>
    <w:p w:rsidRPr="00592ADF" w:rsidR="00624D0B" w:rsidRDefault="00624D0B" w14:paraId="2CAFFD94" w14:textId="77777777">
      <w:pPr>
        <w:rPr>
          <w:rFonts w:ascii="Book Antiqua" w:hAnsi="Book Antiqua"/>
          <w:color w:val="000000"/>
          <w:szCs w:val="24"/>
        </w:rPr>
      </w:pPr>
    </w:p>
    <w:p w:rsidR="00C47C2A" w:rsidRDefault="006B011F" w14:paraId="77CC4707" w14:textId="3D702228">
      <w:pPr>
        <w:rPr>
          <w:rFonts w:ascii="Book Antiqua" w:hAnsi="Book Antiqua"/>
          <w:szCs w:val="24"/>
        </w:rPr>
      </w:pPr>
      <w:r w:rsidRPr="00592ADF">
        <w:rPr>
          <w:rFonts w:ascii="Book Antiqua" w:hAnsi="Book Antiqua"/>
          <w:color w:val="000000"/>
          <w:szCs w:val="24"/>
        </w:rPr>
        <w:t xml:space="preserve">The Commission grants CPED and </w:t>
      </w:r>
      <w:proofErr w:type="spellStart"/>
      <w:r w:rsidRPr="00592ADF" w:rsidR="0027489D">
        <w:rPr>
          <w:rFonts w:ascii="Book Antiqua" w:hAnsi="Book Antiqua"/>
          <w:color w:val="000000"/>
          <w:szCs w:val="24"/>
        </w:rPr>
        <w:t>Mexicoach’s</w:t>
      </w:r>
      <w:proofErr w:type="spellEnd"/>
      <w:r w:rsidRPr="00592ADF">
        <w:rPr>
          <w:rFonts w:ascii="Book Antiqua" w:hAnsi="Book Antiqua"/>
          <w:color w:val="000000"/>
          <w:szCs w:val="24"/>
        </w:rPr>
        <w:t xml:space="preserve"> </w:t>
      </w:r>
      <w:r w:rsidRPr="00592ADF" w:rsidR="00337276">
        <w:rPr>
          <w:rFonts w:ascii="Book Antiqua" w:hAnsi="Book Antiqua"/>
          <w:color w:val="000000"/>
          <w:szCs w:val="24"/>
        </w:rPr>
        <w:t>Joint</w:t>
      </w:r>
      <w:r w:rsidRPr="00592ADF" w:rsidR="00624D0B">
        <w:rPr>
          <w:rFonts w:ascii="Book Antiqua" w:hAnsi="Book Antiqua"/>
          <w:color w:val="000000"/>
          <w:szCs w:val="24"/>
        </w:rPr>
        <w:t xml:space="preserve"> Motion</w:t>
      </w:r>
      <w:r w:rsidRPr="00592ADF" w:rsidR="00A26C9C">
        <w:rPr>
          <w:rFonts w:ascii="Book Antiqua" w:hAnsi="Book Antiqua"/>
          <w:color w:val="000000"/>
          <w:szCs w:val="24"/>
        </w:rPr>
        <w:t xml:space="preserve"> for </w:t>
      </w:r>
      <w:r w:rsidR="00293992">
        <w:rPr>
          <w:rFonts w:ascii="Book Antiqua" w:hAnsi="Book Antiqua"/>
          <w:color w:val="000000"/>
          <w:szCs w:val="24"/>
        </w:rPr>
        <w:t xml:space="preserve">Commission </w:t>
      </w:r>
      <w:r w:rsidRPr="00592ADF" w:rsidR="00A26C9C">
        <w:rPr>
          <w:rFonts w:ascii="Book Antiqua" w:hAnsi="Book Antiqua"/>
          <w:color w:val="000000"/>
          <w:szCs w:val="24"/>
        </w:rPr>
        <w:t>Adoption of Settlement</w:t>
      </w:r>
      <w:r w:rsidRPr="00592ADF" w:rsidR="00624D0B">
        <w:rPr>
          <w:rFonts w:ascii="Book Antiqua" w:hAnsi="Book Antiqua"/>
          <w:color w:val="000000"/>
          <w:szCs w:val="24"/>
        </w:rPr>
        <w:t xml:space="preserve"> </w:t>
      </w:r>
      <w:r w:rsidR="00293992">
        <w:rPr>
          <w:rFonts w:ascii="Book Antiqua" w:hAnsi="Book Antiqua"/>
          <w:color w:val="000000"/>
          <w:szCs w:val="24"/>
        </w:rPr>
        <w:t xml:space="preserve">Agreement and adopts the Settlement Agreement </w:t>
      </w:r>
      <w:r w:rsidR="00DB758B">
        <w:rPr>
          <w:rFonts w:ascii="Book Antiqua" w:hAnsi="Book Antiqua"/>
          <w:color w:val="000000"/>
          <w:szCs w:val="24"/>
        </w:rPr>
        <w:t xml:space="preserve">that </w:t>
      </w:r>
      <w:r w:rsidRPr="00592ADF" w:rsidR="0098693C">
        <w:rPr>
          <w:rFonts w:ascii="Book Antiqua" w:hAnsi="Book Antiqua"/>
          <w:color w:val="000000"/>
          <w:szCs w:val="24"/>
        </w:rPr>
        <w:t>reduce</w:t>
      </w:r>
      <w:r w:rsidR="00293992">
        <w:rPr>
          <w:rFonts w:ascii="Book Antiqua" w:hAnsi="Book Antiqua"/>
          <w:color w:val="000000"/>
          <w:szCs w:val="24"/>
        </w:rPr>
        <w:t>s</w:t>
      </w:r>
      <w:r w:rsidRPr="00592ADF" w:rsidR="0098693C">
        <w:rPr>
          <w:rFonts w:ascii="Book Antiqua" w:hAnsi="Book Antiqua"/>
          <w:color w:val="000000"/>
          <w:szCs w:val="24"/>
        </w:rPr>
        <w:t xml:space="preserve"> </w:t>
      </w:r>
      <w:r w:rsidR="00293992">
        <w:rPr>
          <w:rFonts w:ascii="Book Antiqua" w:hAnsi="Book Antiqua"/>
          <w:color w:val="000000"/>
          <w:szCs w:val="24"/>
        </w:rPr>
        <w:t xml:space="preserve">the penalty to </w:t>
      </w:r>
      <w:r w:rsidRPr="00592ADF" w:rsidR="00600BDE">
        <w:rPr>
          <w:rFonts w:ascii="Book Antiqua" w:hAnsi="Book Antiqua"/>
          <w:color w:val="000000"/>
          <w:szCs w:val="24"/>
        </w:rPr>
        <w:t>$</w:t>
      </w:r>
      <w:r w:rsidRPr="00592ADF" w:rsidR="005F6A45">
        <w:rPr>
          <w:rFonts w:ascii="Book Antiqua" w:hAnsi="Book Antiqua"/>
          <w:color w:val="000000"/>
          <w:szCs w:val="24"/>
        </w:rPr>
        <w:t>7</w:t>
      </w:r>
      <w:r w:rsidRPr="00592ADF" w:rsidR="00600BDE">
        <w:rPr>
          <w:rFonts w:ascii="Book Antiqua" w:hAnsi="Book Antiqua"/>
          <w:color w:val="000000"/>
          <w:szCs w:val="24"/>
        </w:rPr>
        <w:t xml:space="preserve">,500. </w:t>
      </w:r>
    </w:p>
    <w:p w:rsidR="00293992" w:rsidRDefault="00293992" w14:paraId="6473F0D6" w14:textId="77777777">
      <w:pPr>
        <w:rPr>
          <w:rFonts w:ascii="Book Antiqua" w:hAnsi="Book Antiqua"/>
          <w:szCs w:val="24"/>
        </w:rPr>
      </w:pPr>
    </w:p>
    <w:p w:rsidR="00293992" w:rsidRDefault="00293992" w14:paraId="7FB4D300" w14:textId="66949CFB">
      <w:pPr>
        <w:rPr>
          <w:rFonts w:ascii="Book Antiqua" w:hAnsi="Book Antiqua"/>
          <w:szCs w:val="24"/>
        </w:rPr>
      </w:pPr>
      <w:r>
        <w:rPr>
          <w:rFonts w:ascii="Book Antiqua" w:hAnsi="Book Antiqua"/>
          <w:szCs w:val="24"/>
        </w:rPr>
        <w:t xml:space="preserve">K.24-07-007 is closed. </w:t>
      </w:r>
    </w:p>
    <w:p w:rsidRPr="00592ADF" w:rsidR="00293992" w:rsidRDefault="00293992" w14:paraId="353374AF" w14:textId="77777777">
      <w:pPr>
        <w:rPr>
          <w:rFonts w:ascii="Book Antiqua" w:hAnsi="Book Antiqua"/>
          <w:szCs w:val="24"/>
        </w:rPr>
      </w:pPr>
    </w:p>
    <w:p w:rsidRPr="00592ADF" w:rsidR="00C47C2A" w:rsidRDefault="00C47C2A" w14:paraId="72CDBE7E" w14:textId="5C6DEA06">
      <w:pPr>
        <w:rPr>
          <w:rFonts w:ascii="Book Antiqua" w:hAnsi="Book Antiqua"/>
          <w:b/>
          <w:szCs w:val="24"/>
          <w:u w:val="single"/>
        </w:rPr>
      </w:pPr>
      <w:r w:rsidRPr="00592ADF">
        <w:rPr>
          <w:rFonts w:ascii="Book Antiqua" w:hAnsi="Book Antiqua"/>
          <w:b/>
          <w:szCs w:val="24"/>
          <w:u w:val="single"/>
        </w:rPr>
        <w:t>BACKGROUND</w:t>
      </w:r>
    </w:p>
    <w:p w:rsidRPr="00592ADF" w:rsidR="000A3C58" w:rsidRDefault="000A3C58" w14:paraId="35B7C856" w14:textId="77777777">
      <w:pPr>
        <w:rPr>
          <w:rFonts w:ascii="Book Antiqua" w:hAnsi="Book Antiqua"/>
          <w:b/>
          <w:szCs w:val="24"/>
          <w:u w:val="single"/>
        </w:rPr>
      </w:pPr>
    </w:p>
    <w:p w:rsidRPr="00592ADF" w:rsidR="00DD7ADF" w:rsidP="00DD7ADF" w:rsidRDefault="00DC158C" w14:paraId="3B58B8A9" w14:textId="649FBBFB">
      <w:pPr>
        <w:rPr>
          <w:rFonts w:ascii="Book Antiqua" w:hAnsi="Book Antiqua"/>
          <w:szCs w:val="24"/>
        </w:rPr>
      </w:pPr>
      <w:proofErr w:type="spellStart"/>
      <w:r w:rsidRPr="00592ADF">
        <w:rPr>
          <w:rFonts w:ascii="Book Antiqua" w:hAnsi="Book Antiqua"/>
          <w:szCs w:val="24"/>
        </w:rPr>
        <w:t>Mexicoach</w:t>
      </w:r>
      <w:proofErr w:type="spellEnd"/>
      <w:r w:rsidRPr="00592ADF">
        <w:rPr>
          <w:rFonts w:ascii="Book Antiqua" w:hAnsi="Book Antiqua"/>
          <w:szCs w:val="24"/>
        </w:rPr>
        <w:t xml:space="preserve"> Inc., (</w:t>
      </w:r>
      <w:proofErr w:type="spellStart"/>
      <w:r w:rsidRPr="00592ADF">
        <w:rPr>
          <w:rFonts w:ascii="Book Antiqua" w:hAnsi="Book Antiqua"/>
          <w:szCs w:val="24"/>
        </w:rPr>
        <w:t>Mexicoach</w:t>
      </w:r>
      <w:proofErr w:type="spellEnd"/>
      <w:r w:rsidRPr="00592ADF">
        <w:rPr>
          <w:rFonts w:ascii="Book Antiqua" w:hAnsi="Book Antiqua"/>
          <w:szCs w:val="24"/>
        </w:rPr>
        <w:t xml:space="preserve">), </w:t>
      </w:r>
      <w:r w:rsidRPr="00592ADF" w:rsidR="000A0967">
        <w:rPr>
          <w:rFonts w:ascii="Book Antiqua" w:hAnsi="Book Antiqua"/>
          <w:szCs w:val="24"/>
        </w:rPr>
        <w:t xml:space="preserve">operates several buses and shuttles </w:t>
      </w:r>
      <w:r w:rsidRPr="00592ADF" w:rsidR="009F1BDD">
        <w:rPr>
          <w:rFonts w:ascii="Book Antiqua" w:hAnsi="Book Antiqua"/>
          <w:szCs w:val="24"/>
        </w:rPr>
        <w:t>in California and Mexico.</w:t>
      </w:r>
      <w:r w:rsidRPr="00592ADF" w:rsidR="00DD7ADF">
        <w:rPr>
          <w:rFonts w:ascii="Book Antiqua" w:hAnsi="Book Antiqua"/>
          <w:szCs w:val="24"/>
        </w:rPr>
        <w:t xml:space="preserve"> </w:t>
      </w:r>
      <w:proofErr w:type="spellStart"/>
      <w:r w:rsidRPr="00592ADF" w:rsidR="009F1BDD">
        <w:rPr>
          <w:rFonts w:ascii="Book Antiqua" w:hAnsi="Book Antiqua"/>
          <w:szCs w:val="24"/>
        </w:rPr>
        <w:t>Mexicoach</w:t>
      </w:r>
      <w:proofErr w:type="spellEnd"/>
      <w:r w:rsidRPr="00592ADF" w:rsidR="000A0967">
        <w:rPr>
          <w:rFonts w:ascii="Book Antiqua" w:hAnsi="Book Antiqua"/>
          <w:szCs w:val="24"/>
        </w:rPr>
        <w:t xml:space="preserve"> is a charter-party carrier</w:t>
      </w:r>
      <w:r w:rsidRPr="00592ADF" w:rsidR="00827164">
        <w:rPr>
          <w:rFonts w:ascii="Book Antiqua" w:hAnsi="Book Antiqua"/>
          <w:szCs w:val="24"/>
        </w:rPr>
        <w:t>.</w:t>
      </w:r>
      <w:r w:rsidRPr="00592ADF" w:rsidR="00CA309A">
        <w:rPr>
          <w:rFonts w:ascii="Book Antiqua" w:hAnsi="Book Antiqua"/>
          <w:szCs w:val="24"/>
        </w:rPr>
        <w:t xml:space="preserve"> A transportation “charter-party carrier of passengers” (TCP) is</w:t>
      </w:r>
      <w:r w:rsidRPr="00592ADF" w:rsidR="00D84A5D">
        <w:rPr>
          <w:rFonts w:ascii="Book Antiqua" w:hAnsi="Book Antiqua"/>
          <w:szCs w:val="24"/>
        </w:rPr>
        <w:t xml:space="preserve"> described </w:t>
      </w:r>
      <w:r w:rsidRPr="00592ADF" w:rsidR="00CA309A">
        <w:rPr>
          <w:rFonts w:ascii="Book Antiqua" w:hAnsi="Book Antiqua"/>
          <w:szCs w:val="24"/>
        </w:rPr>
        <w:t xml:space="preserve">as “every person engaged in the transportation of </w:t>
      </w:r>
      <w:r w:rsidRPr="00592ADF" w:rsidR="00CA309A">
        <w:rPr>
          <w:rFonts w:ascii="Book Antiqua" w:hAnsi="Book Antiqua"/>
          <w:szCs w:val="24"/>
        </w:rPr>
        <w:lastRenderedPageBreak/>
        <w:t>persons by motor vehicle for compensation, whether in common or contract carriage, over any public highway in this state.”</w:t>
      </w:r>
      <w:r w:rsidRPr="00592ADF" w:rsidR="00CA309A">
        <w:rPr>
          <w:rStyle w:val="FootnoteReference"/>
          <w:rFonts w:ascii="Book Antiqua" w:hAnsi="Book Antiqua"/>
          <w:szCs w:val="24"/>
        </w:rPr>
        <w:footnoteReference w:id="1"/>
      </w:r>
      <w:r w:rsidRPr="00592ADF" w:rsidR="009F1BDD">
        <w:rPr>
          <w:rFonts w:ascii="Book Antiqua" w:hAnsi="Book Antiqua"/>
          <w:szCs w:val="24"/>
        </w:rPr>
        <w:t xml:space="preserve"> </w:t>
      </w:r>
      <w:proofErr w:type="spellStart"/>
      <w:r w:rsidRPr="00592ADF" w:rsidR="009F1BDD">
        <w:rPr>
          <w:rFonts w:ascii="Book Antiqua" w:hAnsi="Book Antiqua"/>
          <w:szCs w:val="24"/>
        </w:rPr>
        <w:t>Mexicoach’s</w:t>
      </w:r>
      <w:proofErr w:type="spellEnd"/>
      <w:r w:rsidRPr="00592ADF" w:rsidR="00373076">
        <w:rPr>
          <w:rFonts w:ascii="Book Antiqua" w:hAnsi="Book Antiqua"/>
          <w:szCs w:val="24"/>
        </w:rPr>
        <w:t xml:space="preserve"> </w:t>
      </w:r>
      <w:r w:rsidRPr="00592ADF" w:rsidR="009F1BDD">
        <w:rPr>
          <w:rFonts w:ascii="Book Antiqua" w:hAnsi="Book Antiqua"/>
          <w:szCs w:val="24"/>
        </w:rPr>
        <w:t>TCP No. is 36804 A.</w:t>
      </w:r>
      <w:r w:rsidRPr="00592ADF" w:rsidR="009F1BDD">
        <w:rPr>
          <w:rStyle w:val="FootnoteReference"/>
          <w:rFonts w:ascii="Book Antiqua" w:hAnsi="Book Antiqua"/>
          <w:szCs w:val="24"/>
        </w:rPr>
        <w:footnoteReference w:id="2"/>
      </w:r>
    </w:p>
    <w:p w:rsidRPr="00592ADF" w:rsidR="00DD7ADF" w:rsidP="00DD7ADF" w:rsidRDefault="00DD7ADF" w14:paraId="55B0F858" w14:textId="77777777">
      <w:pPr>
        <w:rPr>
          <w:rFonts w:ascii="Book Antiqua" w:hAnsi="Book Antiqua"/>
          <w:szCs w:val="24"/>
        </w:rPr>
      </w:pPr>
    </w:p>
    <w:p w:rsidRPr="00592ADF" w:rsidR="00BE5F6D" w:rsidP="00DD7ADF" w:rsidRDefault="00DD7ADF" w14:paraId="6784EB4B" w14:textId="6A0C39B3">
      <w:pPr>
        <w:rPr>
          <w:rFonts w:ascii="Book Antiqua" w:hAnsi="Book Antiqua"/>
          <w:szCs w:val="24"/>
        </w:rPr>
      </w:pPr>
      <w:r w:rsidRPr="00592ADF">
        <w:rPr>
          <w:rFonts w:ascii="Book Antiqua" w:hAnsi="Book Antiqua"/>
          <w:szCs w:val="24"/>
        </w:rPr>
        <w:t xml:space="preserve">The California Public Utilities Commission </w:t>
      </w:r>
      <w:r w:rsidRPr="00592ADF" w:rsidR="00DC4EF4">
        <w:rPr>
          <w:rFonts w:ascii="Book Antiqua" w:hAnsi="Book Antiqua"/>
          <w:szCs w:val="24"/>
        </w:rPr>
        <w:t xml:space="preserve">(Commission) </w:t>
      </w:r>
      <w:r w:rsidRPr="00592ADF">
        <w:rPr>
          <w:rFonts w:ascii="Book Antiqua" w:hAnsi="Book Antiqua"/>
          <w:szCs w:val="24"/>
        </w:rPr>
        <w:t>Consumer Protection and Enforcement Division (CPED) collect</w:t>
      </w:r>
      <w:r w:rsidRPr="00592ADF" w:rsidR="00AE3166">
        <w:rPr>
          <w:rFonts w:ascii="Book Antiqua" w:hAnsi="Book Antiqua"/>
          <w:szCs w:val="24"/>
        </w:rPr>
        <w:t xml:space="preserve"> </w:t>
      </w:r>
      <w:r w:rsidRPr="00592ADF">
        <w:rPr>
          <w:rFonts w:ascii="Book Antiqua" w:hAnsi="Book Antiqua"/>
          <w:szCs w:val="24"/>
        </w:rPr>
        <w:t>and resolve consumer complaints, establish and enforce rules and regulations for transportation carriers, and investigate allegations of utility waste, fraud, and abuse.</w:t>
      </w:r>
      <w:r w:rsidRPr="00592ADF">
        <w:rPr>
          <w:rStyle w:val="FootnoteReference"/>
          <w:rFonts w:ascii="Book Antiqua" w:hAnsi="Book Antiqua"/>
          <w:szCs w:val="24"/>
        </w:rPr>
        <w:footnoteReference w:id="3"/>
      </w:r>
      <w:r w:rsidRPr="00592ADF">
        <w:rPr>
          <w:rFonts w:ascii="Book Antiqua" w:hAnsi="Book Antiqua"/>
          <w:szCs w:val="24"/>
        </w:rPr>
        <w:t xml:space="preserve"> </w:t>
      </w:r>
    </w:p>
    <w:p w:rsidRPr="00592ADF" w:rsidR="00FB4673" w:rsidP="00FB4673" w:rsidRDefault="00FB4673" w14:paraId="00E40A58" w14:textId="77777777">
      <w:pPr>
        <w:rPr>
          <w:rFonts w:ascii="Book Antiqua" w:hAnsi="Book Antiqua"/>
          <w:szCs w:val="24"/>
        </w:rPr>
      </w:pPr>
    </w:p>
    <w:p w:rsidRPr="00592ADF" w:rsidR="004E7887" w:rsidP="00FB4673" w:rsidRDefault="00FB4673" w14:paraId="4C8BC5A9" w14:textId="6446B109">
      <w:pPr>
        <w:rPr>
          <w:rFonts w:ascii="Book Antiqua" w:hAnsi="Book Antiqua"/>
          <w:szCs w:val="24"/>
        </w:rPr>
      </w:pPr>
      <w:r w:rsidRPr="00592ADF">
        <w:rPr>
          <w:rFonts w:ascii="Book Antiqua" w:hAnsi="Book Antiqua"/>
          <w:szCs w:val="24"/>
        </w:rPr>
        <w:t>On Ma</w:t>
      </w:r>
      <w:r w:rsidRPr="00592ADF" w:rsidR="009F1BDD">
        <w:rPr>
          <w:rFonts w:ascii="Book Antiqua" w:hAnsi="Book Antiqua"/>
          <w:szCs w:val="24"/>
        </w:rPr>
        <w:t>y</w:t>
      </w:r>
      <w:r w:rsidRPr="00592ADF">
        <w:rPr>
          <w:rFonts w:ascii="Book Antiqua" w:hAnsi="Book Antiqua"/>
          <w:szCs w:val="24"/>
        </w:rPr>
        <w:t xml:space="preserve"> 2</w:t>
      </w:r>
      <w:r w:rsidRPr="00592ADF" w:rsidR="009F1BDD">
        <w:rPr>
          <w:rFonts w:ascii="Book Antiqua" w:hAnsi="Book Antiqua"/>
          <w:szCs w:val="24"/>
        </w:rPr>
        <w:t>3</w:t>
      </w:r>
      <w:r w:rsidRPr="00592ADF">
        <w:rPr>
          <w:rFonts w:ascii="Book Antiqua" w:hAnsi="Book Antiqua"/>
          <w:szCs w:val="24"/>
        </w:rPr>
        <w:t>, 2024, CPED issued Citation T.24-0</w:t>
      </w:r>
      <w:r w:rsidRPr="00592ADF" w:rsidR="009F1BDD">
        <w:rPr>
          <w:rFonts w:ascii="Book Antiqua" w:hAnsi="Book Antiqua"/>
          <w:szCs w:val="24"/>
        </w:rPr>
        <w:t>5</w:t>
      </w:r>
      <w:r w:rsidRPr="00592ADF">
        <w:rPr>
          <w:rFonts w:ascii="Book Antiqua" w:hAnsi="Book Antiqua"/>
          <w:szCs w:val="24"/>
        </w:rPr>
        <w:t>-00</w:t>
      </w:r>
      <w:r w:rsidRPr="00592ADF" w:rsidR="009F1BDD">
        <w:rPr>
          <w:rFonts w:ascii="Book Antiqua" w:hAnsi="Book Antiqua"/>
          <w:szCs w:val="24"/>
        </w:rPr>
        <w:t>7</w:t>
      </w:r>
      <w:r w:rsidRPr="00592ADF">
        <w:rPr>
          <w:rFonts w:ascii="Book Antiqua" w:hAnsi="Book Antiqua"/>
          <w:szCs w:val="24"/>
        </w:rPr>
        <w:t xml:space="preserve"> (Citation) to </w:t>
      </w:r>
      <w:proofErr w:type="spellStart"/>
      <w:r w:rsidRPr="00592ADF" w:rsidR="009F1BDD">
        <w:rPr>
          <w:rFonts w:ascii="Book Antiqua" w:hAnsi="Book Antiqua"/>
          <w:szCs w:val="24"/>
        </w:rPr>
        <w:t>Mexicoach</w:t>
      </w:r>
      <w:proofErr w:type="spellEnd"/>
      <w:r w:rsidRPr="00592ADF" w:rsidR="009F1BDD">
        <w:rPr>
          <w:rFonts w:ascii="Book Antiqua" w:hAnsi="Book Antiqua"/>
          <w:szCs w:val="24"/>
        </w:rPr>
        <w:t xml:space="preserve"> </w:t>
      </w:r>
      <w:r w:rsidRPr="00592ADF">
        <w:rPr>
          <w:rFonts w:ascii="Book Antiqua" w:hAnsi="Book Antiqua"/>
          <w:szCs w:val="24"/>
        </w:rPr>
        <w:t xml:space="preserve">for </w:t>
      </w:r>
      <w:r w:rsidRPr="00592ADF" w:rsidR="00D42B68">
        <w:rPr>
          <w:rFonts w:ascii="Book Antiqua" w:hAnsi="Book Antiqua"/>
          <w:szCs w:val="24"/>
        </w:rPr>
        <w:t>alleging seven violations comprised of 79 total counts for violations of Public Utilities Code (Pub. Util. Code) §§ 425, 5378(a)(9), 5378.1, 5389, 5381.5, 5378.1 and Commission General Order (GO) 157- E, Parts 3.01, 3.07 and 4.01</w:t>
      </w:r>
      <w:r w:rsidRPr="00592ADF">
        <w:rPr>
          <w:rFonts w:ascii="Book Antiqua" w:hAnsi="Book Antiqua"/>
          <w:szCs w:val="24"/>
        </w:rPr>
        <w:t>.</w:t>
      </w:r>
      <w:r w:rsidRPr="00592ADF">
        <w:rPr>
          <w:rStyle w:val="FootnoteReference"/>
          <w:rFonts w:ascii="Book Antiqua" w:hAnsi="Book Antiqua"/>
          <w:szCs w:val="24"/>
        </w:rPr>
        <w:footnoteReference w:id="4"/>
      </w:r>
      <w:r w:rsidRPr="00592ADF">
        <w:rPr>
          <w:rFonts w:ascii="Book Antiqua" w:hAnsi="Book Antiqua"/>
          <w:szCs w:val="24"/>
        </w:rPr>
        <w:t xml:space="preserve"> </w:t>
      </w:r>
      <w:r w:rsidRPr="00592ADF" w:rsidR="00A54B60">
        <w:rPr>
          <w:rFonts w:ascii="Book Antiqua" w:hAnsi="Book Antiqua"/>
          <w:szCs w:val="24"/>
        </w:rPr>
        <w:t xml:space="preserve">CPED’ Citation issued </w:t>
      </w:r>
      <w:proofErr w:type="spellStart"/>
      <w:r w:rsidRPr="00592ADF" w:rsidR="00A54B60">
        <w:rPr>
          <w:rFonts w:ascii="Book Antiqua" w:hAnsi="Book Antiqua"/>
          <w:szCs w:val="24"/>
        </w:rPr>
        <w:t>Mexicoach</w:t>
      </w:r>
      <w:proofErr w:type="spellEnd"/>
      <w:r w:rsidRPr="00592ADF" w:rsidR="00A54B60">
        <w:rPr>
          <w:rFonts w:ascii="Book Antiqua" w:hAnsi="Book Antiqua"/>
          <w:szCs w:val="24"/>
        </w:rPr>
        <w:t xml:space="preserve"> a </w:t>
      </w:r>
      <w:r w:rsidRPr="00592ADF" w:rsidR="008311E6">
        <w:rPr>
          <w:rFonts w:ascii="Book Antiqua" w:hAnsi="Book Antiqua"/>
          <w:szCs w:val="24"/>
        </w:rPr>
        <w:t xml:space="preserve">$20,000 </w:t>
      </w:r>
      <w:r w:rsidRPr="00592ADF">
        <w:rPr>
          <w:rFonts w:ascii="Book Antiqua" w:hAnsi="Book Antiqua"/>
          <w:szCs w:val="24"/>
        </w:rPr>
        <w:t>penalty to either (1) pay in full, (2)</w:t>
      </w:r>
      <w:r w:rsidRPr="00592ADF" w:rsidR="00592ADF">
        <w:rPr>
          <w:rFonts w:ascii="Book Antiqua" w:hAnsi="Book Antiqua"/>
          <w:szCs w:val="24"/>
        </w:rPr>
        <w:t> </w:t>
      </w:r>
      <w:r w:rsidRPr="00592ADF">
        <w:rPr>
          <w:rFonts w:ascii="Book Antiqua" w:hAnsi="Book Antiqua"/>
          <w:szCs w:val="24"/>
        </w:rPr>
        <w:t xml:space="preserve">request a payment plan, or (3) file an appeal by </w:t>
      </w:r>
      <w:r w:rsidRPr="00592ADF" w:rsidR="002377D1">
        <w:rPr>
          <w:rFonts w:ascii="Book Antiqua" w:hAnsi="Book Antiqua"/>
          <w:szCs w:val="24"/>
        </w:rPr>
        <w:t>June 12</w:t>
      </w:r>
      <w:r w:rsidRPr="00592ADF">
        <w:rPr>
          <w:rFonts w:ascii="Book Antiqua" w:hAnsi="Book Antiqua"/>
          <w:szCs w:val="24"/>
        </w:rPr>
        <w:t>, 2024.</w:t>
      </w:r>
      <w:r w:rsidRPr="00592ADF">
        <w:rPr>
          <w:rStyle w:val="FootnoteReference"/>
          <w:rFonts w:ascii="Book Antiqua" w:hAnsi="Book Antiqua"/>
          <w:szCs w:val="24"/>
        </w:rPr>
        <w:footnoteReference w:id="5"/>
      </w:r>
      <w:r w:rsidRPr="00592ADF">
        <w:rPr>
          <w:rFonts w:ascii="Book Antiqua" w:hAnsi="Book Antiqua"/>
          <w:szCs w:val="24"/>
        </w:rPr>
        <w:t xml:space="preserve"> </w:t>
      </w:r>
    </w:p>
    <w:p w:rsidRPr="00592ADF" w:rsidR="004E7887" w:rsidP="00FB4673" w:rsidRDefault="004E7887" w14:paraId="678EB871" w14:textId="77777777">
      <w:pPr>
        <w:rPr>
          <w:rFonts w:ascii="Book Antiqua" w:hAnsi="Book Antiqua"/>
          <w:szCs w:val="24"/>
        </w:rPr>
      </w:pPr>
    </w:p>
    <w:p w:rsidRPr="00592ADF" w:rsidR="00FB4673" w:rsidP="00FB4673" w:rsidRDefault="00DC158C" w14:paraId="28FA3FA8" w14:textId="6B371A41">
      <w:pPr>
        <w:rPr>
          <w:rFonts w:ascii="Book Antiqua" w:hAnsi="Book Antiqua"/>
          <w:szCs w:val="24"/>
        </w:rPr>
      </w:pPr>
      <w:r w:rsidRPr="00592ADF">
        <w:rPr>
          <w:rFonts w:ascii="Book Antiqua" w:hAnsi="Book Antiqua"/>
          <w:szCs w:val="24"/>
        </w:rPr>
        <w:t xml:space="preserve">On July 12, 2024, </w:t>
      </w:r>
      <w:proofErr w:type="spellStart"/>
      <w:r w:rsidRPr="00592ADF">
        <w:rPr>
          <w:rFonts w:ascii="Book Antiqua" w:hAnsi="Book Antiqua"/>
          <w:szCs w:val="24"/>
        </w:rPr>
        <w:t>Mexicoach</w:t>
      </w:r>
      <w:proofErr w:type="spellEnd"/>
      <w:r w:rsidRPr="00592ADF">
        <w:rPr>
          <w:rFonts w:ascii="Book Antiqua" w:hAnsi="Book Antiqua"/>
          <w:szCs w:val="24"/>
        </w:rPr>
        <w:t xml:space="preserve"> filed </w:t>
      </w:r>
      <w:r w:rsidRPr="00592ADF" w:rsidR="00FB4673">
        <w:rPr>
          <w:rFonts w:ascii="Book Antiqua" w:hAnsi="Book Antiqua"/>
          <w:szCs w:val="24"/>
        </w:rPr>
        <w:t xml:space="preserve">a </w:t>
      </w:r>
      <w:r w:rsidRPr="00592ADF" w:rsidR="00B955BF">
        <w:rPr>
          <w:rFonts w:ascii="Book Antiqua" w:hAnsi="Book Antiqua"/>
          <w:szCs w:val="24"/>
        </w:rPr>
        <w:t xml:space="preserve">timely </w:t>
      </w:r>
      <w:r w:rsidRPr="00592ADF" w:rsidR="00FB4673">
        <w:rPr>
          <w:rFonts w:ascii="Book Antiqua" w:hAnsi="Book Antiqua"/>
          <w:szCs w:val="24"/>
        </w:rPr>
        <w:t>Notice of Appeal (Appeal) of the Citation</w:t>
      </w:r>
      <w:r w:rsidRPr="00592ADF">
        <w:rPr>
          <w:rFonts w:ascii="Book Antiqua" w:hAnsi="Book Antiqua"/>
          <w:szCs w:val="24"/>
        </w:rPr>
        <w:t xml:space="preserve">. </w:t>
      </w:r>
      <w:r w:rsidRPr="00592ADF" w:rsidR="00A54B60">
        <w:rPr>
          <w:rFonts w:ascii="Book Antiqua" w:hAnsi="Book Antiqua"/>
          <w:szCs w:val="24"/>
        </w:rPr>
        <w:t xml:space="preserve">Collectively CPED and </w:t>
      </w:r>
      <w:proofErr w:type="spellStart"/>
      <w:r w:rsidRPr="00592ADF" w:rsidR="00A54B60">
        <w:rPr>
          <w:rFonts w:ascii="Book Antiqua" w:hAnsi="Book Antiqua"/>
          <w:szCs w:val="24"/>
        </w:rPr>
        <w:t>Mexicoach</w:t>
      </w:r>
      <w:proofErr w:type="spellEnd"/>
      <w:r w:rsidRPr="00592ADF" w:rsidR="00A54B60">
        <w:rPr>
          <w:rFonts w:ascii="Book Antiqua" w:hAnsi="Book Antiqua"/>
          <w:szCs w:val="24"/>
        </w:rPr>
        <w:t xml:space="preserve"> are the (Parties). </w:t>
      </w:r>
    </w:p>
    <w:p w:rsidRPr="00592ADF" w:rsidR="001D11E6" w:rsidP="00FB4673" w:rsidRDefault="001D11E6" w14:paraId="7FAAB39F" w14:textId="77777777">
      <w:pPr>
        <w:rPr>
          <w:rFonts w:ascii="Book Antiqua" w:hAnsi="Book Antiqua"/>
          <w:szCs w:val="24"/>
        </w:rPr>
      </w:pPr>
    </w:p>
    <w:p w:rsidRPr="00592ADF" w:rsidR="001D11E6" w:rsidP="00FB4673" w:rsidRDefault="001D11E6" w14:paraId="0BF43C40" w14:textId="68184E3F">
      <w:pPr>
        <w:rPr>
          <w:rFonts w:ascii="Book Antiqua" w:hAnsi="Book Antiqua"/>
          <w:szCs w:val="24"/>
        </w:rPr>
      </w:pPr>
      <w:r w:rsidRPr="00592ADF">
        <w:rPr>
          <w:rFonts w:ascii="Book Antiqua" w:hAnsi="Book Antiqua"/>
          <w:szCs w:val="24"/>
        </w:rPr>
        <w:t xml:space="preserve">On July 26, 2024, CPED filed a Motion to file its Confidential </w:t>
      </w:r>
      <w:r w:rsidRPr="00592ADF" w:rsidR="00FC0237">
        <w:rPr>
          <w:rFonts w:ascii="Book Antiqua" w:hAnsi="Book Antiqua"/>
          <w:szCs w:val="24"/>
        </w:rPr>
        <w:t>Compliance</w:t>
      </w:r>
      <w:r w:rsidRPr="00592ADF">
        <w:rPr>
          <w:rFonts w:ascii="Book Antiqua" w:hAnsi="Book Antiqua"/>
          <w:szCs w:val="24"/>
        </w:rPr>
        <w:t xml:space="preserve"> Filing Under Seal </w:t>
      </w:r>
      <w:r w:rsidRPr="00592ADF" w:rsidR="00A54B60">
        <w:rPr>
          <w:rFonts w:ascii="Book Antiqua" w:hAnsi="Book Antiqua"/>
          <w:szCs w:val="24"/>
        </w:rPr>
        <w:t xml:space="preserve">(Confidential Compliance Filing) </w:t>
      </w:r>
      <w:r w:rsidRPr="00592ADF">
        <w:rPr>
          <w:rFonts w:ascii="Book Antiqua" w:hAnsi="Book Antiqua"/>
          <w:szCs w:val="24"/>
        </w:rPr>
        <w:t xml:space="preserve">and a Public Version of the Compliance Filing (Compliance Filing). On September 23, 2024, </w:t>
      </w:r>
      <w:r w:rsidRPr="00592ADF" w:rsidR="00A54B60">
        <w:rPr>
          <w:rFonts w:ascii="Book Antiqua" w:hAnsi="Book Antiqua"/>
          <w:szCs w:val="24"/>
        </w:rPr>
        <w:t>the assigned Administrative Law Judge (ALJ) issued a ruling gr</w:t>
      </w:r>
      <w:r w:rsidRPr="00592ADF" w:rsidR="00E7432F">
        <w:rPr>
          <w:rFonts w:ascii="Book Antiqua" w:hAnsi="Book Antiqua"/>
          <w:szCs w:val="24"/>
        </w:rPr>
        <w:t xml:space="preserve">anting </w:t>
      </w:r>
      <w:r w:rsidRPr="00592ADF" w:rsidR="00A54B60">
        <w:rPr>
          <w:rFonts w:ascii="Book Antiqua" w:hAnsi="Book Antiqua"/>
          <w:szCs w:val="24"/>
        </w:rPr>
        <w:t xml:space="preserve">CPED’s </w:t>
      </w:r>
      <w:r w:rsidRPr="00592ADF" w:rsidR="00E7432F">
        <w:rPr>
          <w:rFonts w:ascii="Book Antiqua" w:hAnsi="Book Antiqua"/>
          <w:szCs w:val="24"/>
        </w:rPr>
        <w:t xml:space="preserve">motion to file its </w:t>
      </w:r>
      <w:r w:rsidRPr="00592ADF" w:rsidR="00A54B60">
        <w:rPr>
          <w:rFonts w:ascii="Book Antiqua" w:hAnsi="Book Antiqua"/>
          <w:szCs w:val="24"/>
        </w:rPr>
        <w:t xml:space="preserve">Confidential Compliance </w:t>
      </w:r>
      <w:r w:rsidRPr="00592ADF" w:rsidR="00E7432F">
        <w:rPr>
          <w:rFonts w:ascii="Book Antiqua" w:hAnsi="Book Antiqua"/>
          <w:szCs w:val="24"/>
        </w:rPr>
        <w:t>F</w:t>
      </w:r>
      <w:r w:rsidRPr="00592ADF" w:rsidR="00A54B60">
        <w:rPr>
          <w:rFonts w:ascii="Book Antiqua" w:hAnsi="Book Antiqua"/>
          <w:szCs w:val="24"/>
        </w:rPr>
        <w:t xml:space="preserve">iling. </w:t>
      </w:r>
    </w:p>
    <w:p w:rsidRPr="00592ADF" w:rsidR="001D11E6" w:rsidP="00FB4673" w:rsidRDefault="001D11E6" w14:paraId="26626223" w14:textId="77777777">
      <w:pPr>
        <w:rPr>
          <w:rFonts w:ascii="Book Antiqua" w:hAnsi="Book Antiqua"/>
          <w:szCs w:val="24"/>
        </w:rPr>
      </w:pPr>
    </w:p>
    <w:p w:rsidRPr="00592ADF" w:rsidR="00502E65" w:rsidP="00FB4673" w:rsidRDefault="00A54B60" w14:paraId="076D05F3" w14:textId="19BC0C72">
      <w:pPr>
        <w:rPr>
          <w:rFonts w:ascii="Book Antiqua" w:hAnsi="Book Antiqua"/>
          <w:szCs w:val="24"/>
        </w:rPr>
      </w:pPr>
      <w:r w:rsidRPr="00592ADF">
        <w:rPr>
          <w:rFonts w:ascii="Book Antiqua" w:hAnsi="Book Antiqua"/>
          <w:szCs w:val="24"/>
        </w:rPr>
        <w:t>On June 3, 2025, a ruling order</w:t>
      </w:r>
      <w:r w:rsidRPr="00592ADF" w:rsidR="00502E65">
        <w:rPr>
          <w:rFonts w:ascii="Book Antiqua" w:hAnsi="Book Antiqua"/>
          <w:szCs w:val="24"/>
        </w:rPr>
        <w:t>ed</w:t>
      </w:r>
      <w:r w:rsidRPr="00592ADF">
        <w:rPr>
          <w:rFonts w:ascii="Book Antiqua" w:hAnsi="Book Antiqua"/>
          <w:szCs w:val="24"/>
        </w:rPr>
        <w:t xml:space="preserve"> the </w:t>
      </w:r>
      <w:r w:rsidRPr="00592ADF" w:rsidR="002A324E">
        <w:rPr>
          <w:rFonts w:ascii="Book Antiqua" w:hAnsi="Book Antiqua"/>
          <w:szCs w:val="24"/>
        </w:rPr>
        <w:t>Parties to file a Joint Status Conference Statement.</w:t>
      </w:r>
      <w:r w:rsidR="00AD316E">
        <w:rPr>
          <w:rFonts w:ascii="Book Antiqua" w:hAnsi="Book Antiqua"/>
          <w:szCs w:val="24"/>
        </w:rPr>
        <w:t xml:space="preserve"> </w:t>
      </w:r>
      <w:r w:rsidRPr="00592ADF" w:rsidR="00502E65">
        <w:rPr>
          <w:rFonts w:ascii="Book Antiqua" w:hAnsi="Book Antiqua"/>
          <w:szCs w:val="24"/>
        </w:rPr>
        <w:t xml:space="preserve">On June 26, 2025, the Parties sent the ALJ and Service List a procedural e-mail to </w:t>
      </w:r>
      <w:r w:rsidRPr="00592ADF" w:rsidR="00732AEB">
        <w:rPr>
          <w:rFonts w:ascii="Book Antiqua" w:hAnsi="Book Antiqua"/>
          <w:szCs w:val="24"/>
        </w:rPr>
        <w:t xml:space="preserve">inform </w:t>
      </w:r>
      <w:r w:rsidRPr="00592ADF" w:rsidR="00502E65">
        <w:rPr>
          <w:rFonts w:ascii="Book Antiqua" w:hAnsi="Book Antiqua"/>
          <w:szCs w:val="24"/>
        </w:rPr>
        <w:t>the Commission the Parties reached a settlement. On July 15, 2025, the Parties filed a Joint Motion</w:t>
      </w:r>
      <w:r w:rsidR="00293992">
        <w:rPr>
          <w:rFonts w:ascii="Book Antiqua" w:hAnsi="Book Antiqua"/>
          <w:szCs w:val="24"/>
        </w:rPr>
        <w:t xml:space="preserve"> (Joint Motion)</w:t>
      </w:r>
      <w:r w:rsidRPr="00592ADF" w:rsidR="00502E65">
        <w:rPr>
          <w:rFonts w:ascii="Book Antiqua" w:hAnsi="Book Antiqua"/>
          <w:szCs w:val="24"/>
        </w:rPr>
        <w:t xml:space="preserve"> for Commission Adoption of Settlement Agreement (Settlement </w:t>
      </w:r>
      <w:r w:rsidR="00293992">
        <w:rPr>
          <w:rFonts w:ascii="Book Antiqua" w:hAnsi="Book Antiqua"/>
          <w:szCs w:val="24"/>
        </w:rPr>
        <w:t>Agreement</w:t>
      </w:r>
      <w:r w:rsidR="00FA78E5">
        <w:rPr>
          <w:rStyle w:val="FootnoteReference"/>
          <w:rFonts w:ascii="Book Antiqua" w:hAnsi="Book Antiqua"/>
          <w:szCs w:val="24"/>
        </w:rPr>
        <w:footnoteReference w:id="6"/>
      </w:r>
      <w:r w:rsidRPr="00592ADF" w:rsidR="00502E65">
        <w:rPr>
          <w:rFonts w:ascii="Book Antiqua" w:hAnsi="Book Antiqua"/>
          <w:szCs w:val="24"/>
        </w:rPr>
        <w:t>)</w:t>
      </w:r>
      <w:r w:rsidRPr="00592ADF" w:rsidR="00732AEB">
        <w:rPr>
          <w:rFonts w:ascii="Book Antiqua" w:hAnsi="Book Antiqua"/>
          <w:szCs w:val="24"/>
        </w:rPr>
        <w:t>.</w:t>
      </w:r>
      <w:r w:rsidRPr="00592ADF" w:rsidR="00E638BC">
        <w:rPr>
          <w:rFonts w:ascii="Book Antiqua" w:hAnsi="Book Antiqua"/>
          <w:szCs w:val="24"/>
        </w:rPr>
        <w:t xml:space="preserve"> The </w:t>
      </w:r>
      <w:r w:rsidR="00293992">
        <w:rPr>
          <w:rFonts w:ascii="Book Antiqua" w:hAnsi="Book Antiqua"/>
          <w:szCs w:val="24"/>
        </w:rPr>
        <w:t>Joint Motion</w:t>
      </w:r>
      <w:r w:rsidRPr="00592ADF" w:rsidR="00E638BC">
        <w:rPr>
          <w:rFonts w:ascii="Book Antiqua" w:hAnsi="Book Antiqua"/>
          <w:szCs w:val="24"/>
        </w:rPr>
        <w:t xml:space="preserve"> is uncontested.</w:t>
      </w:r>
    </w:p>
    <w:p w:rsidRPr="00592ADF" w:rsidR="00FB4673" w:rsidP="00FB4673" w:rsidRDefault="00FB4673" w14:paraId="06238586" w14:textId="77777777">
      <w:pPr>
        <w:rPr>
          <w:rFonts w:ascii="Book Antiqua" w:hAnsi="Book Antiqua"/>
          <w:szCs w:val="24"/>
        </w:rPr>
      </w:pPr>
    </w:p>
    <w:p w:rsidRPr="00592ADF" w:rsidR="00FB4673" w:rsidP="00FB4673" w:rsidRDefault="00B257CE" w14:paraId="1BC62BD1" w14:textId="68AA1F74">
      <w:pPr>
        <w:rPr>
          <w:rFonts w:ascii="Book Antiqua" w:hAnsi="Book Antiqua"/>
          <w:szCs w:val="24"/>
        </w:rPr>
      </w:pPr>
      <w:r w:rsidRPr="00592ADF">
        <w:rPr>
          <w:rFonts w:ascii="Book Antiqua" w:hAnsi="Book Antiqua"/>
          <w:szCs w:val="24"/>
        </w:rPr>
        <w:lastRenderedPageBreak/>
        <w:t xml:space="preserve">The Settlement </w:t>
      </w:r>
      <w:r w:rsidR="00293992">
        <w:rPr>
          <w:rFonts w:ascii="Book Antiqua" w:hAnsi="Book Antiqua"/>
          <w:szCs w:val="24"/>
        </w:rPr>
        <w:t>Agreement</w:t>
      </w:r>
      <w:r w:rsidRPr="00592ADF" w:rsidR="00293992">
        <w:rPr>
          <w:rFonts w:ascii="Book Antiqua" w:hAnsi="Book Antiqua"/>
          <w:szCs w:val="24"/>
        </w:rPr>
        <w:t xml:space="preserve"> </w:t>
      </w:r>
      <w:r w:rsidRPr="00592ADF">
        <w:rPr>
          <w:rFonts w:ascii="Book Antiqua" w:hAnsi="Book Antiqua"/>
          <w:szCs w:val="24"/>
        </w:rPr>
        <w:t xml:space="preserve">terms reduce the penalty from </w:t>
      </w:r>
      <w:r w:rsidRPr="00592ADF" w:rsidR="00FB4673">
        <w:rPr>
          <w:rFonts w:ascii="Book Antiqua" w:hAnsi="Book Antiqua"/>
          <w:szCs w:val="24"/>
        </w:rPr>
        <w:t>$20,000 to $</w:t>
      </w:r>
      <w:r w:rsidRPr="00592ADF" w:rsidR="00DC158C">
        <w:rPr>
          <w:rFonts w:ascii="Book Antiqua" w:hAnsi="Book Antiqua"/>
          <w:szCs w:val="24"/>
        </w:rPr>
        <w:t>7</w:t>
      </w:r>
      <w:r w:rsidRPr="00592ADF" w:rsidR="00FB4673">
        <w:rPr>
          <w:rFonts w:ascii="Book Antiqua" w:hAnsi="Book Antiqua"/>
          <w:szCs w:val="24"/>
        </w:rPr>
        <w:t>,500 (</w:t>
      </w:r>
      <w:r w:rsidRPr="00592ADF" w:rsidR="00DC158C">
        <w:rPr>
          <w:rFonts w:ascii="Book Antiqua" w:hAnsi="Book Antiqua"/>
          <w:szCs w:val="24"/>
        </w:rPr>
        <w:t>Seven</w:t>
      </w:r>
      <w:r w:rsidRPr="00592ADF" w:rsidR="001D11E6">
        <w:rPr>
          <w:rFonts w:ascii="Book Antiqua" w:hAnsi="Book Antiqua"/>
          <w:szCs w:val="24"/>
        </w:rPr>
        <w:t>-</w:t>
      </w:r>
      <w:r w:rsidRPr="00592ADF" w:rsidR="00DC158C">
        <w:rPr>
          <w:rFonts w:ascii="Book Antiqua" w:hAnsi="Book Antiqua"/>
          <w:szCs w:val="24"/>
        </w:rPr>
        <w:t>Thousand and</w:t>
      </w:r>
      <w:r w:rsidRPr="00592ADF" w:rsidR="00FB4673">
        <w:rPr>
          <w:rFonts w:ascii="Book Antiqua" w:hAnsi="Book Antiqua"/>
          <w:szCs w:val="24"/>
        </w:rPr>
        <w:t xml:space="preserve"> Five Hundred Dollars).</w:t>
      </w:r>
      <w:r w:rsidRPr="00592ADF" w:rsidR="00FB4673">
        <w:rPr>
          <w:rStyle w:val="FootnoteReference"/>
          <w:rFonts w:ascii="Book Antiqua" w:hAnsi="Book Antiqua"/>
          <w:szCs w:val="24"/>
        </w:rPr>
        <w:footnoteReference w:id="7"/>
      </w:r>
      <w:r w:rsidRPr="00592ADF" w:rsidR="00FB4673">
        <w:rPr>
          <w:rFonts w:ascii="Book Antiqua" w:hAnsi="Book Antiqua"/>
          <w:szCs w:val="24"/>
        </w:rPr>
        <w:t xml:space="preserve"> </w:t>
      </w:r>
      <w:r w:rsidRPr="00592ADF">
        <w:rPr>
          <w:rFonts w:ascii="Book Antiqua" w:hAnsi="Book Antiqua"/>
          <w:szCs w:val="24"/>
        </w:rPr>
        <w:t xml:space="preserve">The Parties stipulate that </w:t>
      </w:r>
      <w:proofErr w:type="spellStart"/>
      <w:r w:rsidRPr="00592ADF">
        <w:rPr>
          <w:rFonts w:ascii="Book Antiqua" w:hAnsi="Book Antiqua"/>
          <w:szCs w:val="24"/>
        </w:rPr>
        <w:t>Mexicoach</w:t>
      </w:r>
      <w:proofErr w:type="spellEnd"/>
      <w:r w:rsidRPr="00592ADF">
        <w:rPr>
          <w:rFonts w:ascii="Book Antiqua" w:hAnsi="Book Antiqua"/>
          <w:szCs w:val="24"/>
        </w:rPr>
        <w:t xml:space="preserve"> did not commit Violation</w:t>
      </w:r>
      <w:r w:rsidRPr="00592ADF" w:rsidR="00E638BC">
        <w:rPr>
          <w:rFonts w:ascii="Book Antiqua" w:hAnsi="Book Antiqua"/>
          <w:szCs w:val="24"/>
        </w:rPr>
        <w:t>s</w:t>
      </w:r>
      <w:r w:rsidRPr="00592ADF">
        <w:rPr>
          <w:rFonts w:ascii="Book Antiqua" w:hAnsi="Book Antiqua"/>
          <w:szCs w:val="24"/>
        </w:rPr>
        <w:t xml:space="preserve"> 1 and 3 and CPED agrees to withdraw Violation 6.</w:t>
      </w:r>
      <w:r w:rsidRPr="00592ADF">
        <w:rPr>
          <w:rStyle w:val="FootnoteReference"/>
          <w:rFonts w:ascii="Book Antiqua" w:hAnsi="Book Antiqua"/>
          <w:szCs w:val="24"/>
        </w:rPr>
        <w:footnoteReference w:id="8"/>
      </w:r>
      <w:r w:rsidRPr="00592ADF">
        <w:rPr>
          <w:rFonts w:ascii="Book Antiqua" w:hAnsi="Book Antiqua"/>
          <w:szCs w:val="24"/>
        </w:rPr>
        <w:t xml:space="preserve"> </w:t>
      </w:r>
      <w:proofErr w:type="spellStart"/>
      <w:r w:rsidRPr="00592ADF" w:rsidR="00DC158C">
        <w:rPr>
          <w:rFonts w:ascii="Book Antiqua" w:hAnsi="Book Antiqua"/>
          <w:szCs w:val="24"/>
        </w:rPr>
        <w:t>Mexicoach</w:t>
      </w:r>
      <w:proofErr w:type="spellEnd"/>
      <w:r w:rsidRPr="00592ADF" w:rsidR="00DC158C">
        <w:rPr>
          <w:rFonts w:ascii="Book Antiqua" w:hAnsi="Book Antiqua"/>
          <w:szCs w:val="24"/>
        </w:rPr>
        <w:t xml:space="preserve"> admits to Violations 2,</w:t>
      </w:r>
      <w:r w:rsidRPr="00592ADF">
        <w:rPr>
          <w:rFonts w:ascii="Book Antiqua" w:hAnsi="Book Antiqua"/>
          <w:szCs w:val="24"/>
        </w:rPr>
        <w:t xml:space="preserve"> </w:t>
      </w:r>
      <w:r w:rsidRPr="00592ADF" w:rsidR="00DC158C">
        <w:rPr>
          <w:rFonts w:ascii="Book Antiqua" w:hAnsi="Book Antiqua"/>
          <w:szCs w:val="24"/>
        </w:rPr>
        <w:t>4, 5 and 7</w:t>
      </w:r>
      <w:r w:rsidRPr="00592ADF" w:rsidR="00FB4673">
        <w:rPr>
          <w:rFonts w:ascii="Book Antiqua" w:hAnsi="Book Antiqua"/>
          <w:szCs w:val="24"/>
        </w:rPr>
        <w:t xml:space="preserve"> in the Citation and </w:t>
      </w:r>
      <w:r w:rsidRPr="00592ADF" w:rsidR="00293992">
        <w:rPr>
          <w:rFonts w:ascii="Book Antiqua" w:hAnsi="Book Antiqua"/>
          <w:szCs w:val="24"/>
        </w:rPr>
        <w:t>agree</w:t>
      </w:r>
      <w:r w:rsidR="00293992">
        <w:rPr>
          <w:rFonts w:ascii="Book Antiqua" w:hAnsi="Book Antiqua"/>
          <w:szCs w:val="24"/>
        </w:rPr>
        <w:t>s</w:t>
      </w:r>
      <w:r w:rsidRPr="00592ADF" w:rsidR="00293992">
        <w:rPr>
          <w:rFonts w:ascii="Book Antiqua" w:hAnsi="Book Antiqua"/>
          <w:szCs w:val="24"/>
        </w:rPr>
        <w:t xml:space="preserve"> </w:t>
      </w:r>
      <w:r w:rsidRPr="00592ADF" w:rsidR="00FB4673">
        <w:rPr>
          <w:rFonts w:ascii="Book Antiqua" w:hAnsi="Book Antiqua"/>
          <w:szCs w:val="24"/>
        </w:rPr>
        <w:t>to pay $</w:t>
      </w:r>
      <w:r w:rsidRPr="00592ADF">
        <w:rPr>
          <w:rFonts w:ascii="Book Antiqua" w:hAnsi="Book Antiqua"/>
          <w:szCs w:val="24"/>
        </w:rPr>
        <w:t>7</w:t>
      </w:r>
      <w:r w:rsidRPr="00592ADF" w:rsidR="00FB4673">
        <w:rPr>
          <w:rFonts w:ascii="Book Antiqua" w:hAnsi="Book Antiqua"/>
          <w:szCs w:val="24"/>
        </w:rPr>
        <w:t xml:space="preserve">,500 in </w:t>
      </w:r>
      <w:r w:rsidRPr="00592ADF">
        <w:rPr>
          <w:rFonts w:ascii="Book Antiqua" w:hAnsi="Book Antiqua"/>
          <w:szCs w:val="24"/>
        </w:rPr>
        <w:t>five monthly payments of $1,500</w:t>
      </w:r>
      <w:r w:rsidRPr="00592ADF" w:rsidR="00FB4673">
        <w:rPr>
          <w:rFonts w:ascii="Book Antiqua" w:hAnsi="Book Antiqua"/>
          <w:szCs w:val="24"/>
        </w:rPr>
        <w:t>.</w:t>
      </w:r>
      <w:r w:rsidRPr="00592ADF" w:rsidR="00FB4673">
        <w:rPr>
          <w:rStyle w:val="FootnoteReference"/>
          <w:rFonts w:ascii="Book Antiqua" w:hAnsi="Book Antiqua"/>
          <w:szCs w:val="24"/>
        </w:rPr>
        <w:footnoteReference w:id="9"/>
      </w:r>
    </w:p>
    <w:p w:rsidRPr="00592ADF" w:rsidR="00502E65" w:rsidP="00FB4673" w:rsidRDefault="00502E65" w14:paraId="2DA29B57" w14:textId="77777777">
      <w:pPr>
        <w:rPr>
          <w:rFonts w:ascii="Book Antiqua" w:hAnsi="Book Antiqua"/>
          <w:color w:val="000000"/>
          <w:szCs w:val="24"/>
        </w:rPr>
      </w:pPr>
    </w:p>
    <w:p w:rsidRPr="00592ADF" w:rsidR="00C47C2A" w:rsidRDefault="00C47C2A" w14:paraId="26B2D1BA" w14:textId="77777777">
      <w:pPr>
        <w:keepNext/>
        <w:rPr>
          <w:rFonts w:ascii="Book Antiqua" w:hAnsi="Book Antiqua"/>
          <w:b/>
          <w:szCs w:val="24"/>
          <w:u w:val="single"/>
        </w:rPr>
      </w:pPr>
      <w:r w:rsidRPr="00592ADF">
        <w:rPr>
          <w:rFonts w:ascii="Book Antiqua" w:hAnsi="Book Antiqua"/>
          <w:b/>
          <w:szCs w:val="24"/>
          <w:u w:val="single"/>
        </w:rPr>
        <w:t>DISCUSSION</w:t>
      </w:r>
    </w:p>
    <w:p w:rsidRPr="00592ADF" w:rsidR="00E50851" w:rsidP="00132F26" w:rsidRDefault="00E50851" w14:paraId="13B99C1A" w14:textId="77777777">
      <w:pPr>
        <w:rPr>
          <w:rFonts w:ascii="Book Antiqua" w:hAnsi="Book Antiqua"/>
          <w:szCs w:val="24"/>
        </w:rPr>
      </w:pPr>
    </w:p>
    <w:p w:rsidRPr="00592ADF" w:rsidR="00B21C65" w:rsidP="00856A01" w:rsidRDefault="00B21C65" w14:paraId="4C9C46CD" w14:textId="77777777">
      <w:pPr>
        <w:numPr>
          <w:ilvl w:val="0"/>
          <w:numId w:val="16"/>
        </w:numPr>
        <w:rPr>
          <w:rFonts w:ascii="Book Antiqua" w:hAnsi="Book Antiqua"/>
          <w:b/>
          <w:bCs/>
          <w:szCs w:val="24"/>
        </w:rPr>
      </w:pPr>
      <w:r w:rsidRPr="00592ADF">
        <w:rPr>
          <w:rFonts w:ascii="Book Antiqua" w:hAnsi="Book Antiqua"/>
          <w:b/>
          <w:bCs/>
          <w:szCs w:val="24"/>
        </w:rPr>
        <w:t>REGULATORY AUTHORITY</w:t>
      </w:r>
    </w:p>
    <w:p w:rsidRPr="00592ADF" w:rsidR="00B21C65" w:rsidP="00B21C65" w:rsidRDefault="00B21C65" w14:paraId="353B693B" w14:textId="77777777">
      <w:pPr>
        <w:rPr>
          <w:rFonts w:ascii="Book Antiqua" w:hAnsi="Book Antiqua"/>
          <w:b/>
          <w:bCs/>
          <w:szCs w:val="24"/>
        </w:rPr>
      </w:pPr>
    </w:p>
    <w:p w:rsidRPr="00592ADF" w:rsidR="00B21C65" w:rsidP="00B21C65" w:rsidRDefault="00B21C65" w14:paraId="00347FAE" w14:textId="3C2A3385">
      <w:pPr>
        <w:rPr>
          <w:rFonts w:ascii="Book Antiqua" w:hAnsi="Book Antiqua"/>
          <w:szCs w:val="24"/>
        </w:rPr>
      </w:pPr>
      <w:r w:rsidRPr="00592ADF">
        <w:rPr>
          <w:rFonts w:ascii="Book Antiqua" w:hAnsi="Book Antiqua"/>
          <w:szCs w:val="24"/>
        </w:rPr>
        <w:t xml:space="preserve">The Commission’s authority to regulate charter-party carriers of passengers is codified, in part, by the “Passenger Charter-Party Carriers’ Act” (Carriers’ Act). In 2005, the Commission issued Resolution ALJ-187, which authorizes the CPED to issue citations to various classes of transportation carriers for violations of the Public Utilities Code (Pub. Util. Code). </w:t>
      </w:r>
    </w:p>
    <w:p w:rsidRPr="00592ADF" w:rsidR="00792697" w:rsidP="00B21C65" w:rsidRDefault="00792697" w14:paraId="345DAA4C" w14:textId="77777777">
      <w:pPr>
        <w:rPr>
          <w:rFonts w:ascii="Book Antiqua" w:hAnsi="Book Antiqua"/>
          <w:szCs w:val="24"/>
        </w:rPr>
      </w:pPr>
    </w:p>
    <w:p w:rsidRPr="00592ADF" w:rsidR="00792697" w:rsidP="00792697" w:rsidRDefault="00792697" w14:paraId="3EBC65CD" w14:textId="4914CFE2">
      <w:pPr>
        <w:rPr>
          <w:rFonts w:ascii="Book Antiqua" w:hAnsi="Book Antiqua"/>
          <w:bCs/>
          <w:szCs w:val="24"/>
        </w:rPr>
      </w:pPr>
      <w:r w:rsidRPr="00592ADF">
        <w:rPr>
          <w:rFonts w:ascii="Book Antiqua" w:hAnsi="Book Antiqua"/>
          <w:bCs/>
          <w:szCs w:val="24"/>
        </w:rPr>
        <w:t>The California Constitution vests the Commission with broad inherent authority to regulate the transportation of passengers in California including the ability to “fix rates and establish rules for the transportation of passengers.”</w:t>
      </w:r>
      <w:r w:rsidRPr="00592ADF">
        <w:rPr>
          <w:rStyle w:val="FootnoteReference"/>
          <w:rFonts w:ascii="Book Antiqua" w:hAnsi="Book Antiqua"/>
          <w:bCs/>
          <w:szCs w:val="24"/>
        </w:rPr>
        <w:footnoteReference w:id="10"/>
      </w:r>
      <w:r w:rsidRPr="00592ADF">
        <w:rPr>
          <w:rFonts w:ascii="Book Antiqua" w:hAnsi="Book Antiqua"/>
          <w:bCs/>
          <w:szCs w:val="24"/>
        </w:rPr>
        <w:t xml:space="preserve"> </w:t>
      </w:r>
      <w:r w:rsidRPr="00592ADF">
        <w:rPr>
          <w:rFonts w:ascii="Book Antiqua" w:hAnsi="Book Antiqua"/>
          <w:szCs w:val="24"/>
        </w:rPr>
        <w:t xml:space="preserve">The Carriers’ Act is codified within Pub. Util. Code §§ 5351 </w:t>
      </w:r>
      <w:r w:rsidR="00BF1ABA">
        <w:rPr>
          <w:rFonts w:ascii="Book Antiqua" w:hAnsi="Book Antiqua"/>
          <w:szCs w:val="24"/>
        </w:rPr>
        <w:t>–</w:t>
      </w:r>
      <w:r w:rsidRPr="00592ADF">
        <w:rPr>
          <w:rFonts w:ascii="Book Antiqua" w:hAnsi="Book Antiqua"/>
          <w:szCs w:val="24"/>
        </w:rPr>
        <w:t xml:space="preserve"> 5450.5.</w:t>
      </w:r>
      <w:r w:rsidRPr="00592ADF">
        <w:rPr>
          <w:rStyle w:val="FootnoteReference"/>
          <w:rFonts w:ascii="Book Antiqua" w:hAnsi="Book Antiqua"/>
          <w:szCs w:val="24"/>
        </w:rPr>
        <w:footnoteReference w:id="11"/>
      </w:r>
      <w:r w:rsidRPr="00592ADF">
        <w:rPr>
          <w:rFonts w:ascii="Book Antiqua" w:hAnsi="Book Antiqua"/>
          <w:szCs w:val="24"/>
        </w:rPr>
        <w:t xml:space="preserve"> </w:t>
      </w:r>
      <w:r w:rsidR="00135F60">
        <w:rPr>
          <w:rFonts w:ascii="Book Antiqua" w:hAnsi="Book Antiqua"/>
          <w:szCs w:val="24"/>
        </w:rPr>
        <w:t xml:space="preserve">Commission </w:t>
      </w:r>
      <w:r w:rsidRPr="00592ADF">
        <w:rPr>
          <w:rFonts w:ascii="Book Antiqua" w:hAnsi="Book Antiqua"/>
          <w:szCs w:val="24"/>
        </w:rPr>
        <w:t xml:space="preserve">Resolution M-4846 </w:t>
      </w:r>
      <w:r w:rsidR="00135F60">
        <w:rPr>
          <w:rFonts w:ascii="Book Antiqua" w:hAnsi="Book Antiqua"/>
          <w:szCs w:val="24"/>
        </w:rPr>
        <w:t xml:space="preserve">established the Commission’s Enforcement Policy </w:t>
      </w:r>
      <w:r w:rsidR="00FC0237">
        <w:rPr>
          <w:rFonts w:ascii="Book Antiqua" w:hAnsi="Book Antiqua"/>
          <w:szCs w:val="24"/>
        </w:rPr>
        <w:t>which included</w:t>
      </w:r>
      <w:r w:rsidR="00135F60">
        <w:rPr>
          <w:rFonts w:ascii="Book Antiqua" w:hAnsi="Book Antiqua"/>
          <w:szCs w:val="24"/>
        </w:rPr>
        <w:t xml:space="preserve"> adopt</w:t>
      </w:r>
      <w:r w:rsidR="00FC0237">
        <w:rPr>
          <w:rFonts w:ascii="Book Antiqua" w:hAnsi="Book Antiqua"/>
          <w:szCs w:val="24"/>
        </w:rPr>
        <w:t>ion of</w:t>
      </w:r>
      <w:r w:rsidR="00135F60">
        <w:rPr>
          <w:rFonts w:ascii="Book Antiqua" w:hAnsi="Book Antiqua"/>
          <w:szCs w:val="24"/>
        </w:rPr>
        <w:t xml:space="preserve"> the Penalty Assessment Methodology</w:t>
      </w:r>
      <w:r w:rsidR="00FC0237">
        <w:rPr>
          <w:rFonts w:ascii="Book Antiqua" w:hAnsi="Book Antiqua"/>
          <w:szCs w:val="24"/>
        </w:rPr>
        <w:t>.</w:t>
      </w:r>
      <w:r w:rsidRPr="00592ADF" w:rsidR="00FC0237">
        <w:rPr>
          <w:rStyle w:val="FootnoteReference"/>
          <w:rFonts w:ascii="Book Antiqua" w:hAnsi="Book Antiqua"/>
          <w:szCs w:val="24"/>
        </w:rPr>
        <w:footnoteReference w:id="12"/>
      </w:r>
      <w:r w:rsidRPr="00592ADF" w:rsidR="00135F60">
        <w:rPr>
          <w:rFonts w:ascii="Book Antiqua" w:hAnsi="Book Antiqua"/>
          <w:szCs w:val="24"/>
        </w:rPr>
        <w:t xml:space="preserve"> </w:t>
      </w:r>
      <w:r w:rsidR="00FC0237">
        <w:rPr>
          <w:rFonts w:ascii="Book Antiqua" w:hAnsi="Book Antiqua"/>
          <w:szCs w:val="24"/>
        </w:rPr>
        <w:t>Resolution M-4846</w:t>
      </w:r>
      <w:r w:rsidRPr="00592ADF">
        <w:rPr>
          <w:rFonts w:ascii="Book Antiqua" w:hAnsi="Book Antiqua"/>
          <w:szCs w:val="24"/>
        </w:rPr>
        <w:t xml:space="preserve"> was in effect when CPED issued the citation to </w:t>
      </w:r>
      <w:proofErr w:type="spellStart"/>
      <w:r w:rsidRPr="00592ADF" w:rsidR="00502E65">
        <w:rPr>
          <w:rFonts w:ascii="Book Antiqua" w:hAnsi="Book Antiqua"/>
          <w:szCs w:val="24"/>
        </w:rPr>
        <w:t>Mexicoach</w:t>
      </w:r>
      <w:proofErr w:type="spellEnd"/>
      <w:r w:rsidRPr="00592ADF">
        <w:rPr>
          <w:rFonts w:ascii="Book Antiqua" w:hAnsi="Book Antiqua"/>
          <w:szCs w:val="24"/>
        </w:rPr>
        <w:t xml:space="preserve"> for operating as a TCP.</w:t>
      </w:r>
    </w:p>
    <w:p w:rsidRPr="00592ADF" w:rsidR="00792697" w:rsidP="00792697" w:rsidRDefault="00792697" w14:paraId="5C9A36DF" w14:textId="77777777">
      <w:pPr>
        <w:rPr>
          <w:rFonts w:ascii="Book Antiqua" w:hAnsi="Book Antiqua"/>
          <w:bCs/>
          <w:szCs w:val="24"/>
        </w:rPr>
      </w:pPr>
    </w:p>
    <w:p w:rsidRPr="00592ADF" w:rsidR="00AD306F" w:rsidP="007309A6" w:rsidRDefault="00792697" w14:paraId="0CABA2AF" w14:textId="603ED590">
      <w:pPr>
        <w:rPr>
          <w:rFonts w:ascii="Book Antiqua" w:hAnsi="Book Antiqua"/>
          <w:bCs/>
          <w:szCs w:val="24"/>
        </w:rPr>
      </w:pPr>
      <w:r w:rsidRPr="00592ADF">
        <w:rPr>
          <w:rFonts w:ascii="Book Antiqua" w:hAnsi="Book Antiqua"/>
          <w:bCs/>
          <w:szCs w:val="24"/>
        </w:rPr>
        <w:t xml:space="preserve">The Carriers’ Act provides the Commission </w:t>
      </w:r>
      <w:r w:rsidRPr="00592ADF" w:rsidR="00A77E86">
        <w:rPr>
          <w:rFonts w:ascii="Book Antiqua" w:hAnsi="Book Antiqua"/>
          <w:bCs/>
          <w:szCs w:val="24"/>
        </w:rPr>
        <w:t xml:space="preserve">with statutory authority </w:t>
      </w:r>
      <w:r w:rsidRPr="00592ADF">
        <w:rPr>
          <w:rFonts w:ascii="Book Antiqua" w:hAnsi="Book Antiqua"/>
          <w:bCs/>
          <w:szCs w:val="24"/>
        </w:rPr>
        <w:t>to regulate the business of transportation of persons by common carrier</w:t>
      </w:r>
      <w:r w:rsidRPr="00592ADF" w:rsidR="00A77E86">
        <w:rPr>
          <w:rFonts w:ascii="Book Antiqua" w:hAnsi="Book Antiqua"/>
          <w:bCs/>
          <w:szCs w:val="24"/>
        </w:rPr>
        <w:t>s</w:t>
      </w:r>
      <w:r w:rsidRPr="00592ADF">
        <w:rPr>
          <w:rFonts w:ascii="Book Antiqua" w:hAnsi="Book Antiqua"/>
          <w:bCs/>
          <w:szCs w:val="24"/>
        </w:rPr>
        <w:t xml:space="preserve"> and contract carriage on public highways.</w:t>
      </w:r>
      <w:r w:rsidRPr="00592ADF">
        <w:rPr>
          <w:rStyle w:val="FootnoteReference"/>
          <w:rFonts w:ascii="Book Antiqua" w:hAnsi="Book Antiqua"/>
          <w:bCs/>
          <w:szCs w:val="24"/>
        </w:rPr>
        <w:footnoteReference w:id="13"/>
      </w:r>
      <w:r w:rsidRPr="00592ADF">
        <w:rPr>
          <w:rFonts w:ascii="Book Antiqua" w:hAnsi="Book Antiqua"/>
          <w:bCs/>
          <w:szCs w:val="24"/>
        </w:rPr>
        <w:t xml:space="preserve"> The Carriers’ Act states a “Public highway” includes every public street, road or highway in the State.”</w:t>
      </w:r>
      <w:r w:rsidRPr="00592ADF">
        <w:rPr>
          <w:rStyle w:val="FootnoteReference"/>
          <w:rFonts w:ascii="Book Antiqua" w:hAnsi="Book Antiqua"/>
          <w:bCs/>
          <w:szCs w:val="24"/>
        </w:rPr>
        <w:footnoteReference w:id="14"/>
      </w:r>
      <w:r w:rsidRPr="00592ADF">
        <w:rPr>
          <w:rFonts w:ascii="Book Antiqua" w:hAnsi="Book Antiqua"/>
          <w:bCs/>
          <w:szCs w:val="24"/>
        </w:rPr>
        <w:t xml:space="preserve"> The Carriers’ Act express purpose includes </w:t>
      </w:r>
      <w:r w:rsidRPr="00592ADF">
        <w:rPr>
          <w:rFonts w:ascii="Book Antiqua" w:hAnsi="Book Antiqua"/>
          <w:bCs/>
          <w:szCs w:val="24"/>
        </w:rPr>
        <w:lastRenderedPageBreak/>
        <w:t>protecting the use of public highways and to “promote carrier and public safety through enforcement regulations.”</w:t>
      </w:r>
      <w:r w:rsidRPr="00592ADF">
        <w:rPr>
          <w:rStyle w:val="FootnoteReference"/>
          <w:rFonts w:ascii="Book Antiqua" w:hAnsi="Book Antiqua"/>
          <w:bCs/>
          <w:szCs w:val="24"/>
        </w:rPr>
        <w:footnoteReference w:id="15"/>
      </w:r>
      <w:r w:rsidRPr="00592ADF">
        <w:rPr>
          <w:rFonts w:ascii="Book Antiqua" w:hAnsi="Book Antiqua"/>
          <w:bCs/>
          <w:szCs w:val="24"/>
        </w:rPr>
        <w:t xml:space="preserve"> </w:t>
      </w:r>
    </w:p>
    <w:p w:rsidRPr="00592ADF" w:rsidR="00AD306F" w:rsidP="00B21C65" w:rsidRDefault="00AD306F" w14:paraId="48AE5905" w14:textId="77777777">
      <w:pPr>
        <w:ind w:left="720"/>
        <w:rPr>
          <w:rFonts w:ascii="Book Antiqua" w:hAnsi="Book Antiqua"/>
          <w:b/>
          <w:bCs/>
          <w:szCs w:val="24"/>
        </w:rPr>
      </w:pPr>
    </w:p>
    <w:p w:rsidRPr="00592ADF" w:rsidR="00132F26" w:rsidP="00132F26" w:rsidRDefault="00856A01" w14:paraId="4FB2055F" w14:textId="1B55205A">
      <w:pPr>
        <w:numPr>
          <w:ilvl w:val="0"/>
          <w:numId w:val="16"/>
        </w:numPr>
        <w:rPr>
          <w:rFonts w:ascii="Book Antiqua" w:hAnsi="Book Antiqua"/>
          <w:b/>
          <w:bCs/>
          <w:szCs w:val="24"/>
        </w:rPr>
      </w:pPr>
      <w:r w:rsidRPr="00592ADF">
        <w:rPr>
          <w:rFonts w:ascii="Book Antiqua" w:hAnsi="Book Antiqua"/>
          <w:b/>
          <w:bCs/>
          <w:szCs w:val="24"/>
        </w:rPr>
        <w:t>CITATION AUTHORITY</w:t>
      </w:r>
    </w:p>
    <w:p w:rsidRPr="00592ADF" w:rsidR="00792697" w:rsidP="00792697" w:rsidRDefault="00792697" w14:paraId="04CE1DEE" w14:textId="77777777">
      <w:pPr>
        <w:ind w:left="720"/>
        <w:rPr>
          <w:rFonts w:ascii="Book Antiqua" w:hAnsi="Book Antiqua"/>
          <w:b/>
          <w:bCs/>
          <w:szCs w:val="24"/>
        </w:rPr>
      </w:pPr>
    </w:p>
    <w:p w:rsidRPr="00592ADF" w:rsidR="00132F26" w:rsidP="00132F26" w:rsidRDefault="00132F26" w14:paraId="7B84EE17" w14:textId="77777777">
      <w:pPr>
        <w:rPr>
          <w:rFonts w:ascii="Book Antiqua" w:hAnsi="Book Antiqua"/>
          <w:szCs w:val="24"/>
        </w:rPr>
      </w:pPr>
      <w:r w:rsidRPr="00592ADF">
        <w:rPr>
          <w:rFonts w:ascii="Book Antiqua" w:hAnsi="Book Antiqua"/>
          <w:szCs w:val="24"/>
        </w:rPr>
        <w:t>The Commission’s authority to issue penalties is derived from Pub. Util. Code § 2107. Under this section, the Commission can levy a penalty between $500 and $100,000 on any public utility that violates or fails to comply with any part or provision of a Commission order or rule.</w:t>
      </w:r>
      <w:r w:rsidRPr="00592ADF">
        <w:rPr>
          <w:rStyle w:val="FootnoteReference"/>
          <w:rFonts w:ascii="Book Antiqua" w:hAnsi="Book Antiqua"/>
          <w:szCs w:val="24"/>
        </w:rPr>
        <w:footnoteReference w:id="16"/>
      </w:r>
    </w:p>
    <w:p w:rsidRPr="00592ADF" w:rsidR="006A4129" w:rsidP="003C20DB" w:rsidRDefault="006A4129" w14:paraId="1A981681" w14:textId="77777777">
      <w:pPr>
        <w:rPr>
          <w:rFonts w:ascii="Book Antiqua" w:hAnsi="Book Antiqua"/>
          <w:bCs/>
          <w:szCs w:val="24"/>
        </w:rPr>
      </w:pPr>
    </w:p>
    <w:p w:rsidRPr="00592ADF" w:rsidR="003C20DB" w:rsidP="001B2349" w:rsidRDefault="00F44E80" w14:paraId="585904DB" w14:textId="338521D9">
      <w:pPr>
        <w:rPr>
          <w:rFonts w:ascii="Book Antiqua" w:hAnsi="Book Antiqua"/>
          <w:bCs/>
          <w:szCs w:val="24"/>
        </w:rPr>
      </w:pPr>
      <w:r w:rsidRPr="00592ADF">
        <w:rPr>
          <w:rFonts w:ascii="Book Antiqua" w:hAnsi="Book Antiqua"/>
          <w:bCs/>
          <w:szCs w:val="24"/>
        </w:rPr>
        <w:t>Th</w:t>
      </w:r>
      <w:r w:rsidRPr="00592ADF" w:rsidR="0062553F">
        <w:rPr>
          <w:rFonts w:ascii="Book Antiqua" w:hAnsi="Book Antiqua"/>
          <w:bCs/>
          <w:szCs w:val="24"/>
        </w:rPr>
        <w:t>e Commission may only approve settlements that are reasonable in light of the whole record, consistent with the law, and in the public interest</w:t>
      </w:r>
      <w:r w:rsidRPr="00592ADF" w:rsidR="00F46AC0">
        <w:rPr>
          <w:rFonts w:ascii="Book Antiqua" w:hAnsi="Book Antiqua"/>
          <w:bCs/>
          <w:szCs w:val="24"/>
        </w:rPr>
        <w:t xml:space="preserve">, pursuant to California Public Utilities Commission Rules of Practice and Procedure </w:t>
      </w:r>
      <w:r w:rsidR="00DB758B">
        <w:rPr>
          <w:rFonts w:ascii="Book Antiqua" w:hAnsi="Book Antiqua"/>
          <w:bCs/>
          <w:szCs w:val="24"/>
        </w:rPr>
        <w:t xml:space="preserve">(Rules) </w:t>
      </w:r>
      <w:r w:rsidRPr="00592ADF" w:rsidR="00F46AC0">
        <w:rPr>
          <w:rFonts w:ascii="Book Antiqua" w:hAnsi="Book Antiqua"/>
          <w:bCs/>
          <w:szCs w:val="24"/>
        </w:rPr>
        <w:t>Rule 12.1 (d)</w:t>
      </w:r>
      <w:r w:rsidR="00F3505C">
        <w:rPr>
          <w:rFonts w:ascii="Book Antiqua" w:hAnsi="Book Antiqua"/>
          <w:bCs/>
          <w:szCs w:val="24"/>
        </w:rPr>
        <w:t xml:space="preserve"> and relevant precedents for </w:t>
      </w:r>
      <w:r w:rsidR="00FA78E5">
        <w:rPr>
          <w:rFonts w:ascii="Book Antiqua" w:hAnsi="Book Antiqua"/>
          <w:bCs/>
          <w:szCs w:val="24"/>
        </w:rPr>
        <w:t>settlements</w:t>
      </w:r>
      <w:r w:rsidRPr="00592ADF" w:rsidR="007D5E5E">
        <w:rPr>
          <w:rFonts w:ascii="Book Antiqua" w:hAnsi="Book Antiqua"/>
          <w:bCs/>
          <w:szCs w:val="24"/>
        </w:rPr>
        <w:t>.</w:t>
      </w:r>
      <w:r w:rsidR="00F3505C">
        <w:rPr>
          <w:rStyle w:val="FootnoteReference"/>
          <w:rFonts w:ascii="Book Antiqua" w:hAnsi="Book Antiqua"/>
          <w:bCs/>
          <w:szCs w:val="24"/>
        </w:rPr>
        <w:footnoteReference w:id="17"/>
      </w:r>
      <w:r w:rsidR="00F3505C">
        <w:rPr>
          <w:rFonts w:ascii="Book Antiqua" w:hAnsi="Book Antiqua"/>
          <w:bCs/>
          <w:sz w:val="22"/>
          <w:szCs w:val="24"/>
          <w:vertAlign w:val="superscript"/>
        </w:rPr>
        <w:t>,</w:t>
      </w:r>
      <w:r w:rsidRPr="00592ADF" w:rsidR="007D5E5E">
        <w:rPr>
          <w:rStyle w:val="FootnoteReference"/>
          <w:rFonts w:ascii="Book Antiqua" w:hAnsi="Book Antiqua"/>
          <w:bCs/>
          <w:szCs w:val="24"/>
        </w:rPr>
        <w:footnoteReference w:id="18"/>
      </w:r>
      <w:r w:rsidRPr="00592ADF" w:rsidR="007D5E5E">
        <w:rPr>
          <w:rFonts w:ascii="Book Antiqua" w:hAnsi="Book Antiqua"/>
          <w:bCs/>
          <w:szCs w:val="24"/>
        </w:rPr>
        <w:t xml:space="preserve"> </w:t>
      </w:r>
      <w:r w:rsidR="00B93B3E">
        <w:rPr>
          <w:rFonts w:ascii="Book Antiqua" w:hAnsi="Book Antiqua"/>
          <w:bCs/>
          <w:szCs w:val="24"/>
        </w:rPr>
        <w:t xml:space="preserve">In this </w:t>
      </w:r>
      <w:r w:rsidR="00DB758B">
        <w:rPr>
          <w:rFonts w:ascii="Book Antiqua" w:hAnsi="Book Antiqua"/>
          <w:bCs/>
          <w:szCs w:val="24"/>
        </w:rPr>
        <w:t>A</w:t>
      </w:r>
      <w:r w:rsidR="00B93B3E">
        <w:rPr>
          <w:rFonts w:ascii="Book Antiqua" w:hAnsi="Book Antiqua"/>
          <w:bCs/>
          <w:szCs w:val="24"/>
        </w:rPr>
        <w:t>ppeal, t</w:t>
      </w:r>
      <w:r w:rsidRPr="00592ADF" w:rsidR="00B93B3E">
        <w:rPr>
          <w:rFonts w:ascii="Book Antiqua" w:hAnsi="Book Antiqua"/>
          <w:bCs/>
          <w:szCs w:val="24"/>
        </w:rPr>
        <w:t xml:space="preserve">o </w:t>
      </w:r>
      <w:r w:rsidRPr="00592ADF" w:rsidR="004F2781">
        <w:rPr>
          <w:rFonts w:ascii="Book Antiqua" w:hAnsi="Book Antiqua"/>
          <w:bCs/>
          <w:szCs w:val="24"/>
        </w:rPr>
        <w:t>assess</w:t>
      </w:r>
      <w:r w:rsidRPr="00592ADF" w:rsidR="00DD36A8">
        <w:rPr>
          <w:rFonts w:ascii="Book Antiqua" w:hAnsi="Book Antiqua"/>
          <w:bCs/>
          <w:szCs w:val="24"/>
        </w:rPr>
        <w:t xml:space="preserve"> the settlement, the</w:t>
      </w:r>
      <w:r w:rsidRPr="00592ADF" w:rsidR="00335DF9">
        <w:rPr>
          <w:rFonts w:ascii="Book Antiqua" w:hAnsi="Book Antiqua"/>
          <w:bCs/>
          <w:szCs w:val="24"/>
        </w:rPr>
        <w:t xml:space="preserve"> Commission determines if the </w:t>
      </w:r>
      <w:r w:rsidRPr="00592ADF" w:rsidR="00A864F3">
        <w:rPr>
          <w:rFonts w:ascii="Book Antiqua" w:hAnsi="Book Antiqua"/>
          <w:bCs/>
          <w:szCs w:val="24"/>
        </w:rPr>
        <w:t>$</w:t>
      </w:r>
      <w:r w:rsidRPr="00592ADF" w:rsidR="00422909">
        <w:rPr>
          <w:rFonts w:ascii="Book Antiqua" w:hAnsi="Book Antiqua"/>
          <w:bCs/>
          <w:szCs w:val="24"/>
        </w:rPr>
        <w:t>7</w:t>
      </w:r>
      <w:r w:rsidRPr="00592ADF" w:rsidR="00A864F3">
        <w:rPr>
          <w:rFonts w:ascii="Book Antiqua" w:hAnsi="Book Antiqua"/>
          <w:bCs/>
          <w:szCs w:val="24"/>
        </w:rPr>
        <w:t xml:space="preserve">,500 </w:t>
      </w:r>
      <w:r w:rsidRPr="00592ADF" w:rsidR="000F5C65">
        <w:rPr>
          <w:rFonts w:ascii="Book Antiqua" w:hAnsi="Book Antiqua"/>
          <w:bCs/>
          <w:szCs w:val="24"/>
        </w:rPr>
        <w:t>penalty</w:t>
      </w:r>
      <w:r w:rsidRPr="00592ADF" w:rsidR="00335DF9">
        <w:rPr>
          <w:rFonts w:ascii="Book Antiqua" w:hAnsi="Book Antiqua"/>
          <w:bCs/>
          <w:szCs w:val="24"/>
        </w:rPr>
        <w:t xml:space="preserve"> amount is consistent </w:t>
      </w:r>
      <w:r w:rsidRPr="00592ADF" w:rsidR="003E40A7">
        <w:rPr>
          <w:rFonts w:ascii="Book Antiqua" w:hAnsi="Book Antiqua"/>
          <w:bCs/>
          <w:szCs w:val="24"/>
        </w:rPr>
        <w:t>with the five factors in the Commission’s Penalty Assessment Methodology.</w:t>
      </w:r>
      <w:r w:rsidRPr="00592ADF" w:rsidR="003E40A7">
        <w:rPr>
          <w:rStyle w:val="FootnoteReference"/>
          <w:rFonts w:ascii="Book Antiqua" w:hAnsi="Book Antiqua"/>
          <w:bCs/>
          <w:szCs w:val="24"/>
        </w:rPr>
        <w:footnoteReference w:id="19"/>
      </w:r>
      <w:r w:rsidRPr="00592ADF" w:rsidR="004F0F61">
        <w:rPr>
          <w:rFonts w:ascii="Book Antiqua" w:hAnsi="Book Antiqua"/>
          <w:bCs/>
          <w:szCs w:val="24"/>
        </w:rPr>
        <w:t xml:space="preserve"> </w:t>
      </w:r>
      <w:r w:rsidRPr="00592ADF" w:rsidR="00A45543">
        <w:rPr>
          <w:rFonts w:ascii="Book Antiqua" w:hAnsi="Book Antiqua"/>
          <w:bCs/>
          <w:szCs w:val="24"/>
        </w:rPr>
        <w:t>The Commission’s Resolution M-4846 lays out the Penalty Assessment Methodology to assess the penalty amount set for each violation.</w:t>
      </w:r>
      <w:r w:rsidRPr="00592ADF" w:rsidR="00A45543">
        <w:rPr>
          <w:rStyle w:val="FootnoteReference"/>
          <w:rFonts w:ascii="Book Antiqua" w:hAnsi="Book Antiqua"/>
          <w:bCs/>
          <w:szCs w:val="24"/>
        </w:rPr>
        <w:footnoteReference w:id="20"/>
      </w:r>
      <w:r w:rsidRPr="00592ADF" w:rsidR="00A45543">
        <w:rPr>
          <w:rFonts w:ascii="Book Antiqua" w:hAnsi="Book Antiqua"/>
          <w:bCs/>
          <w:szCs w:val="24"/>
        </w:rPr>
        <w:t xml:space="preserve"> </w:t>
      </w:r>
      <w:r w:rsidRPr="00592ADF" w:rsidR="004F0F61">
        <w:rPr>
          <w:rFonts w:ascii="Book Antiqua" w:hAnsi="Book Antiqua"/>
          <w:bCs/>
          <w:szCs w:val="24"/>
        </w:rPr>
        <w:t xml:space="preserve">The </w:t>
      </w:r>
      <w:r w:rsidR="00FA78E5">
        <w:rPr>
          <w:rFonts w:ascii="Book Antiqua" w:hAnsi="Book Antiqua"/>
          <w:bCs/>
          <w:szCs w:val="24"/>
        </w:rPr>
        <w:t>Settlement Agreement’s proposed</w:t>
      </w:r>
      <w:r w:rsidRPr="00592ADF" w:rsidR="004F0F61">
        <w:rPr>
          <w:rFonts w:ascii="Book Antiqua" w:hAnsi="Book Antiqua"/>
          <w:bCs/>
          <w:szCs w:val="24"/>
        </w:rPr>
        <w:t xml:space="preserve"> </w:t>
      </w:r>
      <w:r w:rsidRPr="00592ADF" w:rsidR="005257B5">
        <w:rPr>
          <w:rFonts w:ascii="Book Antiqua" w:hAnsi="Book Antiqua"/>
          <w:bCs/>
          <w:szCs w:val="24"/>
        </w:rPr>
        <w:t xml:space="preserve">penalty amount </w:t>
      </w:r>
      <w:r w:rsidRPr="00592ADF" w:rsidR="004F0F61">
        <w:rPr>
          <w:rFonts w:ascii="Book Antiqua" w:hAnsi="Book Antiqua"/>
          <w:bCs/>
          <w:szCs w:val="24"/>
        </w:rPr>
        <w:t xml:space="preserve">is </w:t>
      </w:r>
      <w:r w:rsidR="00FA78E5">
        <w:rPr>
          <w:rFonts w:ascii="Book Antiqua" w:hAnsi="Book Antiqua"/>
          <w:bCs/>
          <w:szCs w:val="24"/>
        </w:rPr>
        <w:t xml:space="preserve">evaluated </w:t>
      </w:r>
      <w:r w:rsidRPr="00592ADF" w:rsidR="00CF5534">
        <w:rPr>
          <w:rFonts w:ascii="Book Antiqua" w:hAnsi="Book Antiqua"/>
          <w:bCs/>
          <w:szCs w:val="24"/>
        </w:rPr>
        <w:t>by</w:t>
      </w:r>
      <w:r w:rsidRPr="00592ADF" w:rsidR="004D23BA">
        <w:rPr>
          <w:rFonts w:ascii="Book Antiqua" w:hAnsi="Book Antiqua"/>
          <w:bCs/>
          <w:szCs w:val="24"/>
        </w:rPr>
        <w:t xml:space="preserve"> weighing the following five factors</w:t>
      </w:r>
      <w:r w:rsidRPr="00592ADF" w:rsidR="004F0F61">
        <w:rPr>
          <w:rFonts w:ascii="Book Antiqua" w:hAnsi="Book Antiqua"/>
          <w:bCs/>
          <w:szCs w:val="24"/>
        </w:rPr>
        <w:t>:</w:t>
      </w:r>
    </w:p>
    <w:p w:rsidRPr="00592ADF" w:rsidR="006A4129" w:rsidP="001B2349" w:rsidRDefault="006A4129" w14:paraId="2CC8EB7E" w14:textId="77777777">
      <w:pPr>
        <w:rPr>
          <w:rFonts w:ascii="Book Antiqua" w:hAnsi="Book Antiqua"/>
          <w:bCs/>
          <w:szCs w:val="24"/>
        </w:rPr>
      </w:pPr>
    </w:p>
    <w:p w:rsidRPr="00592ADF" w:rsidR="00D8039B" w:rsidP="00C2140D" w:rsidRDefault="00F57D12" w14:paraId="6E00E9DE" w14:textId="38F7B783">
      <w:pPr>
        <w:numPr>
          <w:ilvl w:val="0"/>
          <w:numId w:val="6"/>
        </w:numPr>
        <w:spacing w:after="120"/>
        <w:ind w:right="1440"/>
        <w:rPr>
          <w:rFonts w:ascii="Book Antiqua" w:hAnsi="Book Antiqua"/>
          <w:bCs/>
          <w:szCs w:val="24"/>
        </w:rPr>
      </w:pPr>
      <w:r w:rsidRPr="00592ADF">
        <w:rPr>
          <w:rFonts w:ascii="Book Antiqua" w:hAnsi="Book Antiqua"/>
          <w:bCs/>
          <w:szCs w:val="24"/>
        </w:rPr>
        <w:t>The severity and gravity of the offense</w:t>
      </w:r>
    </w:p>
    <w:p w:rsidRPr="00592ADF" w:rsidR="00F57D12" w:rsidP="00C2140D" w:rsidRDefault="00F57D12" w14:paraId="6BD46201" w14:textId="49166CC8">
      <w:pPr>
        <w:numPr>
          <w:ilvl w:val="0"/>
          <w:numId w:val="6"/>
        </w:numPr>
        <w:spacing w:after="120"/>
        <w:ind w:right="1440"/>
        <w:rPr>
          <w:rFonts w:ascii="Book Antiqua" w:hAnsi="Book Antiqua"/>
          <w:bCs/>
          <w:szCs w:val="24"/>
        </w:rPr>
      </w:pPr>
      <w:r w:rsidRPr="00592ADF">
        <w:rPr>
          <w:rFonts w:ascii="Book Antiqua" w:hAnsi="Book Antiqua"/>
          <w:bCs/>
          <w:szCs w:val="24"/>
        </w:rPr>
        <w:t>The conduct of the regulated entity</w:t>
      </w:r>
    </w:p>
    <w:p w:rsidRPr="00592ADF" w:rsidR="00F57D12" w:rsidP="00C2140D" w:rsidRDefault="00F57D12" w14:paraId="56B88C42" w14:textId="7CA1C7BC">
      <w:pPr>
        <w:numPr>
          <w:ilvl w:val="0"/>
          <w:numId w:val="6"/>
        </w:numPr>
        <w:spacing w:after="120"/>
        <w:ind w:right="1440"/>
        <w:rPr>
          <w:rFonts w:ascii="Book Antiqua" w:hAnsi="Book Antiqua"/>
          <w:bCs/>
          <w:szCs w:val="24"/>
        </w:rPr>
      </w:pPr>
      <w:r w:rsidRPr="00592ADF">
        <w:rPr>
          <w:rFonts w:ascii="Book Antiqua" w:hAnsi="Book Antiqua"/>
          <w:bCs/>
          <w:szCs w:val="24"/>
        </w:rPr>
        <w:t>The financial resources of the regulated entity</w:t>
      </w:r>
    </w:p>
    <w:p w:rsidRPr="00592ADF" w:rsidR="00F57D12" w:rsidP="00C2140D" w:rsidRDefault="008D59BD" w14:paraId="589EA5E8" w14:textId="13C2BA02">
      <w:pPr>
        <w:numPr>
          <w:ilvl w:val="0"/>
          <w:numId w:val="6"/>
        </w:numPr>
        <w:spacing w:after="120"/>
        <w:ind w:right="1440"/>
        <w:rPr>
          <w:rFonts w:ascii="Book Antiqua" w:hAnsi="Book Antiqua"/>
          <w:bCs/>
          <w:szCs w:val="24"/>
        </w:rPr>
      </w:pPr>
      <w:r w:rsidRPr="00592ADF">
        <w:rPr>
          <w:rFonts w:ascii="Book Antiqua" w:hAnsi="Book Antiqua"/>
          <w:bCs/>
          <w:szCs w:val="24"/>
        </w:rPr>
        <w:t>The totality of the circumstances in furtherance of the public interest</w:t>
      </w:r>
    </w:p>
    <w:p w:rsidRPr="00592ADF" w:rsidR="008D59BD" w:rsidP="00592ADF" w:rsidRDefault="008D59BD" w14:paraId="6BAA338D" w14:textId="715E1A24">
      <w:pPr>
        <w:numPr>
          <w:ilvl w:val="0"/>
          <w:numId w:val="6"/>
        </w:numPr>
        <w:ind w:right="1440"/>
        <w:rPr>
          <w:rFonts w:ascii="Book Antiqua" w:hAnsi="Book Antiqua"/>
          <w:bCs/>
          <w:szCs w:val="24"/>
        </w:rPr>
      </w:pPr>
      <w:r w:rsidRPr="00592ADF">
        <w:rPr>
          <w:rFonts w:ascii="Book Antiqua" w:hAnsi="Book Antiqua"/>
          <w:bCs/>
          <w:szCs w:val="24"/>
        </w:rPr>
        <w:t xml:space="preserve">The role of precedent </w:t>
      </w:r>
    </w:p>
    <w:p w:rsidRPr="00592ADF" w:rsidR="009759B0" w:rsidP="00D8039B" w:rsidRDefault="009759B0" w14:paraId="7537636A" w14:textId="77777777">
      <w:pPr>
        <w:rPr>
          <w:rFonts w:ascii="Book Antiqua" w:hAnsi="Book Antiqua"/>
          <w:bCs/>
          <w:szCs w:val="24"/>
        </w:rPr>
      </w:pPr>
    </w:p>
    <w:p w:rsidRPr="00592ADF" w:rsidR="00AD306F" w:rsidP="00A725ED" w:rsidRDefault="00D8039B" w14:paraId="0701602C" w14:textId="1D32FF49">
      <w:pPr>
        <w:rPr>
          <w:rFonts w:ascii="Book Antiqua" w:hAnsi="Book Antiqua"/>
          <w:bCs/>
          <w:szCs w:val="24"/>
        </w:rPr>
      </w:pPr>
      <w:r w:rsidRPr="00592ADF">
        <w:rPr>
          <w:rFonts w:ascii="Book Antiqua" w:hAnsi="Book Antiqua"/>
          <w:bCs/>
          <w:szCs w:val="24"/>
        </w:rPr>
        <w:lastRenderedPageBreak/>
        <w:t>As demonstrated below, th</w:t>
      </w:r>
      <w:r w:rsidRPr="00592ADF" w:rsidR="009759B0">
        <w:rPr>
          <w:rFonts w:ascii="Book Antiqua" w:hAnsi="Book Antiqua"/>
          <w:bCs/>
          <w:szCs w:val="24"/>
        </w:rPr>
        <w:t>e</w:t>
      </w:r>
      <w:r w:rsidRPr="00592ADF">
        <w:rPr>
          <w:rFonts w:ascii="Book Antiqua" w:hAnsi="Book Antiqua"/>
          <w:bCs/>
          <w:szCs w:val="24"/>
        </w:rPr>
        <w:t xml:space="preserve"> </w:t>
      </w:r>
      <w:r w:rsidR="00F3505C">
        <w:rPr>
          <w:rFonts w:ascii="Book Antiqua" w:hAnsi="Book Antiqua"/>
          <w:bCs/>
          <w:szCs w:val="24"/>
        </w:rPr>
        <w:t>Settlement</w:t>
      </w:r>
      <w:r w:rsidRPr="00592ADF">
        <w:rPr>
          <w:rFonts w:ascii="Book Antiqua" w:hAnsi="Book Antiqua"/>
          <w:bCs/>
          <w:szCs w:val="24"/>
        </w:rPr>
        <w:t xml:space="preserve"> </w:t>
      </w:r>
      <w:r w:rsidR="00FA78E5">
        <w:rPr>
          <w:rFonts w:ascii="Book Antiqua" w:hAnsi="Book Antiqua"/>
          <w:bCs/>
          <w:szCs w:val="24"/>
        </w:rPr>
        <w:t xml:space="preserve">Agreement </w:t>
      </w:r>
      <w:r w:rsidRPr="00592ADF">
        <w:rPr>
          <w:rFonts w:ascii="Book Antiqua" w:hAnsi="Book Antiqua"/>
          <w:bCs/>
          <w:szCs w:val="24"/>
        </w:rPr>
        <w:t xml:space="preserve">is consistent with each </w:t>
      </w:r>
      <w:r w:rsidRPr="00592ADF" w:rsidR="009759B0">
        <w:rPr>
          <w:rFonts w:ascii="Book Antiqua" w:hAnsi="Book Antiqua"/>
          <w:bCs/>
          <w:szCs w:val="24"/>
        </w:rPr>
        <w:t xml:space="preserve">Penalty Assessment </w:t>
      </w:r>
      <w:r w:rsidRPr="00592ADF">
        <w:rPr>
          <w:rFonts w:ascii="Book Antiqua" w:hAnsi="Book Antiqua"/>
          <w:bCs/>
          <w:szCs w:val="24"/>
        </w:rPr>
        <w:t>factor.</w:t>
      </w:r>
      <w:r w:rsidRPr="00592ADF" w:rsidR="009759B0">
        <w:rPr>
          <w:rFonts w:ascii="Book Antiqua" w:hAnsi="Book Antiqua"/>
          <w:bCs/>
          <w:szCs w:val="24"/>
        </w:rPr>
        <w:t xml:space="preserve"> Therefore, the Commission </w:t>
      </w:r>
      <w:r w:rsidRPr="00592ADF" w:rsidR="00F74A0C">
        <w:rPr>
          <w:rFonts w:ascii="Book Antiqua" w:hAnsi="Book Antiqua"/>
          <w:bCs/>
          <w:szCs w:val="24"/>
        </w:rPr>
        <w:t xml:space="preserve">finds </w:t>
      </w:r>
      <w:r w:rsidRPr="00592ADF" w:rsidR="00AD3118">
        <w:rPr>
          <w:rFonts w:ascii="Book Antiqua" w:hAnsi="Book Antiqua"/>
          <w:bCs/>
          <w:szCs w:val="24"/>
        </w:rPr>
        <w:t xml:space="preserve">that </w:t>
      </w:r>
      <w:r w:rsidRPr="00592ADF" w:rsidR="00A725ED">
        <w:rPr>
          <w:rFonts w:ascii="Book Antiqua" w:hAnsi="Book Antiqua"/>
          <w:bCs/>
          <w:szCs w:val="24"/>
        </w:rPr>
        <w:t>the</w:t>
      </w:r>
      <w:r w:rsidRPr="00592ADF" w:rsidR="00422909">
        <w:rPr>
          <w:rFonts w:ascii="Book Antiqua" w:hAnsi="Book Antiqua"/>
          <w:bCs/>
          <w:szCs w:val="24"/>
        </w:rPr>
        <w:t xml:space="preserve"> </w:t>
      </w:r>
      <w:proofErr w:type="gramStart"/>
      <w:r w:rsidRPr="00592ADF" w:rsidR="00422909">
        <w:rPr>
          <w:rFonts w:ascii="Book Antiqua" w:hAnsi="Book Antiqua"/>
          <w:bCs/>
          <w:szCs w:val="24"/>
        </w:rPr>
        <w:t>Parties’</w:t>
      </w:r>
      <w:proofErr w:type="gramEnd"/>
      <w:r w:rsidRPr="00592ADF" w:rsidR="00A725ED">
        <w:rPr>
          <w:rFonts w:ascii="Book Antiqua" w:hAnsi="Book Antiqua"/>
          <w:bCs/>
          <w:szCs w:val="24"/>
        </w:rPr>
        <w:t xml:space="preserve"> negotiated </w:t>
      </w:r>
      <w:r w:rsidR="00FA78E5">
        <w:rPr>
          <w:rFonts w:ascii="Book Antiqua" w:hAnsi="Book Antiqua"/>
          <w:bCs/>
          <w:szCs w:val="24"/>
        </w:rPr>
        <w:t>S</w:t>
      </w:r>
      <w:r w:rsidRPr="00592ADF" w:rsidR="00FA78E5">
        <w:rPr>
          <w:rFonts w:ascii="Book Antiqua" w:hAnsi="Book Antiqua"/>
          <w:bCs/>
          <w:szCs w:val="24"/>
        </w:rPr>
        <w:t xml:space="preserve">ettlement </w:t>
      </w:r>
      <w:r w:rsidR="00FA78E5">
        <w:rPr>
          <w:rFonts w:ascii="Book Antiqua" w:hAnsi="Book Antiqua"/>
          <w:bCs/>
          <w:szCs w:val="24"/>
        </w:rPr>
        <w:t xml:space="preserve">Agreement </w:t>
      </w:r>
      <w:r w:rsidRPr="00592ADF" w:rsidR="00AD3118">
        <w:rPr>
          <w:rFonts w:ascii="Book Antiqua" w:hAnsi="Book Antiqua"/>
          <w:bCs/>
          <w:szCs w:val="24"/>
        </w:rPr>
        <w:t>is reasonable</w:t>
      </w:r>
      <w:r w:rsidRPr="00592ADF" w:rsidR="00F74A0C">
        <w:rPr>
          <w:rFonts w:ascii="Book Antiqua" w:hAnsi="Book Antiqua"/>
          <w:bCs/>
          <w:szCs w:val="24"/>
        </w:rPr>
        <w:t xml:space="preserve">. </w:t>
      </w:r>
      <w:r w:rsidR="00592ADF">
        <w:rPr>
          <w:rFonts w:ascii="Book Antiqua" w:hAnsi="Book Antiqua"/>
          <w:bCs/>
          <w:szCs w:val="24"/>
        </w:rPr>
        <w:br/>
      </w:r>
    </w:p>
    <w:p w:rsidRPr="00592ADF" w:rsidR="00A725ED" w:rsidP="00A725ED" w:rsidRDefault="00A725ED" w14:paraId="258ACFBE" w14:textId="77777777">
      <w:pPr>
        <w:numPr>
          <w:ilvl w:val="0"/>
          <w:numId w:val="9"/>
        </w:numPr>
        <w:rPr>
          <w:rFonts w:ascii="Book Antiqua" w:hAnsi="Book Antiqua"/>
          <w:b/>
          <w:szCs w:val="24"/>
        </w:rPr>
      </w:pPr>
      <w:r w:rsidRPr="00592ADF">
        <w:rPr>
          <w:rFonts w:ascii="Book Antiqua" w:hAnsi="Book Antiqua"/>
          <w:b/>
          <w:szCs w:val="24"/>
        </w:rPr>
        <w:t>Severity and Gravity of the Offense</w:t>
      </w:r>
    </w:p>
    <w:p w:rsidRPr="00592ADF" w:rsidR="005239E6" w:rsidP="005239E6" w:rsidRDefault="005239E6" w14:paraId="1E4168DC" w14:textId="77777777">
      <w:pPr>
        <w:ind w:left="720"/>
        <w:rPr>
          <w:rFonts w:ascii="Book Antiqua" w:hAnsi="Book Antiqua"/>
          <w:b/>
          <w:szCs w:val="24"/>
        </w:rPr>
      </w:pPr>
    </w:p>
    <w:p w:rsidRPr="00592ADF" w:rsidR="00323AA6" w:rsidP="00A725ED" w:rsidRDefault="00323AA6" w14:paraId="6E0E0983" w14:textId="77777777">
      <w:pPr>
        <w:rPr>
          <w:rFonts w:ascii="Book Antiqua" w:hAnsi="Book Antiqua"/>
          <w:bCs/>
          <w:szCs w:val="24"/>
        </w:rPr>
      </w:pPr>
      <w:r w:rsidRPr="00592ADF">
        <w:rPr>
          <w:rFonts w:ascii="Book Antiqua" w:hAnsi="Book Antiqua"/>
          <w:bCs/>
          <w:szCs w:val="24"/>
        </w:rPr>
        <w:t>The Commission independently</w:t>
      </w:r>
      <w:r w:rsidRPr="00592ADF" w:rsidR="006F0278">
        <w:rPr>
          <w:rFonts w:ascii="Book Antiqua" w:hAnsi="Book Antiqua"/>
          <w:bCs/>
          <w:szCs w:val="24"/>
        </w:rPr>
        <w:t xml:space="preserve"> analyzed the </w:t>
      </w:r>
      <w:r w:rsidRPr="00592ADF">
        <w:rPr>
          <w:rFonts w:ascii="Book Antiqua" w:hAnsi="Book Antiqua"/>
          <w:bCs/>
          <w:szCs w:val="24"/>
        </w:rPr>
        <w:t xml:space="preserve">evidence </w:t>
      </w:r>
      <w:r w:rsidRPr="00592ADF" w:rsidR="006F0278">
        <w:rPr>
          <w:rFonts w:ascii="Book Antiqua" w:hAnsi="Book Antiqua"/>
          <w:bCs/>
          <w:szCs w:val="24"/>
        </w:rPr>
        <w:t>and determined the</w:t>
      </w:r>
      <w:r w:rsidRPr="00592ADF" w:rsidR="00FA7EBC">
        <w:rPr>
          <w:rFonts w:ascii="Book Antiqua" w:hAnsi="Book Antiqua"/>
          <w:bCs/>
          <w:szCs w:val="24"/>
        </w:rPr>
        <w:t xml:space="preserve"> penalty amount is reasonable </w:t>
      </w:r>
      <w:proofErr w:type="gramStart"/>
      <w:r w:rsidRPr="00592ADF" w:rsidR="00FA7EBC">
        <w:rPr>
          <w:rFonts w:ascii="Book Antiqua" w:hAnsi="Book Antiqua"/>
          <w:bCs/>
          <w:szCs w:val="24"/>
        </w:rPr>
        <w:t>in light of</w:t>
      </w:r>
      <w:proofErr w:type="gramEnd"/>
      <w:r w:rsidRPr="00592ADF" w:rsidR="00FA7EBC">
        <w:rPr>
          <w:rFonts w:ascii="Book Antiqua" w:hAnsi="Book Antiqua"/>
          <w:bCs/>
          <w:szCs w:val="24"/>
        </w:rPr>
        <w:t xml:space="preserve"> the record given the severity and gravity of the offense. </w:t>
      </w:r>
      <w:r w:rsidRPr="00592ADF" w:rsidR="00A725ED">
        <w:rPr>
          <w:rFonts w:ascii="Book Antiqua" w:hAnsi="Book Antiqua"/>
          <w:bCs/>
          <w:szCs w:val="24"/>
        </w:rPr>
        <w:t xml:space="preserve">The Commission evaluates the severity and gravity of the offense by considering the following </w:t>
      </w:r>
      <w:r w:rsidRPr="00592ADF" w:rsidR="00F11EFC">
        <w:rPr>
          <w:rFonts w:ascii="Book Antiqua" w:hAnsi="Book Antiqua"/>
          <w:bCs/>
          <w:szCs w:val="24"/>
        </w:rPr>
        <w:t>situations</w:t>
      </w:r>
      <w:r w:rsidRPr="00592ADF" w:rsidR="00A725ED">
        <w:rPr>
          <w:rFonts w:ascii="Book Antiqua" w:hAnsi="Book Antiqua"/>
          <w:bCs/>
          <w:szCs w:val="24"/>
        </w:rPr>
        <w:t>: economic harm to victims, physical harm to people or property, harm to the integrity of the regulatory processes, the number of violations, and the number of consumers affected.</w:t>
      </w:r>
      <w:r w:rsidRPr="00592ADF" w:rsidR="00A725ED">
        <w:rPr>
          <w:rStyle w:val="FootnoteReference"/>
          <w:rFonts w:ascii="Book Antiqua" w:hAnsi="Book Antiqua"/>
          <w:bCs/>
          <w:szCs w:val="24"/>
        </w:rPr>
        <w:footnoteReference w:id="21"/>
      </w:r>
      <w:r w:rsidRPr="00592ADF" w:rsidR="00A725ED">
        <w:rPr>
          <w:rFonts w:ascii="Book Antiqua" w:hAnsi="Book Antiqua"/>
          <w:bCs/>
          <w:szCs w:val="24"/>
        </w:rPr>
        <w:t xml:space="preserve"> </w:t>
      </w:r>
    </w:p>
    <w:p w:rsidRPr="00592ADF" w:rsidR="00323AA6" w:rsidP="00A725ED" w:rsidRDefault="00323AA6" w14:paraId="45FE2076" w14:textId="77777777">
      <w:pPr>
        <w:rPr>
          <w:rFonts w:ascii="Book Antiqua" w:hAnsi="Book Antiqua"/>
          <w:bCs/>
          <w:szCs w:val="24"/>
        </w:rPr>
      </w:pPr>
    </w:p>
    <w:p w:rsidRPr="00592ADF" w:rsidR="00A725ED" w:rsidP="00A725ED" w:rsidRDefault="00A725ED" w14:paraId="595072FB" w14:textId="36CEBE07">
      <w:pPr>
        <w:rPr>
          <w:rFonts w:ascii="Book Antiqua" w:hAnsi="Book Antiqua"/>
          <w:bCs/>
          <w:szCs w:val="24"/>
        </w:rPr>
      </w:pPr>
      <w:r w:rsidRPr="00592ADF">
        <w:rPr>
          <w:rFonts w:ascii="Book Antiqua" w:hAnsi="Book Antiqua"/>
          <w:bCs/>
          <w:szCs w:val="24"/>
        </w:rPr>
        <w:t xml:space="preserve">The </w:t>
      </w:r>
      <w:r w:rsidRPr="00592ADF" w:rsidR="005A560B">
        <w:rPr>
          <w:rFonts w:ascii="Book Antiqua" w:hAnsi="Book Antiqua"/>
          <w:bCs/>
          <w:szCs w:val="24"/>
        </w:rPr>
        <w:t>Parties</w:t>
      </w:r>
      <w:r w:rsidRPr="00592ADF">
        <w:rPr>
          <w:rFonts w:ascii="Book Antiqua" w:hAnsi="Book Antiqua"/>
          <w:bCs/>
          <w:szCs w:val="24"/>
        </w:rPr>
        <w:t xml:space="preserve"> state the $</w:t>
      </w:r>
      <w:r w:rsidRPr="00592ADF" w:rsidR="00C2368C">
        <w:rPr>
          <w:rFonts w:ascii="Book Antiqua" w:hAnsi="Book Antiqua"/>
          <w:bCs/>
          <w:szCs w:val="24"/>
        </w:rPr>
        <w:t>7</w:t>
      </w:r>
      <w:r w:rsidRPr="00592ADF">
        <w:rPr>
          <w:rFonts w:ascii="Book Antiqua" w:hAnsi="Book Antiqua"/>
          <w:bCs/>
          <w:szCs w:val="24"/>
        </w:rPr>
        <w:t xml:space="preserve">,500 </w:t>
      </w:r>
      <w:r w:rsidRPr="00592ADF" w:rsidR="000F5C65">
        <w:rPr>
          <w:rFonts w:ascii="Book Antiqua" w:hAnsi="Book Antiqua"/>
          <w:bCs/>
          <w:szCs w:val="24"/>
        </w:rPr>
        <w:t>penalty</w:t>
      </w:r>
      <w:r w:rsidRPr="00592ADF">
        <w:rPr>
          <w:rFonts w:ascii="Book Antiqua" w:hAnsi="Book Antiqua"/>
          <w:bCs/>
          <w:szCs w:val="24"/>
        </w:rPr>
        <w:t xml:space="preserve"> amount is </w:t>
      </w:r>
      <w:r w:rsidRPr="00592ADF" w:rsidR="00323AA6">
        <w:rPr>
          <w:rFonts w:ascii="Book Antiqua" w:hAnsi="Book Antiqua"/>
          <w:bCs/>
          <w:szCs w:val="24"/>
        </w:rPr>
        <w:t xml:space="preserve">a </w:t>
      </w:r>
      <w:r w:rsidRPr="00592ADF">
        <w:rPr>
          <w:rFonts w:ascii="Book Antiqua" w:hAnsi="Book Antiqua"/>
          <w:bCs/>
          <w:szCs w:val="24"/>
        </w:rPr>
        <w:t xml:space="preserve">significant </w:t>
      </w:r>
      <w:r w:rsidRPr="00592ADF" w:rsidR="00323AA6">
        <w:rPr>
          <w:rFonts w:ascii="Book Antiqua" w:hAnsi="Book Antiqua"/>
          <w:bCs/>
          <w:szCs w:val="24"/>
        </w:rPr>
        <w:t xml:space="preserve">penalty </w:t>
      </w:r>
      <w:r w:rsidRPr="00592ADF">
        <w:rPr>
          <w:rFonts w:ascii="Book Antiqua" w:hAnsi="Book Antiqua"/>
          <w:bCs/>
          <w:szCs w:val="24"/>
        </w:rPr>
        <w:t xml:space="preserve">that will deter </w:t>
      </w:r>
      <w:proofErr w:type="spellStart"/>
      <w:r w:rsidR="00B93B3E">
        <w:rPr>
          <w:rFonts w:ascii="Book Antiqua" w:hAnsi="Book Antiqua"/>
          <w:bCs/>
          <w:szCs w:val="24"/>
        </w:rPr>
        <w:t>Mexicoach</w:t>
      </w:r>
      <w:proofErr w:type="spellEnd"/>
      <w:r w:rsidRPr="00592ADF" w:rsidR="00B93B3E">
        <w:rPr>
          <w:rFonts w:ascii="Book Antiqua" w:hAnsi="Book Antiqua"/>
          <w:bCs/>
          <w:szCs w:val="24"/>
        </w:rPr>
        <w:t xml:space="preserve"> </w:t>
      </w:r>
      <w:r w:rsidRPr="00592ADF">
        <w:rPr>
          <w:rFonts w:ascii="Book Antiqua" w:hAnsi="Book Antiqua"/>
          <w:bCs/>
          <w:szCs w:val="24"/>
        </w:rPr>
        <w:t xml:space="preserve">and other regulated entities from violating the Commission’s regulations in the future. </w:t>
      </w:r>
    </w:p>
    <w:p w:rsidRPr="00592ADF" w:rsidR="00C2368C" w:rsidP="00A725ED" w:rsidRDefault="00C2368C" w14:paraId="5660C9D9" w14:textId="77777777">
      <w:pPr>
        <w:rPr>
          <w:rFonts w:ascii="Book Antiqua" w:hAnsi="Book Antiqua"/>
          <w:bCs/>
          <w:szCs w:val="24"/>
        </w:rPr>
      </w:pPr>
    </w:p>
    <w:p w:rsidRPr="00592ADF" w:rsidR="00A725ED" w:rsidP="00A725ED" w:rsidRDefault="00A725ED" w14:paraId="4CBC6202" w14:textId="77777777">
      <w:pPr>
        <w:numPr>
          <w:ilvl w:val="0"/>
          <w:numId w:val="9"/>
        </w:numPr>
        <w:rPr>
          <w:rFonts w:ascii="Book Antiqua" w:hAnsi="Book Antiqua"/>
          <w:b/>
          <w:szCs w:val="24"/>
        </w:rPr>
      </w:pPr>
      <w:r w:rsidRPr="00592ADF">
        <w:rPr>
          <w:rFonts w:ascii="Book Antiqua" w:hAnsi="Book Antiqua"/>
          <w:b/>
          <w:szCs w:val="24"/>
        </w:rPr>
        <w:t>Conduct of the Regulated Entity</w:t>
      </w:r>
    </w:p>
    <w:p w:rsidRPr="00592ADF" w:rsidR="007A33C6" w:rsidP="007A33C6" w:rsidRDefault="007A33C6" w14:paraId="6FC466F2" w14:textId="77777777">
      <w:pPr>
        <w:ind w:left="720"/>
        <w:rPr>
          <w:rFonts w:ascii="Book Antiqua" w:hAnsi="Book Antiqua"/>
          <w:b/>
          <w:szCs w:val="24"/>
        </w:rPr>
      </w:pPr>
    </w:p>
    <w:p w:rsidRPr="00592ADF" w:rsidR="00EB7F4F" w:rsidP="00B93B3E" w:rsidRDefault="000569AF" w14:paraId="51EB7E56" w14:textId="634233EB">
      <w:pPr>
        <w:rPr>
          <w:rFonts w:ascii="Book Antiqua" w:hAnsi="Book Antiqua"/>
          <w:bCs/>
          <w:szCs w:val="24"/>
        </w:rPr>
      </w:pPr>
      <w:r w:rsidRPr="00592ADF">
        <w:rPr>
          <w:rFonts w:ascii="Book Antiqua" w:hAnsi="Book Antiqua"/>
          <w:bCs/>
          <w:szCs w:val="24"/>
        </w:rPr>
        <w:t>The penalty amount</w:t>
      </w:r>
      <w:r w:rsidRPr="00592ADF" w:rsidR="005657FE">
        <w:rPr>
          <w:rFonts w:ascii="Book Antiqua" w:hAnsi="Book Antiqua"/>
          <w:bCs/>
          <w:szCs w:val="24"/>
        </w:rPr>
        <w:t xml:space="preserve"> is reasonable</w:t>
      </w:r>
      <w:r w:rsidRPr="00592ADF">
        <w:rPr>
          <w:rFonts w:ascii="Book Antiqua" w:hAnsi="Book Antiqua"/>
          <w:bCs/>
          <w:szCs w:val="24"/>
        </w:rPr>
        <w:t xml:space="preserve"> </w:t>
      </w:r>
      <w:r w:rsidRPr="00592ADF" w:rsidR="0084026A">
        <w:rPr>
          <w:rFonts w:ascii="Book Antiqua" w:hAnsi="Book Antiqua"/>
          <w:bCs/>
          <w:szCs w:val="24"/>
        </w:rPr>
        <w:t xml:space="preserve">given </w:t>
      </w:r>
      <w:proofErr w:type="spellStart"/>
      <w:r w:rsidRPr="00592ADF" w:rsidR="00C2368C">
        <w:rPr>
          <w:rFonts w:ascii="Book Antiqua" w:hAnsi="Book Antiqua"/>
          <w:bCs/>
          <w:szCs w:val="24"/>
        </w:rPr>
        <w:t>Mexicoach’s</w:t>
      </w:r>
      <w:proofErr w:type="spellEnd"/>
      <w:r w:rsidRPr="00592ADF" w:rsidR="00C2368C">
        <w:rPr>
          <w:rFonts w:ascii="Book Antiqua" w:hAnsi="Book Antiqua"/>
          <w:bCs/>
          <w:szCs w:val="24"/>
        </w:rPr>
        <w:t xml:space="preserve"> </w:t>
      </w:r>
      <w:r w:rsidR="00B93B3E">
        <w:rPr>
          <w:rFonts w:ascii="Book Antiqua" w:hAnsi="Book Antiqua"/>
          <w:bCs/>
          <w:szCs w:val="24"/>
        </w:rPr>
        <w:t>prompt</w:t>
      </w:r>
      <w:r w:rsidRPr="00592ADF" w:rsidR="00E638BC">
        <w:rPr>
          <w:rFonts w:ascii="Book Antiqua" w:hAnsi="Book Antiqua"/>
          <w:bCs/>
          <w:szCs w:val="24"/>
        </w:rPr>
        <w:t xml:space="preserve"> cooperat</w:t>
      </w:r>
      <w:r w:rsidR="00B93B3E">
        <w:rPr>
          <w:rFonts w:ascii="Book Antiqua" w:hAnsi="Book Antiqua"/>
          <w:bCs/>
          <w:szCs w:val="24"/>
        </w:rPr>
        <w:t>ion</w:t>
      </w:r>
      <w:r w:rsidRPr="00592ADF" w:rsidR="00E638BC">
        <w:rPr>
          <w:rFonts w:ascii="Book Antiqua" w:hAnsi="Book Antiqua"/>
          <w:bCs/>
          <w:szCs w:val="24"/>
        </w:rPr>
        <w:t xml:space="preserve"> with CPED after the Citation was issued</w:t>
      </w:r>
      <w:r w:rsidRPr="00592ADF" w:rsidR="0084026A">
        <w:rPr>
          <w:rFonts w:ascii="Book Antiqua" w:hAnsi="Book Antiqua"/>
          <w:bCs/>
          <w:szCs w:val="24"/>
        </w:rPr>
        <w:t>.</w:t>
      </w:r>
      <w:r w:rsidRPr="00592ADF" w:rsidR="005657FE">
        <w:rPr>
          <w:rFonts w:ascii="Book Antiqua" w:hAnsi="Book Antiqua"/>
          <w:bCs/>
          <w:szCs w:val="24"/>
        </w:rPr>
        <w:t xml:space="preserve"> </w:t>
      </w:r>
      <w:proofErr w:type="spellStart"/>
      <w:r w:rsidRPr="00592ADF" w:rsidR="00E638BC">
        <w:rPr>
          <w:rFonts w:ascii="Book Antiqua" w:hAnsi="Book Antiqua"/>
          <w:bCs/>
          <w:szCs w:val="24"/>
        </w:rPr>
        <w:t>Mexicoach</w:t>
      </w:r>
      <w:proofErr w:type="spellEnd"/>
      <w:r w:rsidRPr="00592ADF" w:rsidR="00E638BC">
        <w:rPr>
          <w:rFonts w:ascii="Book Antiqua" w:hAnsi="Book Antiqua"/>
          <w:bCs/>
          <w:szCs w:val="24"/>
        </w:rPr>
        <w:t xml:space="preserve"> promptly cured issues </w:t>
      </w:r>
      <w:r w:rsidRPr="00592ADF" w:rsidR="00583D81">
        <w:rPr>
          <w:rFonts w:ascii="Book Antiqua" w:hAnsi="Book Antiqua"/>
          <w:bCs/>
          <w:szCs w:val="24"/>
        </w:rPr>
        <w:t xml:space="preserve">raised in the Citation </w:t>
      </w:r>
      <w:r w:rsidRPr="00592ADF" w:rsidR="00B93B3E">
        <w:rPr>
          <w:rFonts w:ascii="Book Antiqua" w:hAnsi="Book Antiqua"/>
          <w:bCs/>
          <w:szCs w:val="24"/>
        </w:rPr>
        <w:t>including</w:t>
      </w:r>
      <w:r w:rsidRPr="00592ADF" w:rsidR="00583D81">
        <w:rPr>
          <w:rFonts w:ascii="Book Antiqua" w:hAnsi="Book Antiqua"/>
          <w:bCs/>
          <w:szCs w:val="24"/>
        </w:rPr>
        <w:t xml:space="preserve"> </w:t>
      </w:r>
      <w:r w:rsidRPr="00592ADF" w:rsidR="00E638BC">
        <w:rPr>
          <w:rFonts w:ascii="Book Antiqua" w:hAnsi="Book Antiqua"/>
          <w:bCs/>
          <w:szCs w:val="24"/>
        </w:rPr>
        <w:t>add</w:t>
      </w:r>
      <w:r w:rsidRPr="00592ADF" w:rsidR="00583D81">
        <w:rPr>
          <w:rFonts w:ascii="Book Antiqua" w:hAnsi="Book Antiqua"/>
          <w:bCs/>
          <w:szCs w:val="24"/>
        </w:rPr>
        <w:t>ing</w:t>
      </w:r>
      <w:r w:rsidRPr="00592ADF" w:rsidR="00E638BC">
        <w:rPr>
          <w:rFonts w:ascii="Book Antiqua" w:hAnsi="Book Antiqua"/>
          <w:bCs/>
          <w:szCs w:val="24"/>
        </w:rPr>
        <w:t xml:space="preserve"> busses to its equipment list for its TCP- A permit</w:t>
      </w:r>
      <w:r w:rsidR="00B93B3E">
        <w:rPr>
          <w:rFonts w:ascii="Book Antiqua" w:hAnsi="Book Antiqua"/>
          <w:bCs/>
          <w:szCs w:val="24"/>
        </w:rPr>
        <w:t xml:space="preserve"> and</w:t>
      </w:r>
      <w:r w:rsidRPr="00592ADF" w:rsidR="00E638BC">
        <w:rPr>
          <w:rFonts w:ascii="Book Antiqua" w:hAnsi="Book Antiqua"/>
          <w:bCs/>
          <w:szCs w:val="24"/>
        </w:rPr>
        <w:t xml:space="preserve"> creat</w:t>
      </w:r>
      <w:r w:rsidR="00B93B3E">
        <w:rPr>
          <w:rFonts w:ascii="Book Antiqua" w:hAnsi="Book Antiqua"/>
          <w:bCs/>
          <w:szCs w:val="24"/>
        </w:rPr>
        <w:t>ing</w:t>
      </w:r>
      <w:r w:rsidRPr="00592ADF" w:rsidR="00E638BC">
        <w:rPr>
          <w:rFonts w:ascii="Book Antiqua" w:hAnsi="Book Antiqua"/>
          <w:bCs/>
          <w:szCs w:val="24"/>
        </w:rPr>
        <w:t xml:space="preserve"> new waybills including all required information as required by applicable law.</w:t>
      </w:r>
      <w:r w:rsidRPr="00592ADF" w:rsidR="00E638BC">
        <w:rPr>
          <w:rStyle w:val="FootnoteReference"/>
          <w:rFonts w:ascii="Book Antiqua" w:hAnsi="Book Antiqua"/>
          <w:bCs/>
          <w:szCs w:val="24"/>
        </w:rPr>
        <w:footnoteReference w:id="22"/>
      </w:r>
      <w:r w:rsidRPr="00592ADF" w:rsidR="00B93B3E">
        <w:rPr>
          <w:rFonts w:ascii="Book Antiqua" w:hAnsi="Book Antiqua"/>
          <w:bCs/>
          <w:szCs w:val="24"/>
        </w:rPr>
        <w:t>In assessing the entity’s conduct, the Commission considers the entity’s actions to prevent, detect, disclose, or rectify a violation.</w:t>
      </w:r>
      <w:r w:rsidRPr="00592ADF" w:rsidR="00B93B3E">
        <w:rPr>
          <w:rStyle w:val="FootnoteReference"/>
          <w:rFonts w:ascii="Book Antiqua" w:hAnsi="Book Antiqua"/>
          <w:bCs/>
          <w:szCs w:val="24"/>
        </w:rPr>
        <w:footnoteReference w:id="23"/>
      </w:r>
      <w:r w:rsidRPr="00592ADF" w:rsidR="00B93B3E">
        <w:rPr>
          <w:rFonts w:ascii="Book Antiqua" w:hAnsi="Book Antiqua"/>
          <w:bCs/>
          <w:szCs w:val="24"/>
        </w:rPr>
        <w:t xml:space="preserve"> </w:t>
      </w:r>
    </w:p>
    <w:p w:rsidRPr="00592ADF" w:rsidR="00E638BC" w:rsidP="00A725ED" w:rsidRDefault="00E638BC" w14:paraId="28861CF2" w14:textId="77777777">
      <w:pPr>
        <w:rPr>
          <w:rFonts w:ascii="Book Antiqua" w:hAnsi="Book Antiqua"/>
          <w:bCs/>
          <w:szCs w:val="24"/>
        </w:rPr>
      </w:pPr>
    </w:p>
    <w:p w:rsidRPr="00592ADF" w:rsidR="009D6C75" w:rsidP="00A725ED" w:rsidRDefault="009D6C75" w14:paraId="5DCF7494" w14:textId="45C353F5">
      <w:pPr>
        <w:rPr>
          <w:rFonts w:ascii="Book Antiqua" w:hAnsi="Book Antiqua"/>
          <w:bCs/>
          <w:szCs w:val="24"/>
        </w:rPr>
      </w:pPr>
      <w:r w:rsidRPr="00592ADF">
        <w:rPr>
          <w:rFonts w:ascii="Book Antiqua" w:hAnsi="Book Antiqua"/>
          <w:bCs/>
          <w:szCs w:val="24"/>
        </w:rPr>
        <w:t xml:space="preserve">Additionally, </w:t>
      </w:r>
      <w:proofErr w:type="spellStart"/>
      <w:r w:rsidRPr="00592ADF" w:rsidR="00C2368C">
        <w:rPr>
          <w:rFonts w:ascii="Book Antiqua" w:hAnsi="Book Antiqua"/>
          <w:bCs/>
          <w:szCs w:val="24"/>
        </w:rPr>
        <w:t>Mexicoach</w:t>
      </w:r>
      <w:proofErr w:type="spellEnd"/>
      <w:r w:rsidRPr="00592ADF" w:rsidR="00EB7F4F">
        <w:rPr>
          <w:rFonts w:ascii="Book Antiqua" w:hAnsi="Book Antiqua"/>
          <w:bCs/>
          <w:szCs w:val="24"/>
        </w:rPr>
        <w:t xml:space="preserve"> engaged in good-faith arms-length negotiations to </w:t>
      </w:r>
      <w:r w:rsidRPr="00592ADF" w:rsidR="00C2368C">
        <w:rPr>
          <w:rFonts w:ascii="Book Antiqua" w:hAnsi="Book Antiqua"/>
          <w:bCs/>
          <w:szCs w:val="24"/>
        </w:rPr>
        <w:t>determine an</w:t>
      </w:r>
      <w:r w:rsidRPr="00592ADF" w:rsidR="00EB7F4F">
        <w:rPr>
          <w:rFonts w:ascii="Book Antiqua" w:hAnsi="Book Antiqua"/>
          <w:bCs/>
          <w:szCs w:val="24"/>
        </w:rPr>
        <w:t xml:space="preserve"> appropriate settlement amount</w:t>
      </w:r>
      <w:r w:rsidRPr="00592ADF">
        <w:rPr>
          <w:rFonts w:ascii="Book Antiqua" w:hAnsi="Book Antiqua"/>
          <w:bCs/>
          <w:szCs w:val="24"/>
        </w:rPr>
        <w:t xml:space="preserve"> with CPED</w:t>
      </w:r>
      <w:r w:rsidRPr="00592ADF" w:rsidR="00E638BC">
        <w:rPr>
          <w:rFonts w:ascii="Book Antiqua" w:hAnsi="Book Antiqua"/>
          <w:bCs/>
          <w:szCs w:val="24"/>
        </w:rPr>
        <w:t xml:space="preserve"> to reach the Settlement Agreement.</w:t>
      </w:r>
    </w:p>
    <w:p w:rsidRPr="00592ADF" w:rsidR="009D6C75" w:rsidP="00A725ED" w:rsidRDefault="009D6C75" w14:paraId="0B1F34ED" w14:textId="77777777">
      <w:pPr>
        <w:rPr>
          <w:rFonts w:ascii="Book Antiqua" w:hAnsi="Book Antiqua"/>
          <w:bCs/>
          <w:szCs w:val="24"/>
        </w:rPr>
      </w:pPr>
    </w:p>
    <w:p w:rsidRPr="00592ADF" w:rsidR="00A725ED" w:rsidP="00A725ED" w:rsidRDefault="003456C3" w14:paraId="7208BC11" w14:textId="7178A855">
      <w:pPr>
        <w:rPr>
          <w:rFonts w:ascii="Book Antiqua" w:hAnsi="Book Antiqua"/>
          <w:bCs/>
          <w:szCs w:val="24"/>
        </w:rPr>
      </w:pPr>
      <w:r w:rsidRPr="00592ADF">
        <w:rPr>
          <w:rFonts w:ascii="Book Antiqua" w:hAnsi="Book Antiqua"/>
          <w:bCs/>
          <w:szCs w:val="24"/>
        </w:rPr>
        <w:t xml:space="preserve">The </w:t>
      </w:r>
      <w:r w:rsidRPr="00592ADF" w:rsidR="009D6C75">
        <w:rPr>
          <w:rFonts w:ascii="Book Antiqua" w:hAnsi="Book Antiqua"/>
          <w:bCs/>
          <w:szCs w:val="24"/>
        </w:rPr>
        <w:t xml:space="preserve">Commission </w:t>
      </w:r>
      <w:r w:rsidRPr="00592ADF">
        <w:rPr>
          <w:rFonts w:ascii="Book Antiqua" w:hAnsi="Book Antiqua"/>
          <w:bCs/>
          <w:szCs w:val="24"/>
        </w:rPr>
        <w:t xml:space="preserve">independently </w:t>
      </w:r>
      <w:r w:rsidRPr="00592ADF" w:rsidR="00D63B39">
        <w:rPr>
          <w:rFonts w:ascii="Book Antiqua" w:hAnsi="Book Antiqua"/>
          <w:bCs/>
          <w:szCs w:val="24"/>
        </w:rPr>
        <w:t>concludes</w:t>
      </w:r>
      <w:r w:rsidRPr="00592ADF" w:rsidR="009D6C75">
        <w:rPr>
          <w:rFonts w:ascii="Book Antiqua" w:hAnsi="Book Antiqua"/>
          <w:bCs/>
          <w:szCs w:val="24"/>
        </w:rPr>
        <w:t xml:space="preserve"> that the </w:t>
      </w:r>
      <w:r w:rsidRPr="00592ADF" w:rsidR="00A725ED">
        <w:rPr>
          <w:rFonts w:ascii="Book Antiqua" w:hAnsi="Book Antiqua"/>
          <w:bCs/>
          <w:szCs w:val="24"/>
        </w:rPr>
        <w:t xml:space="preserve">reduced settlement </w:t>
      </w:r>
      <w:r w:rsidRPr="00592ADF" w:rsidR="000F5C65">
        <w:rPr>
          <w:rFonts w:ascii="Book Antiqua" w:hAnsi="Book Antiqua"/>
          <w:bCs/>
          <w:szCs w:val="24"/>
        </w:rPr>
        <w:t>penalty</w:t>
      </w:r>
      <w:r w:rsidRPr="00592ADF" w:rsidR="00A725ED">
        <w:rPr>
          <w:rFonts w:ascii="Book Antiqua" w:hAnsi="Book Antiqua"/>
          <w:bCs/>
          <w:szCs w:val="24"/>
        </w:rPr>
        <w:t xml:space="preserve"> amount of $</w:t>
      </w:r>
      <w:r w:rsidRPr="00592ADF" w:rsidR="00C2368C">
        <w:rPr>
          <w:rFonts w:ascii="Book Antiqua" w:hAnsi="Book Antiqua"/>
          <w:bCs/>
          <w:szCs w:val="24"/>
        </w:rPr>
        <w:t>7</w:t>
      </w:r>
      <w:r w:rsidRPr="00592ADF" w:rsidR="00A725ED">
        <w:rPr>
          <w:rFonts w:ascii="Book Antiqua" w:hAnsi="Book Antiqua"/>
          <w:bCs/>
          <w:szCs w:val="24"/>
        </w:rPr>
        <w:t>,</w:t>
      </w:r>
      <w:r w:rsidRPr="00592ADF" w:rsidR="001D008B">
        <w:rPr>
          <w:rFonts w:ascii="Book Antiqua" w:hAnsi="Book Antiqua"/>
          <w:bCs/>
          <w:szCs w:val="24"/>
        </w:rPr>
        <w:t>5</w:t>
      </w:r>
      <w:r w:rsidRPr="00592ADF" w:rsidR="00A725ED">
        <w:rPr>
          <w:rFonts w:ascii="Book Antiqua" w:hAnsi="Book Antiqua"/>
          <w:bCs/>
          <w:szCs w:val="24"/>
        </w:rPr>
        <w:t>00 is warranted</w:t>
      </w:r>
      <w:r w:rsidRPr="00592ADF" w:rsidR="00D63B39">
        <w:rPr>
          <w:rFonts w:ascii="Book Antiqua" w:hAnsi="Book Antiqua"/>
          <w:bCs/>
          <w:szCs w:val="24"/>
        </w:rPr>
        <w:t xml:space="preserve"> </w:t>
      </w:r>
      <w:r w:rsidRPr="00592ADF" w:rsidR="00C2368C">
        <w:rPr>
          <w:rFonts w:ascii="Book Antiqua" w:hAnsi="Book Antiqua"/>
          <w:bCs/>
          <w:szCs w:val="24"/>
        </w:rPr>
        <w:t>given the Parti</w:t>
      </w:r>
      <w:r w:rsidRPr="00592ADF" w:rsidR="00E638BC">
        <w:rPr>
          <w:rFonts w:ascii="Book Antiqua" w:hAnsi="Book Antiqua"/>
          <w:bCs/>
          <w:szCs w:val="24"/>
        </w:rPr>
        <w:t>e</w:t>
      </w:r>
      <w:r w:rsidRPr="00592ADF" w:rsidR="00C2368C">
        <w:rPr>
          <w:rFonts w:ascii="Book Antiqua" w:hAnsi="Book Antiqua"/>
          <w:bCs/>
          <w:szCs w:val="24"/>
        </w:rPr>
        <w:t xml:space="preserve">s agreement that </w:t>
      </w:r>
      <w:proofErr w:type="spellStart"/>
      <w:r w:rsidRPr="00592ADF" w:rsidR="00C2368C">
        <w:rPr>
          <w:rFonts w:ascii="Book Antiqua" w:hAnsi="Book Antiqua"/>
          <w:bCs/>
          <w:szCs w:val="24"/>
        </w:rPr>
        <w:t>Mexicoach</w:t>
      </w:r>
      <w:proofErr w:type="spellEnd"/>
      <w:r w:rsidRPr="00592ADF" w:rsidR="00C2368C">
        <w:rPr>
          <w:rFonts w:ascii="Book Antiqua" w:hAnsi="Book Antiqua"/>
          <w:bCs/>
          <w:szCs w:val="24"/>
        </w:rPr>
        <w:t xml:space="preserve"> committed only Violations 2, 4, 5 and 7 in the Citation. </w:t>
      </w:r>
    </w:p>
    <w:p w:rsidR="00D63B39" w:rsidP="00A725ED" w:rsidRDefault="00D63B39" w14:paraId="3C62BCBB" w14:textId="77777777">
      <w:pPr>
        <w:rPr>
          <w:rFonts w:ascii="Book Antiqua" w:hAnsi="Book Antiqua"/>
          <w:bCs/>
          <w:szCs w:val="24"/>
        </w:rPr>
      </w:pPr>
    </w:p>
    <w:p w:rsidR="007E018D" w:rsidP="00A725ED" w:rsidRDefault="007E018D" w14:paraId="332DF2E7" w14:textId="77777777">
      <w:pPr>
        <w:rPr>
          <w:rFonts w:ascii="Book Antiqua" w:hAnsi="Book Antiqua"/>
          <w:bCs/>
          <w:szCs w:val="24"/>
        </w:rPr>
      </w:pPr>
    </w:p>
    <w:p w:rsidR="007E018D" w:rsidP="00A725ED" w:rsidRDefault="007E018D" w14:paraId="53B2D0F5" w14:textId="77777777">
      <w:pPr>
        <w:rPr>
          <w:rFonts w:ascii="Book Antiqua" w:hAnsi="Book Antiqua"/>
          <w:bCs/>
          <w:szCs w:val="24"/>
        </w:rPr>
      </w:pPr>
    </w:p>
    <w:p w:rsidRPr="00592ADF" w:rsidR="007E018D" w:rsidP="00A725ED" w:rsidRDefault="007E018D" w14:paraId="781B38F9" w14:textId="77777777">
      <w:pPr>
        <w:rPr>
          <w:rFonts w:ascii="Book Antiqua" w:hAnsi="Book Antiqua"/>
          <w:bCs/>
          <w:szCs w:val="24"/>
        </w:rPr>
      </w:pPr>
    </w:p>
    <w:p w:rsidRPr="00592ADF" w:rsidR="00A725ED" w:rsidP="00A725ED" w:rsidRDefault="00A725ED" w14:paraId="5423D41B" w14:textId="77777777">
      <w:pPr>
        <w:numPr>
          <w:ilvl w:val="0"/>
          <w:numId w:val="9"/>
        </w:numPr>
        <w:rPr>
          <w:rFonts w:ascii="Book Antiqua" w:hAnsi="Book Antiqua"/>
          <w:b/>
          <w:szCs w:val="24"/>
        </w:rPr>
      </w:pPr>
      <w:r w:rsidRPr="00592ADF">
        <w:rPr>
          <w:rFonts w:ascii="Book Antiqua" w:hAnsi="Book Antiqua"/>
          <w:b/>
          <w:szCs w:val="24"/>
        </w:rPr>
        <w:lastRenderedPageBreak/>
        <w:t>Financial Resources of the Regulated Entity</w:t>
      </w:r>
    </w:p>
    <w:p w:rsidRPr="00592ADF" w:rsidR="00D63B39" w:rsidP="00D63B39" w:rsidRDefault="00D63B39" w14:paraId="1E0FE9DA" w14:textId="77777777">
      <w:pPr>
        <w:ind w:left="720"/>
        <w:rPr>
          <w:rFonts w:ascii="Book Antiqua" w:hAnsi="Book Antiqua"/>
          <w:b/>
          <w:szCs w:val="24"/>
        </w:rPr>
      </w:pPr>
    </w:p>
    <w:p w:rsidRPr="00592ADF" w:rsidR="0055583C" w:rsidP="00A725ED" w:rsidRDefault="004D223D" w14:paraId="0DB48E2D" w14:textId="696AB685">
      <w:pPr>
        <w:rPr>
          <w:rFonts w:ascii="Book Antiqua" w:hAnsi="Book Antiqua"/>
          <w:bCs/>
          <w:szCs w:val="24"/>
        </w:rPr>
      </w:pPr>
      <w:r w:rsidRPr="00592ADF">
        <w:rPr>
          <w:rFonts w:ascii="Book Antiqua" w:hAnsi="Book Antiqua"/>
          <w:bCs/>
          <w:szCs w:val="24"/>
        </w:rPr>
        <w:t xml:space="preserve">The penalty </w:t>
      </w:r>
      <w:r w:rsidRPr="00592ADF" w:rsidR="005A216F">
        <w:rPr>
          <w:rFonts w:ascii="Book Antiqua" w:hAnsi="Book Antiqua"/>
          <w:bCs/>
          <w:szCs w:val="24"/>
        </w:rPr>
        <w:t xml:space="preserve">amount </w:t>
      </w:r>
      <w:r w:rsidRPr="00592ADF">
        <w:rPr>
          <w:rFonts w:ascii="Book Antiqua" w:hAnsi="Book Antiqua"/>
          <w:bCs/>
          <w:szCs w:val="24"/>
        </w:rPr>
        <w:t>is reasonable</w:t>
      </w:r>
      <w:r w:rsidRPr="00592ADF" w:rsidR="0055583C">
        <w:rPr>
          <w:rFonts w:ascii="Book Antiqua" w:hAnsi="Book Antiqua"/>
          <w:bCs/>
          <w:szCs w:val="24"/>
        </w:rPr>
        <w:t xml:space="preserve"> as it </w:t>
      </w:r>
      <w:r w:rsidRPr="00592ADF" w:rsidR="00C964B5">
        <w:rPr>
          <w:rFonts w:ascii="Book Antiqua" w:hAnsi="Book Antiqua"/>
          <w:bCs/>
          <w:szCs w:val="24"/>
        </w:rPr>
        <w:t>balance</w:t>
      </w:r>
      <w:r w:rsidRPr="00592ADF" w:rsidR="005A216F">
        <w:rPr>
          <w:rFonts w:ascii="Book Antiqua" w:hAnsi="Book Antiqua"/>
          <w:bCs/>
          <w:szCs w:val="24"/>
        </w:rPr>
        <w:t>s</w:t>
      </w:r>
      <w:r w:rsidRPr="00592ADF" w:rsidR="00C964B5">
        <w:rPr>
          <w:rFonts w:ascii="Book Antiqua" w:hAnsi="Book Antiqua"/>
          <w:bCs/>
          <w:szCs w:val="24"/>
        </w:rPr>
        <w:t xml:space="preserve"> </w:t>
      </w:r>
      <w:r w:rsidRPr="00592ADF" w:rsidR="0055583C">
        <w:rPr>
          <w:rFonts w:ascii="Book Antiqua" w:hAnsi="Book Antiqua"/>
          <w:bCs/>
          <w:szCs w:val="24"/>
        </w:rPr>
        <w:t>t</w:t>
      </w:r>
      <w:r w:rsidRPr="00592ADF" w:rsidR="005A216F">
        <w:rPr>
          <w:rFonts w:ascii="Book Antiqua" w:hAnsi="Book Antiqua"/>
          <w:bCs/>
          <w:szCs w:val="24"/>
        </w:rPr>
        <w:t>he</w:t>
      </w:r>
      <w:r w:rsidRPr="00592ADF" w:rsidR="00803F4F">
        <w:rPr>
          <w:rFonts w:ascii="Book Antiqua" w:hAnsi="Book Antiqua"/>
          <w:bCs/>
          <w:szCs w:val="24"/>
        </w:rPr>
        <w:t xml:space="preserve"> dual</w:t>
      </w:r>
      <w:r w:rsidRPr="00592ADF" w:rsidR="005A216F">
        <w:rPr>
          <w:rFonts w:ascii="Book Antiqua" w:hAnsi="Book Antiqua"/>
          <w:bCs/>
          <w:szCs w:val="24"/>
        </w:rPr>
        <w:t xml:space="preserve"> aim to</w:t>
      </w:r>
      <w:r w:rsidRPr="00592ADF" w:rsidR="0055583C">
        <w:rPr>
          <w:rFonts w:ascii="Book Antiqua" w:hAnsi="Book Antiqua"/>
          <w:bCs/>
          <w:szCs w:val="24"/>
        </w:rPr>
        <w:t xml:space="preserve"> deter</w:t>
      </w:r>
      <w:r w:rsidRPr="00592ADF" w:rsidR="00C964B5">
        <w:rPr>
          <w:rFonts w:ascii="Book Antiqua" w:hAnsi="Book Antiqua"/>
          <w:bCs/>
          <w:szCs w:val="24"/>
        </w:rPr>
        <w:t xml:space="preserve"> future violations </w:t>
      </w:r>
      <w:r w:rsidRPr="00592ADF" w:rsidR="005A216F">
        <w:rPr>
          <w:rFonts w:ascii="Book Antiqua" w:hAnsi="Book Antiqua"/>
          <w:bCs/>
          <w:szCs w:val="24"/>
        </w:rPr>
        <w:t>and avoid</w:t>
      </w:r>
      <w:r w:rsidRPr="00592ADF" w:rsidR="0055583C">
        <w:rPr>
          <w:rFonts w:ascii="Book Antiqua" w:hAnsi="Book Antiqua"/>
          <w:bCs/>
          <w:szCs w:val="24"/>
        </w:rPr>
        <w:t xml:space="preserve"> excessive penalties. In its review, the Commission finds that </w:t>
      </w:r>
      <w:r w:rsidRPr="00592ADF" w:rsidR="00D20CB3">
        <w:rPr>
          <w:rFonts w:ascii="Book Antiqua" w:hAnsi="Book Antiqua"/>
          <w:bCs/>
          <w:szCs w:val="24"/>
        </w:rPr>
        <w:t>considering</w:t>
      </w:r>
      <w:r w:rsidRPr="00592ADF" w:rsidR="003E34C4">
        <w:rPr>
          <w:rFonts w:ascii="Book Antiqua" w:hAnsi="Book Antiqua"/>
          <w:bCs/>
          <w:szCs w:val="24"/>
        </w:rPr>
        <w:t xml:space="preserve"> the record, the penalty is within the bounds of an acceptable amount that</w:t>
      </w:r>
      <w:r w:rsidRPr="00592ADF" w:rsidR="00425995">
        <w:rPr>
          <w:rFonts w:ascii="Book Antiqua" w:hAnsi="Book Antiqua"/>
          <w:bCs/>
          <w:szCs w:val="24"/>
        </w:rPr>
        <w:t xml:space="preserve"> </w:t>
      </w:r>
      <w:r w:rsidRPr="00592ADF" w:rsidR="003E34C4">
        <w:rPr>
          <w:rFonts w:ascii="Book Antiqua" w:hAnsi="Book Antiqua"/>
          <w:bCs/>
          <w:szCs w:val="24"/>
        </w:rPr>
        <w:t xml:space="preserve">will not </w:t>
      </w:r>
      <w:r w:rsidRPr="00592ADF" w:rsidR="00425995">
        <w:rPr>
          <w:rFonts w:ascii="Book Antiqua" w:hAnsi="Book Antiqua"/>
          <w:bCs/>
          <w:szCs w:val="24"/>
        </w:rPr>
        <w:t xml:space="preserve">cause </w:t>
      </w:r>
      <w:r w:rsidRPr="00592ADF" w:rsidR="00BA507F">
        <w:rPr>
          <w:rFonts w:ascii="Book Antiqua" w:hAnsi="Book Antiqua"/>
          <w:bCs/>
          <w:szCs w:val="24"/>
        </w:rPr>
        <w:t xml:space="preserve">significant </w:t>
      </w:r>
      <w:r w:rsidRPr="00592ADF" w:rsidR="00425995">
        <w:rPr>
          <w:rFonts w:ascii="Book Antiqua" w:hAnsi="Book Antiqua"/>
          <w:bCs/>
          <w:szCs w:val="24"/>
        </w:rPr>
        <w:t xml:space="preserve">financial hardship for </w:t>
      </w:r>
      <w:proofErr w:type="spellStart"/>
      <w:r w:rsidRPr="00592ADF" w:rsidR="00C2368C">
        <w:rPr>
          <w:rFonts w:ascii="Book Antiqua" w:hAnsi="Book Antiqua"/>
          <w:bCs/>
          <w:szCs w:val="24"/>
        </w:rPr>
        <w:t>Mexicoach</w:t>
      </w:r>
      <w:proofErr w:type="spellEnd"/>
      <w:r w:rsidRPr="00592ADF" w:rsidR="00425995">
        <w:rPr>
          <w:rFonts w:ascii="Book Antiqua" w:hAnsi="Book Antiqua"/>
          <w:bCs/>
          <w:szCs w:val="24"/>
        </w:rPr>
        <w:t xml:space="preserve">. </w:t>
      </w:r>
      <w:r w:rsidRPr="00592ADF" w:rsidR="00442E80">
        <w:rPr>
          <w:rFonts w:ascii="Book Antiqua" w:hAnsi="Book Antiqua"/>
          <w:bCs/>
          <w:szCs w:val="24"/>
        </w:rPr>
        <w:t xml:space="preserve">The Commission takes </w:t>
      </w:r>
      <w:r w:rsidRPr="00592ADF" w:rsidR="00431648">
        <w:rPr>
          <w:rFonts w:ascii="Book Antiqua" w:hAnsi="Book Antiqua"/>
          <w:bCs/>
          <w:szCs w:val="24"/>
        </w:rPr>
        <w:t>into</w:t>
      </w:r>
      <w:r w:rsidRPr="00592ADF" w:rsidR="00442E80">
        <w:rPr>
          <w:rFonts w:ascii="Book Antiqua" w:hAnsi="Book Antiqua"/>
          <w:bCs/>
          <w:szCs w:val="24"/>
        </w:rPr>
        <w:t xml:space="preserve"> consideration the size of the company, its financial resources, and </w:t>
      </w:r>
      <w:r w:rsidRPr="00592ADF" w:rsidR="007C36D2">
        <w:rPr>
          <w:rFonts w:ascii="Book Antiqua" w:hAnsi="Book Antiqua"/>
          <w:bCs/>
          <w:szCs w:val="24"/>
        </w:rPr>
        <w:t xml:space="preserve">aim of the penalty to </w:t>
      </w:r>
      <w:r w:rsidRPr="00592ADF" w:rsidR="00455193">
        <w:rPr>
          <w:rFonts w:ascii="Book Antiqua" w:hAnsi="Book Antiqua"/>
          <w:bCs/>
          <w:szCs w:val="24"/>
        </w:rPr>
        <w:t xml:space="preserve">deter </w:t>
      </w:r>
      <w:r w:rsidRPr="00592ADF" w:rsidR="007C36D2">
        <w:rPr>
          <w:rFonts w:ascii="Book Antiqua" w:hAnsi="Book Antiqua"/>
          <w:bCs/>
          <w:szCs w:val="24"/>
        </w:rPr>
        <w:t>future violations</w:t>
      </w:r>
      <w:r w:rsidRPr="00592ADF" w:rsidR="00442E80">
        <w:rPr>
          <w:rFonts w:ascii="Book Antiqua" w:hAnsi="Book Antiqua"/>
          <w:bCs/>
          <w:szCs w:val="24"/>
        </w:rPr>
        <w:t>.</w:t>
      </w:r>
      <w:r w:rsidRPr="00592ADF" w:rsidR="00442E80">
        <w:rPr>
          <w:rStyle w:val="FootnoteReference"/>
          <w:rFonts w:ascii="Book Antiqua" w:hAnsi="Book Antiqua"/>
          <w:bCs/>
          <w:szCs w:val="24"/>
        </w:rPr>
        <w:footnoteReference w:id="24"/>
      </w:r>
    </w:p>
    <w:p w:rsidRPr="00592ADF" w:rsidR="0055583C" w:rsidP="00A725ED" w:rsidRDefault="0055583C" w14:paraId="57C9A23C" w14:textId="77777777">
      <w:pPr>
        <w:rPr>
          <w:rFonts w:ascii="Book Antiqua" w:hAnsi="Book Antiqua"/>
          <w:bCs/>
          <w:szCs w:val="24"/>
        </w:rPr>
      </w:pPr>
    </w:p>
    <w:p w:rsidRPr="00592ADF" w:rsidR="00A725ED" w:rsidP="00A725ED" w:rsidRDefault="00D20CB3" w14:paraId="7D8CFA6E" w14:textId="40DF38B7">
      <w:pPr>
        <w:rPr>
          <w:rFonts w:ascii="Book Antiqua" w:hAnsi="Book Antiqua"/>
          <w:bCs/>
          <w:szCs w:val="24"/>
        </w:rPr>
      </w:pPr>
      <w:r>
        <w:rPr>
          <w:rFonts w:ascii="Book Antiqua" w:hAnsi="Book Antiqua"/>
          <w:bCs/>
          <w:szCs w:val="24"/>
        </w:rPr>
        <w:t xml:space="preserve">In addition, the Commission finds that the penalty amount serves as a reminder to </w:t>
      </w:r>
      <w:proofErr w:type="spellStart"/>
      <w:r>
        <w:rPr>
          <w:rFonts w:ascii="Book Antiqua" w:hAnsi="Book Antiqua"/>
          <w:bCs/>
          <w:szCs w:val="24"/>
        </w:rPr>
        <w:t>Mexicoach</w:t>
      </w:r>
      <w:proofErr w:type="spellEnd"/>
      <w:r>
        <w:rPr>
          <w:rFonts w:ascii="Book Antiqua" w:hAnsi="Book Antiqua"/>
          <w:bCs/>
          <w:szCs w:val="24"/>
        </w:rPr>
        <w:t xml:space="preserve"> and other similarly situated transportation carriers of the need to know and comply with their regulatory requirements. The settlement strikes a</w:t>
      </w:r>
      <w:r w:rsidRPr="00592ADF" w:rsidR="00A725ED">
        <w:rPr>
          <w:rFonts w:ascii="Book Antiqua" w:hAnsi="Book Antiqua"/>
          <w:bCs/>
          <w:szCs w:val="24"/>
        </w:rPr>
        <w:t xml:space="preserve"> </w:t>
      </w:r>
      <w:r w:rsidRPr="00592ADF" w:rsidR="00455193">
        <w:rPr>
          <w:rFonts w:ascii="Book Antiqua" w:hAnsi="Book Antiqua"/>
          <w:bCs/>
          <w:szCs w:val="24"/>
        </w:rPr>
        <w:t xml:space="preserve">balance </w:t>
      </w:r>
      <w:r>
        <w:rPr>
          <w:rFonts w:ascii="Book Antiqua" w:hAnsi="Book Antiqua"/>
          <w:bCs/>
          <w:szCs w:val="24"/>
        </w:rPr>
        <w:t xml:space="preserve">between </w:t>
      </w:r>
      <w:r w:rsidRPr="00592ADF" w:rsidR="00455193">
        <w:rPr>
          <w:rFonts w:ascii="Book Antiqua" w:hAnsi="Book Antiqua"/>
          <w:bCs/>
          <w:szCs w:val="24"/>
        </w:rPr>
        <w:t xml:space="preserve">the </w:t>
      </w:r>
      <w:r>
        <w:rPr>
          <w:rFonts w:ascii="Book Antiqua" w:hAnsi="Book Antiqua"/>
          <w:bCs/>
          <w:szCs w:val="24"/>
        </w:rPr>
        <w:t xml:space="preserve">Commission’s </w:t>
      </w:r>
      <w:r w:rsidRPr="00592ADF" w:rsidR="00455193">
        <w:rPr>
          <w:rFonts w:ascii="Book Antiqua" w:hAnsi="Book Antiqua"/>
          <w:bCs/>
          <w:szCs w:val="24"/>
        </w:rPr>
        <w:t>goal</w:t>
      </w:r>
      <w:r w:rsidRPr="00592ADF" w:rsidR="00A725ED">
        <w:rPr>
          <w:rFonts w:ascii="Book Antiqua" w:hAnsi="Book Antiqua"/>
          <w:bCs/>
          <w:szCs w:val="24"/>
        </w:rPr>
        <w:t xml:space="preserve"> to deter future violations with constitutional limitations on excessive penalties.</w:t>
      </w:r>
      <w:r w:rsidRPr="00592ADF" w:rsidR="00A725ED">
        <w:rPr>
          <w:rStyle w:val="FootnoteReference"/>
          <w:rFonts w:ascii="Book Antiqua" w:hAnsi="Book Antiqua"/>
          <w:bCs/>
          <w:szCs w:val="24"/>
        </w:rPr>
        <w:footnoteReference w:id="25"/>
      </w:r>
      <w:r w:rsidRPr="00592ADF" w:rsidR="00A725ED">
        <w:rPr>
          <w:rFonts w:ascii="Book Antiqua" w:hAnsi="Book Antiqua"/>
          <w:bCs/>
          <w:szCs w:val="24"/>
        </w:rPr>
        <w:t xml:space="preserve"> </w:t>
      </w:r>
    </w:p>
    <w:p w:rsidRPr="00592ADF" w:rsidR="00A725ED" w:rsidP="00A725ED" w:rsidRDefault="00A725ED" w14:paraId="24703A02" w14:textId="77777777">
      <w:pPr>
        <w:rPr>
          <w:rFonts w:ascii="Book Antiqua" w:hAnsi="Book Antiqua"/>
          <w:bCs/>
          <w:szCs w:val="24"/>
        </w:rPr>
      </w:pPr>
    </w:p>
    <w:p w:rsidRPr="00592ADF" w:rsidR="00A725ED" w:rsidP="00A725ED" w:rsidRDefault="00A725ED" w14:paraId="006E35DF" w14:textId="14794150">
      <w:pPr>
        <w:rPr>
          <w:rFonts w:ascii="Book Antiqua" w:hAnsi="Book Antiqua"/>
          <w:bCs/>
          <w:szCs w:val="24"/>
        </w:rPr>
      </w:pPr>
      <w:r w:rsidRPr="00592ADF">
        <w:rPr>
          <w:rFonts w:ascii="Book Antiqua" w:hAnsi="Book Antiqua"/>
          <w:bCs/>
          <w:szCs w:val="24"/>
        </w:rPr>
        <w:t xml:space="preserve">The </w:t>
      </w:r>
      <w:r w:rsidRPr="00592ADF" w:rsidR="000F5C65">
        <w:rPr>
          <w:rFonts w:ascii="Book Antiqua" w:hAnsi="Book Antiqua"/>
          <w:bCs/>
          <w:szCs w:val="24"/>
        </w:rPr>
        <w:t>penalty</w:t>
      </w:r>
      <w:r w:rsidRPr="00592ADF">
        <w:rPr>
          <w:rFonts w:ascii="Book Antiqua" w:hAnsi="Book Antiqua"/>
          <w:bCs/>
          <w:szCs w:val="24"/>
        </w:rPr>
        <w:t xml:space="preserve"> amount is appropriate given </w:t>
      </w:r>
      <w:proofErr w:type="spellStart"/>
      <w:r w:rsidRPr="00592ADF" w:rsidR="00090882">
        <w:rPr>
          <w:rFonts w:ascii="Book Antiqua" w:hAnsi="Book Antiqua"/>
          <w:bCs/>
          <w:szCs w:val="24"/>
        </w:rPr>
        <w:t>Mexicoach’s</w:t>
      </w:r>
      <w:proofErr w:type="spellEnd"/>
      <w:r w:rsidRPr="00592ADF">
        <w:rPr>
          <w:rFonts w:ascii="Book Antiqua" w:hAnsi="Book Antiqua"/>
          <w:bCs/>
          <w:szCs w:val="24"/>
        </w:rPr>
        <w:t xml:space="preserve"> financial s</w:t>
      </w:r>
      <w:r w:rsidRPr="00592ADF" w:rsidR="00090882">
        <w:rPr>
          <w:rFonts w:ascii="Book Antiqua" w:hAnsi="Book Antiqua"/>
          <w:bCs/>
          <w:szCs w:val="24"/>
        </w:rPr>
        <w:t>tatus.</w:t>
      </w:r>
      <w:r w:rsidRPr="00592ADF">
        <w:rPr>
          <w:rFonts w:ascii="Book Antiqua" w:hAnsi="Book Antiqua"/>
          <w:bCs/>
          <w:szCs w:val="24"/>
        </w:rPr>
        <w:t xml:space="preserve"> The</w:t>
      </w:r>
      <w:r w:rsidR="00D20CB3">
        <w:rPr>
          <w:rFonts w:ascii="Book Antiqua" w:hAnsi="Book Antiqua"/>
          <w:bCs/>
          <w:szCs w:val="24"/>
        </w:rPr>
        <w:t xml:space="preserve"> payment of the $7,500 </w:t>
      </w:r>
      <w:r w:rsidRPr="00592ADF" w:rsidR="000F5C65">
        <w:rPr>
          <w:rFonts w:ascii="Book Antiqua" w:hAnsi="Book Antiqua"/>
          <w:bCs/>
          <w:szCs w:val="24"/>
        </w:rPr>
        <w:t>penalty</w:t>
      </w:r>
      <w:r w:rsidRPr="00592ADF">
        <w:rPr>
          <w:rFonts w:ascii="Book Antiqua" w:hAnsi="Book Antiqua"/>
          <w:bCs/>
          <w:szCs w:val="24"/>
        </w:rPr>
        <w:t xml:space="preserve"> will not cause </w:t>
      </w:r>
      <w:proofErr w:type="spellStart"/>
      <w:r w:rsidRPr="00592ADF" w:rsidR="00090882">
        <w:rPr>
          <w:rFonts w:ascii="Book Antiqua" w:hAnsi="Book Antiqua"/>
          <w:bCs/>
          <w:szCs w:val="24"/>
        </w:rPr>
        <w:t>Mexicoach</w:t>
      </w:r>
      <w:proofErr w:type="spellEnd"/>
      <w:r w:rsidRPr="00592ADF">
        <w:rPr>
          <w:rFonts w:ascii="Book Antiqua" w:hAnsi="Book Antiqua"/>
          <w:bCs/>
          <w:szCs w:val="24"/>
        </w:rPr>
        <w:t xml:space="preserve"> to suffer </w:t>
      </w:r>
      <w:r w:rsidRPr="00592ADF" w:rsidR="00BA507F">
        <w:rPr>
          <w:rFonts w:ascii="Book Antiqua" w:hAnsi="Book Antiqua"/>
          <w:bCs/>
          <w:szCs w:val="24"/>
        </w:rPr>
        <w:t xml:space="preserve">significant </w:t>
      </w:r>
      <w:r w:rsidRPr="00592ADF">
        <w:rPr>
          <w:rFonts w:ascii="Book Antiqua" w:hAnsi="Book Antiqua"/>
          <w:bCs/>
          <w:szCs w:val="24"/>
        </w:rPr>
        <w:t>financial hardship.</w:t>
      </w:r>
      <w:r w:rsidRPr="00592ADF">
        <w:rPr>
          <w:rStyle w:val="FootnoteReference"/>
          <w:rFonts w:ascii="Book Antiqua" w:hAnsi="Book Antiqua"/>
          <w:bCs/>
          <w:szCs w:val="24"/>
        </w:rPr>
        <w:footnoteReference w:id="26"/>
      </w:r>
      <w:r w:rsidRPr="00592ADF">
        <w:rPr>
          <w:rFonts w:ascii="Book Antiqua" w:hAnsi="Book Antiqua"/>
          <w:bCs/>
          <w:szCs w:val="24"/>
        </w:rPr>
        <w:t xml:space="preserve"> </w:t>
      </w:r>
      <w:r w:rsidRPr="00592ADF" w:rsidR="005F7A28">
        <w:rPr>
          <w:rFonts w:ascii="Book Antiqua" w:hAnsi="Book Antiqua"/>
          <w:bCs/>
          <w:szCs w:val="24"/>
        </w:rPr>
        <w:t>While not excessive, the</w:t>
      </w:r>
      <w:r w:rsidRPr="00592ADF">
        <w:rPr>
          <w:rFonts w:ascii="Book Antiqua" w:hAnsi="Book Antiqua"/>
          <w:bCs/>
          <w:szCs w:val="24"/>
        </w:rPr>
        <w:t xml:space="preserve"> </w:t>
      </w:r>
      <w:r w:rsidRPr="00592ADF" w:rsidR="000F5C65">
        <w:rPr>
          <w:rFonts w:ascii="Book Antiqua" w:hAnsi="Book Antiqua"/>
          <w:bCs/>
          <w:szCs w:val="24"/>
        </w:rPr>
        <w:t>penalty</w:t>
      </w:r>
      <w:r w:rsidRPr="00592ADF">
        <w:rPr>
          <w:rFonts w:ascii="Book Antiqua" w:hAnsi="Book Antiqua"/>
          <w:bCs/>
          <w:szCs w:val="24"/>
        </w:rPr>
        <w:t xml:space="preserve"> deter</w:t>
      </w:r>
      <w:r w:rsidRPr="00592ADF" w:rsidR="00090882">
        <w:rPr>
          <w:rFonts w:ascii="Book Antiqua" w:hAnsi="Book Antiqua"/>
          <w:bCs/>
          <w:szCs w:val="24"/>
        </w:rPr>
        <w:t>s</w:t>
      </w:r>
      <w:r w:rsidRPr="00592ADF">
        <w:rPr>
          <w:rFonts w:ascii="Book Antiqua" w:hAnsi="Book Antiqua"/>
          <w:bCs/>
          <w:szCs w:val="24"/>
        </w:rPr>
        <w:t xml:space="preserve"> future violations by </w:t>
      </w:r>
      <w:proofErr w:type="spellStart"/>
      <w:r w:rsidRPr="00592ADF" w:rsidR="00090882">
        <w:rPr>
          <w:rFonts w:ascii="Book Antiqua" w:hAnsi="Book Antiqua"/>
          <w:bCs/>
          <w:szCs w:val="24"/>
        </w:rPr>
        <w:t>Mexicoach</w:t>
      </w:r>
      <w:proofErr w:type="spellEnd"/>
      <w:r w:rsidRPr="00592ADF">
        <w:rPr>
          <w:rFonts w:ascii="Book Antiqua" w:hAnsi="Book Antiqua"/>
          <w:bCs/>
          <w:szCs w:val="24"/>
        </w:rPr>
        <w:t xml:space="preserve"> or any other passenger charter-party carriers.</w:t>
      </w:r>
    </w:p>
    <w:p w:rsidRPr="00592ADF" w:rsidR="00A725ED" w:rsidP="00A725ED" w:rsidRDefault="00A725ED" w14:paraId="1F156901" w14:textId="77777777">
      <w:pPr>
        <w:rPr>
          <w:rFonts w:ascii="Book Antiqua" w:hAnsi="Book Antiqua"/>
          <w:bCs/>
          <w:szCs w:val="24"/>
        </w:rPr>
      </w:pPr>
    </w:p>
    <w:p w:rsidRPr="00592ADF" w:rsidR="00A725ED" w:rsidP="00A725ED" w:rsidRDefault="00A725ED" w14:paraId="136A1FA9" w14:textId="77777777">
      <w:pPr>
        <w:numPr>
          <w:ilvl w:val="0"/>
          <w:numId w:val="9"/>
        </w:numPr>
        <w:rPr>
          <w:rFonts w:ascii="Book Antiqua" w:hAnsi="Book Antiqua"/>
          <w:b/>
          <w:szCs w:val="24"/>
        </w:rPr>
      </w:pPr>
      <w:r w:rsidRPr="00592ADF">
        <w:rPr>
          <w:rFonts w:ascii="Book Antiqua" w:hAnsi="Book Antiqua"/>
          <w:b/>
          <w:szCs w:val="24"/>
        </w:rPr>
        <w:t>Totality of the Circumstances in Furtherance of the Public Interest</w:t>
      </w:r>
    </w:p>
    <w:p w:rsidRPr="00592ADF" w:rsidR="00FF4632" w:rsidP="00FF4632" w:rsidRDefault="00FF4632" w14:paraId="611A9A92" w14:textId="77777777">
      <w:pPr>
        <w:ind w:left="720"/>
        <w:rPr>
          <w:rFonts w:ascii="Book Antiqua" w:hAnsi="Book Antiqua"/>
          <w:b/>
          <w:szCs w:val="24"/>
        </w:rPr>
      </w:pPr>
    </w:p>
    <w:p w:rsidRPr="00592ADF" w:rsidR="00A725ED" w:rsidP="00A725ED" w:rsidRDefault="005229DE" w14:paraId="694D62A2" w14:textId="21E94BF4">
      <w:pPr>
        <w:rPr>
          <w:rFonts w:ascii="Book Antiqua" w:hAnsi="Book Antiqua"/>
          <w:bCs/>
          <w:szCs w:val="24"/>
        </w:rPr>
      </w:pPr>
      <w:r w:rsidRPr="00592ADF">
        <w:rPr>
          <w:rFonts w:ascii="Book Antiqua" w:hAnsi="Book Antiqua"/>
          <w:bCs/>
          <w:szCs w:val="24"/>
        </w:rPr>
        <w:t xml:space="preserve">The Commission </w:t>
      </w:r>
      <w:r w:rsidRPr="00592ADF" w:rsidR="00CB18FC">
        <w:rPr>
          <w:rFonts w:ascii="Book Antiqua" w:hAnsi="Book Antiqua"/>
          <w:bCs/>
          <w:szCs w:val="24"/>
        </w:rPr>
        <w:t>hold</w:t>
      </w:r>
      <w:r w:rsidRPr="00592ADF" w:rsidR="000A204B">
        <w:rPr>
          <w:rFonts w:ascii="Book Antiqua" w:hAnsi="Book Antiqua"/>
          <w:bCs/>
          <w:szCs w:val="24"/>
        </w:rPr>
        <w:t>s</w:t>
      </w:r>
      <w:r w:rsidRPr="00592ADF">
        <w:rPr>
          <w:rFonts w:ascii="Book Antiqua" w:hAnsi="Book Antiqua"/>
          <w:bCs/>
          <w:szCs w:val="24"/>
        </w:rPr>
        <w:t xml:space="preserve"> that </w:t>
      </w:r>
      <w:r w:rsidRPr="00592ADF" w:rsidR="00CB18FC">
        <w:rPr>
          <w:rFonts w:ascii="Book Antiqua" w:hAnsi="Book Antiqua"/>
          <w:bCs/>
          <w:szCs w:val="24"/>
        </w:rPr>
        <w:t>under the totality of the circumstances, the penalty amount of $</w:t>
      </w:r>
      <w:r w:rsidRPr="00592ADF" w:rsidR="00502E65">
        <w:rPr>
          <w:rFonts w:ascii="Book Antiqua" w:hAnsi="Book Antiqua"/>
          <w:bCs/>
          <w:szCs w:val="24"/>
        </w:rPr>
        <w:t>7</w:t>
      </w:r>
      <w:r w:rsidRPr="00592ADF" w:rsidR="00CB18FC">
        <w:rPr>
          <w:rFonts w:ascii="Book Antiqua" w:hAnsi="Book Antiqua"/>
          <w:bCs/>
          <w:szCs w:val="24"/>
        </w:rPr>
        <w:t>,500 is reasonable in furtherance of the pu</w:t>
      </w:r>
      <w:r w:rsidRPr="00592ADF" w:rsidR="006E05E2">
        <w:rPr>
          <w:rFonts w:ascii="Book Antiqua" w:hAnsi="Book Antiqua"/>
          <w:bCs/>
          <w:szCs w:val="24"/>
        </w:rPr>
        <w:t xml:space="preserve">blic interest. </w:t>
      </w:r>
      <w:r w:rsidRPr="00592ADF" w:rsidR="00A725ED">
        <w:rPr>
          <w:rFonts w:ascii="Book Antiqua" w:hAnsi="Book Antiqua"/>
          <w:bCs/>
          <w:szCs w:val="24"/>
        </w:rPr>
        <w:t xml:space="preserve">This factor includes four </w:t>
      </w:r>
      <w:r w:rsidRPr="00592ADF" w:rsidR="00335C1F">
        <w:rPr>
          <w:rFonts w:ascii="Book Antiqua" w:hAnsi="Book Antiqua"/>
          <w:bCs/>
          <w:szCs w:val="24"/>
        </w:rPr>
        <w:t>considerations</w:t>
      </w:r>
      <w:r w:rsidRPr="00592ADF" w:rsidR="00A8220B">
        <w:rPr>
          <w:rFonts w:ascii="Book Antiqua" w:hAnsi="Book Antiqua"/>
          <w:bCs/>
          <w:szCs w:val="24"/>
        </w:rPr>
        <w:t xml:space="preserve"> when evaluating the penalty</w:t>
      </w:r>
      <w:r w:rsidRPr="00592ADF">
        <w:rPr>
          <w:rFonts w:ascii="Book Antiqua" w:hAnsi="Book Antiqua"/>
          <w:bCs/>
          <w:szCs w:val="24"/>
        </w:rPr>
        <w:t>:</w:t>
      </w:r>
      <w:r w:rsidRPr="00592ADF" w:rsidR="00A725ED">
        <w:rPr>
          <w:rFonts w:ascii="Book Antiqua" w:hAnsi="Book Antiqua"/>
          <w:bCs/>
          <w:szCs w:val="24"/>
        </w:rPr>
        <w:t xml:space="preserve"> </w:t>
      </w:r>
      <w:r w:rsidRPr="00592ADF" w:rsidR="009F6722">
        <w:rPr>
          <w:rFonts w:ascii="Book Antiqua" w:hAnsi="Book Antiqua"/>
          <w:bCs/>
          <w:szCs w:val="24"/>
        </w:rPr>
        <w:t>does the penalty</w:t>
      </w:r>
      <w:r w:rsidRPr="00592ADF" w:rsidR="00A725ED">
        <w:rPr>
          <w:rFonts w:ascii="Book Antiqua" w:hAnsi="Book Antiqua"/>
          <w:bCs/>
          <w:szCs w:val="24"/>
        </w:rPr>
        <w:t xml:space="preserve"> further the goal of deterrence, </w:t>
      </w:r>
      <w:r w:rsidRPr="00592ADF" w:rsidR="0019453F">
        <w:rPr>
          <w:rFonts w:ascii="Book Antiqua" w:hAnsi="Book Antiqua"/>
          <w:bCs/>
          <w:szCs w:val="24"/>
        </w:rPr>
        <w:t xml:space="preserve">do the </w:t>
      </w:r>
      <w:r w:rsidRPr="00592ADF" w:rsidR="00C87A85">
        <w:rPr>
          <w:rFonts w:ascii="Book Antiqua" w:hAnsi="Book Antiqua"/>
          <w:bCs/>
          <w:szCs w:val="24"/>
        </w:rPr>
        <w:t>facts</w:t>
      </w:r>
      <w:r w:rsidRPr="00592ADF" w:rsidR="0019453F">
        <w:rPr>
          <w:rFonts w:ascii="Book Antiqua" w:hAnsi="Book Antiqua"/>
          <w:bCs/>
          <w:szCs w:val="24"/>
        </w:rPr>
        <w:t xml:space="preserve"> </w:t>
      </w:r>
      <w:r w:rsidRPr="00592ADF" w:rsidR="00A725ED">
        <w:rPr>
          <w:rFonts w:ascii="Book Antiqua" w:hAnsi="Book Antiqua"/>
          <w:bCs/>
          <w:szCs w:val="24"/>
        </w:rPr>
        <w:t xml:space="preserve">mitigate or exacerbate the degree </w:t>
      </w:r>
      <w:r w:rsidRPr="00592ADF" w:rsidR="00C87A85">
        <w:rPr>
          <w:rFonts w:ascii="Book Antiqua" w:hAnsi="Book Antiqua"/>
          <w:bCs/>
          <w:szCs w:val="24"/>
        </w:rPr>
        <w:t xml:space="preserve">of </w:t>
      </w:r>
      <w:r w:rsidRPr="00592ADF" w:rsidR="00A725ED">
        <w:rPr>
          <w:rFonts w:ascii="Book Antiqua" w:hAnsi="Book Antiqua"/>
          <w:bCs/>
          <w:szCs w:val="24"/>
        </w:rPr>
        <w:t xml:space="preserve">wrongdoing, the </w:t>
      </w:r>
      <w:r w:rsidRPr="00592ADF" w:rsidR="0019453F">
        <w:rPr>
          <w:rFonts w:ascii="Book Antiqua" w:hAnsi="Book Antiqua"/>
          <w:bCs/>
          <w:szCs w:val="24"/>
        </w:rPr>
        <w:t xml:space="preserve">degree of </w:t>
      </w:r>
      <w:r w:rsidRPr="00592ADF" w:rsidR="00A725ED">
        <w:rPr>
          <w:rFonts w:ascii="Book Antiqua" w:hAnsi="Book Antiqua"/>
          <w:bCs/>
          <w:szCs w:val="24"/>
        </w:rPr>
        <w:t xml:space="preserve">harm from the perspective of </w:t>
      </w:r>
      <w:r w:rsidRPr="00592ADF" w:rsidR="00431648">
        <w:rPr>
          <w:rFonts w:ascii="Book Antiqua" w:hAnsi="Book Antiqua"/>
          <w:bCs/>
          <w:szCs w:val="24"/>
        </w:rPr>
        <w:t>public</w:t>
      </w:r>
      <w:r w:rsidRPr="00592ADF" w:rsidR="00A725ED">
        <w:rPr>
          <w:rFonts w:ascii="Book Antiqua" w:hAnsi="Book Antiqua"/>
          <w:bCs/>
          <w:szCs w:val="24"/>
        </w:rPr>
        <w:t xml:space="preserve"> interest, and </w:t>
      </w:r>
      <w:r w:rsidRPr="00592ADF" w:rsidR="006A7B44">
        <w:rPr>
          <w:rFonts w:ascii="Book Antiqua" w:hAnsi="Book Antiqua"/>
          <w:bCs/>
          <w:szCs w:val="24"/>
        </w:rPr>
        <w:t xml:space="preserve">any </w:t>
      </w:r>
      <w:r w:rsidRPr="00592ADF" w:rsidR="00A725ED">
        <w:rPr>
          <w:rFonts w:ascii="Book Antiqua" w:hAnsi="Book Antiqua"/>
          <w:bCs/>
          <w:szCs w:val="24"/>
        </w:rPr>
        <w:t>incentives to make economic choices that cause or unduly risk a violation.</w:t>
      </w:r>
      <w:r w:rsidRPr="00592ADF" w:rsidR="00A725ED">
        <w:rPr>
          <w:rStyle w:val="FootnoteReference"/>
          <w:rFonts w:ascii="Book Antiqua" w:hAnsi="Book Antiqua"/>
          <w:bCs/>
          <w:szCs w:val="24"/>
        </w:rPr>
        <w:footnoteReference w:id="27"/>
      </w:r>
    </w:p>
    <w:p w:rsidRPr="00592ADF" w:rsidR="009A684F" w:rsidP="00A725ED" w:rsidRDefault="009A684F" w14:paraId="43C86F83" w14:textId="77777777">
      <w:pPr>
        <w:rPr>
          <w:rFonts w:ascii="Book Antiqua" w:hAnsi="Book Antiqua"/>
          <w:bCs/>
          <w:szCs w:val="24"/>
        </w:rPr>
      </w:pPr>
    </w:p>
    <w:p w:rsidRPr="00592ADF" w:rsidR="00A725ED" w:rsidP="00A725ED" w:rsidRDefault="00FD64A7" w14:paraId="58CDC6F1" w14:textId="6D2B1362">
      <w:pPr>
        <w:rPr>
          <w:rFonts w:ascii="Book Antiqua" w:hAnsi="Book Antiqua"/>
          <w:bCs/>
          <w:szCs w:val="24"/>
        </w:rPr>
      </w:pPr>
      <w:r w:rsidRPr="00592ADF">
        <w:rPr>
          <w:rFonts w:ascii="Book Antiqua" w:hAnsi="Book Antiqua"/>
          <w:bCs/>
          <w:szCs w:val="24"/>
        </w:rPr>
        <w:t xml:space="preserve">We agree with the parties about the </w:t>
      </w:r>
      <w:r w:rsidRPr="00592ADF" w:rsidR="00E92D7E">
        <w:rPr>
          <w:rFonts w:ascii="Book Antiqua" w:hAnsi="Book Antiqua"/>
          <w:bCs/>
          <w:szCs w:val="24"/>
        </w:rPr>
        <w:t>value of</w:t>
      </w:r>
      <w:r w:rsidRPr="00592ADF">
        <w:rPr>
          <w:rFonts w:ascii="Book Antiqua" w:hAnsi="Book Antiqua"/>
          <w:bCs/>
          <w:szCs w:val="24"/>
        </w:rPr>
        <w:t xml:space="preserve"> a compromise and of a settlement </w:t>
      </w:r>
      <w:r w:rsidRPr="00592ADF" w:rsidR="00E92D7E">
        <w:rPr>
          <w:rFonts w:ascii="Book Antiqua" w:hAnsi="Book Antiqua"/>
          <w:bCs/>
          <w:szCs w:val="24"/>
        </w:rPr>
        <w:t>reached by</w:t>
      </w:r>
      <w:r w:rsidRPr="00592ADF">
        <w:rPr>
          <w:rFonts w:ascii="Book Antiqua" w:hAnsi="Book Antiqua"/>
          <w:bCs/>
          <w:szCs w:val="24"/>
        </w:rPr>
        <w:t xml:space="preserve"> </w:t>
      </w:r>
      <w:r w:rsidRPr="00592ADF" w:rsidR="00E92D7E">
        <w:rPr>
          <w:rFonts w:ascii="Book Antiqua" w:hAnsi="Book Antiqua"/>
          <w:bCs/>
          <w:szCs w:val="24"/>
        </w:rPr>
        <w:t>both</w:t>
      </w:r>
      <w:r w:rsidRPr="00592ADF">
        <w:rPr>
          <w:rFonts w:ascii="Book Antiqua" w:hAnsi="Book Antiqua"/>
          <w:bCs/>
          <w:szCs w:val="24"/>
        </w:rPr>
        <w:t xml:space="preserve"> parties in a proceeding.</w:t>
      </w:r>
      <w:r w:rsidRPr="00592ADF" w:rsidR="00BF614A">
        <w:rPr>
          <w:rFonts w:ascii="Book Antiqua" w:hAnsi="Book Antiqua"/>
          <w:bCs/>
          <w:szCs w:val="24"/>
        </w:rPr>
        <w:t xml:space="preserve"> </w:t>
      </w:r>
      <w:r w:rsidRPr="00592ADF" w:rsidR="00A82AA7">
        <w:rPr>
          <w:rFonts w:ascii="Book Antiqua" w:hAnsi="Book Antiqua"/>
          <w:bCs/>
          <w:szCs w:val="24"/>
        </w:rPr>
        <w:t xml:space="preserve">Here, adoption of the Settlement Agreement is in the </w:t>
      </w:r>
      <w:r w:rsidRPr="00592ADF" w:rsidR="00E92D7E">
        <w:rPr>
          <w:rFonts w:ascii="Book Antiqua" w:hAnsi="Book Antiqua"/>
          <w:bCs/>
          <w:szCs w:val="24"/>
        </w:rPr>
        <w:t xml:space="preserve">regulatory interests of the </w:t>
      </w:r>
      <w:r w:rsidRPr="00592ADF" w:rsidR="00A82AA7">
        <w:rPr>
          <w:rFonts w:ascii="Book Antiqua" w:hAnsi="Book Antiqua"/>
          <w:bCs/>
          <w:szCs w:val="24"/>
        </w:rPr>
        <w:t>Commission and</w:t>
      </w:r>
      <w:r w:rsidRPr="00592ADF" w:rsidR="00E92D7E">
        <w:rPr>
          <w:rFonts w:ascii="Book Antiqua" w:hAnsi="Book Antiqua"/>
          <w:bCs/>
          <w:szCs w:val="24"/>
        </w:rPr>
        <w:t xml:space="preserve"> public interest </w:t>
      </w:r>
      <w:r w:rsidRPr="00592ADF" w:rsidR="00A82AA7">
        <w:rPr>
          <w:rFonts w:ascii="Book Antiqua" w:hAnsi="Book Antiqua"/>
          <w:bCs/>
          <w:szCs w:val="24"/>
        </w:rPr>
        <w:t xml:space="preserve">are </w:t>
      </w:r>
      <w:r w:rsidRPr="00592ADF" w:rsidR="00E92D7E">
        <w:rPr>
          <w:rFonts w:ascii="Book Antiqua" w:hAnsi="Book Antiqua"/>
          <w:bCs/>
          <w:szCs w:val="24"/>
        </w:rPr>
        <w:t>served by</w:t>
      </w:r>
      <w:r w:rsidRPr="00592ADF" w:rsidR="00903FDD">
        <w:rPr>
          <w:rFonts w:ascii="Book Antiqua" w:hAnsi="Book Antiqua"/>
          <w:bCs/>
          <w:szCs w:val="24"/>
        </w:rPr>
        <w:t xml:space="preserve"> </w:t>
      </w:r>
      <w:r w:rsidRPr="00592ADF" w:rsidR="00A82AA7">
        <w:rPr>
          <w:rFonts w:ascii="Book Antiqua" w:hAnsi="Book Antiqua"/>
          <w:bCs/>
          <w:szCs w:val="24"/>
        </w:rPr>
        <w:t xml:space="preserve">adopting the Settlement Agreement because it is </w:t>
      </w:r>
      <w:r w:rsidRPr="00592ADF" w:rsidR="00D20CB3">
        <w:rPr>
          <w:rFonts w:ascii="Book Antiqua" w:hAnsi="Book Antiqua"/>
          <w:bCs/>
          <w:szCs w:val="24"/>
        </w:rPr>
        <w:t>fair</w:t>
      </w:r>
      <w:r w:rsidRPr="00592ADF" w:rsidR="00903FDD">
        <w:rPr>
          <w:rFonts w:ascii="Book Antiqua" w:hAnsi="Book Antiqua"/>
          <w:bCs/>
          <w:szCs w:val="24"/>
        </w:rPr>
        <w:t xml:space="preserve"> and just</w:t>
      </w:r>
      <w:r w:rsidRPr="00592ADF" w:rsidR="00A82AA7">
        <w:rPr>
          <w:rFonts w:ascii="Book Antiqua" w:hAnsi="Book Antiqua"/>
          <w:bCs/>
          <w:szCs w:val="24"/>
        </w:rPr>
        <w:t xml:space="preserve">. </w:t>
      </w:r>
    </w:p>
    <w:p w:rsidRPr="00592ADF" w:rsidR="00A725ED" w:rsidP="00A725ED" w:rsidRDefault="00E7517D" w14:paraId="2A66A523" w14:textId="40151D46">
      <w:pPr>
        <w:rPr>
          <w:rFonts w:ascii="Book Antiqua" w:hAnsi="Book Antiqua"/>
          <w:bCs/>
          <w:szCs w:val="24"/>
        </w:rPr>
      </w:pPr>
      <w:r w:rsidRPr="00592ADF">
        <w:rPr>
          <w:rFonts w:ascii="Book Antiqua" w:hAnsi="Book Antiqua"/>
          <w:bCs/>
          <w:szCs w:val="24"/>
        </w:rPr>
        <w:lastRenderedPageBreak/>
        <w:t xml:space="preserve">In consideration of the </w:t>
      </w:r>
      <w:r w:rsidRPr="00592ADF" w:rsidR="00A725ED">
        <w:rPr>
          <w:rFonts w:ascii="Book Antiqua" w:hAnsi="Book Antiqua"/>
          <w:bCs/>
          <w:szCs w:val="24"/>
        </w:rPr>
        <w:t>totality of the circumstances</w:t>
      </w:r>
      <w:r w:rsidRPr="00592ADF">
        <w:rPr>
          <w:rFonts w:ascii="Book Antiqua" w:hAnsi="Book Antiqua"/>
          <w:bCs/>
          <w:szCs w:val="24"/>
        </w:rPr>
        <w:t xml:space="preserve">, the Commission </w:t>
      </w:r>
      <w:r w:rsidRPr="00592ADF" w:rsidR="00A725ED">
        <w:rPr>
          <w:rFonts w:ascii="Book Antiqua" w:hAnsi="Book Antiqua"/>
          <w:bCs/>
          <w:szCs w:val="24"/>
        </w:rPr>
        <w:t>support</w:t>
      </w:r>
      <w:r w:rsidRPr="00592ADF">
        <w:rPr>
          <w:rFonts w:ascii="Book Antiqua" w:hAnsi="Book Antiqua"/>
          <w:bCs/>
          <w:szCs w:val="24"/>
        </w:rPr>
        <w:t>s</w:t>
      </w:r>
      <w:r w:rsidRPr="00592ADF" w:rsidR="00A725ED">
        <w:rPr>
          <w:rFonts w:ascii="Book Antiqua" w:hAnsi="Book Antiqua"/>
          <w:bCs/>
          <w:szCs w:val="24"/>
        </w:rPr>
        <w:t xml:space="preserve"> </w:t>
      </w:r>
      <w:r w:rsidRPr="00592ADF" w:rsidR="00545C17">
        <w:rPr>
          <w:rFonts w:ascii="Book Antiqua" w:hAnsi="Book Antiqua"/>
          <w:bCs/>
          <w:szCs w:val="24"/>
        </w:rPr>
        <w:t>the $</w:t>
      </w:r>
      <w:r w:rsidRPr="00592ADF" w:rsidR="00C2368C">
        <w:rPr>
          <w:rFonts w:ascii="Book Antiqua" w:hAnsi="Book Antiqua"/>
          <w:bCs/>
          <w:szCs w:val="24"/>
        </w:rPr>
        <w:t>7</w:t>
      </w:r>
      <w:r w:rsidRPr="00592ADF" w:rsidR="00545C17">
        <w:rPr>
          <w:rFonts w:ascii="Book Antiqua" w:hAnsi="Book Antiqua"/>
          <w:bCs/>
          <w:szCs w:val="24"/>
        </w:rPr>
        <w:t>,50</w:t>
      </w:r>
      <w:r w:rsidRPr="00592ADF" w:rsidR="00A725ED">
        <w:rPr>
          <w:rFonts w:ascii="Book Antiqua" w:hAnsi="Book Antiqua"/>
          <w:bCs/>
          <w:szCs w:val="24"/>
        </w:rPr>
        <w:t xml:space="preserve">00 </w:t>
      </w:r>
      <w:r w:rsidRPr="00592ADF" w:rsidR="000F5C65">
        <w:rPr>
          <w:rFonts w:ascii="Book Antiqua" w:hAnsi="Book Antiqua"/>
          <w:bCs/>
          <w:szCs w:val="24"/>
        </w:rPr>
        <w:t>penalty</w:t>
      </w:r>
      <w:r w:rsidRPr="00592ADF" w:rsidR="00A725ED">
        <w:rPr>
          <w:rFonts w:ascii="Book Antiqua" w:hAnsi="Book Antiqua"/>
          <w:bCs/>
          <w:szCs w:val="24"/>
        </w:rPr>
        <w:t xml:space="preserve"> amount.</w:t>
      </w:r>
      <w:r w:rsidRPr="00592ADF" w:rsidR="00AF30C9">
        <w:rPr>
          <w:rFonts w:ascii="Book Antiqua" w:hAnsi="Book Antiqua"/>
          <w:bCs/>
          <w:szCs w:val="24"/>
        </w:rPr>
        <w:t xml:space="preserve"> The Commission, in addition to the Parties’ </w:t>
      </w:r>
      <w:r w:rsidRPr="00592ADF" w:rsidR="00E53CC5">
        <w:rPr>
          <w:rFonts w:ascii="Book Antiqua" w:hAnsi="Book Antiqua"/>
          <w:bCs/>
          <w:szCs w:val="24"/>
        </w:rPr>
        <w:t xml:space="preserve">determinations, emphasizes it is in the public interest to </w:t>
      </w:r>
      <w:r w:rsidRPr="00592ADF" w:rsidR="00CF5174">
        <w:rPr>
          <w:rFonts w:ascii="Book Antiqua" w:hAnsi="Book Antiqua"/>
          <w:bCs/>
          <w:szCs w:val="24"/>
        </w:rPr>
        <w:t xml:space="preserve">resolve disputes in a timely and cost-efficient way. A negotiation embodies the </w:t>
      </w:r>
      <w:r w:rsidRPr="00592ADF" w:rsidR="007C5712">
        <w:rPr>
          <w:rFonts w:ascii="Book Antiqua" w:hAnsi="Book Antiqua"/>
          <w:bCs/>
          <w:szCs w:val="24"/>
        </w:rPr>
        <w:t>universal value</w:t>
      </w:r>
      <w:r w:rsidRPr="00592ADF" w:rsidR="005458A6">
        <w:rPr>
          <w:rFonts w:ascii="Book Antiqua" w:hAnsi="Book Antiqua"/>
          <w:bCs/>
          <w:szCs w:val="24"/>
        </w:rPr>
        <w:t>s</w:t>
      </w:r>
      <w:r w:rsidRPr="00592ADF" w:rsidR="007C5712">
        <w:rPr>
          <w:rFonts w:ascii="Book Antiqua" w:hAnsi="Book Antiqua"/>
          <w:bCs/>
          <w:szCs w:val="24"/>
        </w:rPr>
        <w:t xml:space="preserve"> of judicial efficiency and economy, which conserve the resources of the Commission and </w:t>
      </w:r>
      <w:r w:rsidRPr="00592ADF" w:rsidR="00CF7D64">
        <w:rPr>
          <w:rFonts w:ascii="Book Antiqua" w:hAnsi="Book Antiqua"/>
          <w:bCs/>
          <w:szCs w:val="24"/>
        </w:rPr>
        <w:t>serve the public</w:t>
      </w:r>
      <w:r w:rsidRPr="00592ADF" w:rsidR="00796C31">
        <w:rPr>
          <w:rFonts w:ascii="Book Antiqua" w:hAnsi="Book Antiqua"/>
          <w:bCs/>
          <w:szCs w:val="24"/>
        </w:rPr>
        <w:t xml:space="preserve"> interest</w:t>
      </w:r>
      <w:r w:rsidRPr="00592ADF" w:rsidR="00CF7D64">
        <w:rPr>
          <w:rFonts w:ascii="Book Antiqua" w:hAnsi="Book Antiqua"/>
          <w:bCs/>
          <w:szCs w:val="24"/>
        </w:rPr>
        <w:t>.</w:t>
      </w:r>
      <w:r w:rsidRPr="00592ADF" w:rsidR="00CF7D64">
        <w:rPr>
          <w:rStyle w:val="FootnoteReference"/>
          <w:rFonts w:ascii="Book Antiqua" w:hAnsi="Book Antiqua"/>
          <w:bCs/>
          <w:szCs w:val="24"/>
        </w:rPr>
        <w:footnoteReference w:id="28"/>
      </w:r>
    </w:p>
    <w:p w:rsidRPr="00592ADF" w:rsidR="00A725ED" w:rsidP="00A725ED" w:rsidRDefault="00A725ED" w14:paraId="3ED9EDC2" w14:textId="77777777">
      <w:pPr>
        <w:rPr>
          <w:rFonts w:ascii="Book Antiqua" w:hAnsi="Book Antiqua"/>
          <w:bCs/>
          <w:szCs w:val="24"/>
        </w:rPr>
      </w:pPr>
    </w:p>
    <w:p w:rsidRPr="00592ADF" w:rsidR="00A725ED" w:rsidP="00A725ED" w:rsidRDefault="00A725ED" w14:paraId="4982EE3D" w14:textId="77777777">
      <w:pPr>
        <w:numPr>
          <w:ilvl w:val="0"/>
          <w:numId w:val="9"/>
        </w:numPr>
        <w:rPr>
          <w:rFonts w:ascii="Book Antiqua" w:hAnsi="Book Antiqua"/>
          <w:b/>
          <w:szCs w:val="24"/>
        </w:rPr>
      </w:pPr>
      <w:r w:rsidRPr="00592ADF">
        <w:rPr>
          <w:rFonts w:ascii="Book Antiqua" w:hAnsi="Book Antiqua"/>
          <w:b/>
          <w:szCs w:val="24"/>
        </w:rPr>
        <w:t>Role of Precedent</w:t>
      </w:r>
    </w:p>
    <w:p w:rsidRPr="00592ADF" w:rsidR="00A725ED" w:rsidP="00A725ED" w:rsidRDefault="00A725ED" w14:paraId="3EFA6DEE" w14:textId="77777777">
      <w:pPr>
        <w:rPr>
          <w:rFonts w:ascii="Book Antiqua" w:hAnsi="Book Antiqua"/>
          <w:bCs/>
          <w:szCs w:val="24"/>
        </w:rPr>
      </w:pPr>
    </w:p>
    <w:p w:rsidRPr="00592ADF" w:rsidR="00A725ED" w:rsidP="00A725ED" w:rsidRDefault="00B23FCC" w14:paraId="28582026" w14:textId="00BE1B21">
      <w:pPr>
        <w:rPr>
          <w:rFonts w:ascii="Book Antiqua" w:hAnsi="Book Antiqua"/>
          <w:bCs/>
          <w:szCs w:val="24"/>
        </w:rPr>
      </w:pPr>
      <w:r w:rsidRPr="00592ADF">
        <w:rPr>
          <w:rFonts w:ascii="Book Antiqua" w:hAnsi="Book Antiqua"/>
          <w:bCs/>
          <w:szCs w:val="24"/>
        </w:rPr>
        <w:t xml:space="preserve">The Commission </w:t>
      </w:r>
      <w:r w:rsidR="00D20CB3">
        <w:rPr>
          <w:rFonts w:ascii="Book Antiqua" w:hAnsi="Book Antiqua"/>
          <w:bCs/>
          <w:szCs w:val="24"/>
        </w:rPr>
        <w:t xml:space="preserve">considers </w:t>
      </w:r>
      <w:r w:rsidRPr="00592ADF" w:rsidR="003360F7">
        <w:rPr>
          <w:rFonts w:ascii="Book Antiqua" w:hAnsi="Book Antiqua"/>
          <w:bCs/>
          <w:szCs w:val="24"/>
        </w:rPr>
        <w:t>reasonably comparable factual circumstances to other case</w:t>
      </w:r>
      <w:r w:rsidR="003360F7">
        <w:rPr>
          <w:rFonts w:ascii="Book Antiqua" w:hAnsi="Book Antiqua"/>
          <w:bCs/>
          <w:szCs w:val="24"/>
        </w:rPr>
        <w:t>s</w:t>
      </w:r>
      <w:r w:rsidRPr="00592ADF" w:rsidR="003360F7">
        <w:rPr>
          <w:rFonts w:ascii="Book Antiqua" w:hAnsi="Book Antiqua"/>
          <w:bCs/>
          <w:szCs w:val="24"/>
        </w:rPr>
        <w:t xml:space="preserve"> where penalties were assessed</w:t>
      </w:r>
      <w:proofErr w:type="gramStart"/>
      <w:r w:rsidRPr="00592ADF" w:rsidR="003360F7">
        <w:rPr>
          <w:rFonts w:ascii="Book Antiqua" w:hAnsi="Book Antiqua"/>
          <w:bCs/>
          <w:szCs w:val="24"/>
        </w:rPr>
        <w:t>, the</w:t>
      </w:r>
      <w:proofErr w:type="gramEnd"/>
      <w:r w:rsidRPr="00592ADF" w:rsidR="003360F7">
        <w:rPr>
          <w:rFonts w:ascii="Book Antiqua" w:hAnsi="Book Antiqua"/>
          <w:bCs/>
          <w:szCs w:val="24"/>
        </w:rPr>
        <w:t xml:space="preserve"> similarities and differences between cases should be considered in setting the penalty amount.</w:t>
      </w:r>
      <w:r w:rsidRPr="00592ADF" w:rsidR="003360F7">
        <w:rPr>
          <w:rStyle w:val="FootnoteReference"/>
          <w:rFonts w:ascii="Book Antiqua" w:hAnsi="Book Antiqua"/>
          <w:bCs/>
          <w:szCs w:val="24"/>
        </w:rPr>
        <w:footnoteReference w:id="29"/>
      </w:r>
      <w:r w:rsidR="003360F7">
        <w:rPr>
          <w:rFonts w:ascii="Book Antiqua" w:hAnsi="Book Antiqua"/>
          <w:bCs/>
          <w:szCs w:val="24"/>
        </w:rPr>
        <w:t xml:space="preserve"> Considering these factors, the Commission finds</w:t>
      </w:r>
      <w:r w:rsidRPr="00592ADF" w:rsidR="003360F7">
        <w:rPr>
          <w:rFonts w:ascii="Book Antiqua" w:hAnsi="Book Antiqua"/>
          <w:bCs/>
          <w:szCs w:val="24"/>
        </w:rPr>
        <w:t xml:space="preserve"> </w:t>
      </w:r>
      <w:r w:rsidRPr="00592ADF" w:rsidR="00155E97">
        <w:rPr>
          <w:rFonts w:ascii="Book Antiqua" w:hAnsi="Book Antiqua"/>
          <w:bCs/>
          <w:szCs w:val="24"/>
        </w:rPr>
        <w:t xml:space="preserve">the penalty amount </w:t>
      </w:r>
      <w:r w:rsidRPr="00592ADF" w:rsidR="00090882">
        <w:rPr>
          <w:rFonts w:ascii="Book Antiqua" w:hAnsi="Book Antiqua"/>
          <w:bCs/>
          <w:szCs w:val="24"/>
        </w:rPr>
        <w:t xml:space="preserve">of $7,500 </w:t>
      </w:r>
      <w:r w:rsidRPr="00592ADF" w:rsidR="00172A6C">
        <w:rPr>
          <w:rFonts w:ascii="Book Antiqua" w:hAnsi="Book Antiqua"/>
          <w:bCs/>
          <w:szCs w:val="24"/>
        </w:rPr>
        <w:t>i</w:t>
      </w:r>
      <w:r w:rsidR="00172A6C">
        <w:rPr>
          <w:rFonts w:ascii="Book Antiqua" w:hAnsi="Book Antiqua"/>
          <w:bCs/>
          <w:szCs w:val="24"/>
        </w:rPr>
        <w:t>s</w:t>
      </w:r>
      <w:r w:rsidRPr="00592ADF" w:rsidR="00172A6C">
        <w:rPr>
          <w:rFonts w:ascii="Book Antiqua" w:hAnsi="Book Antiqua"/>
          <w:bCs/>
          <w:szCs w:val="24"/>
        </w:rPr>
        <w:t xml:space="preserve"> </w:t>
      </w:r>
      <w:r w:rsidR="003360F7">
        <w:rPr>
          <w:rFonts w:ascii="Book Antiqua" w:hAnsi="Book Antiqua"/>
          <w:bCs/>
          <w:szCs w:val="24"/>
        </w:rPr>
        <w:t>consistent with</w:t>
      </w:r>
      <w:r w:rsidRPr="00592ADF" w:rsidR="003360F7">
        <w:rPr>
          <w:rFonts w:ascii="Book Antiqua" w:hAnsi="Book Antiqua"/>
          <w:bCs/>
          <w:szCs w:val="24"/>
        </w:rPr>
        <w:t xml:space="preserve"> </w:t>
      </w:r>
      <w:r w:rsidRPr="00592ADF" w:rsidR="00155E97">
        <w:rPr>
          <w:rFonts w:ascii="Book Antiqua" w:hAnsi="Book Antiqua"/>
          <w:bCs/>
          <w:szCs w:val="24"/>
        </w:rPr>
        <w:t xml:space="preserve">past precedent. </w:t>
      </w:r>
    </w:p>
    <w:p w:rsidRPr="00592ADF" w:rsidR="00C47C2A" w:rsidRDefault="00C47C2A" w14:paraId="366C919C" w14:textId="77777777">
      <w:pPr>
        <w:rPr>
          <w:rFonts w:ascii="Book Antiqua" w:hAnsi="Book Antiqua"/>
          <w:bCs/>
          <w:caps/>
          <w:szCs w:val="24"/>
        </w:rPr>
      </w:pPr>
    </w:p>
    <w:p w:rsidRPr="00592ADF" w:rsidR="00C47C2A" w:rsidRDefault="00C47C2A" w14:paraId="7E1AE26A" w14:textId="77777777">
      <w:pPr>
        <w:rPr>
          <w:rFonts w:ascii="Book Antiqua" w:hAnsi="Book Antiqua"/>
          <w:b/>
          <w:szCs w:val="24"/>
          <w:u w:val="single"/>
        </w:rPr>
      </w:pPr>
      <w:r w:rsidRPr="00592ADF">
        <w:rPr>
          <w:rFonts w:ascii="Book Antiqua" w:hAnsi="Book Antiqua"/>
          <w:b/>
          <w:szCs w:val="24"/>
          <w:u w:val="single"/>
        </w:rPr>
        <w:t>COMMENTS</w:t>
      </w:r>
    </w:p>
    <w:p w:rsidRPr="00592ADF" w:rsidR="00C47C2A" w:rsidRDefault="00C47C2A" w14:paraId="686CE70E" w14:textId="77777777">
      <w:pPr>
        <w:rPr>
          <w:rFonts w:ascii="Book Antiqua" w:hAnsi="Book Antiqua"/>
          <w:szCs w:val="24"/>
        </w:rPr>
      </w:pPr>
    </w:p>
    <w:p w:rsidRPr="00592ADF" w:rsidR="00C47C2A" w:rsidRDefault="00C47C2A" w14:paraId="34E8E951" w14:textId="77777777">
      <w:pPr>
        <w:rPr>
          <w:rFonts w:ascii="Book Antiqua" w:hAnsi="Book Antiqua"/>
          <w:szCs w:val="24"/>
        </w:rPr>
      </w:pPr>
      <w:r w:rsidRPr="00592ADF">
        <w:rPr>
          <w:rFonts w:ascii="Book Antiqua" w:hAnsi="Book Antiqua"/>
          <w:szCs w:val="24"/>
        </w:rPr>
        <w:t>No public review or comment is required for this resolution pursuant to Rule 14.7.</w:t>
      </w:r>
    </w:p>
    <w:p w:rsidRPr="00592ADF" w:rsidR="00C47C2A" w:rsidRDefault="00C47C2A" w14:paraId="664B8B1C" w14:textId="77777777">
      <w:pPr>
        <w:rPr>
          <w:rFonts w:ascii="Book Antiqua" w:hAnsi="Book Antiqua"/>
          <w:szCs w:val="24"/>
        </w:rPr>
      </w:pPr>
    </w:p>
    <w:p w:rsidRPr="00592ADF" w:rsidR="00C47C2A" w:rsidRDefault="00C47C2A" w14:paraId="7B24A455" w14:textId="73657A6A">
      <w:pPr>
        <w:keepNext/>
        <w:rPr>
          <w:rFonts w:ascii="Book Antiqua" w:hAnsi="Book Antiqua"/>
          <w:b/>
          <w:szCs w:val="24"/>
          <w:u w:val="single"/>
        </w:rPr>
      </w:pPr>
      <w:r w:rsidRPr="00592ADF">
        <w:rPr>
          <w:rFonts w:ascii="Book Antiqua" w:hAnsi="Book Antiqua"/>
          <w:b/>
          <w:szCs w:val="24"/>
          <w:u w:val="single"/>
        </w:rPr>
        <w:t>FINDINGS</w:t>
      </w:r>
      <w:r w:rsidRPr="00592ADF" w:rsidR="00AE1D67">
        <w:rPr>
          <w:rFonts w:ascii="Book Antiqua" w:hAnsi="Book Antiqua"/>
          <w:b/>
          <w:szCs w:val="24"/>
          <w:u w:val="single"/>
        </w:rPr>
        <w:t xml:space="preserve"> </w:t>
      </w:r>
      <w:r w:rsidR="003360F7">
        <w:rPr>
          <w:rFonts w:ascii="Book Antiqua" w:hAnsi="Book Antiqua"/>
          <w:b/>
          <w:szCs w:val="24"/>
          <w:u w:val="single"/>
        </w:rPr>
        <w:t>AND CONCLUSIONS</w:t>
      </w:r>
    </w:p>
    <w:p w:rsidRPr="00592ADF" w:rsidR="00C47C2A" w:rsidP="00722B6C" w:rsidRDefault="00C47C2A" w14:paraId="47C1580D" w14:textId="77777777">
      <w:pPr>
        <w:keepNext/>
        <w:rPr>
          <w:rFonts w:ascii="Book Antiqua" w:hAnsi="Book Antiqua"/>
          <w:szCs w:val="24"/>
        </w:rPr>
      </w:pPr>
    </w:p>
    <w:p w:rsidRPr="00592ADF" w:rsidR="00F13E13" w:rsidP="00C2140D" w:rsidRDefault="009F0305" w14:paraId="51546B19" w14:textId="6AB5AE8C">
      <w:pPr>
        <w:keepNext/>
        <w:keepLines/>
        <w:numPr>
          <w:ilvl w:val="0"/>
          <w:numId w:val="2"/>
        </w:numPr>
        <w:spacing w:after="120"/>
        <w:rPr>
          <w:rFonts w:ascii="Book Antiqua" w:hAnsi="Book Antiqua"/>
          <w:szCs w:val="24"/>
        </w:rPr>
      </w:pPr>
      <w:proofErr w:type="spellStart"/>
      <w:r w:rsidRPr="00592ADF">
        <w:rPr>
          <w:rFonts w:ascii="Book Antiqua" w:hAnsi="Book Antiqua"/>
          <w:szCs w:val="24"/>
        </w:rPr>
        <w:t>Mexicoach</w:t>
      </w:r>
      <w:proofErr w:type="spellEnd"/>
      <w:r w:rsidRPr="00592ADF" w:rsidR="008208F6">
        <w:rPr>
          <w:rFonts w:ascii="Book Antiqua" w:hAnsi="Book Antiqua"/>
          <w:szCs w:val="24"/>
        </w:rPr>
        <w:t xml:space="preserve"> is a charter-party carrier</w:t>
      </w:r>
      <w:r w:rsidRPr="00592ADF" w:rsidR="00E27807">
        <w:rPr>
          <w:rFonts w:ascii="Book Antiqua" w:hAnsi="Book Antiqua"/>
          <w:szCs w:val="24"/>
        </w:rPr>
        <w:t xml:space="preserve"> (TCP)</w:t>
      </w:r>
      <w:r w:rsidRPr="00592ADF" w:rsidR="008208F6">
        <w:rPr>
          <w:rFonts w:ascii="Book Antiqua" w:hAnsi="Book Antiqua"/>
          <w:szCs w:val="24"/>
        </w:rPr>
        <w:t xml:space="preserve"> service </w:t>
      </w:r>
      <w:r w:rsidRPr="00592ADF" w:rsidR="00F13E13">
        <w:rPr>
          <w:rFonts w:ascii="Book Antiqua" w:hAnsi="Book Antiqua"/>
          <w:szCs w:val="24"/>
        </w:rPr>
        <w:t>providing service</w:t>
      </w:r>
      <w:r w:rsidRPr="00592ADF" w:rsidR="00502E65">
        <w:rPr>
          <w:rFonts w:ascii="Book Antiqua" w:hAnsi="Book Antiqua"/>
          <w:szCs w:val="24"/>
        </w:rPr>
        <w:t xml:space="preserve">s in California and Mexico. </w:t>
      </w:r>
    </w:p>
    <w:p w:rsidRPr="00592ADF" w:rsidR="00C47C2A" w:rsidP="00C2140D" w:rsidRDefault="00707660" w14:paraId="0A55312A" w14:textId="047610F3">
      <w:pPr>
        <w:keepNext/>
        <w:keepLines/>
        <w:numPr>
          <w:ilvl w:val="0"/>
          <w:numId w:val="2"/>
        </w:numPr>
        <w:spacing w:after="120"/>
        <w:rPr>
          <w:rFonts w:ascii="Book Antiqua" w:hAnsi="Book Antiqua"/>
          <w:szCs w:val="24"/>
        </w:rPr>
      </w:pPr>
      <w:r w:rsidRPr="00592ADF">
        <w:rPr>
          <w:rFonts w:ascii="Book Antiqua" w:hAnsi="Book Antiqua"/>
          <w:szCs w:val="24"/>
        </w:rPr>
        <w:t>CPED</w:t>
      </w:r>
      <w:r w:rsidRPr="00592ADF" w:rsidR="00DA1DF5">
        <w:rPr>
          <w:rFonts w:ascii="Book Antiqua" w:hAnsi="Book Antiqua"/>
          <w:szCs w:val="24"/>
        </w:rPr>
        <w:t xml:space="preserve"> issued Citation</w:t>
      </w:r>
      <w:r w:rsidRPr="00592ADF" w:rsidR="00C82A3B">
        <w:rPr>
          <w:rFonts w:ascii="Book Antiqua" w:hAnsi="Book Antiqua"/>
          <w:szCs w:val="24"/>
        </w:rPr>
        <w:t xml:space="preserve"> T.24-0</w:t>
      </w:r>
      <w:r w:rsidRPr="00592ADF" w:rsidR="009F0305">
        <w:rPr>
          <w:rFonts w:ascii="Book Antiqua" w:hAnsi="Book Antiqua"/>
          <w:szCs w:val="24"/>
        </w:rPr>
        <w:t>5</w:t>
      </w:r>
      <w:r w:rsidRPr="00592ADF" w:rsidR="00C82A3B">
        <w:rPr>
          <w:rFonts w:ascii="Book Antiqua" w:hAnsi="Book Antiqua"/>
          <w:szCs w:val="24"/>
        </w:rPr>
        <w:t>-00</w:t>
      </w:r>
      <w:r w:rsidRPr="00592ADF" w:rsidR="009F0305">
        <w:rPr>
          <w:rFonts w:ascii="Book Antiqua" w:hAnsi="Book Antiqua"/>
          <w:szCs w:val="24"/>
        </w:rPr>
        <w:t>7</w:t>
      </w:r>
      <w:r w:rsidRPr="00592ADF" w:rsidR="007773F2">
        <w:rPr>
          <w:rFonts w:ascii="Book Antiqua" w:hAnsi="Book Antiqua"/>
          <w:szCs w:val="24"/>
        </w:rPr>
        <w:t xml:space="preserve"> on </w:t>
      </w:r>
      <w:r w:rsidRPr="00592ADF" w:rsidR="00C82A3B">
        <w:rPr>
          <w:rFonts w:ascii="Book Antiqua" w:hAnsi="Book Antiqua"/>
          <w:szCs w:val="24"/>
        </w:rPr>
        <w:t>Ma</w:t>
      </w:r>
      <w:r w:rsidRPr="00592ADF" w:rsidR="009F0305">
        <w:rPr>
          <w:rFonts w:ascii="Book Antiqua" w:hAnsi="Book Antiqua"/>
          <w:szCs w:val="24"/>
        </w:rPr>
        <w:t>y 23</w:t>
      </w:r>
      <w:r w:rsidRPr="00592ADF" w:rsidR="00C82A3B">
        <w:rPr>
          <w:rFonts w:ascii="Book Antiqua" w:hAnsi="Book Antiqua"/>
          <w:szCs w:val="24"/>
        </w:rPr>
        <w:t>, 2024.</w:t>
      </w:r>
      <w:r w:rsidR="00CE525D">
        <w:rPr>
          <w:rFonts w:ascii="Book Antiqua" w:hAnsi="Book Antiqua"/>
          <w:szCs w:val="24"/>
        </w:rPr>
        <w:t xml:space="preserve"> Citation T.24-05-007 consisted of seven counts and imposed a penalty of $20,000.</w:t>
      </w:r>
    </w:p>
    <w:p w:rsidR="000C2211" w:rsidP="00C2140D" w:rsidRDefault="009F0305" w14:paraId="507206C2" w14:textId="3CD5C7FB">
      <w:pPr>
        <w:keepNext/>
        <w:keepLines/>
        <w:numPr>
          <w:ilvl w:val="0"/>
          <w:numId w:val="2"/>
        </w:numPr>
        <w:spacing w:after="120"/>
        <w:rPr>
          <w:rFonts w:ascii="Book Antiqua" w:hAnsi="Book Antiqua"/>
          <w:szCs w:val="24"/>
        </w:rPr>
      </w:pPr>
      <w:proofErr w:type="spellStart"/>
      <w:r w:rsidRPr="00592ADF">
        <w:rPr>
          <w:rFonts w:ascii="Book Antiqua" w:hAnsi="Book Antiqua"/>
          <w:szCs w:val="24"/>
        </w:rPr>
        <w:t>Mexicoach</w:t>
      </w:r>
      <w:proofErr w:type="spellEnd"/>
      <w:r w:rsidRPr="00592ADF" w:rsidR="00696218">
        <w:rPr>
          <w:rFonts w:ascii="Book Antiqua" w:hAnsi="Book Antiqua"/>
          <w:szCs w:val="24"/>
        </w:rPr>
        <w:t xml:space="preserve"> was cooperative </w:t>
      </w:r>
      <w:r w:rsidR="003360F7">
        <w:rPr>
          <w:rFonts w:ascii="Book Antiqua" w:hAnsi="Book Antiqua"/>
          <w:szCs w:val="24"/>
        </w:rPr>
        <w:t xml:space="preserve">with </w:t>
      </w:r>
      <w:r w:rsidRPr="00592ADF" w:rsidR="008070D1">
        <w:rPr>
          <w:rFonts w:ascii="Book Antiqua" w:hAnsi="Book Antiqua"/>
          <w:szCs w:val="24"/>
        </w:rPr>
        <w:t>CPED</w:t>
      </w:r>
      <w:r w:rsidR="003360F7">
        <w:rPr>
          <w:rFonts w:ascii="Book Antiqua" w:hAnsi="Book Antiqua"/>
          <w:szCs w:val="24"/>
        </w:rPr>
        <w:t xml:space="preserve"> </w:t>
      </w:r>
      <w:r w:rsidRPr="00592ADF" w:rsidR="003360F7">
        <w:rPr>
          <w:rFonts w:ascii="Book Antiqua" w:hAnsi="Book Antiqua"/>
          <w:szCs w:val="24"/>
        </w:rPr>
        <w:t>throughout the</w:t>
      </w:r>
      <w:r w:rsidR="003360F7">
        <w:rPr>
          <w:rFonts w:ascii="Book Antiqua" w:hAnsi="Book Antiqua"/>
          <w:szCs w:val="24"/>
        </w:rPr>
        <w:t xml:space="preserve"> </w:t>
      </w:r>
      <w:r w:rsidRPr="00592ADF" w:rsidR="00891149">
        <w:rPr>
          <w:rFonts w:ascii="Book Antiqua" w:hAnsi="Book Antiqua"/>
          <w:szCs w:val="24"/>
        </w:rPr>
        <w:t>investigation</w:t>
      </w:r>
      <w:r w:rsidR="003360F7">
        <w:rPr>
          <w:rFonts w:ascii="Book Antiqua" w:hAnsi="Book Antiqua"/>
          <w:szCs w:val="24"/>
        </w:rPr>
        <w:t>.</w:t>
      </w:r>
    </w:p>
    <w:p w:rsidR="003360F7" w:rsidP="007E018D" w:rsidRDefault="003360F7" w14:paraId="10AFCD85" w14:textId="1BE4158D">
      <w:pPr>
        <w:keepNext/>
        <w:keepLines/>
        <w:numPr>
          <w:ilvl w:val="0"/>
          <w:numId w:val="2"/>
        </w:numPr>
        <w:rPr>
          <w:rFonts w:ascii="Book Antiqua" w:hAnsi="Book Antiqua"/>
          <w:szCs w:val="24"/>
        </w:rPr>
      </w:pPr>
      <w:proofErr w:type="spellStart"/>
      <w:r w:rsidRPr="003360F7">
        <w:rPr>
          <w:rFonts w:ascii="Book Antiqua" w:hAnsi="Book Antiqua"/>
          <w:szCs w:val="24"/>
        </w:rPr>
        <w:t>Mexicoach</w:t>
      </w:r>
      <w:proofErr w:type="spellEnd"/>
      <w:r w:rsidRPr="003360F7">
        <w:rPr>
          <w:rFonts w:ascii="Book Antiqua" w:hAnsi="Book Antiqua"/>
          <w:szCs w:val="24"/>
        </w:rPr>
        <w:t xml:space="preserve"> operated as a charter-party carrier under the Carriers’ Act, Pub. Util. Code § 5351 </w:t>
      </w:r>
      <w:r w:rsidRPr="00C94068">
        <w:rPr>
          <w:rFonts w:ascii="Book Antiqua" w:hAnsi="Book Antiqua"/>
          <w:i/>
          <w:iCs/>
          <w:szCs w:val="24"/>
        </w:rPr>
        <w:t xml:space="preserve">et. </w:t>
      </w:r>
      <w:r w:rsidRPr="00C94068" w:rsidR="00BF1ABA">
        <w:rPr>
          <w:rFonts w:ascii="Book Antiqua" w:hAnsi="Book Antiqua"/>
          <w:i/>
          <w:iCs/>
          <w:szCs w:val="24"/>
        </w:rPr>
        <w:t>S</w:t>
      </w:r>
      <w:r w:rsidRPr="00C94068">
        <w:rPr>
          <w:rFonts w:ascii="Book Antiqua" w:hAnsi="Book Antiqua"/>
          <w:i/>
          <w:iCs/>
          <w:szCs w:val="24"/>
        </w:rPr>
        <w:t>eq.</w:t>
      </w:r>
      <w:r>
        <w:rPr>
          <w:rFonts w:ascii="Book Antiqua" w:hAnsi="Book Antiqua"/>
          <w:szCs w:val="24"/>
        </w:rPr>
        <w:t xml:space="preserve"> </w:t>
      </w:r>
    </w:p>
    <w:p w:rsidRPr="00592ADF" w:rsidR="003360F7" w:rsidP="007E018D" w:rsidRDefault="003360F7" w14:paraId="7ED949D5" w14:textId="707F25B2">
      <w:pPr>
        <w:numPr>
          <w:ilvl w:val="0"/>
          <w:numId w:val="2"/>
        </w:numPr>
        <w:rPr>
          <w:rFonts w:ascii="Book Antiqua" w:hAnsi="Book Antiqua"/>
          <w:szCs w:val="24"/>
        </w:rPr>
      </w:pPr>
      <w:r w:rsidRPr="00592ADF">
        <w:rPr>
          <w:rFonts w:ascii="Book Antiqua" w:hAnsi="Book Antiqua"/>
          <w:szCs w:val="24"/>
        </w:rPr>
        <w:t xml:space="preserve">The Commission has jurisdiction over </w:t>
      </w:r>
      <w:proofErr w:type="spellStart"/>
      <w:r w:rsidRPr="00592ADF">
        <w:rPr>
          <w:rFonts w:ascii="Book Antiqua" w:hAnsi="Book Antiqua"/>
          <w:szCs w:val="24"/>
        </w:rPr>
        <w:t>Mexicoach</w:t>
      </w:r>
      <w:proofErr w:type="spellEnd"/>
      <w:r w:rsidRPr="00592ADF">
        <w:rPr>
          <w:rFonts w:ascii="Book Antiqua" w:hAnsi="Book Antiqua"/>
          <w:szCs w:val="24"/>
        </w:rPr>
        <w:t xml:space="preserve"> under the Carriers’ Act, Pub. Util. Code § 5351 </w:t>
      </w:r>
      <w:r w:rsidRPr="00C94068">
        <w:rPr>
          <w:rFonts w:ascii="Book Antiqua" w:hAnsi="Book Antiqua"/>
          <w:i/>
          <w:iCs/>
          <w:szCs w:val="24"/>
        </w:rPr>
        <w:t xml:space="preserve">et. </w:t>
      </w:r>
      <w:r w:rsidRPr="00C94068" w:rsidR="00BF1ABA">
        <w:rPr>
          <w:rFonts w:ascii="Book Antiqua" w:hAnsi="Book Antiqua"/>
          <w:i/>
          <w:iCs/>
          <w:szCs w:val="24"/>
        </w:rPr>
        <w:t>S</w:t>
      </w:r>
      <w:r w:rsidRPr="00C94068">
        <w:rPr>
          <w:rFonts w:ascii="Book Antiqua" w:hAnsi="Book Antiqua"/>
          <w:i/>
          <w:iCs/>
          <w:szCs w:val="24"/>
        </w:rPr>
        <w:t>eq.</w:t>
      </w:r>
    </w:p>
    <w:p w:rsidRPr="00592ADF" w:rsidR="003360F7" w:rsidP="003360F7" w:rsidRDefault="003360F7" w14:paraId="70F27574" w14:textId="3A2C3C6B">
      <w:pPr>
        <w:numPr>
          <w:ilvl w:val="0"/>
          <w:numId w:val="2"/>
        </w:numPr>
        <w:spacing w:after="120"/>
        <w:rPr>
          <w:rFonts w:ascii="Book Antiqua" w:hAnsi="Book Antiqua"/>
          <w:szCs w:val="24"/>
        </w:rPr>
      </w:pPr>
      <w:r w:rsidRPr="00592ADF">
        <w:rPr>
          <w:rFonts w:ascii="Book Antiqua" w:hAnsi="Book Antiqua"/>
          <w:szCs w:val="24"/>
        </w:rPr>
        <w:t xml:space="preserve">CPED had the authority to issue Citation T.24-05-007 to </w:t>
      </w:r>
      <w:proofErr w:type="spellStart"/>
      <w:r w:rsidRPr="00592ADF">
        <w:rPr>
          <w:rFonts w:ascii="Book Antiqua" w:hAnsi="Book Antiqua"/>
          <w:szCs w:val="24"/>
        </w:rPr>
        <w:t>Mexicoach</w:t>
      </w:r>
      <w:proofErr w:type="spellEnd"/>
      <w:r w:rsidRPr="00592ADF">
        <w:rPr>
          <w:rFonts w:ascii="Book Antiqua" w:hAnsi="Book Antiqua"/>
          <w:szCs w:val="24"/>
        </w:rPr>
        <w:t xml:space="preserve">. </w:t>
      </w:r>
    </w:p>
    <w:p w:rsidR="003360F7" w:rsidP="003360F7" w:rsidRDefault="003360F7" w14:paraId="6CCE2DFF" w14:textId="67D1C1BE">
      <w:pPr>
        <w:numPr>
          <w:ilvl w:val="0"/>
          <w:numId w:val="2"/>
        </w:numPr>
        <w:spacing w:after="120"/>
        <w:rPr>
          <w:rFonts w:ascii="Book Antiqua" w:hAnsi="Book Antiqua"/>
          <w:szCs w:val="24"/>
        </w:rPr>
      </w:pPr>
      <w:r w:rsidRPr="00592ADF">
        <w:rPr>
          <w:rFonts w:ascii="Book Antiqua" w:hAnsi="Book Antiqua"/>
          <w:szCs w:val="24"/>
        </w:rPr>
        <w:t xml:space="preserve">CPED and </w:t>
      </w:r>
      <w:proofErr w:type="spellStart"/>
      <w:r w:rsidRPr="00592ADF">
        <w:rPr>
          <w:rFonts w:ascii="Book Antiqua" w:hAnsi="Book Antiqua"/>
          <w:szCs w:val="24"/>
        </w:rPr>
        <w:t>Mexicoach’s</w:t>
      </w:r>
      <w:proofErr w:type="spellEnd"/>
      <w:r w:rsidRPr="00592ADF">
        <w:rPr>
          <w:rFonts w:ascii="Book Antiqua" w:hAnsi="Book Antiqua"/>
          <w:szCs w:val="24"/>
        </w:rPr>
        <w:t xml:space="preserve"> </w:t>
      </w:r>
      <w:r w:rsidR="00CE525D">
        <w:rPr>
          <w:rFonts w:ascii="Book Antiqua" w:hAnsi="Book Antiqua"/>
          <w:szCs w:val="24"/>
        </w:rPr>
        <w:t>Settlement</w:t>
      </w:r>
      <w:r w:rsidRPr="00592ADF">
        <w:rPr>
          <w:rFonts w:ascii="Book Antiqua" w:hAnsi="Book Antiqua"/>
          <w:szCs w:val="24"/>
        </w:rPr>
        <w:t xml:space="preserve"> is reasonable </w:t>
      </w:r>
      <w:proofErr w:type="gramStart"/>
      <w:r w:rsidRPr="00592ADF">
        <w:rPr>
          <w:rFonts w:ascii="Book Antiqua" w:hAnsi="Book Antiqua"/>
          <w:szCs w:val="24"/>
        </w:rPr>
        <w:t>in light of</w:t>
      </w:r>
      <w:proofErr w:type="gramEnd"/>
      <w:r w:rsidRPr="00592ADF">
        <w:rPr>
          <w:rFonts w:ascii="Book Antiqua" w:hAnsi="Book Antiqua"/>
          <w:szCs w:val="24"/>
        </w:rPr>
        <w:t xml:space="preserve"> the record, consistent with law, and in </w:t>
      </w:r>
      <w:proofErr w:type="gramStart"/>
      <w:r w:rsidRPr="00592ADF">
        <w:rPr>
          <w:rFonts w:ascii="Book Antiqua" w:hAnsi="Book Antiqua"/>
          <w:szCs w:val="24"/>
        </w:rPr>
        <w:t>the public</w:t>
      </w:r>
      <w:proofErr w:type="gramEnd"/>
      <w:r w:rsidRPr="00592ADF">
        <w:rPr>
          <w:rFonts w:ascii="Book Antiqua" w:hAnsi="Book Antiqua"/>
          <w:szCs w:val="24"/>
        </w:rPr>
        <w:t xml:space="preserve"> interest. </w:t>
      </w:r>
    </w:p>
    <w:p w:rsidRPr="00592ADF" w:rsidR="00172A6C" w:rsidP="00172A6C" w:rsidRDefault="00172A6C" w14:paraId="4F56BF6C" w14:textId="73AB0AFC">
      <w:pPr>
        <w:numPr>
          <w:ilvl w:val="0"/>
          <w:numId w:val="2"/>
        </w:numPr>
        <w:spacing w:after="120"/>
        <w:rPr>
          <w:rFonts w:ascii="Book Antiqua" w:hAnsi="Book Antiqua"/>
          <w:szCs w:val="24"/>
        </w:rPr>
      </w:pPr>
      <w:r w:rsidRPr="003360F7">
        <w:rPr>
          <w:rFonts w:ascii="Book Antiqua" w:hAnsi="Book Antiqua"/>
          <w:szCs w:val="24"/>
        </w:rPr>
        <w:t xml:space="preserve">CPED and </w:t>
      </w:r>
      <w:proofErr w:type="spellStart"/>
      <w:r w:rsidRPr="003360F7">
        <w:rPr>
          <w:rFonts w:ascii="Book Antiqua" w:hAnsi="Book Antiqua"/>
          <w:szCs w:val="24"/>
        </w:rPr>
        <w:t>Mexicoach’s</w:t>
      </w:r>
      <w:proofErr w:type="spellEnd"/>
      <w:r w:rsidRPr="003360F7">
        <w:rPr>
          <w:rFonts w:ascii="Book Antiqua" w:hAnsi="Book Antiqua"/>
          <w:szCs w:val="24"/>
        </w:rPr>
        <w:t xml:space="preserve"> </w:t>
      </w:r>
      <w:r>
        <w:rPr>
          <w:rFonts w:ascii="Book Antiqua" w:hAnsi="Book Antiqua"/>
          <w:szCs w:val="24"/>
        </w:rPr>
        <w:t>Settlement</w:t>
      </w:r>
      <w:r w:rsidRPr="003360F7">
        <w:rPr>
          <w:rFonts w:ascii="Book Antiqua" w:hAnsi="Book Antiqua"/>
          <w:szCs w:val="24"/>
        </w:rPr>
        <w:t xml:space="preserve"> and reduced penalty of $7,500 </w:t>
      </w:r>
      <w:r>
        <w:rPr>
          <w:rFonts w:ascii="Book Antiqua" w:hAnsi="Book Antiqua"/>
          <w:szCs w:val="24"/>
        </w:rPr>
        <w:t xml:space="preserve">is consistent with Resolution M-4846 Penalty Assessment Methodology and </w:t>
      </w:r>
      <w:r w:rsidRPr="003360F7">
        <w:rPr>
          <w:rFonts w:ascii="Book Antiqua" w:hAnsi="Book Antiqua"/>
          <w:szCs w:val="24"/>
        </w:rPr>
        <w:t>should be granted.</w:t>
      </w:r>
    </w:p>
    <w:p w:rsidRPr="00592ADF" w:rsidR="00C47C2A" w:rsidRDefault="00C47C2A" w14:paraId="110320FB" w14:textId="04124128">
      <w:pPr>
        <w:keepNext/>
        <w:rPr>
          <w:rFonts w:ascii="Book Antiqua" w:hAnsi="Book Antiqua"/>
          <w:szCs w:val="24"/>
        </w:rPr>
      </w:pPr>
      <w:r w:rsidRPr="00592ADF">
        <w:rPr>
          <w:rFonts w:ascii="Book Antiqua" w:hAnsi="Book Antiqua"/>
          <w:b/>
          <w:szCs w:val="24"/>
        </w:rPr>
        <w:lastRenderedPageBreak/>
        <w:t>THEREFORE, IT IS ORDERED</w:t>
      </w:r>
      <w:r w:rsidRPr="00592ADF">
        <w:rPr>
          <w:rFonts w:ascii="Book Antiqua" w:hAnsi="Book Antiqua"/>
          <w:szCs w:val="24"/>
        </w:rPr>
        <w:t xml:space="preserve"> that:</w:t>
      </w:r>
    </w:p>
    <w:p w:rsidRPr="00592ADF" w:rsidR="00C47C2A" w:rsidRDefault="00C47C2A" w14:paraId="4015014B" w14:textId="77777777">
      <w:pPr>
        <w:rPr>
          <w:rFonts w:ascii="Book Antiqua" w:hAnsi="Book Antiqua"/>
          <w:szCs w:val="24"/>
        </w:rPr>
      </w:pPr>
    </w:p>
    <w:p w:rsidRPr="00172A6C" w:rsidR="005755B9" w:rsidP="00172A6C" w:rsidRDefault="00172A6C" w14:paraId="0FA22735" w14:textId="5BF8260F">
      <w:pPr>
        <w:keepNext/>
        <w:keepLines/>
        <w:numPr>
          <w:ilvl w:val="0"/>
          <w:numId w:val="18"/>
        </w:numPr>
        <w:spacing w:after="120"/>
        <w:rPr>
          <w:rFonts w:ascii="Book Antiqua" w:hAnsi="Book Antiqua"/>
          <w:szCs w:val="24"/>
        </w:rPr>
      </w:pPr>
      <w:r>
        <w:rPr>
          <w:rFonts w:ascii="Book Antiqua" w:hAnsi="Book Antiqua"/>
          <w:szCs w:val="24"/>
        </w:rPr>
        <w:t xml:space="preserve">The </w:t>
      </w:r>
      <w:r w:rsidRPr="00172A6C" w:rsidR="005755B9">
        <w:rPr>
          <w:rFonts w:ascii="Book Antiqua" w:hAnsi="Book Antiqua"/>
          <w:szCs w:val="24"/>
        </w:rPr>
        <w:t xml:space="preserve">Joint Motion </w:t>
      </w:r>
      <w:r>
        <w:rPr>
          <w:rFonts w:ascii="Book Antiqua" w:hAnsi="Book Antiqua"/>
          <w:szCs w:val="24"/>
        </w:rPr>
        <w:t xml:space="preserve">of </w:t>
      </w:r>
      <w:proofErr w:type="spellStart"/>
      <w:r>
        <w:rPr>
          <w:rFonts w:ascii="Book Antiqua" w:hAnsi="Book Antiqua"/>
          <w:szCs w:val="24"/>
        </w:rPr>
        <w:t>Mexicoach</w:t>
      </w:r>
      <w:proofErr w:type="spellEnd"/>
      <w:r>
        <w:rPr>
          <w:rFonts w:ascii="Book Antiqua" w:hAnsi="Book Antiqua"/>
          <w:szCs w:val="24"/>
        </w:rPr>
        <w:t xml:space="preserve">, Inc. and the Consumer Protection and Enforcement Division for Commission </w:t>
      </w:r>
      <w:r w:rsidRPr="00172A6C" w:rsidR="005755B9">
        <w:rPr>
          <w:rFonts w:ascii="Book Antiqua" w:hAnsi="Book Antiqua"/>
          <w:szCs w:val="24"/>
        </w:rPr>
        <w:t xml:space="preserve">Adoption of Settlement </w:t>
      </w:r>
      <w:r w:rsidRPr="00172A6C" w:rsidR="00502E65">
        <w:rPr>
          <w:rFonts w:ascii="Book Antiqua" w:hAnsi="Book Antiqua"/>
          <w:szCs w:val="24"/>
        </w:rPr>
        <w:t xml:space="preserve">Agreement </w:t>
      </w:r>
      <w:r>
        <w:rPr>
          <w:rFonts w:ascii="Book Antiqua" w:hAnsi="Book Antiqua"/>
          <w:szCs w:val="24"/>
        </w:rPr>
        <w:t xml:space="preserve">is granted. </w:t>
      </w:r>
      <w:r w:rsidRPr="00172A6C" w:rsidR="005755B9">
        <w:rPr>
          <w:rFonts w:ascii="Book Antiqua" w:hAnsi="Book Antiqua"/>
          <w:szCs w:val="24"/>
        </w:rPr>
        <w:t>The penalty is reduced from $20,000 to $</w:t>
      </w:r>
      <w:r w:rsidRPr="00172A6C" w:rsidR="007179E5">
        <w:rPr>
          <w:rFonts w:ascii="Book Antiqua" w:hAnsi="Book Antiqua"/>
          <w:szCs w:val="24"/>
        </w:rPr>
        <w:t>7</w:t>
      </w:r>
      <w:r w:rsidRPr="00172A6C" w:rsidR="005755B9">
        <w:rPr>
          <w:rFonts w:ascii="Book Antiqua" w:hAnsi="Book Antiqua"/>
          <w:szCs w:val="24"/>
        </w:rPr>
        <w:t xml:space="preserve">,500. </w:t>
      </w:r>
    </w:p>
    <w:p w:rsidRPr="00EA40DC" w:rsidR="008012D1" w:rsidP="00C2140D" w:rsidRDefault="007179E5" w14:paraId="5F5B9716" w14:textId="4910622B">
      <w:pPr>
        <w:keepNext/>
        <w:keepLines/>
        <w:numPr>
          <w:ilvl w:val="0"/>
          <w:numId w:val="18"/>
        </w:numPr>
        <w:spacing w:after="120"/>
        <w:rPr>
          <w:rFonts w:ascii="Book Antiqua" w:hAnsi="Book Antiqua"/>
          <w:szCs w:val="24"/>
        </w:rPr>
      </w:pPr>
      <w:proofErr w:type="spellStart"/>
      <w:r w:rsidRPr="00EA40DC">
        <w:rPr>
          <w:rFonts w:ascii="Book Antiqua" w:hAnsi="Book Antiqua"/>
          <w:szCs w:val="24"/>
        </w:rPr>
        <w:t>Mexicoach</w:t>
      </w:r>
      <w:proofErr w:type="spellEnd"/>
      <w:r w:rsidRPr="00EA40DC">
        <w:rPr>
          <w:rFonts w:ascii="Book Antiqua" w:hAnsi="Book Antiqua"/>
          <w:szCs w:val="24"/>
        </w:rPr>
        <w:t xml:space="preserve"> Inc.</w:t>
      </w:r>
      <w:r w:rsidRPr="00EA40DC" w:rsidR="005755B9">
        <w:rPr>
          <w:rFonts w:ascii="Book Antiqua" w:hAnsi="Book Antiqua"/>
          <w:szCs w:val="24"/>
        </w:rPr>
        <w:t xml:space="preserve"> </w:t>
      </w:r>
      <w:r w:rsidRPr="00EA40DC" w:rsidR="006B09BD">
        <w:rPr>
          <w:rFonts w:ascii="Book Antiqua" w:hAnsi="Book Antiqua"/>
          <w:szCs w:val="24"/>
        </w:rPr>
        <w:t xml:space="preserve">shall pay a </w:t>
      </w:r>
      <w:r w:rsidRPr="00EA40DC" w:rsidR="00675486">
        <w:rPr>
          <w:rFonts w:ascii="Book Antiqua" w:hAnsi="Book Antiqua"/>
          <w:szCs w:val="24"/>
        </w:rPr>
        <w:t xml:space="preserve">reduced </w:t>
      </w:r>
      <w:r w:rsidRPr="00EA40DC" w:rsidR="000F5C65">
        <w:rPr>
          <w:rFonts w:ascii="Book Antiqua" w:hAnsi="Book Antiqua"/>
          <w:szCs w:val="24"/>
        </w:rPr>
        <w:t>penalty</w:t>
      </w:r>
      <w:r w:rsidRPr="00EA40DC" w:rsidR="00675486">
        <w:rPr>
          <w:rFonts w:ascii="Book Antiqua" w:hAnsi="Book Antiqua"/>
          <w:szCs w:val="24"/>
        </w:rPr>
        <w:t xml:space="preserve"> of $</w:t>
      </w:r>
      <w:r w:rsidRPr="00EA40DC">
        <w:rPr>
          <w:rFonts w:ascii="Book Antiqua" w:hAnsi="Book Antiqua"/>
          <w:szCs w:val="24"/>
        </w:rPr>
        <w:t>7</w:t>
      </w:r>
      <w:r w:rsidRPr="00EA40DC" w:rsidR="008600F3">
        <w:rPr>
          <w:rFonts w:ascii="Book Antiqua" w:hAnsi="Book Antiqua"/>
          <w:szCs w:val="24"/>
        </w:rPr>
        <w:t>,5</w:t>
      </w:r>
      <w:r w:rsidRPr="00EA40DC" w:rsidR="003E54FF">
        <w:rPr>
          <w:rFonts w:ascii="Book Antiqua" w:hAnsi="Book Antiqua"/>
          <w:szCs w:val="24"/>
        </w:rPr>
        <w:t xml:space="preserve">00 by check or money order, payable to the California Public Utilities Commission </w:t>
      </w:r>
      <w:r w:rsidRPr="00EA40DC">
        <w:rPr>
          <w:rFonts w:ascii="Book Antiqua" w:hAnsi="Book Antiqua"/>
          <w:szCs w:val="24"/>
        </w:rPr>
        <w:t>in five month</w:t>
      </w:r>
      <w:r w:rsidRPr="00EA40DC" w:rsidR="00100B11">
        <w:rPr>
          <w:rFonts w:ascii="Book Antiqua" w:hAnsi="Book Antiqua"/>
          <w:szCs w:val="24"/>
        </w:rPr>
        <w:t>l</w:t>
      </w:r>
      <w:r w:rsidRPr="00EA40DC">
        <w:rPr>
          <w:rFonts w:ascii="Book Antiqua" w:hAnsi="Book Antiqua"/>
          <w:szCs w:val="24"/>
        </w:rPr>
        <w:t xml:space="preserve">y installments of $1,500, the first </w:t>
      </w:r>
      <w:r w:rsidR="00172A6C">
        <w:rPr>
          <w:rFonts w:ascii="Book Antiqua" w:hAnsi="Book Antiqua"/>
          <w:szCs w:val="24"/>
        </w:rPr>
        <w:t>installment</w:t>
      </w:r>
      <w:r w:rsidRPr="00EA40DC" w:rsidR="00172A6C">
        <w:rPr>
          <w:rFonts w:ascii="Book Antiqua" w:hAnsi="Book Antiqua"/>
          <w:szCs w:val="24"/>
        </w:rPr>
        <w:t xml:space="preserve"> </w:t>
      </w:r>
      <w:r w:rsidRPr="00EA40DC">
        <w:rPr>
          <w:rFonts w:ascii="Book Antiqua" w:hAnsi="Book Antiqua"/>
          <w:szCs w:val="24"/>
        </w:rPr>
        <w:t xml:space="preserve">is payable within </w:t>
      </w:r>
      <w:r w:rsidR="00172A6C">
        <w:rPr>
          <w:rFonts w:ascii="Book Antiqua" w:hAnsi="Book Antiqua"/>
          <w:szCs w:val="24"/>
        </w:rPr>
        <w:t>ten (</w:t>
      </w:r>
      <w:r w:rsidRPr="00EA40DC">
        <w:rPr>
          <w:rFonts w:ascii="Book Antiqua" w:hAnsi="Book Antiqua"/>
          <w:szCs w:val="24"/>
        </w:rPr>
        <w:t>10</w:t>
      </w:r>
      <w:r w:rsidR="00172A6C">
        <w:rPr>
          <w:rFonts w:ascii="Book Antiqua" w:hAnsi="Book Antiqua"/>
          <w:szCs w:val="24"/>
        </w:rPr>
        <w:t>)</w:t>
      </w:r>
      <w:r w:rsidRPr="00EA40DC">
        <w:rPr>
          <w:rFonts w:ascii="Book Antiqua" w:hAnsi="Book Antiqua"/>
          <w:szCs w:val="24"/>
        </w:rPr>
        <w:t xml:space="preserve"> days</w:t>
      </w:r>
      <w:r w:rsidRPr="00EA40DC" w:rsidR="006C7273">
        <w:rPr>
          <w:rFonts w:ascii="Book Antiqua" w:hAnsi="Book Antiqua"/>
          <w:szCs w:val="24"/>
        </w:rPr>
        <w:t xml:space="preserve"> </w:t>
      </w:r>
      <w:r w:rsidR="00172A6C">
        <w:rPr>
          <w:rFonts w:ascii="Book Antiqua" w:hAnsi="Book Antiqua"/>
          <w:szCs w:val="24"/>
        </w:rPr>
        <w:t>of the</w:t>
      </w:r>
      <w:r w:rsidRPr="00EA40DC" w:rsidR="00172A6C">
        <w:rPr>
          <w:rFonts w:ascii="Book Antiqua" w:hAnsi="Book Antiqua"/>
          <w:szCs w:val="24"/>
        </w:rPr>
        <w:t xml:space="preserve"> </w:t>
      </w:r>
      <w:r w:rsidRPr="00EA40DC" w:rsidR="005755B9">
        <w:rPr>
          <w:rFonts w:ascii="Book Antiqua" w:hAnsi="Book Antiqua"/>
          <w:szCs w:val="24"/>
        </w:rPr>
        <w:t xml:space="preserve">issuance of this </w:t>
      </w:r>
      <w:r w:rsidR="00172A6C">
        <w:rPr>
          <w:rFonts w:ascii="Book Antiqua" w:hAnsi="Book Antiqua"/>
          <w:szCs w:val="24"/>
        </w:rPr>
        <w:t>resolution</w:t>
      </w:r>
      <w:r w:rsidRPr="00EA40DC" w:rsidR="006C7273">
        <w:rPr>
          <w:rFonts w:ascii="Book Antiqua" w:hAnsi="Book Antiqua"/>
          <w:szCs w:val="24"/>
        </w:rPr>
        <w:t xml:space="preserve">. </w:t>
      </w:r>
      <w:r w:rsidR="00172A6C">
        <w:rPr>
          <w:rFonts w:ascii="Book Antiqua" w:hAnsi="Book Antiqua"/>
          <w:szCs w:val="24"/>
        </w:rPr>
        <w:t>Payment must</w:t>
      </w:r>
      <w:r w:rsidRPr="00EA40DC" w:rsidR="006C7273">
        <w:rPr>
          <w:rFonts w:ascii="Book Antiqua" w:hAnsi="Book Antiqua"/>
          <w:szCs w:val="24"/>
        </w:rPr>
        <w:t xml:space="preserve"> be mailed or delivered to </w:t>
      </w:r>
      <w:r w:rsidRPr="00EA40DC" w:rsidR="00C27A2D">
        <w:rPr>
          <w:rFonts w:ascii="Book Antiqua" w:hAnsi="Book Antiqua"/>
          <w:szCs w:val="24"/>
        </w:rPr>
        <w:t>the California Public Utilities Commission, Fiscal Office, Room 3000, 505 Van Ness Avenue, San Francisco, CA</w:t>
      </w:r>
      <w:r w:rsidRPr="00EA40DC" w:rsidR="00902F15">
        <w:rPr>
          <w:rFonts w:ascii="Book Antiqua" w:hAnsi="Book Antiqua"/>
          <w:szCs w:val="24"/>
        </w:rPr>
        <w:t xml:space="preserve"> 94102. </w:t>
      </w:r>
      <w:proofErr w:type="spellStart"/>
      <w:r w:rsidR="00172A6C">
        <w:rPr>
          <w:rFonts w:ascii="Book Antiqua" w:hAnsi="Book Antiqua"/>
          <w:szCs w:val="24"/>
        </w:rPr>
        <w:t>Mexicoach</w:t>
      </w:r>
      <w:proofErr w:type="spellEnd"/>
      <w:r w:rsidRPr="00EA40DC" w:rsidR="00902F15">
        <w:rPr>
          <w:rFonts w:ascii="Book Antiqua" w:hAnsi="Book Antiqua"/>
          <w:szCs w:val="24"/>
        </w:rPr>
        <w:t xml:space="preserve"> shall write on the face of the check or money order “For deposit to the State of California General Fund </w:t>
      </w:r>
      <w:r w:rsidR="00172A6C">
        <w:rPr>
          <w:rFonts w:ascii="Book Antiqua" w:hAnsi="Book Antiqua"/>
          <w:szCs w:val="24"/>
        </w:rPr>
        <w:t>pursuant to Resolution ALJ-</w:t>
      </w:r>
      <w:r w:rsidR="005C4AA3">
        <w:rPr>
          <w:rFonts w:ascii="Book Antiqua" w:hAnsi="Book Antiqua"/>
          <w:szCs w:val="24"/>
        </w:rPr>
        <w:t>48</w:t>
      </w:r>
      <w:r w:rsidR="00B92882">
        <w:rPr>
          <w:rFonts w:ascii="Book Antiqua" w:hAnsi="Book Antiqua"/>
          <w:szCs w:val="24"/>
        </w:rPr>
        <w:t>7</w:t>
      </w:r>
      <w:r w:rsidR="00172A6C">
        <w:rPr>
          <w:rFonts w:ascii="Book Antiqua" w:hAnsi="Book Antiqua"/>
          <w:szCs w:val="24"/>
        </w:rPr>
        <w:t>”</w:t>
      </w:r>
    </w:p>
    <w:p w:rsidRPr="00EA40DC" w:rsidR="00C47C2A" w:rsidP="00C2140D" w:rsidRDefault="00172A6C" w14:paraId="57C01ED7" w14:textId="2659E9F5">
      <w:pPr>
        <w:keepNext/>
        <w:keepLines/>
        <w:numPr>
          <w:ilvl w:val="0"/>
          <w:numId w:val="18"/>
        </w:numPr>
        <w:rPr>
          <w:rFonts w:ascii="Book Antiqua" w:hAnsi="Book Antiqua"/>
          <w:szCs w:val="24"/>
        </w:rPr>
      </w:pPr>
      <w:r>
        <w:rPr>
          <w:rFonts w:ascii="Book Antiqua" w:hAnsi="Book Antiqua"/>
          <w:szCs w:val="24"/>
        </w:rPr>
        <w:t>P</w:t>
      </w:r>
      <w:r w:rsidRPr="00EA40DC" w:rsidR="008012D1">
        <w:rPr>
          <w:rFonts w:ascii="Book Antiqua" w:hAnsi="Book Antiqua"/>
          <w:szCs w:val="24"/>
        </w:rPr>
        <w:t xml:space="preserve">roceeding </w:t>
      </w:r>
      <w:r>
        <w:rPr>
          <w:rFonts w:ascii="Book Antiqua" w:hAnsi="Book Antiqua"/>
          <w:szCs w:val="24"/>
        </w:rPr>
        <w:t xml:space="preserve">K.24-07-007 </w:t>
      </w:r>
      <w:r w:rsidRPr="00EA40DC" w:rsidR="008012D1">
        <w:rPr>
          <w:rFonts w:ascii="Book Antiqua" w:hAnsi="Book Antiqua"/>
          <w:szCs w:val="24"/>
        </w:rPr>
        <w:t>is closed.</w:t>
      </w:r>
    </w:p>
    <w:p w:rsidRPr="00592ADF" w:rsidR="00A53133" w:rsidRDefault="00A53133" w14:paraId="617B856F" w14:textId="77777777">
      <w:pPr>
        <w:rPr>
          <w:rFonts w:ascii="Book Antiqua" w:hAnsi="Book Antiqua"/>
          <w:szCs w:val="24"/>
        </w:rPr>
      </w:pPr>
    </w:p>
    <w:p w:rsidRPr="00592ADF" w:rsidR="00C47C2A" w:rsidRDefault="00C47C2A" w14:paraId="4944AE63" w14:textId="3D14C94E">
      <w:pPr>
        <w:rPr>
          <w:rFonts w:ascii="Book Antiqua" w:hAnsi="Book Antiqua"/>
          <w:szCs w:val="24"/>
        </w:rPr>
      </w:pPr>
      <w:r w:rsidRPr="00592ADF">
        <w:rPr>
          <w:rFonts w:ascii="Book Antiqua" w:hAnsi="Book Antiqua"/>
          <w:szCs w:val="24"/>
        </w:rPr>
        <w:t>This resolution is effective today.</w:t>
      </w:r>
    </w:p>
    <w:p w:rsidRPr="00592ADF" w:rsidR="00DB2600" w:rsidRDefault="00DB2600" w14:paraId="6707482E" w14:textId="77777777">
      <w:pPr>
        <w:rPr>
          <w:rFonts w:ascii="Book Antiqua" w:hAnsi="Book Antiqua"/>
          <w:szCs w:val="24"/>
        </w:rPr>
      </w:pPr>
    </w:p>
    <w:p w:rsidRPr="00592ADF" w:rsidR="007F37D4" w:rsidP="007F37D4" w:rsidRDefault="007F37D4" w14:paraId="6AE2EC06" w14:textId="2CB207C8">
      <w:pPr>
        <w:rPr>
          <w:rFonts w:ascii="Book Antiqua" w:hAnsi="Book Antiqua"/>
          <w:szCs w:val="24"/>
        </w:rPr>
      </w:pPr>
      <w:r w:rsidRPr="00592ADF">
        <w:rPr>
          <w:rFonts w:ascii="Book Antiqua" w:hAnsi="Book Antiqua"/>
          <w:szCs w:val="24"/>
        </w:rPr>
        <w:t>I certify that the foregoing resolution was duly introduced, passed, and adopted at a conference of the Public Utilities Commission of the State of California held on _________, the following Commissioners voting favorably thereon:</w:t>
      </w:r>
    </w:p>
    <w:p w:rsidRPr="00592ADF" w:rsidR="007F37D4" w:rsidP="007F37D4" w:rsidRDefault="007F37D4" w14:paraId="1E85823D" w14:textId="77777777">
      <w:pPr>
        <w:rPr>
          <w:rFonts w:ascii="Book Antiqua" w:hAnsi="Book Antiqua"/>
          <w:szCs w:val="24"/>
        </w:rPr>
      </w:pPr>
    </w:p>
    <w:p w:rsidRPr="00592ADF" w:rsidR="007F37D4" w:rsidP="007F37D4" w:rsidRDefault="007F37D4" w14:paraId="02E232E8" w14:textId="77777777">
      <w:pPr>
        <w:rPr>
          <w:rFonts w:ascii="Book Antiqua" w:hAnsi="Book Antiqua"/>
          <w:szCs w:val="24"/>
        </w:rPr>
      </w:pPr>
    </w:p>
    <w:p w:rsidRPr="00592ADF" w:rsidR="00C47C2A" w:rsidRDefault="00BF1ABA" w14:paraId="1C6BA3FF" w14:textId="236E46EE">
      <w:pPr>
        <w:rPr>
          <w:rFonts w:ascii="Book Antiqua" w:hAnsi="Book Antiqua"/>
          <w:szCs w:val="24"/>
        </w:rPr>
      </w:pP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p>
    <w:p w:rsidRPr="00592ADF" w:rsidR="00C47C2A" w:rsidRDefault="00C47C2A" w14:paraId="687F1CEA" w14:textId="77777777">
      <w:pPr>
        <w:pStyle w:val="standard"/>
        <w:spacing w:line="240" w:lineRule="auto"/>
        <w:rPr>
          <w:rFonts w:ascii="Book Antiqua" w:hAnsi="Book Antiqua"/>
          <w:szCs w:val="24"/>
        </w:rPr>
      </w:pPr>
    </w:p>
    <w:sectPr w:rsidRPr="00592ADF" w:rsidR="00C47C2A" w:rsidSect="00EA6FEB">
      <w:headerReference w:type="default" r:id="rId11"/>
      <w:footerReference w:type="default" r:id="rId12"/>
      <w:headerReference w:type="first" r:id="rId13"/>
      <w:footerReference w:type="first" r:id="rId14"/>
      <w:pgSz w:w="12240" w:h="15840" w:code="1"/>
      <w:pgMar w:top="1440" w:right="1440" w:bottom="1440" w:left="1440" w:header="720" w:footer="720" w:gutter="0"/>
      <w:pgNumType w:fmt="numberInDash"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34A34" w14:textId="77777777" w:rsidR="00AF5B83" w:rsidRDefault="00AF5B83">
      <w:r>
        <w:separator/>
      </w:r>
    </w:p>
  </w:endnote>
  <w:endnote w:type="continuationSeparator" w:id="0">
    <w:p w14:paraId="556551F3" w14:textId="77777777" w:rsidR="00AF5B83" w:rsidRDefault="00AF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rPr>
      <w:id w:val="1285313730"/>
      <w:docPartObj>
        <w:docPartGallery w:val="Page Numbers (Bottom of Page)"/>
        <w:docPartUnique/>
      </w:docPartObj>
    </w:sdtPr>
    <w:sdtEndPr>
      <w:rPr>
        <w:noProof/>
      </w:rPr>
    </w:sdtEndPr>
    <w:sdtContent>
      <w:p w14:paraId="7D6CDBE4" w14:textId="72399678" w:rsidR="00EA6FEB" w:rsidRPr="00EA6FEB" w:rsidRDefault="00EA6FEB">
        <w:pPr>
          <w:pStyle w:val="Footer"/>
          <w:jc w:val="center"/>
          <w:rPr>
            <w:rFonts w:ascii="Book Antiqua" w:hAnsi="Book Antiqua"/>
          </w:rPr>
        </w:pPr>
        <w:r w:rsidRPr="00EA6FEB">
          <w:rPr>
            <w:rFonts w:ascii="Book Antiqua" w:hAnsi="Book Antiqua"/>
          </w:rPr>
          <w:fldChar w:fldCharType="begin"/>
        </w:r>
        <w:r w:rsidRPr="00EA6FEB">
          <w:rPr>
            <w:rFonts w:ascii="Book Antiqua" w:hAnsi="Book Antiqua"/>
          </w:rPr>
          <w:instrText xml:space="preserve"> PAGE   \* MERGEFORMAT </w:instrText>
        </w:r>
        <w:r w:rsidRPr="00EA6FEB">
          <w:rPr>
            <w:rFonts w:ascii="Book Antiqua" w:hAnsi="Book Antiqua"/>
          </w:rPr>
          <w:fldChar w:fldCharType="separate"/>
        </w:r>
        <w:r w:rsidRPr="00EA6FEB">
          <w:rPr>
            <w:rFonts w:ascii="Book Antiqua" w:hAnsi="Book Antiqua"/>
            <w:noProof/>
          </w:rPr>
          <w:t>2</w:t>
        </w:r>
        <w:r w:rsidRPr="00EA6FEB">
          <w:rPr>
            <w:rFonts w:ascii="Book Antiqua" w:hAnsi="Book Antiqua"/>
            <w:noProof/>
          </w:rPr>
          <w:fldChar w:fldCharType="end"/>
        </w:r>
      </w:p>
    </w:sdtContent>
  </w:sdt>
  <w:p w14:paraId="1498C93C" w14:textId="13C165D8" w:rsidR="00C47C2A" w:rsidRPr="00EF6622" w:rsidRDefault="00C47C2A">
    <w:pPr>
      <w:pStyle w:val="Footer"/>
      <w:rPr>
        <w:rFonts w:ascii="Book Antiqua" w:hAnsi="Book Antiqua"/>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6607" w14:textId="686A6105" w:rsidR="00EA6FEB" w:rsidRPr="00EA6FEB" w:rsidRDefault="00A122C8" w:rsidP="00A122C8">
    <w:pPr>
      <w:pStyle w:val="Footer"/>
      <w:rPr>
        <w:rFonts w:ascii="Book Antiqua" w:hAnsi="Book Antiqua"/>
      </w:rPr>
    </w:pPr>
    <w:r w:rsidRPr="00A122C8">
      <w:rPr>
        <w:rFonts w:ascii="Book Antiqua" w:hAnsi="Book Antiqua"/>
        <w:sz w:val="16"/>
        <w:szCs w:val="16"/>
      </w:rPr>
      <w:t>588680217</w:t>
    </w:r>
    <w:r>
      <w:tab/>
    </w:r>
    <w:sdt>
      <w:sdtPr>
        <w:id w:val="396939061"/>
        <w:docPartObj>
          <w:docPartGallery w:val="Page Numbers (Bottom of Page)"/>
          <w:docPartUnique/>
        </w:docPartObj>
      </w:sdtPr>
      <w:sdtEndPr>
        <w:rPr>
          <w:rFonts w:ascii="Book Antiqua" w:hAnsi="Book Antiqua"/>
          <w:noProof/>
        </w:rPr>
      </w:sdtEndPr>
      <w:sdtContent>
        <w:r w:rsidR="00EA6FEB" w:rsidRPr="00EA6FEB">
          <w:rPr>
            <w:rFonts w:ascii="Book Antiqua" w:hAnsi="Book Antiqua"/>
          </w:rPr>
          <w:fldChar w:fldCharType="begin"/>
        </w:r>
        <w:r w:rsidR="00EA6FEB" w:rsidRPr="00EA6FEB">
          <w:rPr>
            <w:rFonts w:ascii="Book Antiqua" w:hAnsi="Book Antiqua"/>
          </w:rPr>
          <w:instrText xml:space="preserve"> PAGE   \* MERGEFORMAT </w:instrText>
        </w:r>
        <w:r w:rsidR="00EA6FEB" w:rsidRPr="00EA6FEB">
          <w:rPr>
            <w:rFonts w:ascii="Book Antiqua" w:hAnsi="Book Antiqua"/>
          </w:rPr>
          <w:fldChar w:fldCharType="separate"/>
        </w:r>
        <w:r w:rsidR="00EA6FEB" w:rsidRPr="00EA6FEB">
          <w:rPr>
            <w:rFonts w:ascii="Book Antiqua" w:hAnsi="Book Antiqua"/>
            <w:noProof/>
          </w:rPr>
          <w:t>2</w:t>
        </w:r>
        <w:r w:rsidR="00EA6FEB" w:rsidRPr="00EA6FEB">
          <w:rPr>
            <w:rFonts w:ascii="Book Antiqua" w:hAnsi="Book Antiqua"/>
            <w:noProof/>
          </w:rPr>
          <w:fldChar w:fldCharType="end"/>
        </w:r>
      </w:sdtContent>
    </w:sdt>
  </w:p>
  <w:p w14:paraId="08F7C7AE" w14:textId="77777777" w:rsidR="00EA6FEB" w:rsidRDefault="00EA6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1A6B6" w14:textId="77777777" w:rsidR="00AF5B83" w:rsidRDefault="00AF5B83">
      <w:r>
        <w:separator/>
      </w:r>
    </w:p>
  </w:footnote>
  <w:footnote w:type="continuationSeparator" w:id="0">
    <w:p w14:paraId="629B9D35" w14:textId="77777777" w:rsidR="00AF5B83" w:rsidRDefault="00AF5B83">
      <w:r>
        <w:continuationSeparator/>
      </w:r>
    </w:p>
  </w:footnote>
  <w:footnote w:id="1">
    <w:p w14:paraId="1BBD65D5" w14:textId="77777777" w:rsidR="00CA309A" w:rsidRPr="00453A43" w:rsidRDefault="00CA309A" w:rsidP="00C2140D">
      <w:pPr>
        <w:pStyle w:val="FootnoteText"/>
        <w:spacing w:after="120"/>
        <w:rPr>
          <w:rFonts w:ascii="Book Antiqua" w:hAnsi="Book Antiqua"/>
          <w:color w:val="000000"/>
          <w:sz w:val="22"/>
          <w:szCs w:val="22"/>
        </w:rPr>
      </w:pPr>
      <w:r w:rsidRPr="00453A43">
        <w:rPr>
          <w:rStyle w:val="FootnoteReference"/>
          <w:rFonts w:ascii="Book Antiqua" w:hAnsi="Book Antiqua"/>
          <w:color w:val="000000"/>
          <w:sz w:val="22"/>
          <w:szCs w:val="22"/>
        </w:rPr>
        <w:footnoteRef/>
      </w:r>
      <w:r w:rsidRPr="00453A43">
        <w:rPr>
          <w:rFonts w:ascii="Book Antiqua" w:hAnsi="Book Antiqua"/>
          <w:color w:val="000000"/>
          <w:sz w:val="22"/>
          <w:szCs w:val="22"/>
        </w:rPr>
        <w:t xml:space="preserve"> </w:t>
      </w:r>
      <w:r w:rsidRPr="0078127B">
        <w:rPr>
          <w:rFonts w:ascii="Book Antiqua" w:hAnsi="Book Antiqua"/>
          <w:i/>
          <w:iCs/>
          <w:color w:val="000000"/>
          <w:sz w:val="22"/>
          <w:szCs w:val="22"/>
        </w:rPr>
        <w:t>See</w:t>
      </w:r>
      <w:r w:rsidRPr="00453A43">
        <w:rPr>
          <w:rFonts w:ascii="Book Antiqua" w:hAnsi="Book Antiqua"/>
          <w:color w:val="000000"/>
          <w:sz w:val="22"/>
          <w:szCs w:val="22"/>
        </w:rPr>
        <w:t xml:space="preserve"> Pub. Util. Code § 5360.</w:t>
      </w:r>
    </w:p>
  </w:footnote>
  <w:footnote w:id="2">
    <w:p w14:paraId="1173ACB0" w14:textId="0EFDCF81" w:rsidR="009F1BDD" w:rsidRPr="009F1BDD" w:rsidRDefault="009F1BDD" w:rsidP="00C2140D">
      <w:pPr>
        <w:pStyle w:val="FootnoteText"/>
        <w:spacing w:after="120"/>
        <w:rPr>
          <w:rFonts w:ascii="Book Antiqua" w:hAnsi="Book Antiqua"/>
          <w:sz w:val="22"/>
          <w:szCs w:val="22"/>
        </w:rPr>
      </w:pPr>
      <w:r w:rsidRPr="009F1BDD">
        <w:rPr>
          <w:rStyle w:val="FootnoteReference"/>
          <w:rFonts w:ascii="Book Antiqua" w:hAnsi="Book Antiqua"/>
          <w:sz w:val="22"/>
          <w:szCs w:val="22"/>
        </w:rPr>
        <w:footnoteRef/>
      </w:r>
      <w:r w:rsidRPr="009F1BDD">
        <w:rPr>
          <w:rFonts w:ascii="Book Antiqua" w:hAnsi="Book Antiqua"/>
          <w:sz w:val="22"/>
          <w:szCs w:val="22"/>
        </w:rPr>
        <w:t xml:space="preserve"> </w:t>
      </w:r>
      <w:r w:rsidR="00AD316E">
        <w:rPr>
          <w:rFonts w:ascii="Book Antiqua" w:hAnsi="Book Antiqua"/>
          <w:sz w:val="22"/>
          <w:szCs w:val="22"/>
        </w:rPr>
        <w:t xml:space="preserve">Joint </w:t>
      </w:r>
      <w:r w:rsidRPr="009F1BDD">
        <w:rPr>
          <w:rFonts w:ascii="Book Antiqua" w:hAnsi="Book Antiqua"/>
          <w:sz w:val="22"/>
          <w:szCs w:val="22"/>
        </w:rPr>
        <w:t>Motion</w:t>
      </w:r>
      <w:r w:rsidR="00AD316E">
        <w:rPr>
          <w:rFonts w:ascii="Book Antiqua" w:hAnsi="Book Antiqua"/>
          <w:sz w:val="22"/>
          <w:szCs w:val="22"/>
        </w:rPr>
        <w:t xml:space="preserve"> of the Consumer Protection and Enforcement Division and </w:t>
      </w:r>
      <w:proofErr w:type="spellStart"/>
      <w:r w:rsidR="00AD316E">
        <w:rPr>
          <w:rFonts w:ascii="Book Antiqua" w:hAnsi="Book Antiqua"/>
          <w:sz w:val="22"/>
          <w:szCs w:val="22"/>
        </w:rPr>
        <w:t>Mexicoach</w:t>
      </w:r>
      <w:proofErr w:type="spellEnd"/>
      <w:r w:rsidR="00AD316E">
        <w:rPr>
          <w:rFonts w:ascii="Book Antiqua" w:hAnsi="Book Antiqua"/>
          <w:sz w:val="22"/>
          <w:szCs w:val="22"/>
        </w:rPr>
        <w:t>, Inc. for Leave to File its Confidential Joint Motion for the Commission Adoption of a Settlement Agreement under Seal (</w:t>
      </w:r>
      <w:r w:rsidR="00CE525D">
        <w:rPr>
          <w:rFonts w:ascii="Book Antiqua" w:hAnsi="Book Antiqua"/>
          <w:sz w:val="22"/>
          <w:szCs w:val="22"/>
        </w:rPr>
        <w:t>Settlement</w:t>
      </w:r>
      <w:r w:rsidR="00293992">
        <w:rPr>
          <w:rFonts w:ascii="Book Antiqua" w:hAnsi="Book Antiqua"/>
          <w:sz w:val="22"/>
          <w:szCs w:val="22"/>
        </w:rPr>
        <w:t xml:space="preserve"> Agreement</w:t>
      </w:r>
      <w:r w:rsidR="00AD316E">
        <w:rPr>
          <w:rFonts w:ascii="Book Antiqua" w:hAnsi="Book Antiqua"/>
          <w:sz w:val="22"/>
          <w:szCs w:val="22"/>
        </w:rPr>
        <w:t>)</w:t>
      </w:r>
      <w:r w:rsidRPr="009F1BDD">
        <w:rPr>
          <w:rFonts w:ascii="Book Antiqua" w:hAnsi="Book Antiqua"/>
          <w:sz w:val="22"/>
          <w:szCs w:val="22"/>
        </w:rPr>
        <w:t xml:space="preserve"> a</w:t>
      </w:r>
      <w:r>
        <w:rPr>
          <w:rFonts w:ascii="Book Antiqua" w:hAnsi="Book Antiqua"/>
          <w:sz w:val="22"/>
          <w:szCs w:val="22"/>
        </w:rPr>
        <w:t xml:space="preserve">t 1. </w:t>
      </w:r>
    </w:p>
  </w:footnote>
  <w:footnote w:id="3">
    <w:p w14:paraId="37E752E6" w14:textId="77777777" w:rsidR="00DD7ADF" w:rsidRPr="00453A43" w:rsidRDefault="00DD7ADF" w:rsidP="00C2140D">
      <w:pPr>
        <w:pStyle w:val="FootnoteText"/>
        <w:spacing w:after="120"/>
        <w:rPr>
          <w:rFonts w:ascii="Book Antiqua" w:hAnsi="Book Antiqua"/>
          <w:sz w:val="22"/>
          <w:szCs w:val="22"/>
        </w:rPr>
      </w:pPr>
      <w:r w:rsidRPr="00453A43">
        <w:rPr>
          <w:rStyle w:val="FootnoteReference"/>
          <w:rFonts w:ascii="Book Antiqua" w:hAnsi="Book Antiqua"/>
          <w:sz w:val="22"/>
          <w:szCs w:val="22"/>
        </w:rPr>
        <w:footnoteRef/>
      </w:r>
      <w:r w:rsidRPr="00453A43">
        <w:rPr>
          <w:rFonts w:ascii="Book Antiqua" w:hAnsi="Book Antiqua"/>
          <w:sz w:val="22"/>
          <w:szCs w:val="22"/>
        </w:rPr>
        <w:t xml:space="preserve"> Consumer Protection and Enforcement Division is currently located at </w:t>
      </w:r>
      <w:hyperlink r:id="rId1" w:history="1">
        <w:r w:rsidRPr="00453A43">
          <w:rPr>
            <w:rStyle w:val="Hyperlink"/>
            <w:rFonts w:ascii="Book Antiqua" w:hAnsi="Book Antiqua"/>
            <w:sz w:val="22"/>
            <w:szCs w:val="22"/>
          </w:rPr>
          <w:t>https://www.cpuc.ca.gov/about-cpuc/divisions/consumer-protection-and-enforcement-division</w:t>
        </w:r>
      </w:hyperlink>
      <w:r w:rsidRPr="00453A43">
        <w:rPr>
          <w:rFonts w:ascii="Book Antiqua" w:hAnsi="Book Antiqua"/>
          <w:sz w:val="22"/>
          <w:szCs w:val="22"/>
        </w:rPr>
        <w:t xml:space="preserve">. </w:t>
      </w:r>
    </w:p>
  </w:footnote>
  <w:footnote w:id="4">
    <w:p w14:paraId="42644448" w14:textId="30E125ED" w:rsidR="00FB4673" w:rsidRPr="00F269C9" w:rsidRDefault="00FB4673" w:rsidP="00C2140D">
      <w:pPr>
        <w:pStyle w:val="FootnoteText"/>
        <w:spacing w:after="120"/>
        <w:rPr>
          <w:rFonts w:ascii="Book Antiqua" w:hAnsi="Book Antiqua"/>
          <w:sz w:val="22"/>
          <w:szCs w:val="22"/>
        </w:rPr>
      </w:pPr>
      <w:r w:rsidRPr="002F078D">
        <w:rPr>
          <w:rStyle w:val="FootnoteReference"/>
          <w:rFonts w:ascii="Book Antiqua" w:hAnsi="Book Antiqua"/>
          <w:sz w:val="22"/>
          <w:szCs w:val="22"/>
        </w:rPr>
        <w:footnoteRef/>
      </w:r>
      <w:r w:rsidRPr="0078127B">
        <w:rPr>
          <w:rFonts w:ascii="Book Antiqua" w:hAnsi="Book Antiqua"/>
          <w:i/>
          <w:iCs/>
          <w:sz w:val="22"/>
          <w:szCs w:val="22"/>
        </w:rPr>
        <w:t xml:space="preserve"> </w:t>
      </w:r>
      <w:r w:rsidR="00F269C9" w:rsidRPr="0078127B">
        <w:rPr>
          <w:rFonts w:ascii="Book Antiqua" w:hAnsi="Book Antiqua"/>
          <w:color w:val="000000"/>
          <w:sz w:val="22"/>
          <w:szCs w:val="22"/>
        </w:rPr>
        <w:t>CPED Compliance Filing</w:t>
      </w:r>
      <w:r w:rsidR="00F269C9">
        <w:rPr>
          <w:rFonts w:ascii="Book Antiqua" w:hAnsi="Book Antiqua"/>
          <w:color w:val="000000"/>
          <w:sz w:val="22"/>
          <w:szCs w:val="22"/>
        </w:rPr>
        <w:t xml:space="preserve"> Public Version</w:t>
      </w:r>
      <w:r w:rsidR="00F269C9" w:rsidRPr="002F078D">
        <w:rPr>
          <w:rFonts w:ascii="Book Antiqua" w:hAnsi="Book Antiqua"/>
          <w:i/>
          <w:iCs/>
          <w:sz w:val="22"/>
          <w:szCs w:val="22"/>
        </w:rPr>
        <w:t xml:space="preserve"> </w:t>
      </w:r>
      <w:r w:rsidR="00F269C9">
        <w:rPr>
          <w:rFonts w:ascii="Book Antiqua" w:hAnsi="Book Antiqua"/>
          <w:sz w:val="22"/>
          <w:szCs w:val="22"/>
        </w:rPr>
        <w:t>at Attachment 1 Citation.</w:t>
      </w:r>
    </w:p>
  </w:footnote>
  <w:footnote w:id="5">
    <w:p w14:paraId="56A3D1EC" w14:textId="1E8009F8" w:rsidR="00FB4673" w:rsidRPr="002F078D" w:rsidRDefault="00FB4673" w:rsidP="00C2140D">
      <w:pPr>
        <w:pStyle w:val="FootnoteText"/>
        <w:spacing w:after="120"/>
        <w:rPr>
          <w:rFonts w:ascii="Book Antiqua" w:hAnsi="Book Antiqua"/>
          <w:sz w:val="22"/>
          <w:szCs w:val="22"/>
        </w:rPr>
      </w:pPr>
      <w:r w:rsidRPr="002F078D">
        <w:rPr>
          <w:rStyle w:val="FootnoteReference"/>
          <w:rFonts w:ascii="Book Antiqua" w:hAnsi="Book Antiqua"/>
          <w:sz w:val="22"/>
          <w:szCs w:val="22"/>
        </w:rPr>
        <w:footnoteRef/>
      </w:r>
      <w:r w:rsidRPr="002F078D">
        <w:rPr>
          <w:rFonts w:ascii="Book Antiqua" w:hAnsi="Book Antiqua"/>
          <w:sz w:val="22"/>
          <w:szCs w:val="22"/>
        </w:rPr>
        <w:t xml:space="preserve"> </w:t>
      </w:r>
      <w:r w:rsidR="00CE525D">
        <w:rPr>
          <w:rFonts w:ascii="Book Antiqua" w:hAnsi="Book Antiqua"/>
          <w:i/>
          <w:iCs/>
          <w:sz w:val="22"/>
          <w:szCs w:val="22"/>
        </w:rPr>
        <w:t>Id</w:t>
      </w:r>
      <w:r w:rsidR="002377D1">
        <w:rPr>
          <w:rFonts w:ascii="Book Antiqua" w:hAnsi="Book Antiqua"/>
          <w:sz w:val="22"/>
          <w:szCs w:val="22"/>
        </w:rPr>
        <w:t xml:space="preserve">. </w:t>
      </w:r>
    </w:p>
  </w:footnote>
  <w:footnote w:id="6">
    <w:p w14:paraId="41F5E315" w14:textId="00B361E9" w:rsidR="00FA78E5" w:rsidRPr="00DB758B" w:rsidRDefault="00FA78E5">
      <w:pPr>
        <w:pStyle w:val="FootnoteText"/>
        <w:rPr>
          <w:rFonts w:ascii="Book Antiqua" w:hAnsi="Book Antiqua"/>
        </w:rPr>
      </w:pPr>
      <w:r w:rsidRPr="007E018D">
        <w:rPr>
          <w:rStyle w:val="FootnoteReference"/>
          <w:rFonts w:ascii="Book Antiqua" w:hAnsi="Book Antiqua"/>
        </w:rPr>
        <w:footnoteRef/>
      </w:r>
      <w:r w:rsidRPr="00DB758B">
        <w:rPr>
          <w:rFonts w:ascii="Book Antiqua" w:hAnsi="Book Antiqua"/>
        </w:rPr>
        <w:t xml:space="preserve"> </w:t>
      </w:r>
      <w:r w:rsidRPr="00DB758B">
        <w:rPr>
          <w:rFonts w:ascii="Book Antiqua" w:hAnsi="Book Antiqua"/>
          <w:i/>
          <w:iCs/>
        </w:rPr>
        <w:t xml:space="preserve">See </w:t>
      </w:r>
      <w:r w:rsidRPr="00DB758B">
        <w:rPr>
          <w:rFonts w:ascii="Book Antiqua" w:hAnsi="Book Antiqua"/>
        </w:rPr>
        <w:t>Attachment A to Joint Motion.</w:t>
      </w:r>
    </w:p>
  </w:footnote>
  <w:footnote w:id="7">
    <w:p w14:paraId="0CC0AE30" w14:textId="4A394937" w:rsidR="00FB4673" w:rsidRPr="00E612A5" w:rsidRDefault="00FB4673" w:rsidP="00C2140D">
      <w:pPr>
        <w:pStyle w:val="FootnoteText"/>
        <w:spacing w:after="120"/>
        <w:rPr>
          <w:rFonts w:ascii="Book Antiqua" w:hAnsi="Book Antiqua"/>
          <w:sz w:val="22"/>
          <w:szCs w:val="22"/>
        </w:rPr>
      </w:pPr>
      <w:r w:rsidRPr="00E612A5">
        <w:rPr>
          <w:rStyle w:val="FootnoteReference"/>
          <w:rFonts w:ascii="Book Antiqua" w:hAnsi="Book Antiqua"/>
          <w:sz w:val="22"/>
          <w:szCs w:val="22"/>
        </w:rPr>
        <w:footnoteRef/>
      </w:r>
      <w:r w:rsidRPr="00E612A5">
        <w:rPr>
          <w:rFonts w:ascii="Book Antiqua" w:hAnsi="Book Antiqua"/>
          <w:sz w:val="22"/>
          <w:szCs w:val="22"/>
        </w:rPr>
        <w:t xml:space="preserve"> </w:t>
      </w:r>
      <w:r w:rsidR="00FA78E5">
        <w:rPr>
          <w:rFonts w:ascii="Book Antiqua" w:hAnsi="Book Antiqua"/>
          <w:sz w:val="22"/>
          <w:szCs w:val="22"/>
        </w:rPr>
        <w:t xml:space="preserve">Joint </w:t>
      </w:r>
      <w:r w:rsidR="00373076">
        <w:rPr>
          <w:rFonts w:ascii="Book Antiqua" w:hAnsi="Book Antiqua"/>
          <w:sz w:val="22"/>
          <w:szCs w:val="22"/>
        </w:rPr>
        <w:t>Motion at 4</w:t>
      </w:r>
      <w:r w:rsidR="00FA78E5">
        <w:rPr>
          <w:rFonts w:ascii="Book Antiqua" w:hAnsi="Book Antiqua"/>
          <w:sz w:val="22"/>
          <w:szCs w:val="22"/>
        </w:rPr>
        <w:t xml:space="preserve"> and Attachment A</w:t>
      </w:r>
      <w:r w:rsidR="00373076">
        <w:rPr>
          <w:rFonts w:ascii="Book Antiqua" w:hAnsi="Book Antiqua"/>
          <w:sz w:val="22"/>
          <w:szCs w:val="22"/>
        </w:rPr>
        <w:t xml:space="preserve">. </w:t>
      </w:r>
    </w:p>
  </w:footnote>
  <w:footnote w:id="8">
    <w:p w14:paraId="0B07D9AF" w14:textId="527568C2" w:rsidR="00B257CE" w:rsidRPr="00CE525D" w:rsidRDefault="00B257CE" w:rsidP="00C2140D">
      <w:pPr>
        <w:pStyle w:val="FootnoteText"/>
        <w:spacing w:after="120"/>
        <w:rPr>
          <w:rFonts w:ascii="Book Antiqua" w:hAnsi="Book Antiqua"/>
          <w:sz w:val="22"/>
          <w:szCs w:val="22"/>
        </w:rPr>
      </w:pPr>
      <w:r w:rsidRPr="00B257CE">
        <w:rPr>
          <w:rStyle w:val="FootnoteReference"/>
          <w:rFonts w:ascii="Book Antiqua" w:hAnsi="Book Antiqua"/>
          <w:sz w:val="22"/>
          <w:szCs w:val="22"/>
        </w:rPr>
        <w:footnoteRef/>
      </w:r>
      <w:r w:rsidRPr="00B257CE">
        <w:rPr>
          <w:rFonts w:ascii="Book Antiqua" w:hAnsi="Book Antiqua"/>
          <w:sz w:val="22"/>
          <w:szCs w:val="22"/>
        </w:rPr>
        <w:t xml:space="preserve"> </w:t>
      </w:r>
      <w:r w:rsidRPr="00B257CE">
        <w:rPr>
          <w:rFonts w:ascii="Book Antiqua" w:hAnsi="Book Antiqua"/>
          <w:i/>
          <w:iCs/>
          <w:sz w:val="22"/>
          <w:szCs w:val="22"/>
        </w:rPr>
        <w:t>Id.</w:t>
      </w:r>
      <w:r w:rsidR="00CE525D">
        <w:rPr>
          <w:rFonts w:ascii="Book Antiqua" w:hAnsi="Book Antiqua"/>
          <w:sz w:val="22"/>
          <w:szCs w:val="22"/>
        </w:rPr>
        <w:t xml:space="preserve"> Removing Violation 1 and 3 reduces </w:t>
      </w:r>
      <w:r w:rsidR="00FC0237">
        <w:rPr>
          <w:rFonts w:ascii="Book Antiqua" w:hAnsi="Book Antiqua"/>
          <w:sz w:val="22"/>
          <w:szCs w:val="22"/>
        </w:rPr>
        <w:t xml:space="preserve">total counts by 20.  Withdrawal of Violation 6 removes one additional count.  </w:t>
      </w:r>
    </w:p>
  </w:footnote>
  <w:footnote w:id="9">
    <w:p w14:paraId="56E727A6" w14:textId="39FCCF4F" w:rsidR="00FB4673" w:rsidRPr="00292FE1" w:rsidRDefault="00FB4673" w:rsidP="00C2140D">
      <w:pPr>
        <w:pStyle w:val="FootnoteText"/>
        <w:spacing w:after="120"/>
        <w:rPr>
          <w:rFonts w:ascii="Book Antiqua" w:hAnsi="Book Antiqua"/>
          <w:sz w:val="22"/>
          <w:szCs w:val="22"/>
        </w:rPr>
      </w:pPr>
      <w:r w:rsidRPr="00E612A5">
        <w:rPr>
          <w:rStyle w:val="FootnoteReference"/>
          <w:rFonts w:ascii="Book Antiqua" w:hAnsi="Book Antiqua"/>
          <w:sz w:val="22"/>
          <w:szCs w:val="22"/>
        </w:rPr>
        <w:footnoteRef/>
      </w:r>
      <w:r w:rsidRPr="00E612A5">
        <w:rPr>
          <w:rFonts w:ascii="Book Antiqua" w:hAnsi="Book Antiqua"/>
          <w:sz w:val="22"/>
          <w:szCs w:val="22"/>
        </w:rPr>
        <w:t xml:space="preserve"> </w:t>
      </w:r>
      <w:r w:rsidR="00292FE1">
        <w:rPr>
          <w:rFonts w:ascii="Book Antiqua" w:hAnsi="Book Antiqua"/>
          <w:i/>
          <w:iCs/>
          <w:sz w:val="22"/>
          <w:szCs w:val="22"/>
        </w:rPr>
        <w:t>I</w:t>
      </w:r>
      <w:r w:rsidR="00B257CE">
        <w:rPr>
          <w:rFonts w:ascii="Book Antiqua" w:hAnsi="Book Antiqua"/>
          <w:i/>
          <w:iCs/>
          <w:sz w:val="22"/>
          <w:szCs w:val="22"/>
        </w:rPr>
        <w:t xml:space="preserve">d. </w:t>
      </w:r>
    </w:p>
  </w:footnote>
  <w:footnote w:id="10">
    <w:p w14:paraId="6027B391" w14:textId="6C0786B9" w:rsidR="00292FE1" w:rsidRPr="00E612A5" w:rsidRDefault="00792697" w:rsidP="00C2140D">
      <w:pPr>
        <w:pStyle w:val="FootnoteText"/>
        <w:spacing w:after="120"/>
        <w:rPr>
          <w:rFonts w:ascii="Book Antiqua" w:hAnsi="Book Antiqua"/>
          <w:sz w:val="22"/>
          <w:szCs w:val="22"/>
        </w:rPr>
      </w:pPr>
      <w:r w:rsidRPr="00E612A5">
        <w:rPr>
          <w:rStyle w:val="FootnoteReference"/>
          <w:rFonts w:ascii="Book Antiqua" w:hAnsi="Book Antiqua"/>
          <w:sz w:val="22"/>
          <w:szCs w:val="22"/>
        </w:rPr>
        <w:footnoteRef/>
      </w:r>
      <w:r w:rsidRPr="00E612A5">
        <w:rPr>
          <w:rFonts w:ascii="Book Antiqua" w:hAnsi="Book Antiqua"/>
          <w:sz w:val="22"/>
          <w:szCs w:val="22"/>
        </w:rPr>
        <w:t xml:space="preserve"> California Constitution, Art. XII, § 4. </w:t>
      </w:r>
    </w:p>
  </w:footnote>
  <w:footnote w:id="11">
    <w:p w14:paraId="413B0A81" w14:textId="77777777" w:rsidR="00792697" w:rsidRPr="002F078D" w:rsidRDefault="00792697" w:rsidP="00C2140D">
      <w:pPr>
        <w:pStyle w:val="FootnoteText"/>
        <w:spacing w:after="120"/>
        <w:rPr>
          <w:rFonts w:ascii="Book Antiqua" w:hAnsi="Book Antiqua"/>
          <w:color w:val="000000"/>
          <w:sz w:val="22"/>
          <w:szCs w:val="22"/>
        </w:rPr>
      </w:pPr>
      <w:r w:rsidRPr="002F078D">
        <w:rPr>
          <w:rStyle w:val="FootnoteReference"/>
          <w:rFonts w:ascii="Book Antiqua" w:hAnsi="Book Antiqua"/>
          <w:sz w:val="22"/>
          <w:szCs w:val="22"/>
        </w:rPr>
        <w:footnoteRef/>
      </w:r>
      <w:r w:rsidRPr="002F078D">
        <w:rPr>
          <w:rFonts w:ascii="Book Antiqua" w:hAnsi="Book Antiqua"/>
          <w:sz w:val="22"/>
          <w:szCs w:val="22"/>
        </w:rPr>
        <w:t xml:space="preserve"> Pub. Util. Code </w:t>
      </w:r>
      <w:r w:rsidRPr="002F078D">
        <w:rPr>
          <w:rFonts w:ascii="Book Antiqua" w:hAnsi="Book Antiqua"/>
          <w:color w:val="000000"/>
          <w:sz w:val="22"/>
          <w:szCs w:val="22"/>
        </w:rPr>
        <w:t xml:space="preserve">§§ 5351-5450. </w:t>
      </w:r>
    </w:p>
  </w:footnote>
  <w:footnote w:id="12">
    <w:p w14:paraId="38915DC8" w14:textId="77777777" w:rsidR="00FC0237" w:rsidRPr="002F078D" w:rsidRDefault="00FC0237" w:rsidP="00FC0237">
      <w:pPr>
        <w:pStyle w:val="FootnoteText"/>
        <w:spacing w:after="120"/>
        <w:rPr>
          <w:rFonts w:ascii="Book Antiqua" w:hAnsi="Book Antiqua"/>
          <w:color w:val="000000"/>
          <w:sz w:val="22"/>
          <w:szCs w:val="22"/>
        </w:rPr>
      </w:pPr>
      <w:r w:rsidRPr="002F078D">
        <w:rPr>
          <w:rStyle w:val="FootnoteReference"/>
          <w:rFonts w:ascii="Book Antiqua" w:hAnsi="Book Antiqua"/>
          <w:color w:val="000000"/>
          <w:sz w:val="22"/>
          <w:szCs w:val="22"/>
        </w:rPr>
        <w:footnoteRef/>
      </w:r>
      <w:r w:rsidRPr="002F078D">
        <w:rPr>
          <w:rFonts w:ascii="Book Antiqua" w:hAnsi="Book Antiqua"/>
          <w:color w:val="000000"/>
          <w:sz w:val="22"/>
          <w:szCs w:val="22"/>
        </w:rPr>
        <w:t xml:space="preserve"> Resolution M-4846. </w:t>
      </w:r>
      <w:r w:rsidRPr="00E33348">
        <w:rPr>
          <w:rFonts w:ascii="Book Antiqua" w:hAnsi="Book Antiqua"/>
          <w:color w:val="000000"/>
          <w:sz w:val="22"/>
          <w:szCs w:val="22"/>
        </w:rPr>
        <w:t>Resolution Adopting Commission Enforcement Policy</w:t>
      </w:r>
      <w:r w:rsidRPr="002F078D">
        <w:rPr>
          <w:rFonts w:ascii="Book Antiqua" w:hAnsi="Book Antiqua"/>
          <w:color w:val="000000"/>
          <w:sz w:val="22"/>
          <w:szCs w:val="22"/>
        </w:rPr>
        <w:t xml:space="preserve">, Attachment: </w:t>
      </w:r>
      <w:r w:rsidRPr="00E33348">
        <w:rPr>
          <w:rFonts w:ascii="Book Antiqua" w:hAnsi="Book Antiqua"/>
          <w:color w:val="000000"/>
          <w:sz w:val="22"/>
          <w:szCs w:val="22"/>
        </w:rPr>
        <w:t>Enforcement Policy,</w:t>
      </w:r>
      <w:r w:rsidRPr="002F078D">
        <w:rPr>
          <w:rFonts w:ascii="Book Antiqua" w:hAnsi="Book Antiqua"/>
          <w:color w:val="000000"/>
          <w:sz w:val="22"/>
          <w:szCs w:val="22"/>
        </w:rPr>
        <w:t xml:space="preserve"> Appendix I: </w:t>
      </w:r>
      <w:r w:rsidRPr="00E33348">
        <w:rPr>
          <w:rFonts w:ascii="Book Antiqua" w:hAnsi="Book Antiqua"/>
          <w:color w:val="000000"/>
          <w:sz w:val="22"/>
          <w:szCs w:val="22"/>
        </w:rPr>
        <w:t>Penalty Methodology</w:t>
      </w:r>
      <w:r w:rsidRPr="002F078D">
        <w:rPr>
          <w:rFonts w:ascii="Book Antiqua" w:hAnsi="Book Antiqua"/>
          <w:i/>
          <w:iCs/>
          <w:color w:val="000000"/>
          <w:sz w:val="22"/>
          <w:szCs w:val="22"/>
        </w:rPr>
        <w:t xml:space="preserve"> </w:t>
      </w:r>
      <w:r w:rsidRPr="002F078D">
        <w:rPr>
          <w:rFonts w:ascii="Book Antiqua" w:hAnsi="Book Antiqua"/>
          <w:color w:val="000000"/>
          <w:sz w:val="22"/>
          <w:szCs w:val="22"/>
        </w:rPr>
        <w:t xml:space="preserve">(Penalty Assessment Methodology) (Nov. 5, 2020). </w:t>
      </w:r>
    </w:p>
  </w:footnote>
  <w:footnote w:id="13">
    <w:p w14:paraId="7FABA398" w14:textId="77777777" w:rsidR="00792697" w:rsidRPr="00F61FE5" w:rsidRDefault="00792697" w:rsidP="00C2140D">
      <w:pPr>
        <w:pStyle w:val="FootnoteText"/>
        <w:spacing w:after="120"/>
        <w:rPr>
          <w:rFonts w:ascii="Book Antiqua" w:hAnsi="Book Antiqua"/>
          <w:sz w:val="22"/>
          <w:szCs w:val="22"/>
          <w:lang w:val="it-IT"/>
        </w:rPr>
      </w:pPr>
      <w:r w:rsidRPr="00E612A5">
        <w:rPr>
          <w:rStyle w:val="FootnoteReference"/>
          <w:rFonts w:ascii="Book Antiqua" w:hAnsi="Book Antiqua"/>
          <w:sz w:val="22"/>
          <w:szCs w:val="22"/>
        </w:rPr>
        <w:footnoteRef/>
      </w:r>
      <w:r w:rsidRPr="00F61FE5">
        <w:rPr>
          <w:rFonts w:ascii="Book Antiqua" w:hAnsi="Book Antiqua"/>
          <w:sz w:val="22"/>
          <w:szCs w:val="22"/>
          <w:lang w:val="it-IT"/>
        </w:rPr>
        <w:t xml:space="preserve"> </w:t>
      </w:r>
      <w:r w:rsidRPr="00F61FE5">
        <w:rPr>
          <w:rFonts w:ascii="Book Antiqua" w:hAnsi="Book Antiqua"/>
          <w:sz w:val="22"/>
          <w:szCs w:val="22"/>
          <w:lang w:val="it-IT"/>
        </w:rPr>
        <w:t xml:space="preserve">Pub. Util. Code § 5352 </w:t>
      </w:r>
      <w:r w:rsidRPr="00F61FE5">
        <w:rPr>
          <w:rFonts w:ascii="Book Antiqua" w:hAnsi="Book Antiqua"/>
          <w:i/>
          <w:iCs/>
          <w:sz w:val="22"/>
          <w:szCs w:val="22"/>
          <w:lang w:val="it-IT"/>
        </w:rPr>
        <w:t>et seq</w:t>
      </w:r>
      <w:r w:rsidRPr="00F61FE5">
        <w:rPr>
          <w:rFonts w:ascii="Book Antiqua" w:hAnsi="Book Antiqua"/>
          <w:sz w:val="22"/>
          <w:szCs w:val="22"/>
          <w:lang w:val="it-IT"/>
        </w:rPr>
        <w:t xml:space="preserve">. </w:t>
      </w:r>
    </w:p>
  </w:footnote>
  <w:footnote w:id="14">
    <w:p w14:paraId="76B0016A" w14:textId="77777777" w:rsidR="00792697" w:rsidRPr="00F61FE5" w:rsidRDefault="00792697" w:rsidP="00C2140D">
      <w:pPr>
        <w:pStyle w:val="FootnoteText"/>
        <w:spacing w:after="120"/>
        <w:rPr>
          <w:rFonts w:ascii="Book Antiqua" w:hAnsi="Book Antiqua"/>
          <w:sz w:val="22"/>
          <w:szCs w:val="22"/>
          <w:lang w:val="it-IT"/>
        </w:rPr>
      </w:pPr>
      <w:r w:rsidRPr="00E612A5">
        <w:rPr>
          <w:rStyle w:val="FootnoteReference"/>
          <w:rFonts w:ascii="Book Antiqua" w:hAnsi="Book Antiqua"/>
          <w:sz w:val="22"/>
          <w:szCs w:val="22"/>
        </w:rPr>
        <w:footnoteRef/>
      </w:r>
      <w:r w:rsidRPr="00F61FE5">
        <w:rPr>
          <w:rFonts w:ascii="Book Antiqua" w:hAnsi="Book Antiqua"/>
          <w:sz w:val="22"/>
          <w:szCs w:val="22"/>
          <w:lang w:val="it-IT"/>
        </w:rPr>
        <w:t xml:space="preserve"> </w:t>
      </w:r>
      <w:r w:rsidRPr="00F61FE5">
        <w:rPr>
          <w:rFonts w:ascii="Book Antiqua" w:hAnsi="Book Antiqua"/>
          <w:sz w:val="22"/>
          <w:szCs w:val="22"/>
          <w:lang w:val="it-IT"/>
        </w:rPr>
        <w:t xml:space="preserve">Pub. Util. Code § 5358. </w:t>
      </w:r>
    </w:p>
  </w:footnote>
  <w:footnote w:id="15">
    <w:p w14:paraId="593341CF" w14:textId="77777777" w:rsidR="00792697" w:rsidRPr="00F61FE5" w:rsidRDefault="00792697" w:rsidP="00C2140D">
      <w:pPr>
        <w:pStyle w:val="FootnoteText"/>
        <w:spacing w:after="120"/>
        <w:rPr>
          <w:rFonts w:ascii="Book Antiqua" w:hAnsi="Book Antiqua"/>
          <w:sz w:val="22"/>
          <w:szCs w:val="22"/>
          <w:lang w:val="it-IT"/>
        </w:rPr>
      </w:pPr>
      <w:r w:rsidRPr="003F1596">
        <w:rPr>
          <w:rStyle w:val="FootnoteReference"/>
          <w:rFonts w:ascii="Book Antiqua" w:hAnsi="Book Antiqua"/>
          <w:sz w:val="22"/>
          <w:szCs w:val="22"/>
        </w:rPr>
        <w:footnoteRef/>
      </w:r>
      <w:r w:rsidRPr="00F61FE5">
        <w:rPr>
          <w:rFonts w:ascii="Book Antiqua" w:hAnsi="Book Antiqua"/>
          <w:sz w:val="22"/>
          <w:szCs w:val="22"/>
          <w:lang w:val="it-IT"/>
        </w:rPr>
        <w:t xml:space="preserve"> </w:t>
      </w:r>
      <w:r w:rsidRPr="00F61FE5">
        <w:rPr>
          <w:rFonts w:ascii="Book Antiqua" w:hAnsi="Book Antiqua"/>
          <w:sz w:val="22"/>
          <w:szCs w:val="22"/>
          <w:lang w:val="it-IT"/>
        </w:rPr>
        <w:t xml:space="preserve">Pub. </w:t>
      </w:r>
      <w:r w:rsidRPr="00F61FE5">
        <w:rPr>
          <w:rFonts w:ascii="Book Antiqua" w:hAnsi="Book Antiqua"/>
          <w:sz w:val="22"/>
          <w:szCs w:val="22"/>
          <w:lang w:val="it-IT"/>
        </w:rPr>
        <w:t xml:space="preserve">Util. Code § 5352(a). </w:t>
      </w:r>
    </w:p>
  </w:footnote>
  <w:footnote w:id="16">
    <w:p w14:paraId="35AEEDBB" w14:textId="58895408" w:rsidR="00132F26" w:rsidRPr="00F61FE5" w:rsidRDefault="00132F26" w:rsidP="00C2140D">
      <w:pPr>
        <w:pStyle w:val="FootnoteText"/>
        <w:spacing w:after="120"/>
        <w:rPr>
          <w:rFonts w:ascii="Book Antiqua" w:hAnsi="Book Antiqua"/>
          <w:sz w:val="22"/>
          <w:szCs w:val="22"/>
          <w:lang w:val="it-IT"/>
        </w:rPr>
      </w:pPr>
      <w:r w:rsidRPr="00453A43">
        <w:rPr>
          <w:rStyle w:val="FootnoteReference"/>
          <w:rFonts w:ascii="Book Antiqua" w:hAnsi="Book Antiqua"/>
          <w:sz w:val="22"/>
          <w:szCs w:val="22"/>
        </w:rPr>
        <w:footnoteRef/>
      </w:r>
      <w:r w:rsidRPr="00F61FE5">
        <w:rPr>
          <w:rFonts w:ascii="Book Antiqua" w:hAnsi="Book Antiqua"/>
          <w:sz w:val="22"/>
          <w:szCs w:val="22"/>
          <w:lang w:val="it-IT"/>
        </w:rPr>
        <w:t xml:space="preserve"> </w:t>
      </w:r>
      <w:r w:rsidRPr="00F61FE5">
        <w:rPr>
          <w:rFonts w:ascii="Book Antiqua" w:hAnsi="Book Antiqua"/>
          <w:sz w:val="22"/>
          <w:szCs w:val="22"/>
          <w:lang w:val="it-IT"/>
        </w:rPr>
        <w:t xml:space="preserve">Pub. </w:t>
      </w:r>
      <w:r w:rsidRPr="00F61FE5">
        <w:rPr>
          <w:rFonts w:ascii="Book Antiqua" w:hAnsi="Book Antiqua"/>
          <w:sz w:val="22"/>
          <w:szCs w:val="22"/>
          <w:lang w:val="it-IT"/>
        </w:rPr>
        <w:t xml:space="preserve">Util. Code </w:t>
      </w:r>
      <w:r w:rsidRPr="00F61FE5">
        <w:rPr>
          <w:rFonts w:ascii="Book Antiqua" w:hAnsi="Book Antiqua"/>
          <w:color w:val="000000"/>
          <w:sz w:val="22"/>
          <w:szCs w:val="22"/>
          <w:lang w:val="it-IT"/>
        </w:rPr>
        <w:t xml:space="preserve">§ 2107. </w:t>
      </w:r>
    </w:p>
  </w:footnote>
  <w:footnote w:id="17">
    <w:p w14:paraId="60B62DC9" w14:textId="4B9C0627" w:rsidR="00F3505C" w:rsidRPr="00F61FE5" w:rsidRDefault="00F3505C">
      <w:pPr>
        <w:pStyle w:val="FootnoteText"/>
        <w:rPr>
          <w:rFonts w:ascii="Book Antiqua" w:hAnsi="Book Antiqua"/>
          <w:sz w:val="22"/>
          <w:szCs w:val="22"/>
        </w:rPr>
      </w:pPr>
      <w:r w:rsidRPr="00F61FE5">
        <w:rPr>
          <w:rStyle w:val="FootnoteReference"/>
          <w:rFonts w:ascii="Book Antiqua" w:hAnsi="Book Antiqua"/>
          <w:sz w:val="22"/>
          <w:szCs w:val="22"/>
        </w:rPr>
        <w:footnoteRef/>
      </w:r>
      <w:r w:rsidRPr="00F61FE5">
        <w:rPr>
          <w:rFonts w:ascii="Book Antiqua" w:hAnsi="Book Antiqua"/>
          <w:sz w:val="22"/>
          <w:szCs w:val="22"/>
        </w:rPr>
        <w:t xml:space="preserve"> Decision (D.)22-04057 sets out the five factors that must be considered in the evaluation of the penalty. Commission Resolution M-4846 Penalty Assessment Methodology incorporated these same factors.</w:t>
      </w:r>
    </w:p>
  </w:footnote>
  <w:footnote w:id="18">
    <w:p w14:paraId="2B43C4E3" w14:textId="63EA7A2E" w:rsidR="007D5E5E" w:rsidRPr="00E612A5" w:rsidRDefault="007D5E5E" w:rsidP="00C2140D">
      <w:pPr>
        <w:pStyle w:val="FootnoteText"/>
        <w:spacing w:after="120"/>
        <w:rPr>
          <w:rFonts w:ascii="Book Antiqua" w:hAnsi="Book Antiqua"/>
          <w:sz w:val="22"/>
          <w:szCs w:val="18"/>
        </w:rPr>
      </w:pPr>
      <w:r w:rsidRPr="00E612A5">
        <w:rPr>
          <w:rStyle w:val="FootnoteReference"/>
          <w:rFonts w:ascii="Book Antiqua" w:hAnsi="Book Antiqua"/>
          <w:sz w:val="22"/>
          <w:szCs w:val="18"/>
        </w:rPr>
        <w:footnoteRef/>
      </w:r>
      <w:r w:rsidRPr="00E612A5">
        <w:rPr>
          <w:rFonts w:ascii="Book Antiqua" w:hAnsi="Book Antiqua"/>
          <w:sz w:val="22"/>
          <w:szCs w:val="18"/>
        </w:rPr>
        <w:t xml:space="preserve"> </w:t>
      </w:r>
      <w:r w:rsidR="00F61FE5">
        <w:rPr>
          <w:rFonts w:ascii="Book Antiqua" w:hAnsi="Book Antiqua"/>
          <w:sz w:val="22"/>
          <w:szCs w:val="18"/>
        </w:rPr>
        <w:t>Rules are</w:t>
      </w:r>
      <w:r w:rsidRPr="00E612A5">
        <w:rPr>
          <w:rFonts w:ascii="Book Antiqua" w:hAnsi="Book Antiqua"/>
          <w:sz w:val="22"/>
          <w:szCs w:val="18"/>
        </w:rPr>
        <w:t xml:space="preserve"> available </w:t>
      </w:r>
      <w:r w:rsidR="00F3505C">
        <w:rPr>
          <w:rFonts w:ascii="Book Antiqua" w:hAnsi="Book Antiqua"/>
          <w:sz w:val="22"/>
          <w:szCs w:val="18"/>
        </w:rPr>
        <w:t xml:space="preserve">as of this writing </w:t>
      </w:r>
      <w:r w:rsidRPr="00E612A5">
        <w:rPr>
          <w:rFonts w:ascii="Book Antiqua" w:hAnsi="Book Antiqua"/>
          <w:sz w:val="22"/>
          <w:szCs w:val="18"/>
        </w:rPr>
        <w:t xml:space="preserve">at </w:t>
      </w:r>
      <w:hyperlink r:id="rId2" w:history="1">
        <w:r w:rsidR="001B2349" w:rsidRPr="00E612A5">
          <w:rPr>
            <w:rStyle w:val="Hyperlink"/>
            <w:rFonts w:ascii="Book Antiqua" w:hAnsi="Book Antiqua"/>
            <w:sz w:val="22"/>
            <w:szCs w:val="18"/>
          </w:rPr>
          <w:t>https://docs.cpuc.ca.gov/published/RULES_PRAC_PROC/105138-11.htm</w:t>
        </w:r>
      </w:hyperlink>
      <w:r w:rsidR="001B2349" w:rsidRPr="00E612A5">
        <w:rPr>
          <w:rFonts w:ascii="Book Antiqua" w:hAnsi="Book Antiqua"/>
          <w:sz w:val="22"/>
          <w:szCs w:val="18"/>
        </w:rPr>
        <w:t xml:space="preserve">. </w:t>
      </w:r>
    </w:p>
  </w:footnote>
  <w:footnote w:id="19">
    <w:p w14:paraId="086E7F93" w14:textId="3DE0E515" w:rsidR="003E40A7" w:rsidRPr="00E1774A" w:rsidRDefault="003E40A7" w:rsidP="00C2140D">
      <w:pPr>
        <w:pStyle w:val="FootnoteText"/>
        <w:spacing w:after="120"/>
        <w:rPr>
          <w:i/>
          <w:iCs/>
        </w:rPr>
      </w:pPr>
      <w:r w:rsidRPr="00E612A5">
        <w:rPr>
          <w:rStyle w:val="FootnoteReference"/>
          <w:rFonts w:ascii="Book Antiqua" w:hAnsi="Book Antiqua"/>
          <w:sz w:val="22"/>
          <w:szCs w:val="18"/>
        </w:rPr>
        <w:footnoteRef/>
      </w:r>
      <w:r w:rsidRPr="00E612A5">
        <w:rPr>
          <w:rFonts w:ascii="Book Antiqua" w:hAnsi="Book Antiqua"/>
          <w:sz w:val="22"/>
          <w:szCs w:val="18"/>
        </w:rPr>
        <w:t xml:space="preserve"> </w:t>
      </w:r>
      <w:r w:rsidR="00E1774A" w:rsidRPr="00E33348">
        <w:rPr>
          <w:rFonts w:ascii="Book Antiqua" w:hAnsi="Book Antiqua"/>
          <w:sz w:val="22"/>
          <w:szCs w:val="18"/>
        </w:rPr>
        <w:t>Penalty Assessment Methodology</w:t>
      </w:r>
      <w:r w:rsidR="00E1774A" w:rsidRPr="00E612A5">
        <w:rPr>
          <w:rFonts w:ascii="Book Antiqua" w:hAnsi="Book Antiqua"/>
          <w:sz w:val="22"/>
          <w:szCs w:val="18"/>
        </w:rPr>
        <w:t xml:space="preserve"> (Nov. 5, 2020)</w:t>
      </w:r>
      <w:r w:rsidR="002773C7">
        <w:rPr>
          <w:rFonts w:ascii="Book Antiqua" w:hAnsi="Book Antiqua"/>
          <w:sz w:val="22"/>
          <w:szCs w:val="18"/>
        </w:rPr>
        <w:t>, Attachment A to Settlement Motion.</w:t>
      </w:r>
    </w:p>
  </w:footnote>
  <w:footnote w:id="20">
    <w:p w14:paraId="0CA0DB8B" w14:textId="3471DFDF" w:rsidR="00A45543" w:rsidRDefault="00A45543" w:rsidP="00C2140D">
      <w:pPr>
        <w:pStyle w:val="FootnoteText"/>
        <w:spacing w:after="120"/>
      </w:pPr>
      <w:r w:rsidRPr="00E612A5">
        <w:rPr>
          <w:rStyle w:val="FootnoteReference"/>
          <w:rFonts w:ascii="Book Antiqua" w:hAnsi="Book Antiqua"/>
          <w:sz w:val="22"/>
          <w:szCs w:val="18"/>
        </w:rPr>
        <w:footnoteRef/>
      </w:r>
      <w:r w:rsidRPr="00E612A5">
        <w:rPr>
          <w:rFonts w:ascii="Book Antiqua" w:hAnsi="Book Antiqua"/>
          <w:sz w:val="22"/>
          <w:szCs w:val="18"/>
        </w:rPr>
        <w:t xml:space="preserve"> </w:t>
      </w:r>
      <w:r w:rsidR="002773C7" w:rsidRPr="002773C7">
        <w:rPr>
          <w:rFonts w:ascii="Book Antiqua" w:hAnsi="Book Antiqua"/>
          <w:i/>
          <w:iCs/>
          <w:sz w:val="22"/>
          <w:szCs w:val="18"/>
        </w:rPr>
        <w:t xml:space="preserve">See </w:t>
      </w:r>
      <w:r w:rsidRPr="00E33348">
        <w:rPr>
          <w:rFonts w:ascii="Book Antiqua" w:hAnsi="Book Antiqua"/>
          <w:sz w:val="22"/>
          <w:szCs w:val="18"/>
        </w:rPr>
        <w:t>Penalty Assessment Methodology</w:t>
      </w:r>
      <w:r w:rsidRPr="00E612A5">
        <w:rPr>
          <w:rFonts w:ascii="Book Antiqua" w:hAnsi="Book Antiqua"/>
          <w:sz w:val="22"/>
          <w:szCs w:val="18"/>
        </w:rPr>
        <w:t xml:space="preserve">, available </w:t>
      </w:r>
      <w:r w:rsidR="00F3505C">
        <w:rPr>
          <w:rFonts w:ascii="Book Antiqua" w:hAnsi="Book Antiqua"/>
          <w:sz w:val="22"/>
          <w:szCs w:val="18"/>
        </w:rPr>
        <w:t xml:space="preserve">as of this writing </w:t>
      </w:r>
      <w:r w:rsidRPr="00E612A5">
        <w:rPr>
          <w:rFonts w:ascii="Book Antiqua" w:hAnsi="Book Antiqua"/>
          <w:sz w:val="22"/>
          <w:szCs w:val="18"/>
        </w:rPr>
        <w:t xml:space="preserve">at </w:t>
      </w:r>
      <w:hyperlink r:id="rId3" w:history="1">
        <w:r w:rsidRPr="00E612A5">
          <w:rPr>
            <w:rStyle w:val="Hyperlink"/>
            <w:rFonts w:ascii="Book Antiqua" w:hAnsi="Book Antiqua"/>
            <w:sz w:val="22"/>
            <w:szCs w:val="18"/>
          </w:rPr>
          <w:t>https://www.cpuc.ca.gov/-/media/cpuc-website/divisions/safety-and-enforcement-division/documents/m-4846.pdf</w:t>
        </w:r>
      </w:hyperlink>
      <w:r w:rsidRPr="00E612A5">
        <w:rPr>
          <w:rFonts w:ascii="Book Antiqua" w:hAnsi="Book Antiqua"/>
          <w:sz w:val="22"/>
          <w:szCs w:val="18"/>
        </w:rPr>
        <w:t>.</w:t>
      </w:r>
    </w:p>
  </w:footnote>
  <w:footnote w:id="21">
    <w:p w14:paraId="7A0902CC" w14:textId="3F7F1F47" w:rsidR="00A725ED" w:rsidRPr="00E612A5" w:rsidRDefault="00A725ED" w:rsidP="00A725ED">
      <w:pPr>
        <w:pStyle w:val="FootnoteText"/>
        <w:rPr>
          <w:rFonts w:ascii="Book Antiqua" w:hAnsi="Book Antiqua"/>
          <w:sz w:val="22"/>
          <w:szCs w:val="18"/>
        </w:rPr>
      </w:pPr>
      <w:r w:rsidRPr="00E612A5">
        <w:rPr>
          <w:rStyle w:val="FootnoteReference"/>
          <w:rFonts w:ascii="Book Antiqua" w:hAnsi="Book Antiqua"/>
          <w:sz w:val="22"/>
          <w:szCs w:val="18"/>
        </w:rPr>
        <w:footnoteRef/>
      </w:r>
      <w:r w:rsidRPr="00E612A5">
        <w:rPr>
          <w:rFonts w:ascii="Book Antiqua" w:hAnsi="Book Antiqua"/>
          <w:sz w:val="22"/>
          <w:szCs w:val="18"/>
        </w:rPr>
        <w:t xml:space="preserve"> </w:t>
      </w:r>
      <w:r w:rsidRPr="001C7D72">
        <w:rPr>
          <w:rFonts w:ascii="Book Antiqua" w:hAnsi="Book Antiqua"/>
          <w:sz w:val="22"/>
          <w:szCs w:val="18"/>
        </w:rPr>
        <w:t>Penalty Assessment Methodology</w:t>
      </w:r>
      <w:r w:rsidRPr="00E612A5">
        <w:rPr>
          <w:rFonts w:ascii="Book Antiqua" w:hAnsi="Book Antiqua"/>
          <w:sz w:val="22"/>
          <w:szCs w:val="18"/>
        </w:rPr>
        <w:t xml:space="preserve"> (Nov. 5, 2020) at 16 (Parts I.), available </w:t>
      </w:r>
      <w:r w:rsidR="00FA78E5">
        <w:rPr>
          <w:rFonts w:ascii="Book Antiqua" w:hAnsi="Book Antiqua"/>
          <w:sz w:val="22"/>
          <w:szCs w:val="18"/>
        </w:rPr>
        <w:t xml:space="preserve">as of this writing </w:t>
      </w:r>
      <w:r w:rsidRPr="00E612A5">
        <w:rPr>
          <w:rFonts w:ascii="Book Antiqua" w:hAnsi="Book Antiqua"/>
          <w:sz w:val="22"/>
          <w:szCs w:val="18"/>
        </w:rPr>
        <w:t xml:space="preserve">at </w:t>
      </w:r>
      <w:hyperlink r:id="rId4" w:history="1">
        <w:r w:rsidRPr="00E612A5">
          <w:rPr>
            <w:rStyle w:val="Hyperlink"/>
            <w:rFonts w:ascii="Book Antiqua" w:hAnsi="Book Antiqua"/>
            <w:sz w:val="22"/>
            <w:szCs w:val="18"/>
          </w:rPr>
          <w:t>https://www.cpuc.ca.gov/-/media/cpuc-website/divisions/safety-and-enforcement-division/documents/m-4846.pdf</w:t>
        </w:r>
      </w:hyperlink>
      <w:r w:rsidRPr="00E612A5">
        <w:rPr>
          <w:rFonts w:ascii="Book Antiqua" w:hAnsi="Book Antiqua"/>
          <w:sz w:val="22"/>
          <w:szCs w:val="18"/>
        </w:rPr>
        <w:t>.</w:t>
      </w:r>
    </w:p>
  </w:footnote>
  <w:footnote w:id="22">
    <w:p w14:paraId="4040236C" w14:textId="65C07854" w:rsidR="00E638BC" w:rsidRPr="00E638BC" w:rsidRDefault="00E638BC" w:rsidP="00C2140D">
      <w:pPr>
        <w:pStyle w:val="FootnoteText"/>
        <w:spacing w:after="120"/>
        <w:rPr>
          <w:rFonts w:ascii="Book Antiqua" w:hAnsi="Book Antiqua"/>
          <w:szCs w:val="24"/>
        </w:rPr>
      </w:pPr>
      <w:r w:rsidRPr="00E638BC">
        <w:rPr>
          <w:rStyle w:val="FootnoteReference"/>
          <w:rFonts w:ascii="Book Antiqua" w:hAnsi="Book Antiqua"/>
          <w:sz w:val="26"/>
          <w:szCs w:val="26"/>
        </w:rPr>
        <w:footnoteRef/>
      </w:r>
      <w:r w:rsidRPr="00E638BC">
        <w:rPr>
          <w:rFonts w:ascii="Book Antiqua" w:hAnsi="Book Antiqua"/>
          <w:sz w:val="26"/>
          <w:szCs w:val="26"/>
        </w:rPr>
        <w:t xml:space="preserve"> </w:t>
      </w:r>
      <w:r w:rsidRPr="00E638BC">
        <w:rPr>
          <w:rFonts w:ascii="Book Antiqua" w:hAnsi="Book Antiqua"/>
          <w:sz w:val="22"/>
          <w:szCs w:val="22"/>
        </w:rPr>
        <w:t>Joint Motion at 8.</w:t>
      </w:r>
    </w:p>
  </w:footnote>
  <w:footnote w:id="23">
    <w:p w14:paraId="61B4A961" w14:textId="77777777" w:rsidR="00B93B3E" w:rsidRPr="00CD7352" w:rsidRDefault="00B93B3E" w:rsidP="00B93B3E">
      <w:pPr>
        <w:pStyle w:val="FootnoteText"/>
        <w:spacing w:after="120"/>
        <w:rPr>
          <w:rFonts w:ascii="Book Antiqua" w:hAnsi="Book Antiqua"/>
          <w:sz w:val="22"/>
          <w:szCs w:val="22"/>
        </w:rPr>
      </w:pPr>
      <w:r w:rsidRPr="00CD7352">
        <w:rPr>
          <w:rStyle w:val="FootnoteReference"/>
          <w:rFonts w:ascii="Book Antiqua" w:hAnsi="Book Antiqua"/>
          <w:sz w:val="22"/>
          <w:szCs w:val="22"/>
        </w:rPr>
        <w:footnoteRef/>
      </w:r>
      <w:r w:rsidRPr="00CD7352">
        <w:rPr>
          <w:rFonts w:ascii="Book Antiqua" w:hAnsi="Book Antiqua"/>
          <w:sz w:val="22"/>
          <w:szCs w:val="22"/>
        </w:rPr>
        <w:t xml:space="preserve"> </w:t>
      </w:r>
      <w:r w:rsidRPr="005524C8">
        <w:rPr>
          <w:rFonts w:ascii="Book Antiqua" w:hAnsi="Book Antiqua"/>
          <w:sz w:val="22"/>
          <w:szCs w:val="22"/>
        </w:rPr>
        <w:t>Penalty Assessment Methodology</w:t>
      </w:r>
      <w:r w:rsidRPr="00CD7352">
        <w:rPr>
          <w:rFonts w:ascii="Book Antiqua" w:hAnsi="Book Antiqua"/>
          <w:sz w:val="22"/>
          <w:szCs w:val="22"/>
        </w:rPr>
        <w:t xml:space="preserve"> (Nov. 5, 2020) at 19.</w:t>
      </w:r>
    </w:p>
  </w:footnote>
  <w:footnote w:id="24">
    <w:p w14:paraId="6486DC32" w14:textId="77777777" w:rsidR="00442E80" w:rsidRPr="00CD7352" w:rsidRDefault="00442E80" w:rsidP="00C2140D">
      <w:pPr>
        <w:pStyle w:val="FootnoteText"/>
        <w:spacing w:after="120"/>
        <w:rPr>
          <w:rFonts w:ascii="Book Antiqua" w:hAnsi="Book Antiqua"/>
          <w:sz w:val="22"/>
          <w:szCs w:val="22"/>
        </w:rPr>
      </w:pPr>
      <w:r w:rsidRPr="00CD7352">
        <w:rPr>
          <w:rStyle w:val="FootnoteReference"/>
          <w:rFonts w:ascii="Book Antiqua" w:hAnsi="Book Antiqua"/>
          <w:sz w:val="22"/>
          <w:szCs w:val="22"/>
        </w:rPr>
        <w:footnoteRef/>
      </w:r>
      <w:r w:rsidRPr="00CD7352">
        <w:rPr>
          <w:rFonts w:ascii="Book Antiqua" w:hAnsi="Book Antiqua"/>
          <w:sz w:val="22"/>
          <w:szCs w:val="22"/>
        </w:rPr>
        <w:t xml:space="preserve"> </w:t>
      </w:r>
      <w:r w:rsidRPr="00CD7352">
        <w:rPr>
          <w:rFonts w:ascii="Book Antiqua" w:hAnsi="Book Antiqua"/>
          <w:i/>
          <w:iCs/>
          <w:sz w:val="22"/>
          <w:szCs w:val="22"/>
        </w:rPr>
        <w:t>Ibid</w:t>
      </w:r>
      <w:r w:rsidRPr="00CD7352">
        <w:rPr>
          <w:rFonts w:ascii="Book Antiqua" w:hAnsi="Book Antiqua"/>
          <w:sz w:val="22"/>
          <w:szCs w:val="22"/>
        </w:rPr>
        <w:t>.</w:t>
      </w:r>
    </w:p>
  </w:footnote>
  <w:footnote w:id="25">
    <w:p w14:paraId="23A1324D" w14:textId="395237A2" w:rsidR="00A725ED" w:rsidRPr="00CD7352" w:rsidRDefault="00A725ED" w:rsidP="00C2140D">
      <w:pPr>
        <w:pStyle w:val="FootnoteText"/>
        <w:spacing w:after="120"/>
        <w:rPr>
          <w:rFonts w:ascii="Book Antiqua" w:hAnsi="Book Antiqua"/>
          <w:sz w:val="22"/>
          <w:szCs w:val="22"/>
        </w:rPr>
      </w:pPr>
      <w:r w:rsidRPr="00CD7352">
        <w:rPr>
          <w:rStyle w:val="FootnoteReference"/>
          <w:rFonts w:ascii="Book Antiqua" w:hAnsi="Book Antiqua"/>
          <w:sz w:val="22"/>
          <w:szCs w:val="22"/>
        </w:rPr>
        <w:footnoteRef/>
      </w:r>
      <w:r w:rsidRPr="00CD7352">
        <w:rPr>
          <w:rFonts w:ascii="Book Antiqua" w:hAnsi="Book Antiqua"/>
          <w:sz w:val="22"/>
          <w:szCs w:val="22"/>
        </w:rPr>
        <w:t xml:space="preserve"> </w:t>
      </w:r>
      <w:r w:rsidRPr="005524C8">
        <w:rPr>
          <w:rFonts w:ascii="Book Antiqua" w:hAnsi="Book Antiqua"/>
          <w:sz w:val="22"/>
          <w:szCs w:val="22"/>
        </w:rPr>
        <w:t>Penalty Assessment Methodology</w:t>
      </w:r>
      <w:r w:rsidRPr="00CD7352">
        <w:rPr>
          <w:rFonts w:ascii="Book Antiqua" w:hAnsi="Book Antiqua"/>
          <w:sz w:val="22"/>
          <w:szCs w:val="22"/>
        </w:rPr>
        <w:t xml:space="preserve"> (Nov. 5, 2020) at 19, available </w:t>
      </w:r>
      <w:r w:rsidR="00FA78E5">
        <w:rPr>
          <w:rFonts w:ascii="Book Antiqua" w:hAnsi="Book Antiqua"/>
          <w:sz w:val="22"/>
          <w:szCs w:val="22"/>
        </w:rPr>
        <w:t xml:space="preserve">as of this writing </w:t>
      </w:r>
      <w:r w:rsidRPr="00CD7352">
        <w:rPr>
          <w:rFonts w:ascii="Book Antiqua" w:hAnsi="Book Antiqua"/>
          <w:sz w:val="22"/>
          <w:szCs w:val="22"/>
        </w:rPr>
        <w:t xml:space="preserve">at </w:t>
      </w:r>
      <w:hyperlink r:id="rId5" w:history="1">
        <w:r w:rsidRPr="00CD7352">
          <w:rPr>
            <w:rStyle w:val="Hyperlink"/>
            <w:rFonts w:ascii="Book Antiqua" w:hAnsi="Book Antiqua"/>
            <w:sz w:val="22"/>
            <w:szCs w:val="22"/>
          </w:rPr>
          <w:t>https://www.cpuc.ca.gov/-/media/cpuc-website/divisions/safety-and-enforcement-division/documents/m-4846.pdf</w:t>
        </w:r>
      </w:hyperlink>
      <w:r w:rsidRPr="00CD7352">
        <w:rPr>
          <w:rFonts w:ascii="Book Antiqua" w:hAnsi="Book Antiqua"/>
          <w:sz w:val="22"/>
          <w:szCs w:val="22"/>
        </w:rPr>
        <w:t>.</w:t>
      </w:r>
    </w:p>
  </w:footnote>
  <w:footnote w:id="26">
    <w:p w14:paraId="0D417EB5" w14:textId="234CEA49" w:rsidR="00A725ED" w:rsidRPr="00DC44A3" w:rsidRDefault="00A725ED" w:rsidP="00C2140D">
      <w:pPr>
        <w:pStyle w:val="FootnoteText"/>
        <w:spacing w:after="120"/>
        <w:rPr>
          <w:rFonts w:ascii="Book Antiqua" w:hAnsi="Book Antiqua"/>
          <w:sz w:val="22"/>
          <w:szCs w:val="22"/>
        </w:rPr>
      </w:pPr>
      <w:r w:rsidRPr="00CD7352">
        <w:rPr>
          <w:rStyle w:val="FootnoteReference"/>
          <w:rFonts w:ascii="Book Antiqua" w:hAnsi="Book Antiqua"/>
          <w:sz w:val="22"/>
          <w:szCs w:val="22"/>
        </w:rPr>
        <w:footnoteRef/>
      </w:r>
      <w:r w:rsidRPr="00CD7352">
        <w:rPr>
          <w:rFonts w:ascii="Book Antiqua" w:hAnsi="Book Antiqua"/>
          <w:sz w:val="22"/>
          <w:szCs w:val="22"/>
        </w:rPr>
        <w:t xml:space="preserve"> </w:t>
      </w:r>
      <w:r w:rsidRPr="00AB3FEC">
        <w:rPr>
          <w:rFonts w:ascii="Book Antiqua" w:hAnsi="Book Antiqua"/>
          <w:i/>
          <w:iCs/>
          <w:sz w:val="22"/>
          <w:szCs w:val="22"/>
        </w:rPr>
        <w:t xml:space="preserve">See </w:t>
      </w:r>
      <w:r w:rsidRPr="00AB3FEC">
        <w:rPr>
          <w:rFonts w:ascii="Book Antiqua" w:hAnsi="Book Antiqua"/>
          <w:sz w:val="22"/>
          <w:szCs w:val="22"/>
        </w:rPr>
        <w:t>R.520-547-391</w:t>
      </w:r>
      <w:r w:rsidRPr="00CD7352">
        <w:rPr>
          <w:rFonts w:ascii="Book Antiqua" w:hAnsi="Book Antiqua"/>
          <w:sz w:val="22"/>
          <w:szCs w:val="22"/>
        </w:rPr>
        <w:t xml:space="preserve"> in comparison for an example where the </w:t>
      </w:r>
      <w:r w:rsidR="000F5C65" w:rsidRPr="00CD7352">
        <w:rPr>
          <w:rFonts w:ascii="Book Antiqua" w:hAnsi="Book Antiqua"/>
          <w:sz w:val="22"/>
          <w:szCs w:val="22"/>
        </w:rPr>
        <w:t>penalty</w:t>
      </w:r>
      <w:r w:rsidRPr="00CD7352">
        <w:rPr>
          <w:rFonts w:ascii="Book Antiqua" w:hAnsi="Book Antiqua"/>
          <w:sz w:val="22"/>
          <w:szCs w:val="22"/>
        </w:rPr>
        <w:t xml:space="preserve"> amount reduced due to the significant financial hardship imposed on a small business. </w:t>
      </w:r>
    </w:p>
  </w:footnote>
  <w:footnote w:id="27">
    <w:p w14:paraId="25236BB0" w14:textId="77777777" w:rsidR="00A725ED" w:rsidRPr="00CD7352" w:rsidRDefault="00A725ED" w:rsidP="00C2140D">
      <w:pPr>
        <w:pStyle w:val="FootnoteText"/>
        <w:spacing w:after="120"/>
        <w:rPr>
          <w:rFonts w:ascii="Book Antiqua" w:hAnsi="Book Antiqua"/>
          <w:sz w:val="22"/>
          <w:szCs w:val="22"/>
        </w:rPr>
      </w:pPr>
      <w:r w:rsidRPr="00CD7352">
        <w:rPr>
          <w:rStyle w:val="FootnoteReference"/>
          <w:rFonts w:ascii="Book Antiqua" w:hAnsi="Book Antiqua"/>
          <w:sz w:val="22"/>
          <w:szCs w:val="22"/>
        </w:rPr>
        <w:footnoteRef/>
      </w:r>
      <w:r w:rsidRPr="00CD7352">
        <w:rPr>
          <w:rFonts w:ascii="Book Antiqua" w:hAnsi="Book Antiqua"/>
          <w:sz w:val="22"/>
          <w:szCs w:val="22"/>
        </w:rPr>
        <w:t xml:space="preserve"> </w:t>
      </w:r>
      <w:r w:rsidRPr="00AB3FEC">
        <w:rPr>
          <w:rFonts w:ascii="Book Antiqua" w:hAnsi="Book Antiqua"/>
          <w:sz w:val="22"/>
          <w:szCs w:val="22"/>
        </w:rPr>
        <w:t>Penalty Assessment Methodology</w:t>
      </w:r>
      <w:r w:rsidRPr="00CD7352">
        <w:rPr>
          <w:rFonts w:ascii="Book Antiqua" w:hAnsi="Book Antiqua"/>
          <w:sz w:val="22"/>
          <w:szCs w:val="22"/>
        </w:rPr>
        <w:t xml:space="preserve"> (Nov. 5, 2020) at 19-21. </w:t>
      </w:r>
    </w:p>
  </w:footnote>
  <w:footnote w:id="28">
    <w:p w14:paraId="01146015" w14:textId="3635F93E" w:rsidR="00CF7D64" w:rsidRPr="00927637" w:rsidRDefault="00CF7D64" w:rsidP="00C2140D">
      <w:pPr>
        <w:pStyle w:val="FootnoteText"/>
        <w:spacing w:after="120"/>
        <w:rPr>
          <w:rFonts w:ascii="Book Antiqua" w:hAnsi="Book Antiqua"/>
          <w:sz w:val="22"/>
          <w:szCs w:val="22"/>
        </w:rPr>
      </w:pPr>
      <w:r w:rsidRPr="00CF7D64">
        <w:rPr>
          <w:rStyle w:val="FootnoteReference"/>
          <w:rFonts w:ascii="Book Antiqua" w:hAnsi="Book Antiqua"/>
          <w:sz w:val="22"/>
          <w:szCs w:val="22"/>
        </w:rPr>
        <w:footnoteRef/>
      </w:r>
      <w:r w:rsidRPr="00CF7D64">
        <w:rPr>
          <w:rFonts w:ascii="Book Antiqua" w:hAnsi="Book Antiqua"/>
          <w:sz w:val="22"/>
          <w:szCs w:val="22"/>
        </w:rPr>
        <w:t xml:space="preserve"> D.</w:t>
      </w:r>
      <w:r w:rsidR="00927637">
        <w:rPr>
          <w:rFonts w:ascii="Book Antiqua" w:hAnsi="Book Antiqua"/>
          <w:sz w:val="22"/>
          <w:szCs w:val="22"/>
        </w:rPr>
        <w:t xml:space="preserve">19-10-033, </w:t>
      </w:r>
      <w:r w:rsidR="00927637" w:rsidRPr="002601FF">
        <w:rPr>
          <w:rFonts w:ascii="Book Antiqua" w:hAnsi="Book Antiqua"/>
          <w:sz w:val="22"/>
          <w:szCs w:val="22"/>
        </w:rPr>
        <w:t>Decision Approving Settlement of Preferred Long Distance, Inc. and CPED (</w:t>
      </w:r>
      <w:r w:rsidR="00AF324F">
        <w:rPr>
          <w:rFonts w:ascii="Book Antiqua" w:hAnsi="Book Antiqua"/>
          <w:sz w:val="22"/>
          <w:szCs w:val="22"/>
        </w:rPr>
        <w:t xml:space="preserve">Oct. 5, 2019) at 9. </w:t>
      </w:r>
    </w:p>
  </w:footnote>
  <w:footnote w:id="29">
    <w:p w14:paraId="29AC2F4F" w14:textId="50EE618F" w:rsidR="003360F7" w:rsidRPr="00CF7D64" w:rsidRDefault="003360F7" w:rsidP="003360F7">
      <w:pPr>
        <w:pStyle w:val="FootnoteText"/>
        <w:spacing w:after="120"/>
        <w:rPr>
          <w:rFonts w:ascii="Book Antiqua" w:hAnsi="Book Antiqua"/>
          <w:sz w:val="22"/>
          <w:szCs w:val="22"/>
        </w:rPr>
      </w:pPr>
      <w:r w:rsidRPr="00CF7D64">
        <w:rPr>
          <w:rStyle w:val="FootnoteReference"/>
          <w:rFonts w:ascii="Book Antiqua" w:hAnsi="Book Antiqua"/>
          <w:sz w:val="22"/>
          <w:szCs w:val="22"/>
        </w:rPr>
        <w:footnoteRef/>
      </w:r>
      <w:r w:rsidRPr="00CF7D64">
        <w:rPr>
          <w:rFonts w:ascii="Book Antiqua" w:hAnsi="Book Antiqua"/>
          <w:sz w:val="22"/>
          <w:szCs w:val="22"/>
        </w:rPr>
        <w:t xml:space="preserve"> </w:t>
      </w:r>
      <w:r w:rsidRPr="002601FF">
        <w:rPr>
          <w:rFonts w:ascii="Book Antiqua" w:hAnsi="Book Antiqua"/>
          <w:sz w:val="22"/>
          <w:szCs w:val="22"/>
        </w:rPr>
        <w:t>Penalty Assessment Methodology</w:t>
      </w:r>
      <w:r w:rsidRPr="00CF7D64">
        <w:rPr>
          <w:rFonts w:ascii="Book Antiqua" w:hAnsi="Book Antiqua"/>
          <w:sz w:val="22"/>
          <w:szCs w:val="22"/>
        </w:rPr>
        <w:t xml:space="preserve"> (Nov. 5, 2020) at 21</w:t>
      </w:r>
      <w:r w:rsidR="00172A6C">
        <w:rPr>
          <w:rFonts w:ascii="Book Antiqua" w:hAnsi="Book Antiqua"/>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B9217" w14:textId="6F96ADC6" w:rsidR="00C47C2A" w:rsidRPr="005F4C50" w:rsidRDefault="00C47C2A">
    <w:pPr>
      <w:pStyle w:val="Header"/>
      <w:rPr>
        <w:rFonts w:ascii="Book Antiqua" w:hAnsi="Book Antiqua"/>
        <w:b/>
        <w:szCs w:val="24"/>
      </w:rPr>
    </w:pPr>
    <w:r w:rsidRPr="005F4C50">
      <w:rPr>
        <w:rFonts w:ascii="Book Antiqua" w:hAnsi="Book Antiqua"/>
      </w:rPr>
      <w:t>Resolution ALJ-</w:t>
    </w:r>
    <w:r w:rsidR="00C2140D">
      <w:rPr>
        <w:rFonts w:ascii="Book Antiqua" w:hAnsi="Book Antiqua"/>
      </w:rPr>
      <w:t>48</w:t>
    </w:r>
    <w:r w:rsidR="00B92882">
      <w:rPr>
        <w:rFonts w:ascii="Book Antiqua" w:hAnsi="Book Antiqua"/>
      </w:rPr>
      <w:t>7</w:t>
    </w:r>
    <w:r w:rsidR="005F4C50" w:rsidRPr="005F4C50">
      <w:rPr>
        <w:rFonts w:ascii="Book Antiqua" w:hAnsi="Book Antiqua"/>
      </w:rPr>
      <w:t xml:space="preserve"> </w:t>
    </w:r>
    <w:r w:rsidRPr="005F4C50">
      <w:rPr>
        <w:rFonts w:ascii="Book Antiqua" w:hAnsi="Book Antiqua"/>
        <w:szCs w:val="24"/>
      </w:rPr>
      <w:t>ALJ/</w:t>
    </w:r>
    <w:r w:rsidR="005F4C50" w:rsidRPr="005F4C50">
      <w:rPr>
        <w:rFonts w:ascii="Book Antiqua" w:hAnsi="Book Antiqua"/>
        <w:szCs w:val="24"/>
      </w:rPr>
      <w:t>PPE</w:t>
    </w:r>
    <w:r w:rsidRPr="005F4C50">
      <w:rPr>
        <w:rFonts w:ascii="Book Antiqua" w:hAnsi="Book Antiqua"/>
        <w:szCs w:val="24"/>
      </w:rPr>
      <w:t>/</w:t>
    </w:r>
    <w:proofErr w:type="spellStart"/>
    <w:r w:rsidR="005F4C50" w:rsidRPr="005F4C50">
      <w:rPr>
        <w:rFonts w:ascii="Book Antiqua" w:hAnsi="Book Antiqua"/>
        <w:szCs w:val="24"/>
      </w:rPr>
      <w:t>asf</w:t>
    </w:r>
    <w:proofErr w:type="spellEnd"/>
    <w:r w:rsidRPr="005F4C50">
      <w:rPr>
        <w:rFonts w:ascii="Book Antiqua" w:hAnsi="Book Antiqua"/>
        <w:szCs w:val="24"/>
      </w:rPr>
      <w:tab/>
    </w:r>
    <w:r w:rsidRPr="005F4C50">
      <w:rPr>
        <w:rFonts w:ascii="Book Antiqua" w:hAnsi="Book Antiqua"/>
        <w:szCs w:val="24"/>
      </w:rPr>
      <w:tab/>
    </w:r>
    <w:r w:rsidRPr="005F4C50">
      <w:rPr>
        <w:rFonts w:ascii="Book Antiqua" w:hAnsi="Book Antiqua"/>
        <w:b/>
        <w:szCs w:val="24"/>
      </w:rPr>
      <w:t>DRAFT</w:t>
    </w:r>
  </w:p>
  <w:p w14:paraId="05C06D5A" w14:textId="77777777" w:rsidR="00C47C2A" w:rsidRDefault="00C47C2A">
    <w:pPr>
      <w:pStyle w:val="Header"/>
    </w:pPr>
  </w:p>
  <w:p w14:paraId="422FC5E0" w14:textId="77777777" w:rsidR="00C47C2A" w:rsidRDefault="00C47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3B63" w14:textId="64BFEE43" w:rsidR="00C47C2A" w:rsidRPr="005F4C50" w:rsidRDefault="005F4C50" w:rsidP="000E0F12">
    <w:pPr>
      <w:pStyle w:val="Header"/>
      <w:jc w:val="right"/>
      <w:rPr>
        <w:rFonts w:ascii="Book Antiqua" w:hAnsi="Book Antiqua"/>
        <w:b/>
        <w:sz w:val="26"/>
        <w:szCs w:val="26"/>
      </w:rPr>
    </w:pPr>
    <w:r>
      <w:rPr>
        <w:rFonts w:ascii="Book Antiqua" w:hAnsi="Book Antiqua"/>
        <w:sz w:val="26"/>
        <w:szCs w:val="26"/>
      </w:rPr>
      <w:t>ALJ/PPE/</w:t>
    </w:r>
    <w:proofErr w:type="spellStart"/>
    <w:r>
      <w:rPr>
        <w:rFonts w:ascii="Book Antiqua" w:hAnsi="Book Antiqua"/>
        <w:sz w:val="26"/>
        <w:szCs w:val="26"/>
      </w:rPr>
      <w:t>asf</w:t>
    </w:r>
    <w:proofErr w:type="spellEnd"/>
    <w:r w:rsidR="00C47C2A" w:rsidRPr="005F4C50">
      <w:rPr>
        <w:rFonts w:ascii="Book Antiqua" w:hAnsi="Book Antiqua"/>
        <w:sz w:val="26"/>
        <w:szCs w:val="26"/>
      </w:rPr>
      <w:tab/>
    </w:r>
    <w:r w:rsidR="00C47C2A" w:rsidRPr="005F4C50">
      <w:rPr>
        <w:rFonts w:ascii="Book Antiqua" w:hAnsi="Book Antiqua"/>
        <w:b/>
        <w:sz w:val="26"/>
        <w:szCs w:val="26"/>
      </w:rPr>
      <w:t>DRAFT</w:t>
    </w:r>
    <w:r w:rsidR="00561AF6">
      <w:rPr>
        <w:rFonts w:ascii="Book Antiqua" w:hAnsi="Book Antiqua"/>
        <w:b/>
        <w:sz w:val="26"/>
        <w:szCs w:val="26"/>
      </w:rPr>
      <w:tab/>
    </w:r>
    <w:r w:rsidR="00561AF6" w:rsidRPr="00561AF6">
      <w:rPr>
        <w:rFonts w:ascii="Book Antiqua" w:hAnsi="Book Antiqua"/>
        <w:b/>
        <w:sz w:val="26"/>
        <w:szCs w:val="26"/>
      </w:rPr>
      <w:t>Agenda ID#23999</w:t>
    </w:r>
    <w:r w:rsidR="00561AF6" w:rsidRPr="00561AF6">
      <w:rPr>
        <w:rFonts w:ascii="Book Antiqua" w:hAnsi="Book Antiqua"/>
        <w:b/>
        <w:sz w:val="26"/>
        <w:szCs w:val="26"/>
      </w:rPr>
      <w:tab/>
    </w:r>
  </w:p>
  <w:p w14:paraId="31AA02DB" w14:textId="77777777" w:rsidR="00C47C2A" w:rsidRPr="00EF6622" w:rsidRDefault="00C47C2A">
    <w:pPr>
      <w:pStyle w:val="Header"/>
      <w:rPr>
        <w:b/>
        <w:sz w:val="26"/>
        <w:szCs w:val="26"/>
      </w:rPr>
    </w:pPr>
  </w:p>
  <w:p w14:paraId="623C66BF" w14:textId="77777777" w:rsidR="00C47C2A" w:rsidRDefault="00C47C2A">
    <w:pPr>
      <w:pStyle w:val="Header"/>
      <w:rPr>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3629"/>
    <w:multiLevelType w:val="hybridMultilevel"/>
    <w:tmpl w:val="12EA1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B77C1"/>
    <w:multiLevelType w:val="hybridMultilevel"/>
    <w:tmpl w:val="97DAFC6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A01A46"/>
    <w:multiLevelType w:val="hybridMultilevel"/>
    <w:tmpl w:val="0FA0B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07C58"/>
    <w:multiLevelType w:val="hybridMultilevel"/>
    <w:tmpl w:val="CE4AA4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1D0F8E"/>
    <w:multiLevelType w:val="hybridMultilevel"/>
    <w:tmpl w:val="CE4AA4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F47690"/>
    <w:multiLevelType w:val="hybridMultilevel"/>
    <w:tmpl w:val="A0322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85759F"/>
    <w:multiLevelType w:val="hybridMultilevel"/>
    <w:tmpl w:val="8626D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8E4F88"/>
    <w:multiLevelType w:val="hybridMultilevel"/>
    <w:tmpl w:val="92065E66"/>
    <w:lvl w:ilvl="0" w:tplc="E6AA93F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1C1C36"/>
    <w:multiLevelType w:val="hybridMultilevel"/>
    <w:tmpl w:val="28AC9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4D19D8"/>
    <w:multiLevelType w:val="hybridMultilevel"/>
    <w:tmpl w:val="EA02E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4B7499"/>
    <w:multiLevelType w:val="hybridMultilevel"/>
    <w:tmpl w:val="62222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E3F1D"/>
    <w:multiLevelType w:val="hybridMultilevel"/>
    <w:tmpl w:val="DFA8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555FE4"/>
    <w:multiLevelType w:val="hybridMultilevel"/>
    <w:tmpl w:val="1262B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5AB4BAB"/>
    <w:multiLevelType w:val="hybridMultilevel"/>
    <w:tmpl w:val="754EB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6D49B9"/>
    <w:multiLevelType w:val="hybridMultilevel"/>
    <w:tmpl w:val="BD028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C16AC5"/>
    <w:multiLevelType w:val="hybridMultilevel"/>
    <w:tmpl w:val="CBA40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C3FFC"/>
    <w:multiLevelType w:val="hybridMultilevel"/>
    <w:tmpl w:val="CE4AA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EB4A70"/>
    <w:multiLevelType w:val="hybridMultilevel"/>
    <w:tmpl w:val="2DC444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51245556">
    <w:abstractNumId w:val="7"/>
  </w:num>
  <w:num w:numId="2" w16cid:durableId="701631325">
    <w:abstractNumId w:val="16"/>
  </w:num>
  <w:num w:numId="3" w16cid:durableId="225841265">
    <w:abstractNumId w:val="6"/>
  </w:num>
  <w:num w:numId="4" w16cid:durableId="1760563399">
    <w:abstractNumId w:val="14"/>
  </w:num>
  <w:num w:numId="5" w16cid:durableId="575241252">
    <w:abstractNumId w:val="8"/>
  </w:num>
  <w:num w:numId="6" w16cid:durableId="1495338248">
    <w:abstractNumId w:val="5"/>
  </w:num>
  <w:num w:numId="7" w16cid:durableId="1210068378">
    <w:abstractNumId w:val="11"/>
  </w:num>
  <w:num w:numId="8" w16cid:durableId="1522619973">
    <w:abstractNumId w:val="0"/>
  </w:num>
  <w:num w:numId="9" w16cid:durableId="1774786057">
    <w:abstractNumId w:val="2"/>
  </w:num>
  <w:num w:numId="10" w16cid:durableId="1170564390">
    <w:abstractNumId w:val="13"/>
  </w:num>
  <w:num w:numId="11" w16cid:durableId="1964385063">
    <w:abstractNumId w:val="1"/>
  </w:num>
  <w:num w:numId="12" w16cid:durableId="1043335083">
    <w:abstractNumId w:val="12"/>
  </w:num>
  <w:num w:numId="13" w16cid:durableId="1335844584">
    <w:abstractNumId w:val="10"/>
  </w:num>
  <w:num w:numId="14" w16cid:durableId="988480427">
    <w:abstractNumId w:val="15"/>
  </w:num>
  <w:num w:numId="15" w16cid:durableId="1393503907">
    <w:abstractNumId w:val="17"/>
  </w:num>
  <w:num w:numId="16" w16cid:durableId="715082596">
    <w:abstractNumId w:val="9"/>
  </w:num>
  <w:num w:numId="17" w16cid:durableId="1693607620">
    <w:abstractNumId w:val="4"/>
  </w:num>
  <w:num w:numId="18" w16cid:durableId="339428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F9"/>
    <w:rsid w:val="0000244B"/>
    <w:rsid w:val="00004249"/>
    <w:rsid w:val="00005C61"/>
    <w:rsid w:val="0001080E"/>
    <w:rsid w:val="000135A9"/>
    <w:rsid w:val="00014F56"/>
    <w:rsid w:val="00015E9E"/>
    <w:rsid w:val="00020F1B"/>
    <w:rsid w:val="00025010"/>
    <w:rsid w:val="00030041"/>
    <w:rsid w:val="00033339"/>
    <w:rsid w:val="000335BB"/>
    <w:rsid w:val="00036E8B"/>
    <w:rsid w:val="000404BC"/>
    <w:rsid w:val="00041C0A"/>
    <w:rsid w:val="00041CB9"/>
    <w:rsid w:val="000434D9"/>
    <w:rsid w:val="00046121"/>
    <w:rsid w:val="0005051B"/>
    <w:rsid w:val="00053A8D"/>
    <w:rsid w:val="00056268"/>
    <w:rsid w:val="000564DA"/>
    <w:rsid w:val="000569AF"/>
    <w:rsid w:val="00060DCF"/>
    <w:rsid w:val="000646BB"/>
    <w:rsid w:val="00067EF1"/>
    <w:rsid w:val="00072446"/>
    <w:rsid w:val="000855BC"/>
    <w:rsid w:val="000856D9"/>
    <w:rsid w:val="00087FBD"/>
    <w:rsid w:val="00090882"/>
    <w:rsid w:val="00092B37"/>
    <w:rsid w:val="00093219"/>
    <w:rsid w:val="00096077"/>
    <w:rsid w:val="000A0967"/>
    <w:rsid w:val="000A204B"/>
    <w:rsid w:val="000A3C58"/>
    <w:rsid w:val="000A53A1"/>
    <w:rsid w:val="000A605D"/>
    <w:rsid w:val="000A72B8"/>
    <w:rsid w:val="000B2935"/>
    <w:rsid w:val="000B2A13"/>
    <w:rsid w:val="000B346F"/>
    <w:rsid w:val="000B7E01"/>
    <w:rsid w:val="000C2211"/>
    <w:rsid w:val="000C2232"/>
    <w:rsid w:val="000D5CF2"/>
    <w:rsid w:val="000E0F12"/>
    <w:rsid w:val="000E2331"/>
    <w:rsid w:val="000E259C"/>
    <w:rsid w:val="000E39C3"/>
    <w:rsid w:val="000E66ED"/>
    <w:rsid w:val="000E7FDC"/>
    <w:rsid w:val="000F0447"/>
    <w:rsid w:val="000F099A"/>
    <w:rsid w:val="000F31AE"/>
    <w:rsid w:val="000F4DBA"/>
    <w:rsid w:val="000F575A"/>
    <w:rsid w:val="000F5C65"/>
    <w:rsid w:val="00100B11"/>
    <w:rsid w:val="00101919"/>
    <w:rsid w:val="00106D34"/>
    <w:rsid w:val="00111906"/>
    <w:rsid w:val="001139CA"/>
    <w:rsid w:val="00117BE3"/>
    <w:rsid w:val="00120050"/>
    <w:rsid w:val="00120305"/>
    <w:rsid w:val="00132F26"/>
    <w:rsid w:val="00133507"/>
    <w:rsid w:val="00134D27"/>
    <w:rsid w:val="00135F60"/>
    <w:rsid w:val="00140541"/>
    <w:rsid w:val="00141220"/>
    <w:rsid w:val="00147330"/>
    <w:rsid w:val="00151806"/>
    <w:rsid w:val="00151E1E"/>
    <w:rsid w:val="00155E97"/>
    <w:rsid w:val="00157142"/>
    <w:rsid w:val="00162B42"/>
    <w:rsid w:val="00166422"/>
    <w:rsid w:val="001711A6"/>
    <w:rsid w:val="00172712"/>
    <w:rsid w:val="00172A6C"/>
    <w:rsid w:val="00180D76"/>
    <w:rsid w:val="00181AB4"/>
    <w:rsid w:val="001864AE"/>
    <w:rsid w:val="00190EFA"/>
    <w:rsid w:val="00192E05"/>
    <w:rsid w:val="0019453F"/>
    <w:rsid w:val="0019768F"/>
    <w:rsid w:val="001A0646"/>
    <w:rsid w:val="001A06EA"/>
    <w:rsid w:val="001A1808"/>
    <w:rsid w:val="001A42B1"/>
    <w:rsid w:val="001A4A42"/>
    <w:rsid w:val="001A4C28"/>
    <w:rsid w:val="001A5ED8"/>
    <w:rsid w:val="001B1627"/>
    <w:rsid w:val="001B2349"/>
    <w:rsid w:val="001C1BB7"/>
    <w:rsid w:val="001C24CD"/>
    <w:rsid w:val="001C2D0E"/>
    <w:rsid w:val="001C351D"/>
    <w:rsid w:val="001C3594"/>
    <w:rsid w:val="001C7D72"/>
    <w:rsid w:val="001D008B"/>
    <w:rsid w:val="001D11E6"/>
    <w:rsid w:val="001D555E"/>
    <w:rsid w:val="001D728B"/>
    <w:rsid w:val="001E1734"/>
    <w:rsid w:val="001E1883"/>
    <w:rsid w:val="001F24BD"/>
    <w:rsid w:val="001F2D3E"/>
    <w:rsid w:val="00200E39"/>
    <w:rsid w:val="00204AEE"/>
    <w:rsid w:val="00205004"/>
    <w:rsid w:val="00207C73"/>
    <w:rsid w:val="00211604"/>
    <w:rsid w:val="00213A5A"/>
    <w:rsid w:val="00213C63"/>
    <w:rsid w:val="002145AE"/>
    <w:rsid w:val="00214984"/>
    <w:rsid w:val="00216525"/>
    <w:rsid w:val="00216BCF"/>
    <w:rsid w:val="0022446F"/>
    <w:rsid w:val="002248DC"/>
    <w:rsid w:val="002251CB"/>
    <w:rsid w:val="00226837"/>
    <w:rsid w:val="0023008B"/>
    <w:rsid w:val="00234922"/>
    <w:rsid w:val="002377D1"/>
    <w:rsid w:val="002407ED"/>
    <w:rsid w:val="0024329E"/>
    <w:rsid w:val="00243B02"/>
    <w:rsid w:val="00245B80"/>
    <w:rsid w:val="00252F72"/>
    <w:rsid w:val="00255C75"/>
    <w:rsid w:val="00256B3F"/>
    <w:rsid w:val="002578D8"/>
    <w:rsid w:val="002601FF"/>
    <w:rsid w:val="00263890"/>
    <w:rsid w:val="0026391D"/>
    <w:rsid w:val="00265791"/>
    <w:rsid w:val="00267B13"/>
    <w:rsid w:val="00272CFF"/>
    <w:rsid w:val="0027489D"/>
    <w:rsid w:val="002773C7"/>
    <w:rsid w:val="00286083"/>
    <w:rsid w:val="00292FE1"/>
    <w:rsid w:val="00293992"/>
    <w:rsid w:val="00296D1D"/>
    <w:rsid w:val="002A299C"/>
    <w:rsid w:val="002A2F1E"/>
    <w:rsid w:val="002A324E"/>
    <w:rsid w:val="002A5263"/>
    <w:rsid w:val="002A69AE"/>
    <w:rsid w:val="002A6FE4"/>
    <w:rsid w:val="002D075E"/>
    <w:rsid w:val="002D1054"/>
    <w:rsid w:val="002D2635"/>
    <w:rsid w:val="002D5295"/>
    <w:rsid w:val="002F0618"/>
    <w:rsid w:val="002F078D"/>
    <w:rsid w:val="002F09DD"/>
    <w:rsid w:val="002F299F"/>
    <w:rsid w:val="002F300F"/>
    <w:rsid w:val="002F379F"/>
    <w:rsid w:val="002F7065"/>
    <w:rsid w:val="003000AF"/>
    <w:rsid w:val="003000DF"/>
    <w:rsid w:val="0030045A"/>
    <w:rsid w:val="003008E1"/>
    <w:rsid w:val="00306314"/>
    <w:rsid w:val="003064AC"/>
    <w:rsid w:val="00310445"/>
    <w:rsid w:val="00321FA5"/>
    <w:rsid w:val="00323AA6"/>
    <w:rsid w:val="00325842"/>
    <w:rsid w:val="003305BC"/>
    <w:rsid w:val="00332628"/>
    <w:rsid w:val="00332A0E"/>
    <w:rsid w:val="00335BB6"/>
    <w:rsid w:val="00335C1F"/>
    <w:rsid w:val="00335C8A"/>
    <w:rsid w:val="00335DF9"/>
    <w:rsid w:val="003360F7"/>
    <w:rsid w:val="0033674D"/>
    <w:rsid w:val="00337276"/>
    <w:rsid w:val="00342698"/>
    <w:rsid w:val="003429FF"/>
    <w:rsid w:val="00342D28"/>
    <w:rsid w:val="003456C3"/>
    <w:rsid w:val="00346FC0"/>
    <w:rsid w:val="003476F7"/>
    <w:rsid w:val="00350C26"/>
    <w:rsid w:val="003511E5"/>
    <w:rsid w:val="00357C52"/>
    <w:rsid w:val="00360337"/>
    <w:rsid w:val="00364BB8"/>
    <w:rsid w:val="00364FCD"/>
    <w:rsid w:val="00373076"/>
    <w:rsid w:val="003766D8"/>
    <w:rsid w:val="003767FC"/>
    <w:rsid w:val="00376E98"/>
    <w:rsid w:val="00376F14"/>
    <w:rsid w:val="0038048C"/>
    <w:rsid w:val="00382404"/>
    <w:rsid w:val="003877DD"/>
    <w:rsid w:val="0038798C"/>
    <w:rsid w:val="00391898"/>
    <w:rsid w:val="00391D7F"/>
    <w:rsid w:val="003922DD"/>
    <w:rsid w:val="00393013"/>
    <w:rsid w:val="00393762"/>
    <w:rsid w:val="003A0144"/>
    <w:rsid w:val="003A15BC"/>
    <w:rsid w:val="003A2C8E"/>
    <w:rsid w:val="003A353C"/>
    <w:rsid w:val="003B21BC"/>
    <w:rsid w:val="003B45FF"/>
    <w:rsid w:val="003B5BBE"/>
    <w:rsid w:val="003B6D53"/>
    <w:rsid w:val="003B7A92"/>
    <w:rsid w:val="003C1AA3"/>
    <w:rsid w:val="003C20DB"/>
    <w:rsid w:val="003C6098"/>
    <w:rsid w:val="003C6462"/>
    <w:rsid w:val="003C75DB"/>
    <w:rsid w:val="003E0D4D"/>
    <w:rsid w:val="003E21B8"/>
    <w:rsid w:val="003E21EE"/>
    <w:rsid w:val="003E2A6F"/>
    <w:rsid w:val="003E34C4"/>
    <w:rsid w:val="003E4034"/>
    <w:rsid w:val="003E40A7"/>
    <w:rsid w:val="003E477C"/>
    <w:rsid w:val="003E503B"/>
    <w:rsid w:val="003E54FF"/>
    <w:rsid w:val="003E596B"/>
    <w:rsid w:val="003E6121"/>
    <w:rsid w:val="003F0CE6"/>
    <w:rsid w:val="003F334E"/>
    <w:rsid w:val="003F37ED"/>
    <w:rsid w:val="003F3CAA"/>
    <w:rsid w:val="003F46A9"/>
    <w:rsid w:val="003F4F1F"/>
    <w:rsid w:val="003F58CD"/>
    <w:rsid w:val="0040097D"/>
    <w:rsid w:val="004011D4"/>
    <w:rsid w:val="0040134A"/>
    <w:rsid w:val="00405241"/>
    <w:rsid w:val="00407518"/>
    <w:rsid w:val="004126E6"/>
    <w:rsid w:val="00422909"/>
    <w:rsid w:val="004235B0"/>
    <w:rsid w:val="004236E9"/>
    <w:rsid w:val="00423F4A"/>
    <w:rsid w:val="00425995"/>
    <w:rsid w:val="00431648"/>
    <w:rsid w:val="00432285"/>
    <w:rsid w:val="00442E80"/>
    <w:rsid w:val="0044695A"/>
    <w:rsid w:val="00446AED"/>
    <w:rsid w:val="00452D83"/>
    <w:rsid w:val="00453A43"/>
    <w:rsid w:val="00455193"/>
    <w:rsid w:val="00457084"/>
    <w:rsid w:val="00461803"/>
    <w:rsid w:val="004628F9"/>
    <w:rsid w:val="00470678"/>
    <w:rsid w:val="00471429"/>
    <w:rsid w:val="0047330F"/>
    <w:rsid w:val="00473A8C"/>
    <w:rsid w:val="00475141"/>
    <w:rsid w:val="00476BC8"/>
    <w:rsid w:val="004809CF"/>
    <w:rsid w:val="00482CE5"/>
    <w:rsid w:val="004855DF"/>
    <w:rsid w:val="00486383"/>
    <w:rsid w:val="004869A7"/>
    <w:rsid w:val="004925C7"/>
    <w:rsid w:val="00492D65"/>
    <w:rsid w:val="004A0530"/>
    <w:rsid w:val="004A10F0"/>
    <w:rsid w:val="004A241B"/>
    <w:rsid w:val="004A72E6"/>
    <w:rsid w:val="004A7A88"/>
    <w:rsid w:val="004A7D74"/>
    <w:rsid w:val="004B0C18"/>
    <w:rsid w:val="004B45B0"/>
    <w:rsid w:val="004B486B"/>
    <w:rsid w:val="004C21CF"/>
    <w:rsid w:val="004C6EAC"/>
    <w:rsid w:val="004D11C4"/>
    <w:rsid w:val="004D223D"/>
    <w:rsid w:val="004D23BA"/>
    <w:rsid w:val="004D253E"/>
    <w:rsid w:val="004D3C99"/>
    <w:rsid w:val="004D57A6"/>
    <w:rsid w:val="004D6BC9"/>
    <w:rsid w:val="004D7459"/>
    <w:rsid w:val="004D7A12"/>
    <w:rsid w:val="004D7EF2"/>
    <w:rsid w:val="004E5B67"/>
    <w:rsid w:val="004E7748"/>
    <w:rsid w:val="004E7887"/>
    <w:rsid w:val="004E7B8F"/>
    <w:rsid w:val="004F0F61"/>
    <w:rsid w:val="004F1680"/>
    <w:rsid w:val="004F2781"/>
    <w:rsid w:val="004F437F"/>
    <w:rsid w:val="004F574F"/>
    <w:rsid w:val="00500C3C"/>
    <w:rsid w:val="00500DC0"/>
    <w:rsid w:val="00502E65"/>
    <w:rsid w:val="00505961"/>
    <w:rsid w:val="00505A7F"/>
    <w:rsid w:val="00511C03"/>
    <w:rsid w:val="00512FF1"/>
    <w:rsid w:val="00521493"/>
    <w:rsid w:val="00521765"/>
    <w:rsid w:val="00521769"/>
    <w:rsid w:val="005229DE"/>
    <w:rsid w:val="005239E6"/>
    <w:rsid w:val="005257B5"/>
    <w:rsid w:val="00530CB9"/>
    <w:rsid w:val="005355E8"/>
    <w:rsid w:val="00537FAD"/>
    <w:rsid w:val="00544065"/>
    <w:rsid w:val="005440A5"/>
    <w:rsid w:val="005448F8"/>
    <w:rsid w:val="005453C9"/>
    <w:rsid w:val="005458A6"/>
    <w:rsid w:val="00545B99"/>
    <w:rsid w:val="00545C17"/>
    <w:rsid w:val="005524C8"/>
    <w:rsid w:val="00553449"/>
    <w:rsid w:val="00553905"/>
    <w:rsid w:val="005545CC"/>
    <w:rsid w:val="00554D69"/>
    <w:rsid w:val="0055583C"/>
    <w:rsid w:val="00561AF6"/>
    <w:rsid w:val="00562855"/>
    <w:rsid w:val="005629F2"/>
    <w:rsid w:val="00563654"/>
    <w:rsid w:val="005657FE"/>
    <w:rsid w:val="00566FA6"/>
    <w:rsid w:val="005709A9"/>
    <w:rsid w:val="005755B9"/>
    <w:rsid w:val="00575636"/>
    <w:rsid w:val="00580681"/>
    <w:rsid w:val="00580DFE"/>
    <w:rsid w:val="00581E43"/>
    <w:rsid w:val="00582113"/>
    <w:rsid w:val="005827AC"/>
    <w:rsid w:val="00583D81"/>
    <w:rsid w:val="00584A8D"/>
    <w:rsid w:val="005863D0"/>
    <w:rsid w:val="0059230C"/>
    <w:rsid w:val="00592ADF"/>
    <w:rsid w:val="00592F37"/>
    <w:rsid w:val="00594EBC"/>
    <w:rsid w:val="005956B1"/>
    <w:rsid w:val="00596D0B"/>
    <w:rsid w:val="005A0CBC"/>
    <w:rsid w:val="005A216F"/>
    <w:rsid w:val="005A2671"/>
    <w:rsid w:val="005A560B"/>
    <w:rsid w:val="005A7ED5"/>
    <w:rsid w:val="005B1C9E"/>
    <w:rsid w:val="005B52CE"/>
    <w:rsid w:val="005B6A71"/>
    <w:rsid w:val="005C4162"/>
    <w:rsid w:val="005C4AA3"/>
    <w:rsid w:val="005C5BB6"/>
    <w:rsid w:val="005C6EBB"/>
    <w:rsid w:val="005C74C7"/>
    <w:rsid w:val="005D60EE"/>
    <w:rsid w:val="005E0808"/>
    <w:rsid w:val="005E7165"/>
    <w:rsid w:val="005E7CC5"/>
    <w:rsid w:val="005E7FE8"/>
    <w:rsid w:val="005F28BD"/>
    <w:rsid w:val="005F38AA"/>
    <w:rsid w:val="005F3E53"/>
    <w:rsid w:val="005F4C50"/>
    <w:rsid w:val="005F6A45"/>
    <w:rsid w:val="005F7A28"/>
    <w:rsid w:val="00600BDE"/>
    <w:rsid w:val="006021F3"/>
    <w:rsid w:val="006024A8"/>
    <w:rsid w:val="006043A6"/>
    <w:rsid w:val="00604C4A"/>
    <w:rsid w:val="00614F91"/>
    <w:rsid w:val="00615191"/>
    <w:rsid w:val="00624AE5"/>
    <w:rsid w:val="00624D0B"/>
    <w:rsid w:val="0062553F"/>
    <w:rsid w:val="00626BD1"/>
    <w:rsid w:val="00631CB6"/>
    <w:rsid w:val="00632DF2"/>
    <w:rsid w:val="006362EC"/>
    <w:rsid w:val="006422C4"/>
    <w:rsid w:val="006427AE"/>
    <w:rsid w:val="00644EA4"/>
    <w:rsid w:val="006469FC"/>
    <w:rsid w:val="0065234E"/>
    <w:rsid w:val="0065389D"/>
    <w:rsid w:val="006572BB"/>
    <w:rsid w:val="00660D0C"/>
    <w:rsid w:val="00664158"/>
    <w:rsid w:val="00666CD4"/>
    <w:rsid w:val="00670252"/>
    <w:rsid w:val="0067111D"/>
    <w:rsid w:val="006739AC"/>
    <w:rsid w:val="00675486"/>
    <w:rsid w:val="00680179"/>
    <w:rsid w:val="0068348C"/>
    <w:rsid w:val="006850AC"/>
    <w:rsid w:val="00690800"/>
    <w:rsid w:val="0069391E"/>
    <w:rsid w:val="00695A33"/>
    <w:rsid w:val="00696218"/>
    <w:rsid w:val="00697128"/>
    <w:rsid w:val="006A307B"/>
    <w:rsid w:val="006A4129"/>
    <w:rsid w:val="006A47E1"/>
    <w:rsid w:val="006A5EDA"/>
    <w:rsid w:val="006A7B44"/>
    <w:rsid w:val="006B011F"/>
    <w:rsid w:val="006B09BD"/>
    <w:rsid w:val="006B23C3"/>
    <w:rsid w:val="006B7D63"/>
    <w:rsid w:val="006C3AA4"/>
    <w:rsid w:val="006C40A6"/>
    <w:rsid w:val="006C5691"/>
    <w:rsid w:val="006C7273"/>
    <w:rsid w:val="006E02D6"/>
    <w:rsid w:val="006E037B"/>
    <w:rsid w:val="006E05E2"/>
    <w:rsid w:val="006E49F8"/>
    <w:rsid w:val="006E6F32"/>
    <w:rsid w:val="006F0278"/>
    <w:rsid w:val="006F31F5"/>
    <w:rsid w:val="006F574A"/>
    <w:rsid w:val="006F7E5E"/>
    <w:rsid w:val="00702077"/>
    <w:rsid w:val="00702E09"/>
    <w:rsid w:val="00707660"/>
    <w:rsid w:val="00711EF7"/>
    <w:rsid w:val="00712223"/>
    <w:rsid w:val="007179E5"/>
    <w:rsid w:val="00717AC5"/>
    <w:rsid w:val="00722B6C"/>
    <w:rsid w:val="00725166"/>
    <w:rsid w:val="007309A6"/>
    <w:rsid w:val="00731A3E"/>
    <w:rsid w:val="00732AEB"/>
    <w:rsid w:val="00734DF3"/>
    <w:rsid w:val="00743508"/>
    <w:rsid w:val="007506B3"/>
    <w:rsid w:val="00752E6E"/>
    <w:rsid w:val="00760409"/>
    <w:rsid w:val="00762EA9"/>
    <w:rsid w:val="00762F6D"/>
    <w:rsid w:val="007649B2"/>
    <w:rsid w:val="00770B84"/>
    <w:rsid w:val="00771E39"/>
    <w:rsid w:val="007721F8"/>
    <w:rsid w:val="007732D6"/>
    <w:rsid w:val="007740F8"/>
    <w:rsid w:val="007773F2"/>
    <w:rsid w:val="00780105"/>
    <w:rsid w:val="0078127B"/>
    <w:rsid w:val="00787883"/>
    <w:rsid w:val="00787B40"/>
    <w:rsid w:val="00790437"/>
    <w:rsid w:val="00792697"/>
    <w:rsid w:val="00794A9A"/>
    <w:rsid w:val="00796C31"/>
    <w:rsid w:val="00797882"/>
    <w:rsid w:val="007A0366"/>
    <w:rsid w:val="007A33C6"/>
    <w:rsid w:val="007A46A5"/>
    <w:rsid w:val="007A4961"/>
    <w:rsid w:val="007A652C"/>
    <w:rsid w:val="007B11BB"/>
    <w:rsid w:val="007B485C"/>
    <w:rsid w:val="007B7AE9"/>
    <w:rsid w:val="007C1F0A"/>
    <w:rsid w:val="007C2158"/>
    <w:rsid w:val="007C2ADC"/>
    <w:rsid w:val="007C36D2"/>
    <w:rsid w:val="007C39D8"/>
    <w:rsid w:val="007C3A84"/>
    <w:rsid w:val="007C4AAB"/>
    <w:rsid w:val="007C5712"/>
    <w:rsid w:val="007C596C"/>
    <w:rsid w:val="007C7300"/>
    <w:rsid w:val="007C79DA"/>
    <w:rsid w:val="007D154A"/>
    <w:rsid w:val="007D3274"/>
    <w:rsid w:val="007D520D"/>
    <w:rsid w:val="007D5E51"/>
    <w:rsid w:val="007D5E5E"/>
    <w:rsid w:val="007D7EE0"/>
    <w:rsid w:val="007E018D"/>
    <w:rsid w:val="007F20E0"/>
    <w:rsid w:val="007F37D4"/>
    <w:rsid w:val="007F797D"/>
    <w:rsid w:val="008012D1"/>
    <w:rsid w:val="00802C29"/>
    <w:rsid w:val="00803F4F"/>
    <w:rsid w:val="00806F05"/>
    <w:rsid w:val="008070D1"/>
    <w:rsid w:val="0081065C"/>
    <w:rsid w:val="008125F3"/>
    <w:rsid w:val="008159CE"/>
    <w:rsid w:val="008208F6"/>
    <w:rsid w:val="00827164"/>
    <w:rsid w:val="00827B7F"/>
    <w:rsid w:val="008309BE"/>
    <w:rsid w:val="008311E6"/>
    <w:rsid w:val="008314FE"/>
    <w:rsid w:val="00831619"/>
    <w:rsid w:val="0083535A"/>
    <w:rsid w:val="00836708"/>
    <w:rsid w:val="00836B34"/>
    <w:rsid w:val="0084026A"/>
    <w:rsid w:val="0084041F"/>
    <w:rsid w:val="00841CBF"/>
    <w:rsid w:val="00845299"/>
    <w:rsid w:val="008476F7"/>
    <w:rsid w:val="00847863"/>
    <w:rsid w:val="008503FF"/>
    <w:rsid w:val="008510B0"/>
    <w:rsid w:val="00851D38"/>
    <w:rsid w:val="008558F1"/>
    <w:rsid w:val="00856A01"/>
    <w:rsid w:val="00857055"/>
    <w:rsid w:val="008600F3"/>
    <w:rsid w:val="00860D19"/>
    <w:rsid w:val="0087238F"/>
    <w:rsid w:val="00873397"/>
    <w:rsid w:val="008758AA"/>
    <w:rsid w:val="00882CB8"/>
    <w:rsid w:val="00885B5B"/>
    <w:rsid w:val="008861ED"/>
    <w:rsid w:val="00891149"/>
    <w:rsid w:val="00891EBA"/>
    <w:rsid w:val="00892B0C"/>
    <w:rsid w:val="00893CE6"/>
    <w:rsid w:val="00894DE4"/>
    <w:rsid w:val="008A10BC"/>
    <w:rsid w:val="008A2FA7"/>
    <w:rsid w:val="008A3184"/>
    <w:rsid w:val="008A3FB5"/>
    <w:rsid w:val="008A48BA"/>
    <w:rsid w:val="008B3831"/>
    <w:rsid w:val="008B3ADD"/>
    <w:rsid w:val="008B41BB"/>
    <w:rsid w:val="008C2C84"/>
    <w:rsid w:val="008C3ACC"/>
    <w:rsid w:val="008C55A4"/>
    <w:rsid w:val="008C777A"/>
    <w:rsid w:val="008D1913"/>
    <w:rsid w:val="008D3402"/>
    <w:rsid w:val="008D4233"/>
    <w:rsid w:val="008D59BD"/>
    <w:rsid w:val="008D6B63"/>
    <w:rsid w:val="008E11BF"/>
    <w:rsid w:val="008E13C9"/>
    <w:rsid w:val="008E530C"/>
    <w:rsid w:val="008F2839"/>
    <w:rsid w:val="00902B0A"/>
    <w:rsid w:val="00902F15"/>
    <w:rsid w:val="00903168"/>
    <w:rsid w:val="0090335B"/>
    <w:rsid w:val="00903FDD"/>
    <w:rsid w:val="00905FE6"/>
    <w:rsid w:val="00911B04"/>
    <w:rsid w:val="00911B85"/>
    <w:rsid w:val="009156D9"/>
    <w:rsid w:val="00916A75"/>
    <w:rsid w:val="00917226"/>
    <w:rsid w:val="00917C30"/>
    <w:rsid w:val="00924B2C"/>
    <w:rsid w:val="00927637"/>
    <w:rsid w:val="00931244"/>
    <w:rsid w:val="0093252E"/>
    <w:rsid w:val="0093361F"/>
    <w:rsid w:val="00935079"/>
    <w:rsid w:val="0094295E"/>
    <w:rsid w:val="009429A3"/>
    <w:rsid w:val="00947D59"/>
    <w:rsid w:val="0095183C"/>
    <w:rsid w:val="00951DEF"/>
    <w:rsid w:val="009602EE"/>
    <w:rsid w:val="00961F1A"/>
    <w:rsid w:val="00963891"/>
    <w:rsid w:val="0097228B"/>
    <w:rsid w:val="009730A0"/>
    <w:rsid w:val="009759B0"/>
    <w:rsid w:val="00976776"/>
    <w:rsid w:val="00977210"/>
    <w:rsid w:val="009817F0"/>
    <w:rsid w:val="0098401D"/>
    <w:rsid w:val="0098575A"/>
    <w:rsid w:val="009863F5"/>
    <w:rsid w:val="0098693C"/>
    <w:rsid w:val="00993921"/>
    <w:rsid w:val="00995055"/>
    <w:rsid w:val="00995627"/>
    <w:rsid w:val="0099673A"/>
    <w:rsid w:val="009970E4"/>
    <w:rsid w:val="00997127"/>
    <w:rsid w:val="009A36F9"/>
    <w:rsid w:val="009A39BD"/>
    <w:rsid w:val="009A684F"/>
    <w:rsid w:val="009B302D"/>
    <w:rsid w:val="009B342C"/>
    <w:rsid w:val="009B46D6"/>
    <w:rsid w:val="009B65B4"/>
    <w:rsid w:val="009B79B0"/>
    <w:rsid w:val="009B7D2C"/>
    <w:rsid w:val="009C0F8E"/>
    <w:rsid w:val="009C21ED"/>
    <w:rsid w:val="009D1487"/>
    <w:rsid w:val="009D4991"/>
    <w:rsid w:val="009D6C75"/>
    <w:rsid w:val="009E060C"/>
    <w:rsid w:val="009E11A7"/>
    <w:rsid w:val="009E16EA"/>
    <w:rsid w:val="009E39F3"/>
    <w:rsid w:val="009F0305"/>
    <w:rsid w:val="009F14D4"/>
    <w:rsid w:val="009F1BDD"/>
    <w:rsid w:val="009F58D1"/>
    <w:rsid w:val="009F6722"/>
    <w:rsid w:val="00A016F3"/>
    <w:rsid w:val="00A0244E"/>
    <w:rsid w:val="00A04DF5"/>
    <w:rsid w:val="00A06DD1"/>
    <w:rsid w:val="00A11D24"/>
    <w:rsid w:val="00A122C8"/>
    <w:rsid w:val="00A12CA2"/>
    <w:rsid w:val="00A151FE"/>
    <w:rsid w:val="00A1740B"/>
    <w:rsid w:val="00A22A2B"/>
    <w:rsid w:val="00A241E3"/>
    <w:rsid w:val="00A260AE"/>
    <w:rsid w:val="00A26C9C"/>
    <w:rsid w:val="00A32D23"/>
    <w:rsid w:val="00A33C57"/>
    <w:rsid w:val="00A40F14"/>
    <w:rsid w:val="00A41EE1"/>
    <w:rsid w:val="00A4337D"/>
    <w:rsid w:val="00A45543"/>
    <w:rsid w:val="00A46CB8"/>
    <w:rsid w:val="00A46E3E"/>
    <w:rsid w:val="00A53133"/>
    <w:rsid w:val="00A54B60"/>
    <w:rsid w:val="00A54CFC"/>
    <w:rsid w:val="00A57A52"/>
    <w:rsid w:val="00A65D7C"/>
    <w:rsid w:val="00A67270"/>
    <w:rsid w:val="00A705BC"/>
    <w:rsid w:val="00A708E4"/>
    <w:rsid w:val="00A725ED"/>
    <w:rsid w:val="00A729F1"/>
    <w:rsid w:val="00A77E86"/>
    <w:rsid w:val="00A8220B"/>
    <w:rsid w:val="00A82AA7"/>
    <w:rsid w:val="00A83227"/>
    <w:rsid w:val="00A8499D"/>
    <w:rsid w:val="00A864F3"/>
    <w:rsid w:val="00A92AC4"/>
    <w:rsid w:val="00A95739"/>
    <w:rsid w:val="00A957EF"/>
    <w:rsid w:val="00A95BAF"/>
    <w:rsid w:val="00AA6332"/>
    <w:rsid w:val="00AA736C"/>
    <w:rsid w:val="00AB0EFF"/>
    <w:rsid w:val="00AB211D"/>
    <w:rsid w:val="00AB3FEC"/>
    <w:rsid w:val="00AB49A7"/>
    <w:rsid w:val="00AB4BC8"/>
    <w:rsid w:val="00AB50A9"/>
    <w:rsid w:val="00AB6E2A"/>
    <w:rsid w:val="00AC08F7"/>
    <w:rsid w:val="00AD306F"/>
    <w:rsid w:val="00AD3118"/>
    <w:rsid w:val="00AD316E"/>
    <w:rsid w:val="00AD3E3D"/>
    <w:rsid w:val="00AD51DC"/>
    <w:rsid w:val="00AD61BC"/>
    <w:rsid w:val="00AD623A"/>
    <w:rsid w:val="00AD6B15"/>
    <w:rsid w:val="00AD7F7B"/>
    <w:rsid w:val="00AE1080"/>
    <w:rsid w:val="00AE1A33"/>
    <w:rsid w:val="00AE1B0D"/>
    <w:rsid w:val="00AE1D67"/>
    <w:rsid w:val="00AE3166"/>
    <w:rsid w:val="00AE4CF9"/>
    <w:rsid w:val="00AE5455"/>
    <w:rsid w:val="00AE7C47"/>
    <w:rsid w:val="00AF0670"/>
    <w:rsid w:val="00AF0AAB"/>
    <w:rsid w:val="00AF30C9"/>
    <w:rsid w:val="00AF324F"/>
    <w:rsid w:val="00AF4E90"/>
    <w:rsid w:val="00AF5B83"/>
    <w:rsid w:val="00AF6AE1"/>
    <w:rsid w:val="00B00F2A"/>
    <w:rsid w:val="00B01E12"/>
    <w:rsid w:val="00B05853"/>
    <w:rsid w:val="00B13D2D"/>
    <w:rsid w:val="00B21C65"/>
    <w:rsid w:val="00B23FCC"/>
    <w:rsid w:val="00B2536A"/>
    <w:rsid w:val="00B2549F"/>
    <w:rsid w:val="00B25568"/>
    <w:rsid w:val="00B257CE"/>
    <w:rsid w:val="00B26571"/>
    <w:rsid w:val="00B26755"/>
    <w:rsid w:val="00B303D0"/>
    <w:rsid w:val="00B466D9"/>
    <w:rsid w:val="00B46AF6"/>
    <w:rsid w:val="00B47472"/>
    <w:rsid w:val="00B5369D"/>
    <w:rsid w:val="00B5579E"/>
    <w:rsid w:val="00B55C54"/>
    <w:rsid w:val="00B600C3"/>
    <w:rsid w:val="00B619AC"/>
    <w:rsid w:val="00B61C34"/>
    <w:rsid w:val="00B637CB"/>
    <w:rsid w:val="00B65765"/>
    <w:rsid w:val="00B66249"/>
    <w:rsid w:val="00B73EFC"/>
    <w:rsid w:val="00B778C1"/>
    <w:rsid w:val="00B804D0"/>
    <w:rsid w:val="00B80555"/>
    <w:rsid w:val="00B85000"/>
    <w:rsid w:val="00B87776"/>
    <w:rsid w:val="00B911CE"/>
    <w:rsid w:val="00B92882"/>
    <w:rsid w:val="00B92CB1"/>
    <w:rsid w:val="00B93B3E"/>
    <w:rsid w:val="00B955BF"/>
    <w:rsid w:val="00BA507F"/>
    <w:rsid w:val="00BA52FF"/>
    <w:rsid w:val="00BA7DF0"/>
    <w:rsid w:val="00BB0756"/>
    <w:rsid w:val="00BB2831"/>
    <w:rsid w:val="00BB4BA3"/>
    <w:rsid w:val="00BB6C37"/>
    <w:rsid w:val="00BC216E"/>
    <w:rsid w:val="00BC482C"/>
    <w:rsid w:val="00BD3D15"/>
    <w:rsid w:val="00BD42F6"/>
    <w:rsid w:val="00BD5279"/>
    <w:rsid w:val="00BD6130"/>
    <w:rsid w:val="00BE04DF"/>
    <w:rsid w:val="00BE3153"/>
    <w:rsid w:val="00BE5F6D"/>
    <w:rsid w:val="00BE6312"/>
    <w:rsid w:val="00BE7BB0"/>
    <w:rsid w:val="00BF1ABA"/>
    <w:rsid w:val="00BF2A25"/>
    <w:rsid w:val="00BF31B2"/>
    <w:rsid w:val="00BF614A"/>
    <w:rsid w:val="00BF6A47"/>
    <w:rsid w:val="00C0215B"/>
    <w:rsid w:val="00C022CD"/>
    <w:rsid w:val="00C115F1"/>
    <w:rsid w:val="00C2140D"/>
    <w:rsid w:val="00C222A6"/>
    <w:rsid w:val="00C2368C"/>
    <w:rsid w:val="00C24F6B"/>
    <w:rsid w:val="00C2754A"/>
    <w:rsid w:val="00C27A2D"/>
    <w:rsid w:val="00C27B67"/>
    <w:rsid w:val="00C3582C"/>
    <w:rsid w:val="00C35CB5"/>
    <w:rsid w:val="00C4077E"/>
    <w:rsid w:val="00C42B3E"/>
    <w:rsid w:val="00C44265"/>
    <w:rsid w:val="00C4456E"/>
    <w:rsid w:val="00C4736C"/>
    <w:rsid w:val="00C47C2A"/>
    <w:rsid w:val="00C51F30"/>
    <w:rsid w:val="00C53EC7"/>
    <w:rsid w:val="00C54FB3"/>
    <w:rsid w:val="00C55BE0"/>
    <w:rsid w:val="00C55DD7"/>
    <w:rsid w:val="00C57C0E"/>
    <w:rsid w:val="00C66EAA"/>
    <w:rsid w:val="00C75A62"/>
    <w:rsid w:val="00C76B96"/>
    <w:rsid w:val="00C77062"/>
    <w:rsid w:val="00C82A3B"/>
    <w:rsid w:val="00C844B2"/>
    <w:rsid w:val="00C86DB8"/>
    <w:rsid w:val="00C87A85"/>
    <w:rsid w:val="00C94068"/>
    <w:rsid w:val="00C964B5"/>
    <w:rsid w:val="00CA309A"/>
    <w:rsid w:val="00CB18FC"/>
    <w:rsid w:val="00CB46D4"/>
    <w:rsid w:val="00CC332A"/>
    <w:rsid w:val="00CC4243"/>
    <w:rsid w:val="00CC605C"/>
    <w:rsid w:val="00CC72F8"/>
    <w:rsid w:val="00CC79D4"/>
    <w:rsid w:val="00CD0126"/>
    <w:rsid w:val="00CD0671"/>
    <w:rsid w:val="00CD1658"/>
    <w:rsid w:val="00CD2E0B"/>
    <w:rsid w:val="00CD445D"/>
    <w:rsid w:val="00CD7352"/>
    <w:rsid w:val="00CD7AA7"/>
    <w:rsid w:val="00CE270C"/>
    <w:rsid w:val="00CE525D"/>
    <w:rsid w:val="00CE60D2"/>
    <w:rsid w:val="00CF054D"/>
    <w:rsid w:val="00CF0C25"/>
    <w:rsid w:val="00CF5174"/>
    <w:rsid w:val="00CF5534"/>
    <w:rsid w:val="00CF7389"/>
    <w:rsid w:val="00CF7D64"/>
    <w:rsid w:val="00D00996"/>
    <w:rsid w:val="00D01B06"/>
    <w:rsid w:val="00D03792"/>
    <w:rsid w:val="00D0406C"/>
    <w:rsid w:val="00D1440A"/>
    <w:rsid w:val="00D20CB3"/>
    <w:rsid w:val="00D217D8"/>
    <w:rsid w:val="00D2263E"/>
    <w:rsid w:val="00D24DB6"/>
    <w:rsid w:val="00D25077"/>
    <w:rsid w:val="00D263B3"/>
    <w:rsid w:val="00D3255F"/>
    <w:rsid w:val="00D32788"/>
    <w:rsid w:val="00D33951"/>
    <w:rsid w:val="00D36D3D"/>
    <w:rsid w:val="00D37BB0"/>
    <w:rsid w:val="00D403F1"/>
    <w:rsid w:val="00D41896"/>
    <w:rsid w:val="00D42B68"/>
    <w:rsid w:val="00D43AB9"/>
    <w:rsid w:val="00D43C15"/>
    <w:rsid w:val="00D43F93"/>
    <w:rsid w:val="00D450E9"/>
    <w:rsid w:val="00D460F4"/>
    <w:rsid w:val="00D47DEF"/>
    <w:rsid w:val="00D5101F"/>
    <w:rsid w:val="00D57BB6"/>
    <w:rsid w:val="00D57F0B"/>
    <w:rsid w:val="00D616EE"/>
    <w:rsid w:val="00D622C6"/>
    <w:rsid w:val="00D63B39"/>
    <w:rsid w:val="00D710C8"/>
    <w:rsid w:val="00D717CE"/>
    <w:rsid w:val="00D72390"/>
    <w:rsid w:val="00D7397E"/>
    <w:rsid w:val="00D739B4"/>
    <w:rsid w:val="00D754E8"/>
    <w:rsid w:val="00D756B7"/>
    <w:rsid w:val="00D8039B"/>
    <w:rsid w:val="00D8155E"/>
    <w:rsid w:val="00D819A8"/>
    <w:rsid w:val="00D827FA"/>
    <w:rsid w:val="00D84A5D"/>
    <w:rsid w:val="00D863BB"/>
    <w:rsid w:val="00DA1DF5"/>
    <w:rsid w:val="00DA2219"/>
    <w:rsid w:val="00DA378B"/>
    <w:rsid w:val="00DA50E2"/>
    <w:rsid w:val="00DA7674"/>
    <w:rsid w:val="00DA78F1"/>
    <w:rsid w:val="00DB2468"/>
    <w:rsid w:val="00DB2600"/>
    <w:rsid w:val="00DB2DD6"/>
    <w:rsid w:val="00DB35CB"/>
    <w:rsid w:val="00DB4688"/>
    <w:rsid w:val="00DB6C75"/>
    <w:rsid w:val="00DB70EE"/>
    <w:rsid w:val="00DB758B"/>
    <w:rsid w:val="00DC056C"/>
    <w:rsid w:val="00DC158C"/>
    <w:rsid w:val="00DC2EA7"/>
    <w:rsid w:val="00DC3262"/>
    <w:rsid w:val="00DC44A3"/>
    <w:rsid w:val="00DC4EF4"/>
    <w:rsid w:val="00DC537A"/>
    <w:rsid w:val="00DD280C"/>
    <w:rsid w:val="00DD36A8"/>
    <w:rsid w:val="00DD40DC"/>
    <w:rsid w:val="00DD7ADF"/>
    <w:rsid w:val="00DE024C"/>
    <w:rsid w:val="00DF38E2"/>
    <w:rsid w:val="00DF47D1"/>
    <w:rsid w:val="00E107F2"/>
    <w:rsid w:val="00E10D1A"/>
    <w:rsid w:val="00E113F5"/>
    <w:rsid w:val="00E157C1"/>
    <w:rsid w:val="00E1774A"/>
    <w:rsid w:val="00E241BB"/>
    <w:rsid w:val="00E25064"/>
    <w:rsid w:val="00E253D8"/>
    <w:rsid w:val="00E27807"/>
    <w:rsid w:val="00E31DB1"/>
    <w:rsid w:val="00E33348"/>
    <w:rsid w:val="00E34694"/>
    <w:rsid w:val="00E35929"/>
    <w:rsid w:val="00E41800"/>
    <w:rsid w:val="00E438AA"/>
    <w:rsid w:val="00E44800"/>
    <w:rsid w:val="00E50851"/>
    <w:rsid w:val="00E5112D"/>
    <w:rsid w:val="00E518F9"/>
    <w:rsid w:val="00E524E8"/>
    <w:rsid w:val="00E53CC5"/>
    <w:rsid w:val="00E612A5"/>
    <w:rsid w:val="00E638BC"/>
    <w:rsid w:val="00E70BB7"/>
    <w:rsid w:val="00E73C1B"/>
    <w:rsid w:val="00E73E0F"/>
    <w:rsid w:val="00E7432F"/>
    <w:rsid w:val="00E7517D"/>
    <w:rsid w:val="00E77845"/>
    <w:rsid w:val="00E84ED6"/>
    <w:rsid w:val="00E8514E"/>
    <w:rsid w:val="00E87F0F"/>
    <w:rsid w:val="00E9096D"/>
    <w:rsid w:val="00E91D3F"/>
    <w:rsid w:val="00E925A8"/>
    <w:rsid w:val="00E92D7E"/>
    <w:rsid w:val="00E95EFE"/>
    <w:rsid w:val="00E964A3"/>
    <w:rsid w:val="00EA31FA"/>
    <w:rsid w:val="00EA3B49"/>
    <w:rsid w:val="00EA40DC"/>
    <w:rsid w:val="00EA41AF"/>
    <w:rsid w:val="00EA56B6"/>
    <w:rsid w:val="00EA5BEF"/>
    <w:rsid w:val="00EA6FEB"/>
    <w:rsid w:val="00EB1B5E"/>
    <w:rsid w:val="00EB4699"/>
    <w:rsid w:val="00EB638E"/>
    <w:rsid w:val="00EB7F4F"/>
    <w:rsid w:val="00EC00E1"/>
    <w:rsid w:val="00EC15C6"/>
    <w:rsid w:val="00EC3459"/>
    <w:rsid w:val="00EC3952"/>
    <w:rsid w:val="00EC6C82"/>
    <w:rsid w:val="00EC7FE3"/>
    <w:rsid w:val="00ED24C5"/>
    <w:rsid w:val="00EE2305"/>
    <w:rsid w:val="00EE494B"/>
    <w:rsid w:val="00EE564A"/>
    <w:rsid w:val="00EE74BD"/>
    <w:rsid w:val="00EF015D"/>
    <w:rsid w:val="00EF6622"/>
    <w:rsid w:val="00F01638"/>
    <w:rsid w:val="00F059CE"/>
    <w:rsid w:val="00F073EE"/>
    <w:rsid w:val="00F07A03"/>
    <w:rsid w:val="00F11EFC"/>
    <w:rsid w:val="00F124CC"/>
    <w:rsid w:val="00F1350A"/>
    <w:rsid w:val="00F13D69"/>
    <w:rsid w:val="00F13E13"/>
    <w:rsid w:val="00F1568E"/>
    <w:rsid w:val="00F15DAF"/>
    <w:rsid w:val="00F16CDE"/>
    <w:rsid w:val="00F20B67"/>
    <w:rsid w:val="00F228A4"/>
    <w:rsid w:val="00F269C9"/>
    <w:rsid w:val="00F3505C"/>
    <w:rsid w:val="00F35275"/>
    <w:rsid w:val="00F42C7E"/>
    <w:rsid w:val="00F44E80"/>
    <w:rsid w:val="00F46AC0"/>
    <w:rsid w:val="00F47F48"/>
    <w:rsid w:val="00F47FCF"/>
    <w:rsid w:val="00F508FA"/>
    <w:rsid w:val="00F51C9F"/>
    <w:rsid w:val="00F529B7"/>
    <w:rsid w:val="00F53DF1"/>
    <w:rsid w:val="00F57D12"/>
    <w:rsid w:val="00F610B3"/>
    <w:rsid w:val="00F61FE5"/>
    <w:rsid w:val="00F62F78"/>
    <w:rsid w:val="00F659D3"/>
    <w:rsid w:val="00F74A0C"/>
    <w:rsid w:val="00F76107"/>
    <w:rsid w:val="00F77665"/>
    <w:rsid w:val="00F80250"/>
    <w:rsid w:val="00F8260B"/>
    <w:rsid w:val="00F85802"/>
    <w:rsid w:val="00F85D49"/>
    <w:rsid w:val="00F85DCF"/>
    <w:rsid w:val="00F91F06"/>
    <w:rsid w:val="00F927A9"/>
    <w:rsid w:val="00F940E3"/>
    <w:rsid w:val="00F94C04"/>
    <w:rsid w:val="00F971DF"/>
    <w:rsid w:val="00FA00BC"/>
    <w:rsid w:val="00FA205E"/>
    <w:rsid w:val="00FA78E5"/>
    <w:rsid w:val="00FA791B"/>
    <w:rsid w:val="00FA7EBC"/>
    <w:rsid w:val="00FB1034"/>
    <w:rsid w:val="00FB4673"/>
    <w:rsid w:val="00FB5322"/>
    <w:rsid w:val="00FB7AF0"/>
    <w:rsid w:val="00FC0237"/>
    <w:rsid w:val="00FC244B"/>
    <w:rsid w:val="00FD3690"/>
    <w:rsid w:val="00FD4099"/>
    <w:rsid w:val="00FD4DE3"/>
    <w:rsid w:val="00FD64A7"/>
    <w:rsid w:val="00FE1B74"/>
    <w:rsid w:val="00FF004B"/>
    <w:rsid w:val="00FF14FA"/>
    <w:rsid w:val="00FF2221"/>
    <w:rsid w:val="00FF3041"/>
    <w:rsid w:val="00FF32BD"/>
    <w:rsid w:val="00FF3FA0"/>
    <w:rsid w:val="00FF4632"/>
    <w:rsid w:val="00FF4B34"/>
    <w:rsid w:val="00FF7E09"/>
    <w:rsid w:val="60B6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7307F"/>
  <w15:chartTrackingRefBased/>
  <w15:docId w15:val="{FF6F4AF7-E07C-4696-B68A-FFDE307B2EA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
    <w:name w:val="standard"/>
    <w:basedOn w:val="Normal"/>
    <w:link w:val="standardChar"/>
    <w:pPr>
      <w:spacing w:line="360" w:lineRule="auto"/>
      <w:ind w:firstLine="720"/>
    </w:pPr>
  </w:style>
  <w:style w:type="paragraph" w:styleId="Title">
    <w:name w:val="Title"/>
    <w:basedOn w:val="Normal"/>
    <w:qFormat/>
    <w:pPr>
      <w:jc w:val="center"/>
    </w:pPr>
    <w:rPr>
      <w:rFonts w:ascii="Helvetica" w:hAnsi="Helvetica"/>
      <w:b/>
    </w:rPr>
  </w:style>
  <w:style w:type="paragraph" w:styleId="BlockText">
    <w:name w:val="Block Text"/>
    <w:basedOn w:val="Normal"/>
    <w:pPr>
      <w:ind w:left="720" w:right="720"/>
    </w:pPr>
  </w:style>
  <w:style w:type="character" w:customStyle="1" w:styleId="standardChar">
    <w:name w:val="standard Char"/>
    <w:link w:val="standard"/>
    <w:rPr>
      <w:rFonts w:ascii="Palatino" w:hAnsi="Palatino"/>
      <w:sz w:val="24"/>
      <w:lang w:val="en-US" w:eastAsia="en-US" w:bidi="ar-SA"/>
    </w:rPr>
  </w:style>
  <w:style w:type="paragraph" w:styleId="Revision">
    <w:name w:val="Revision"/>
    <w:hidden/>
    <w:uiPriority w:val="99"/>
    <w:semiHidden/>
    <w:rsid w:val="008C3ACC"/>
    <w:rPr>
      <w:rFonts w:ascii="Palatino" w:hAnsi="Palatino"/>
      <w:sz w:val="24"/>
    </w:rPr>
  </w:style>
  <w:style w:type="character" w:styleId="Hyperlink">
    <w:name w:val="Hyperlink"/>
    <w:rsid w:val="008D1913"/>
    <w:rPr>
      <w:color w:val="467886"/>
      <w:u w:val="single"/>
    </w:rPr>
  </w:style>
  <w:style w:type="character" w:styleId="UnresolvedMention">
    <w:name w:val="Unresolved Mention"/>
    <w:uiPriority w:val="99"/>
    <w:semiHidden/>
    <w:unhideWhenUsed/>
    <w:rsid w:val="008D1913"/>
    <w:rPr>
      <w:color w:val="605E5C"/>
      <w:shd w:val="clear" w:color="auto" w:fill="E1DFDD"/>
    </w:rPr>
  </w:style>
  <w:style w:type="character" w:customStyle="1" w:styleId="FootnoteTextChar">
    <w:name w:val="Footnote Text Char"/>
    <w:link w:val="FootnoteText"/>
    <w:rsid w:val="003C20DB"/>
    <w:rPr>
      <w:rFonts w:ascii="Palatino" w:hAnsi="Palatino"/>
      <w:sz w:val="24"/>
    </w:rPr>
  </w:style>
  <w:style w:type="character" w:styleId="CommentReference">
    <w:name w:val="annotation reference"/>
    <w:rsid w:val="005C74C7"/>
    <w:rPr>
      <w:sz w:val="16"/>
      <w:szCs w:val="16"/>
    </w:rPr>
  </w:style>
  <w:style w:type="paragraph" w:styleId="CommentText">
    <w:name w:val="annotation text"/>
    <w:basedOn w:val="Normal"/>
    <w:link w:val="CommentTextChar"/>
    <w:rsid w:val="005C74C7"/>
    <w:rPr>
      <w:sz w:val="20"/>
    </w:rPr>
  </w:style>
  <w:style w:type="character" w:customStyle="1" w:styleId="CommentTextChar">
    <w:name w:val="Comment Text Char"/>
    <w:link w:val="CommentText"/>
    <w:rsid w:val="005C74C7"/>
    <w:rPr>
      <w:rFonts w:ascii="Palatino" w:hAnsi="Palatino"/>
    </w:rPr>
  </w:style>
  <w:style w:type="paragraph" w:styleId="CommentSubject">
    <w:name w:val="annotation subject"/>
    <w:basedOn w:val="CommentText"/>
    <w:next w:val="CommentText"/>
    <w:link w:val="CommentSubjectChar"/>
    <w:rsid w:val="005C74C7"/>
    <w:rPr>
      <w:b/>
      <w:bCs/>
    </w:rPr>
  </w:style>
  <w:style w:type="character" w:customStyle="1" w:styleId="CommentSubjectChar">
    <w:name w:val="Comment Subject Char"/>
    <w:link w:val="CommentSubject"/>
    <w:rsid w:val="005C74C7"/>
    <w:rPr>
      <w:rFonts w:ascii="Palatino" w:hAnsi="Palatino"/>
      <w:b/>
      <w:bCs/>
    </w:rPr>
  </w:style>
  <w:style w:type="paragraph" w:styleId="ListParagraph">
    <w:name w:val="List Paragraph"/>
    <w:basedOn w:val="Normal"/>
    <w:uiPriority w:val="34"/>
    <w:qFormat/>
    <w:rsid w:val="00891149"/>
    <w:pPr>
      <w:ind w:left="720"/>
    </w:pPr>
  </w:style>
  <w:style w:type="character" w:customStyle="1" w:styleId="FooterChar">
    <w:name w:val="Footer Char"/>
    <w:basedOn w:val="DefaultParagraphFont"/>
    <w:link w:val="Footer"/>
    <w:uiPriority w:val="99"/>
    <w:rsid w:val="00EA6FEB"/>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453157">
      <w:bodyDiv w:val="1"/>
      <w:marLeft w:val="0"/>
      <w:marRight w:val="0"/>
      <w:marTop w:val="0"/>
      <w:marBottom w:val="0"/>
      <w:divBdr>
        <w:top w:val="none" w:sz="0" w:space="0" w:color="auto"/>
        <w:left w:val="none" w:sz="0" w:space="0" w:color="auto"/>
        <w:bottom w:val="none" w:sz="0" w:space="0" w:color="auto"/>
        <w:right w:val="none" w:sz="0" w:space="0" w:color="auto"/>
      </w:divBdr>
      <w:divsChild>
        <w:div w:id="1219586754">
          <w:marLeft w:val="0"/>
          <w:marRight w:val="0"/>
          <w:marTop w:val="0"/>
          <w:marBottom w:val="0"/>
          <w:divBdr>
            <w:top w:val="none" w:sz="0" w:space="0" w:color="auto"/>
            <w:left w:val="none" w:sz="0" w:space="0" w:color="auto"/>
            <w:bottom w:val="none" w:sz="0" w:space="0" w:color="auto"/>
            <w:right w:val="none" w:sz="0" w:space="0" w:color="auto"/>
          </w:divBdr>
        </w:div>
      </w:divsChild>
    </w:div>
    <w:div w:id="895166877">
      <w:bodyDiv w:val="1"/>
      <w:marLeft w:val="0"/>
      <w:marRight w:val="0"/>
      <w:marTop w:val="0"/>
      <w:marBottom w:val="0"/>
      <w:divBdr>
        <w:top w:val="none" w:sz="0" w:space="0" w:color="auto"/>
        <w:left w:val="none" w:sz="0" w:space="0" w:color="auto"/>
        <w:bottom w:val="none" w:sz="0" w:space="0" w:color="auto"/>
        <w:right w:val="none" w:sz="0" w:space="0" w:color="auto"/>
      </w:divBdr>
    </w:div>
    <w:div w:id="185141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puc.ca.gov/-/media/cpuc-website/divisions/safety-and-enforcement-division/documents/m-4846.pdf" TargetMode="External"/><Relationship Id="rId2" Type="http://schemas.openxmlformats.org/officeDocument/2006/relationships/hyperlink" Target="https://docs.cpuc.ca.gov/published/RULES_PRAC_PROC/105138-11.htm" TargetMode="External"/><Relationship Id="rId1" Type="http://schemas.openxmlformats.org/officeDocument/2006/relationships/hyperlink" Target="https://www.cpuc.ca.gov/about-cpuc/divisions/consumer-protection-and-enforcement-division" TargetMode="External"/><Relationship Id="rId5" Type="http://schemas.openxmlformats.org/officeDocument/2006/relationships/hyperlink" Target="https://www.cpuc.ca.gov/-/media/cpuc-website/divisions/safety-and-enforcement-division/documents/m-4846.pdf" TargetMode="External"/><Relationship Id="rId4" Type="http://schemas.openxmlformats.org/officeDocument/2006/relationships/hyperlink" Target="https://www.cpuc.ca.gov/-/media/cpuc-website/divisions/safety-and-enforcement-division/documents/m-484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ntentTagLIst xmlns="ef7e321c-44a6-4cb5-81f0-0bfd95ece253"/>
    <lcf76f155ced4ddcb4097134ff3c332f xmlns="ef7e321c-44a6-4cb5-81f0-0bfd95ece253">
      <Terms xmlns="http://schemas.microsoft.com/office/infopath/2007/PartnerControls"/>
    </lcf76f155ced4ddcb4097134ff3c332f>
    <TaxCatchAll xmlns="40c2bee6-72d2-4c4b-bbf2-19a975248824"/>
  </documentManagement>
</p:properties>
</file>

<file path=customXml/itemProps1.xml><?xml version="1.0" encoding="utf-8"?>
<ds:datastoreItem xmlns:ds="http://schemas.openxmlformats.org/officeDocument/2006/customXml" ds:itemID="{220B6AF8-0DC2-43AA-BD51-98198DCD1642}">
  <ds:schemaRefs>
    <ds:schemaRef ds:uri="http://schemas.microsoft.com/sharepoint/v3/contenttype/forms"/>
  </ds:schemaRefs>
</ds:datastoreItem>
</file>

<file path=customXml/itemProps2.xml><?xml version="1.0" encoding="utf-8"?>
<ds:datastoreItem xmlns:ds="http://schemas.openxmlformats.org/officeDocument/2006/customXml" ds:itemID="{5A1FDE21-BD5E-4C64-9B14-0118B0A97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AD8CD5-9713-42C4-91B0-3AE297066B37}">
  <ds:schemaRefs>
    <ds:schemaRef ds:uri="http://schemas.openxmlformats.org/officeDocument/2006/bibliography"/>
  </ds:schemaRefs>
</ds:datastoreItem>
</file>

<file path=customXml/itemProps4.xml><?xml version="1.0" encoding="utf-8"?>
<ds:datastoreItem xmlns:ds="http://schemas.openxmlformats.org/officeDocument/2006/customXml" ds:itemID="{63C18806-2493-4BD0-9F3A-3A429364438F}">
  <ds:schemaRefs>
    <ds:schemaRef ds:uri="http://schemas.microsoft.com/office/2006/metadata/properties"/>
    <ds:schemaRef ds:uri="http://schemas.microsoft.com/office/infopath/2007/PartnerControls"/>
    <ds:schemaRef ds:uri="ef7e321c-44a6-4cb5-81f0-0bfd95ece253"/>
    <ds:schemaRef ds:uri="40c2bee6-72d2-4c4b-bbf2-19a975248824"/>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ap:Pages>
  <ap:Words>1869</ap:Words>
  <ap:Characters>10658</ap:Characters>
  <ap:Application>Microsoft Office Word</ap:Application>
  <ap:DocSecurity>0</ap:DocSecurity>
  <ap:Lines>88</ap:Lines>
  <ap:Paragraphs>25</ap:Paragraphs>
  <ap:ScaleCrop>false</ap:ScaleCrop>
  <ap:HeadingPairs>
    <vt:vector baseType="variant" size="2">
      <vt:variant>
        <vt:lpstr>Title</vt:lpstr>
      </vt:variant>
      <vt:variant>
        <vt:i4>1</vt:i4>
      </vt:variant>
    </vt:vector>
  </ap:HeadingPairs>
  <ap:TitlesOfParts>
    <vt:vector baseType="lpstr" size="1">
      <vt:lpstr>_</vt:lpstr>
    </vt:vector>
  </ap:TitlesOfParts>
  <ap:Manager/>
  <ap:Company/>
  <ap:LinksUpToDate>false</ap:LinksUpToDate>
  <ap:CharactersWithSpaces>12502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2026-01-27T17:22:00Z</cp:lastPrinted>
  <dcterms:created xsi:type="dcterms:W3CDTF">2026-02-19T16:49:03Z</dcterms:created>
  <dcterms:modified xsi:type="dcterms:W3CDTF">2026-02-19T16:49:03Z</dcterms:modified>
</cp:coreProperties>
</file>