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7DF8D1A9" w:rsidRDefault="00A76F4A" w14:paraId="41A6C35C" w14:textId="77777777">
      <w:pPr>
        <w:spacing w:after="0" w:line="276" w:lineRule="auto"/>
        <w:jc w:val="center"/>
        <w:rPr>
          <w:rFonts w:ascii="Helvetica" w:hAnsi="Helvetica" w:eastAsia="Times New Roman" w:cs="Times New Roman"/>
          <w:b/>
          <w:bCs/>
          <w:spacing w:val="20"/>
          <w:kern w:val="0"/>
          <w:sz w:val="26"/>
          <w:szCs w:val="26"/>
          <w14:ligatures w14:val="none"/>
        </w:rPr>
      </w:pPr>
      <w:r w:rsidRPr="00802705">
        <w:rPr>
          <w:rFonts w:ascii="Helvetica" w:hAnsi="Helvetica" w:eastAsia="Times New Roman" w:cs="Times New Roman"/>
          <w:b/>
          <w:bCs/>
          <w:spacing w:val="20"/>
          <w:kern w:val="0"/>
          <w:sz w:val="26"/>
          <w:szCs w:val="26"/>
          <w14:ligatures w14:val="none"/>
        </w:rPr>
        <w:t>PUBLIC UTILITIES COMMISSION OF THE STATE OF CALIFORNIA</w:t>
      </w:r>
    </w:p>
    <w:p w:rsidRPr="004409EC" w:rsidR="00A76F4A" w:rsidP="00743ACB" w:rsidRDefault="00B67228" w14:paraId="6D03AC62" w14:textId="04B5C408">
      <w:pPr>
        <w:tabs>
          <w:tab w:val="right" w:pos="8820"/>
        </w:tabs>
        <w:spacing w:after="0" w:line="276"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ab/>
      </w:r>
    </w:p>
    <w:p w:rsidRPr="004409EC" w:rsidR="00A76F4A" w:rsidP="00964C22" w:rsidRDefault="00204B1B" w14:paraId="40F90BF6" w14:textId="77777777">
      <w:pPr>
        <w:tabs>
          <w:tab w:val="right" w:pos="8820"/>
        </w:tabs>
        <w:spacing w:after="0" w:line="276" w:lineRule="auto"/>
        <w:ind w:left="540"/>
        <w:rPr>
          <w:rFonts w:ascii="Palatino Linotype" w:hAnsi="Palatino Linotype" w:eastAsia="Palatino Linotype" w:cs="Times New Roman"/>
          <w:b/>
          <w:bCs/>
          <w:kern w:val="0"/>
          <w14:ligatures w14:val="none"/>
        </w:rPr>
      </w:pPr>
      <w:r w:rsidRPr="004409EC">
        <w:rPr>
          <w:rFonts w:ascii="Palatino Linotype" w:hAnsi="Palatino Linotype" w:eastAsia="Palatino Linotype" w:cs="Times New Roman"/>
          <w:b/>
          <w:bCs/>
          <w:kern w:val="0"/>
          <w14:ligatures w14:val="none"/>
        </w:rPr>
        <w:t>ENERGY DIVISION</w:t>
      </w:r>
      <w:r w:rsidRPr="004409EC" w:rsidR="00A76F4A">
        <w:rPr>
          <w:rFonts w:ascii="Palatino Linotype" w:hAnsi="Palatino Linotype" w:eastAsia="Times New Roman" w:cs="Times New Roman"/>
          <w:b/>
          <w:kern w:val="0"/>
          <w14:ligatures w14:val="none"/>
        </w:rPr>
        <w:tab/>
      </w:r>
      <w:r w:rsidRPr="004409EC" w:rsidR="00A76F4A">
        <w:rPr>
          <w:rFonts w:ascii="Palatino Linotype" w:hAnsi="Palatino Linotype" w:eastAsia="Palatino Linotype" w:cs="Times New Roman"/>
          <w:b/>
          <w:bCs/>
          <w:kern w:val="0"/>
          <w14:ligatures w14:val="none"/>
        </w:rPr>
        <w:t xml:space="preserve">       </w:t>
      </w:r>
      <w:r w:rsidRPr="004409EC" w:rsidR="00A76F4A">
        <w:rPr>
          <w:rFonts w:ascii="Palatino Linotype" w:hAnsi="Palatino Linotype" w:eastAsia="Palatino Linotype" w:cs="Times New Roman"/>
          <w:b/>
          <w:bCs/>
        </w:rPr>
        <w:t xml:space="preserve">RESOLUTION </w:t>
      </w:r>
      <w:r w:rsidRPr="004409EC" w:rsidR="240D893C">
        <w:rPr>
          <w:rFonts w:ascii="Palatino Linotype" w:hAnsi="Palatino Linotype" w:eastAsia="Palatino Linotype" w:cs="Times New Roman"/>
          <w:b/>
          <w:bCs/>
        </w:rPr>
        <w:t>E-5434</w:t>
      </w:r>
    </w:p>
    <w:p w:rsidRPr="001942D0" w:rsidR="00A76F4A" w:rsidP="00964C22" w:rsidRDefault="00964C22" w14:paraId="2D4CA69F" w14:textId="77777777">
      <w:pPr>
        <w:tabs>
          <w:tab w:val="right" w:pos="8820"/>
        </w:tabs>
        <w:spacing w:after="0" w:line="276"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ab/>
        <w:t>February 26, 2026</w:t>
      </w:r>
    </w:p>
    <w:p w:rsidRPr="00743ACB" w:rsidR="00A76F4A" w:rsidP="00743ACB" w:rsidRDefault="00A76F4A" w14:paraId="6AE9B43A" w14:textId="31303DC9">
      <w:pPr>
        <w:tabs>
          <w:tab w:val="right" w:pos="8910"/>
        </w:tabs>
        <w:spacing w:after="0" w:line="276" w:lineRule="auto"/>
        <w:ind w:left="1440" w:firstLine="720"/>
        <w:rPr>
          <w:rFonts w:ascii="Palatino Linotype" w:hAnsi="Palatino Linotype" w:eastAsia="Times New Roman" w:cs="Times New Roman"/>
          <w:b/>
          <w:kern w:val="0"/>
          <w:sz w:val="10"/>
          <w:szCs w:val="10"/>
          <w14:ligatures w14:val="none"/>
        </w:rPr>
      </w:pPr>
      <w:r w:rsidRPr="001942D0">
        <w:rPr>
          <w:rFonts w:ascii="Palatino Linotype" w:hAnsi="Palatino Linotype" w:eastAsia="Times New Roman" w:cs="Times New Roman"/>
          <w:b/>
          <w:kern w:val="0"/>
          <w14:ligatures w14:val="none"/>
        </w:rPr>
        <w:tab/>
      </w:r>
    </w:p>
    <w:p w:rsidRPr="001942D0" w:rsidR="00743ACB" w:rsidP="00743ACB" w:rsidRDefault="00743ACB" w14:paraId="17E4D938" w14:textId="77777777">
      <w:pPr>
        <w:tabs>
          <w:tab w:val="right" w:pos="8910"/>
        </w:tabs>
        <w:spacing w:after="0" w:line="276" w:lineRule="auto"/>
        <w:ind w:left="1440" w:firstLine="720"/>
        <w:rPr>
          <w:rFonts w:ascii="Palatino" w:hAnsi="Palatino" w:eastAsia="Times New Roman" w:cs="Times New Roman"/>
          <w:b/>
          <w:bCs/>
          <w:kern w:val="0"/>
          <w14:ligatures w14:val="none"/>
        </w:rPr>
      </w:pPr>
    </w:p>
    <w:p w:rsidRPr="001942D0" w:rsidR="00A76F4A" w:rsidP="7DF8D1A9" w:rsidRDefault="00A76F4A" w14:paraId="22B40889" w14:textId="77777777">
      <w:pPr>
        <w:keepNext/>
        <w:spacing w:after="0" w:line="276" w:lineRule="auto"/>
        <w:jc w:val="center"/>
        <w:rPr>
          <w:rFonts w:ascii="Helvetica" w:hAnsi="Helvetica" w:eastAsia="Times New Roman" w:cs="Times New Roman"/>
          <w:b/>
          <w:bCs/>
          <w:spacing w:val="120"/>
          <w:kern w:val="0"/>
          <w:sz w:val="26"/>
          <w:szCs w:val="26"/>
          <w:u w:val="single"/>
          <w14:ligatures w14:val="none"/>
        </w:rPr>
      </w:pPr>
      <w:bookmarkStart w:name="_Ref404993683" w:id="0"/>
      <w:r w:rsidRPr="7DF8D1A9">
        <w:rPr>
          <w:rFonts w:ascii="Helvetica" w:hAnsi="Helvetica" w:eastAsia="Times New Roman" w:cs="Times New Roman"/>
          <w:b/>
          <w:bCs/>
          <w:spacing w:val="120"/>
          <w:kern w:val="0"/>
          <w:sz w:val="26"/>
          <w:szCs w:val="26"/>
          <w:u w:val="single"/>
          <w14:ligatures w14:val="none"/>
        </w:rPr>
        <w:t>RESOLUTION</w:t>
      </w:r>
    </w:p>
    <w:p w:rsidRPr="001942D0" w:rsidR="00A76F4A" w:rsidP="7DF8D1A9" w:rsidRDefault="00A76F4A" w14:paraId="6FB84629" w14:textId="77777777">
      <w:pPr>
        <w:spacing w:after="0" w:line="276" w:lineRule="auto"/>
        <w:rPr>
          <w:rFonts w:ascii="Palatino" w:hAnsi="Palatino" w:eastAsia="Palatino Linotype" w:cs="Times New Roman"/>
          <w:kern w:val="0"/>
          <w:sz w:val="26"/>
          <w:szCs w:val="26"/>
          <w14:ligatures w14:val="none"/>
        </w:rPr>
      </w:pPr>
    </w:p>
    <w:p w:rsidRPr="001942D0" w:rsidR="00A76F4A" w:rsidP="7DF8D1A9" w:rsidRDefault="498BA600" w14:paraId="0B687D4C" w14:textId="77777777">
      <w:pPr>
        <w:spacing w:after="0" w:line="276"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Pr="78369BE0" w:rsidR="67965930">
        <w:rPr>
          <w:rFonts w:ascii="Palatino Linotype" w:hAnsi="Palatino Linotype" w:eastAsia="Times New Roman" w:cs="Times New Roman"/>
        </w:rPr>
        <w:t>E-5434</w:t>
      </w:r>
      <w:r w:rsidRPr="001942D0" w:rsidR="67965930">
        <w:rPr>
          <w:rFonts w:ascii="Palatino Linotype" w:hAnsi="Palatino Linotype" w:eastAsia="Times New Roman" w:cs="Times New Roman"/>
          <w:kern w:val="0"/>
          <w14:ligatures w14:val="none"/>
        </w:rPr>
        <w:t xml:space="preserve"> </w:t>
      </w:r>
      <w:r w:rsidRPr="00FB1765" w:rsidR="183130B3">
        <w:rPr>
          <w:rFonts w:ascii="Palatino Linotype" w:hAnsi="Palatino Linotype" w:eastAsia="Times New Roman" w:cs="Times New Roman"/>
          <w:kern w:val="0"/>
          <w14:ligatures w14:val="none"/>
        </w:rPr>
        <w:t>Approves</w:t>
      </w:r>
      <w:r w:rsidR="09EC3754">
        <w:rPr>
          <w:rFonts w:ascii="Palatino Linotype" w:hAnsi="Palatino Linotype" w:eastAsia="Times New Roman" w:cs="Times New Roman"/>
          <w:kern w:val="0"/>
          <w14:ligatures w14:val="none"/>
        </w:rPr>
        <w:t>, with modifications,</w:t>
      </w:r>
      <w:r w:rsidRPr="00FB1765" w:rsidR="183130B3">
        <w:rPr>
          <w:rFonts w:ascii="Palatino Linotype" w:hAnsi="Palatino Linotype" w:eastAsia="Times New Roman" w:cs="Times New Roman"/>
          <w:kern w:val="0"/>
          <w14:ligatures w14:val="none"/>
        </w:rPr>
        <w:t xml:space="preserve"> </w:t>
      </w:r>
      <w:r w:rsidR="582CF588">
        <w:rPr>
          <w:rFonts w:ascii="Palatino Linotype" w:hAnsi="Palatino Linotype" w:eastAsia="Times New Roman" w:cs="Times New Roman"/>
          <w:kern w:val="0"/>
          <w14:ligatures w14:val="none"/>
        </w:rPr>
        <w:t>Pacific Gas and Electric Company</w:t>
      </w:r>
      <w:r w:rsidR="6C42EC6F">
        <w:rPr>
          <w:rFonts w:ascii="Palatino Linotype" w:hAnsi="Palatino Linotype" w:eastAsia="Times New Roman" w:cs="Times New Roman"/>
          <w:kern w:val="0"/>
          <w14:ligatures w14:val="none"/>
        </w:rPr>
        <w:t xml:space="preserve"> </w:t>
      </w:r>
      <w:r w:rsidR="582CF588">
        <w:rPr>
          <w:rFonts w:ascii="Palatino Linotype" w:hAnsi="Palatino Linotype" w:eastAsia="Times New Roman" w:cs="Times New Roman"/>
          <w:kern w:val="0"/>
          <w14:ligatures w14:val="none"/>
        </w:rPr>
        <w:t>Advice Letter 7378-E</w:t>
      </w:r>
      <w:r w:rsidRPr="00C45D39" w:rsidR="582CF588">
        <w:rPr>
          <w:rFonts w:ascii="Palatino Linotype" w:hAnsi="Palatino Linotype" w:eastAsia="Times New Roman" w:cs="Times New Roman"/>
          <w:kern w:val="0"/>
          <w14:ligatures w14:val="none"/>
        </w:rPr>
        <w:t xml:space="preserve"> Request </w:t>
      </w:r>
      <w:r w:rsidRPr="00C45D39" w:rsidR="020CD728">
        <w:rPr>
          <w:rFonts w:ascii="Palatino Linotype" w:hAnsi="Palatino Linotype" w:eastAsia="Times New Roman" w:cs="Times New Roman"/>
          <w:kern w:val="0"/>
          <w14:ligatures w14:val="none"/>
        </w:rPr>
        <w:t>for</w:t>
      </w:r>
      <w:r w:rsidRPr="00C45D39" w:rsidR="582CF588">
        <w:rPr>
          <w:rFonts w:ascii="Palatino Linotype" w:hAnsi="Palatino Linotype" w:eastAsia="Times New Roman" w:cs="Times New Roman"/>
          <w:kern w:val="0"/>
          <w14:ligatures w14:val="none"/>
        </w:rPr>
        <w:t xml:space="preserve"> </w:t>
      </w:r>
      <w:r w:rsidR="183130B3">
        <w:rPr>
          <w:rFonts w:ascii="Palatino Linotype" w:hAnsi="Palatino Linotype" w:eastAsia="Times New Roman" w:cs="Times New Roman"/>
          <w:kern w:val="0"/>
          <w14:ligatures w14:val="none"/>
        </w:rPr>
        <w:t>Extension of Time for Phase I and</w:t>
      </w:r>
      <w:r w:rsidR="61AA4C56">
        <w:rPr>
          <w:rFonts w:ascii="Palatino Linotype" w:hAnsi="Palatino Linotype" w:eastAsia="Times New Roman" w:cs="Times New Roman"/>
          <w:kern w:val="0"/>
          <w14:ligatures w14:val="none"/>
        </w:rPr>
        <w:t xml:space="preserve"> </w:t>
      </w:r>
      <w:r w:rsidRPr="78369BE0" w:rsidR="61AA4C56">
        <w:rPr>
          <w:rFonts w:ascii="Palatino Linotype" w:hAnsi="Palatino Linotype" w:eastAsia="Times New Roman" w:cs="Times New Roman"/>
        </w:rPr>
        <w:t>Advice Letter 7378-E-A</w:t>
      </w:r>
      <w:r w:rsidRPr="78369BE0" w:rsidR="4EBAE479">
        <w:rPr>
          <w:rFonts w:ascii="Palatino Linotype" w:hAnsi="Palatino Linotype" w:eastAsia="Times New Roman" w:cs="Times New Roman"/>
        </w:rPr>
        <w:t xml:space="preserve"> Request </w:t>
      </w:r>
      <w:r w:rsidR="32DB02B0">
        <w:rPr>
          <w:rFonts w:ascii="Palatino Linotype" w:hAnsi="Palatino Linotype" w:eastAsia="Times New Roman" w:cs="Times New Roman"/>
        </w:rPr>
        <w:t>for</w:t>
      </w:r>
      <w:r w:rsidRPr="78369BE0" w:rsidR="32DB02B0">
        <w:rPr>
          <w:rFonts w:ascii="Palatino Linotype" w:hAnsi="Palatino Linotype" w:eastAsia="Times New Roman" w:cs="Times New Roman"/>
        </w:rPr>
        <w:t xml:space="preserve"> </w:t>
      </w:r>
      <w:r w:rsidRPr="78369BE0" w:rsidR="4EBAE479">
        <w:rPr>
          <w:rFonts w:ascii="Palatino Linotype" w:hAnsi="Palatino Linotype" w:eastAsia="Times New Roman" w:cs="Times New Roman"/>
        </w:rPr>
        <w:t>Modification to Phase II</w:t>
      </w:r>
      <w:r w:rsidRPr="00C45D39" w:rsidR="7B01EFDB">
        <w:rPr>
          <w:rFonts w:ascii="Palatino Linotype" w:hAnsi="Palatino Linotype" w:eastAsia="Times New Roman" w:cs="Times New Roman"/>
          <w:kern w:val="0"/>
          <w14:ligatures w14:val="none"/>
        </w:rPr>
        <w:t xml:space="preserve"> </w:t>
      </w:r>
      <w:r w:rsidR="183130B3">
        <w:rPr>
          <w:rFonts w:ascii="Palatino Linotype" w:hAnsi="Palatino Linotype" w:eastAsia="Times New Roman" w:cs="Times New Roman"/>
          <w:kern w:val="0"/>
          <w14:ligatures w14:val="none"/>
        </w:rPr>
        <w:t xml:space="preserve">Scope </w:t>
      </w:r>
      <w:r w:rsidRPr="00C45D39" w:rsidR="183130B3">
        <w:rPr>
          <w:rFonts w:ascii="Palatino Linotype" w:hAnsi="Palatino Linotype" w:eastAsia="Times New Roman" w:cs="Times New Roman"/>
          <w:kern w:val="0"/>
          <w14:ligatures w14:val="none"/>
        </w:rPr>
        <w:t>as</w:t>
      </w:r>
      <w:r w:rsidRPr="78369BE0" w:rsidR="183130B3">
        <w:rPr>
          <w:rFonts w:ascii="Palatino Linotype" w:hAnsi="Palatino Linotype" w:eastAsia="Times New Roman" w:cs="Times New Roman"/>
        </w:rPr>
        <w:t xml:space="preserve"> a Hybrid Model in PG&amp;E’s Vehicle-to-Everything Microgrid Pilot #3.</w:t>
      </w:r>
    </w:p>
    <w:p w:rsidRPr="001942D0" w:rsidR="00A76F4A" w:rsidP="00EA0D38" w:rsidRDefault="00A76F4A" w14:paraId="429B7D63"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7DF8D1A9" w:rsidRDefault="00A76F4A" w14:paraId="62262251" w14:textId="77777777">
      <w:pPr>
        <w:spacing w:after="0" w:line="276"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14866" w:rsidR="00A76F4A" w:rsidP="00E14866" w:rsidRDefault="00E113E6" w14:paraId="6BFF7815" w14:textId="77777777">
      <w:pPr>
        <w:pStyle w:val="ListParagraph"/>
        <w:numPr>
          <w:ilvl w:val="0"/>
          <w:numId w:val="13"/>
        </w:numPr>
        <w:spacing w:after="0" w:line="276" w:lineRule="auto"/>
        <w:rPr>
          <w:rFonts w:ascii="Palatino Linotype" w:hAnsi="Palatino Linotype" w:eastAsia="Times New Roman" w:cs="Times New Roman"/>
          <w:kern w:val="0"/>
          <w14:ligatures w14:val="none"/>
        </w:rPr>
      </w:pPr>
      <w:r w:rsidRPr="00E14866">
        <w:rPr>
          <w:rFonts w:ascii="Palatino Linotype" w:hAnsi="Palatino Linotype" w:eastAsia="Times New Roman" w:cs="Times New Roman"/>
          <w:kern w:val="0"/>
          <w14:ligatures w14:val="none"/>
        </w:rPr>
        <w:t>This Resolution approves</w:t>
      </w:r>
      <w:r w:rsidRPr="00E14866" w:rsidR="000523B4">
        <w:rPr>
          <w:rFonts w:ascii="Palatino Linotype" w:hAnsi="Palatino Linotype" w:eastAsia="Times New Roman" w:cs="Times New Roman"/>
          <w:kern w:val="0"/>
          <w14:ligatures w14:val="none"/>
        </w:rPr>
        <w:t xml:space="preserve"> </w:t>
      </w:r>
      <w:r w:rsidRPr="00E14866">
        <w:rPr>
          <w:rFonts w:ascii="Palatino Linotype" w:hAnsi="Palatino Linotype" w:eastAsia="Times New Roman" w:cs="Times New Roman"/>
          <w:kern w:val="0"/>
          <w14:ligatures w14:val="none"/>
        </w:rPr>
        <w:t>Pacific Gas and Electric Company’s (PG&amp;E) request</w:t>
      </w:r>
      <w:r w:rsidRPr="00E14866" w:rsidR="008E4823">
        <w:rPr>
          <w:rFonts w:ascii="Palatino Linotype" w:hAnsi="Palatino Linotype" w:eastAsia="Times New Roman" w:cs="Times New Roman"/>
          <w:kern w:val="0"/>
          <w14:ligatures w14:val="none"/>
        </w:rPr>
        <w:t>, with modifications,</w:t>
      </w:r>
      <w:r w:rsidRPr="00E14866">
        <w:rPr>
          <w:rFonts w:ascii="Palatino Linotype" w:hAnsi="Palatino Linotype" w:eastAsia="Times New Roman" w:cs="Times New Roman"/>
          <w:kern w:val="0"/>
          <w14:ligatures w14:val="none"/>
        </w:rPr>
        <w:t xml:space="preserve"> in Advice Letters</w:t>
      </w:r>
      <w:r w:rsidRPr="00E14866" w:rsidR="696765B3">
        <w:rPr>
          <w:rFonts w:ascii="Palatino Linotype" w:hAnsi="Palatino Linotype" w:eastAsia="Times New Roman" w:cs="Times New Roman"/>
          <w:kern w:val="0"/>
          <w14:ligatures w14:val="none"/>
        </w:rPr>
        <w:t xml:space="preserve"> (AL)</w:t>
      </w:r>
      <w:r w:rsidRPr="00E14866">
        <w:rPr>
          <w:rFonts w:ascii="Palatino Linotype" w:hAnsi="Palatino Linotype" w:eastAsia="Times New Roman" w:cs="Times New Roman"/>
          <w:kern w:val="0"/>
          <w14:ligatures w14:val="none"/>
        </w:rPr>
        <w:t xml:space="preserve"> 7378-E </w:t>
      </w:r>
      <w:r w:rsidRPr="00E14866" w:rsidR="62927082">
        <w:rPr>
          <w:rFonts w:ascii="Palatino Linotype" w:hAnsi="Palatino Linotype" w:eastAsia="Times New Roman" w:cs="Times New Roman"/>
        </w:rPr>
        <w:t xml:space="preserve">Request to Extension of Time for Phase I </w:t>
      </w:r>
      <w:r w:rsidRPr="00E14866">
        <w:rPr>
          <w:rFonts w:ascii="Palatino Linotype" w:hAnsi="Palatino Linotype" w:eastAsia="Times New Roman" w:cs="Times New Roman"/>
          <w:kern w:val="0"/>
          <w14:ligatures w14:val="none"/>
        </w:rPr>
        <w:t xml:space="preserve">and 7378-E-A </w:t>
      </w:r>
      <w:r w:rsidRPr="00E14866" w:rsidR="632908A6">
        <w:rPr>
          <w:rFonts w:ascii="Palatino Linotype" w:hAnsi="Palatino Linotype" w:eastAsia="Times New Roman" w:cs="Times New Roman"/>
        </w:rPr>
        <w:t>Modification to Phase II Scope</w:t>
      </w:r>
      <w:r w:rsidRPr="00E14866" w:rsidR="632908A6">
        <w:rPr>
          <w:rFonts w:ascii="Palatino Linotype" w:hAnsi="Palatino Linotype" w:eastAsia="Times New Roman" w:cs="Times New Roman"/>
          <w:kern w:val="0"/>
          <w14:ligatures w14:val="none"/>
        </w:rPr>
        <w:t xml:space="preserve"> </w:t>
      </w:r>
      <w:r w:rsidRPr="00E14866">
        <w:rPr>
          <w:rFonts w:ascii="Palatino Linotype" w:hAnsi="Palatino Linotype" w:eastAsia="Times New Roman" w:cs="Times New Roman"/>
          <w:kern w:val="0"/>
          <w14:ligatures w14:val="none"/>
        </w:rPr>
        <w:t xml:space="preserve">regarding Pilot #3, the </w:t>
      </w:r>
      <w:r w:rsidRPr="00E14866" w:rsidR="55121269">
        <w:rPr>
          <w:rFonts w:ascii="Palatino Linotype" w:hAnsi="Palatino Linotype" w:eastAsia="Times New Roman" w:cs="Times New Roman"/>
        </w:rPr>
        <w:t>Vehicle-to-Everything</w:t>
      </w:r>
      <w:r w:rsidRPr="00E14866" w:rsidR="55121269">
        <w:rPr>
          <w:rFonts w:ascii="Palatino Linotype" w:hAnsi="Palatino Linotype" w:eastAsia="Times New Roman" w:cs="Times New Roman"/>
          <w:kern w:val="0"/>
          <w14:ligatures w14:val="none"/>
        </w:rPr>
        <w:t xml:space="preserve"> (</w:t>
      </w:r>
      <w:r w:rsidRPr="00E14866">
        <w:rPr>
          <w:rFonts w:ascii="Palatino Linotype" w:hAnsi="Palatino Linotype" w:eastAsia="Times New Roman" w:cs="Times New Roman"/>
          <w:kern w:val="0"/>
          <w14:ligatures w14:val="none"/>
        </w:rPr>
        <w:t>V2X</w:t>
      </w:r>
      <w:r w:rsidRPr="00E14866" w:rsidR="0E2DD8A1">
        <w:rPr>
          <w:rFonts w:ascii="Palatino Linotype" w:hAnsi="Palatino Linotype" w:eastAsia="Times New Roman" w:cs="Times New Roman"/>
          <w:kern w:val="0"/>
          <w14:ligatures w14:val="none"/>
        </w:rPr>
        <w:t>)</w:t>
      </w:r>
      <w:r w:rsidRPr="00E14866">
        <w:rPr>
          <w:rFonts w:ascii="Palatino Linotype" w:hAnsi="Palatino Linotype" w:eastAsia="Times New Roman" w:cs="Times New Roman"/>
          <w:kern w:val="0"/>
          <w14:ligatures w14:val="none"/>
        </w:rPr>
        <w:t xml:space="preserve"> Microgrid Pilot. </w:t>
      </w:r>
      <w:r w:rsidRPr="00E14866" w:rsidR="00762EE5">
        <w:rPr>
          <w:rFonts w:ascii="Palatino Linotype" w:hAnsi="Palatino Linotype" w:eastAsia="Times New Roman" w:cs="Times New Roman"/>
          <w:kern w:val="0"/>
          <w14:ligatures w14:val="none"/>
        </w:rPr>
        <w:t>T</w:t>
      </w:r>
      <w:r w:rsidRPr="00E14866">
        <w:rPr>
          <w:rFonts w:ascii="Palatino Linotype" w:hAnsi="Palatino Linotype" w:eastAsia="Times New Roman" w:cs="Times New Roman"/>
          <w:kern w:val="0"/>
          <w14:ligatures w14:val="none"/>
        </w:rPr>
        <w:t xml:space="preserve">his Resolution grants PG&amp;E an extension of time for Phase I until </w:t>
      </w:r>
      <w:r w:rsidR="00075AB9">
        <w:rPr>
          <w:rFonts w:ascii="Palatino Linotype" w:hAnsi="Palatino Linotype" w:eastAsia="Times New Roman" w:cs="Times New Roman"/>
          <w:kern w:val="0"/>
          <w14:ligatures w14:val="none"/>
        </w:rPr>
        <w:br/>
      </w:r>
      <w:r w:rsidRPr="00E14866" w:rsidR="29FF417B">
        <w:rPr>
          <w:rFonts w:ascii="Palatino Linotype" w:hAnsi="Palatino Linotype" w:eastAsia="Times New Roman" w:cs="Times New Roman"/>
          <w:kern w:val="0"/>
          <w14:ligatures w14:val="none"/>
        </w:rPr>
        <w:t>June 30,</w:t>
      </w:r>
      <w:r w:rsidRPr="00E14866">
        <w:rPr>
          <w:rFonts w:ascii="Palatino Linotype" w:hAnsi="Palatino Linotype" w:eastAsia="Times New Roman" w:cs="Times New Roman"/>
          <w:kern w:val="0"/>
          <w14:ligatures w14:val="none"/>
        </w:rPr>
        <w:t xml:space="preserve"> 2026</w:t>
      </w:r>
      <w:r w:rsidRPr="00E14866" w:rsidR="1DA63166">
        <w:rPr>
          <w:rFonts w:ascii="Palatino Linotype" w:hAnsi="Palatino Linotype" w:eastAsia="Times New Roman" w:cs="Times New Roman"/>
          <w:kern w:val="0"/>
          <w14:ligatures w14:val="none"/>
        </w:rPr>
        <w:t xml:space="preserve">, </w:t>
      </w:r>
      <w:r w:rsidRPr="00E14866">
        <w:rPr>
          <w:rFonts w:ascii="Palatino Linotype" w:hAnsi="Palatino Linotype" w:eastAsia="Times New Roman" w:cs="Times New Roman"/>
          <w:kern w:val="0"/>
          <w14:ligatures w14:val="none"/>
        </w:rPr>
        <w:t xml:space="preserve">to complete demonstration activities and data collection. </w:t>
      </w:r>
      <w:r w:rsidRPr="00E14866" w:rsidR="00DD1FB5">
        <w:rPr>
          <w:rFonts w:ascii="Palatino Linotype" w:hAnsi="Palatino Linotype" w:eastAsia="Times New Roman" w:cs="Times New Roman"/>
          <w:kern w:val="0"/>
          <w14:ligatures w14:val="none"/>
        </w:rPr>
        <w:t>T</w:t>
      </w:r>
      <w:r w:rsidRPr="00E14866">
        <w:rPr>
          <w:rFonts w:ascii="Palatino Linotype" w:hAnsi="Palatino Linotype" w:eastAsia="Times New Roman" w:cs="Times New Roman"/>
          <w:kern w:val="0"/>
          <w14:ligatures w14:val="none"/>
        </w:rPr>
        <w:t xml:space="preserve">his Resolution </w:t>
      </w:r>
      <w:r w:rsidRPr="00E14866" w:rsidR="00DD1FB5">
        <w:rPr>
          <w:rFonts w:ascii="Palatino Linotype" w:hAnsi="Palatino Linotype" w:eastAsia="Times New Roman" w:cs="Times New Roman"/>
          <w:kern w:val="0"/>
          <w14:ligatures w14:val="none"/>
        </w:rPr>
        <w:t xml:space="preserve">also </w:t>
      </w:r>
      <w:r w:rsidRPr="00E14866">
        <w:rPr>
          <w:rFonts w:ascii="Palatino Linotype" w:hAnsi="Palatino Linotype" w:eastAsia="Times New Roman" w:cs="Times New Roman"/>
          <w:kern w:val="0"/>
          <w14:ligatures w14:val="none"/>
        </w:rPr>
        <w:t>approves PG&amp;E’s modification of</w:t>
      </w:r>
      <w:r w:rsidRPr="00E14866" w:rsidR="00EA6FCE">
        <w:rPr>
          <w:rFonts w:ascii="Palatino Linotype" w:hAnsi="Palatino Linotype" w:eastAsia="Times New Roman" w:cs="Times New Roman"/>
          <w:kern w:val="0"/>
          <w14:ligatures w14:val="none"/>
        </w:rPr>
        <w:t xml:space="preserve"> the</w:t>
      </w:r>
      <w:r w:rsidRPr="00E14866">
        <w:rPr>
          <w:rFonts w:ascii="Palatino Linotype" w:hAnsi="Palatino Linotype" w:eastAsia="Times New Roman" w:cs="Times New Roman"/>
        </w:rPr>
        <w:t xml:space="preserve"> Phase II</w:t>
      </w:r>
      <w:r w:rsidRPr="00E14866" w:rsidR="28DF55A1">
        <w:rPr>
          <w:rFonts w:ascii="Palatino Linotype" w:hAnsi="Palatino Linotype" w:eastAsia="Times New Roman" w:cs="Times New Roman"/>
          <w:kern w:val="0"/>
          <w14:ligatures w14:val="none"/>
        </w:rPr>
        <w:t xml:space="preserve"> to a </w:t>
      </w:r>
      <w:r w:rsidRPr="00E14866">
        <w:rPr>
          <w:rFonts w:ascii="Palatino Linotype" w:hAnsi="Palatino Linotype" w:eastAsia="Times New Roman" w:cs="Times New Roman"/>
          <w:kern w:val="0"/>
          <w14:ligatures w14:val="none"/>
        </w:rPr>
        <w:t>Hybrid Support Model. Under this model, PG&amp;E will close new participant enrollment, return customer incentives to ratepayers, and provide technical consulting support for V2X readiness at Microgrid Incentive Program</w:t>
      </w:r>
      <w:r w:rsidRPr="00E14866" w:rsidR="77A5E43B">
        <w:rPr>
          <w:rFonts w:ascii="Palatino Linotype" w:hAnsi="Palatino Linotype" w:eastAsia="Times New Roman" w:cs="Times New Roman"/>
          <w:kern w:val="0"/>
          <w14:ligatures w14:val="none"/>
        </w:rPr>
        <w:t xml:space="preserve"> (MIP)</w:t>
      </w:r>
      <w:r w:rsidRPr="00E14866">
        <w:rPr>
          <w:rFonts w:ascii="Palatino Linotype" w:hAnsi="Palatino Linotype" w:eastAsia="Times New Roman" w:cs="Times New Roman"/>
        </w:rPr>
        <w:t xml:space="preserve"> sites using non-pilot resources.</w:t>
      </w:r>
    </w:p>
    <w:p w:rsidRPr="00E113E6" w:rsidR="00E113E6" w:rsidP="00EA0D38" w:rsidRDefault="00E113E6" w14:paraId="42AEA4BB" w14:textId="77777777">
      <w:pPr>
        <w:spacing w:after="0" w:line="240" w:lineRule="auto"/>
        <w:ind w:left="720" w:right="720"/>
        <w:rPr>
          <w:rFonts w:ascii="Palatino Linotype" w:hAnsi="Palatino Linotype" w:eastAsia="Times New Roman" w:cs="Times New Roman"/>
          <w:kern w:val="0"/>
          <w14:ligatures w14:val="none"/>
        </w:rPr>
      </w:pPr>
    </w:p>
    <w:p w:rsidRPr="001942D0" w:rsidR="00A76F4A" w:rsidP="7DF8D1A9" w:rsidRDefault="00A76F4A" w14:paraId="40F27160" w14:textId="77777777">
      <w:pPr>
        <w:spacing w:after="0" w:line="276"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E14866" w:rsidR="003B7BF5" w:rsidP="00E14866" w:rsidRDefault="00A76F4A" w14:paraId="2FF448BE" w14:textId="77777777">
      <w:pPr>
        <w:pStyle w:val="ListParagraph"/>
        <w:numPr>
          <w:ilvl w:val="0"/>
          <w:numId w:val="13"/>
        </w:numPr>
        <w:spacing w:after="0" w:line="276" w:lineRule="auto"/>
        <w:ind w:right="720"/>
        <w:rPr>
          <w:rFonts w:ascii="Palatino Linotype" w:hAnsi="Palatino Linotype" w:eastAsia="Times New Roman" w:cs="Times New Roman"/>
          <w:kern w:val="0"/>
          <w14:ligatures w14:val="none"/>
        </w:rPr>
      </w:pPr>
      <w:r w:rsidRPr="00E14866">
        <w:rPr>
          <w:rFonts w:ascii="Palatino Linotype" w:hAnsi="Palatino Linotype" w:eastAsia="Times New Roman" w:cs="Times New Roman"/>
          <w:kern w:val="0"/>
          <w14:ligatures w14:val="none"/>
        </w:rPr>
        <w:t xml:space="preserve">There </w:t>
      </w:r>
      <w:r w:rsidRPr="00E14866" w:rsidR="00AC03D5">
        <w:rPr>
          <w:rFonts w:ascii="Palatino Linotype" w:hAnsi="Palatino Linotype" w:eastAsia="Times New Roman" w:cs="Times New Roman"/>
          <w:kern w:val="0"/>
          <w14:ligatures w14:val="none"/>
        </w:rPr>
        <w:t xml:space="preserve">are </w:t>
      </w:r>
      <w:r w:rsidRPr="00E14866">
        <w:rPr>
          <w:rFonts w:ascii="Palatino Linotype" w:hAnsi="Palatino Linotype" w:eastAsia="Times New Roman" w:cs="Times New Roman"/>
          <w:kern w:val="0"/>
          <w14:ligatures w14:val="none"/>
        </w:rPr>
        <w:t>no safety considerations associated with this resolution.</w:t>
      </w:r>
    </w:p>
    <w:p w:rsidRPr="001942D0" w:rsidR="00A76F4A" w:rsidP="00EA0D38" w:rsidRDefault="00A76F4A" w14:paraId="499764D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7DF8D1A9" w:rsidRDefault="00A76F4A" w14:paraId="500427FA" w14:textId="77777777">
      <w:pPr>
        <w:spacing w:after="0" w:line="276"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00A76F4A" w:rsidP="00E14866" w:rsidRDefault="00A76F4A" w14:paraId="4A7E918A" w14:textId="77777777">
      <w:pPr>
        <w:pStyle w:val="ListParagraph"/>
        <w:numPr>
          <w:ilvl w:val="0"/>
          <w:numId w:val="13"/>
        </w:numPr>
        <w:spacing w:after="0" w:line="276" w:lineRule="auto"/>
        <w:ind w:right="720"/>
        <w:rPr>
          <w:rFonts w:ascii="Palatino Linotype" w:hAnsi="Palatino Linotype" w:eastAsia="Times New Roman" w:cs="Times New Roman"/>
          <w:kern w:val="0"/>
          <w14:ligatures w14:val="none"/>
        </w:rPr>
      </w:pPr>
      <w:r w:rsidRPr="00E14866">
        <w:rPr>
          <w:rFonts w:ascii="Palatino Linotype" w:hAnsi="Palatino Linotype" w:eastAsia="Times New Roman" w:cs="Times New Roman"/>
          <w:kern w:val="0"/>
          <w14:ligatures w14:val="none"/>
        </w:rPr>
        <w:t>There are no costs associated with this resolution</w:t>
      </w:r>
      <w:r w:rsidRPr="00E14866" w:rsidR="003B7BF5">
        <w:rPr>
          <w:rFonts w:ascii="Palatino Linotype" w:hAnsi="Palatino Linotype" w:eastAsia="Times New Roman" w:cs="Times New Roman"/>
          <w:kern w:val="0"/>
          <w14:ligatures w14:val="none"/>
        </w:rPr>
        <w:t>.</w:t>
      </w:r>
    </w:p>
    <w:p w:rsidR="00C3723D" w:rsidP="00EA0D38" w:rsidRDefault="00C3723D" w14:paraId="74A22E4D" w14:textId="77777777">
      <w:pPr>
        <w:spacing w:after="0" w:line="240" w:lineRule="auto"/>
        <w:ind w:left="720" w:right="720"/>
        <w:rPr>
          <w:rFonts w:ascii="Palatino Linotype" w:hAnsi="Palatino Linotype" w:eastAsia="Times New Roman" w:cs="Times New Roman"/>
          <w:kern w:val="0"/>
          <w14:ligatures w14:val="none"/>
        </w:rPr>
      </w:pPr>
    </w:p>
    <w:p w:rsidRPr="00C3723D" w:rsidR="00C3723D" w:rsidP="00E93DB4" w:rsidRDefault="00E93DB4" w14:paraId="0CD731A4" w14:textId="77777777">
      <w:pPr>
        <w:spacing w:after="0" w:line="276" w:lineRule="auto"/>
        <w:rPr>
          <w:rFonts w:ascii="Palatino Linotype" w:hAnsi="Palatino Linotype" w:eastAsia="Times New Roman" w:cs="Times New Roman"/>
          <w:kern w:val="0"/>
          <w14:ligatures w14:val="none"/>
        </w:rPr>
      </w:pPr>
      <w:r w:rsidRPr="00043A79">
        <w:rPr>
          <w:rFonts w:ascii="Palatino Linotype" w:hAnsi="Palatino Linotype" w:eastAsia="Palatino Linotype" w:cs="Times New Roman"/>
          <w:kern w:val="0"/>
          <w14:ligatures w14:val="none"/>
        </w:rPr>
        <w:t xml:space="preserve">By Advice Letter </w:t>
      </w:r>
      <w:r>
        <w:rPr>
          <w:rFonts w:ascii="Palatino Linotype" w:hAnsi="Palatino Linotype" w:eastAsia="Palatino Linotype" w:cs="Times New Roman"/>
          <w:kern w:val="0"/>
          <w14:ligatures w14:val="none"/>
        </w:rPr>
        <w:t>7378</w:t>
      </w:r>
      <w:r w:rsidRPr="00043A79">
        <w:rPr>
          <w:rFonts w:ascii="Palatino Linotype" w:hAnsi="Palatino Linotype" w:eastAsia="Palatino Linotype" w:cs="Times New Roman"/>
          <w:kern w:val="0"/>
          <w14:ligatures w14:val="none"/>
        </w:rPr>
        <w:t>-E</w:t>
      </w:r>
      <w:r>
        <w:rPr>
          <w:rFonts w:ascii="Palatino Linotype" w:hAnsi="Palatino Linotype" w:eastAsia="Palatino Linotype" w:cs="Times New Roman"/>
          <w:kern w:val="0"/>
          <w14:ligatures w14:val="none"/>
        </w:rPr>
        <w:t xml:space="preserve"> and 7378-E-A,</w:t>
      </w:r>
      <w:r w:rsidRPr="00043A7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f</w:t>
      </w:r>
      <w:r w:rsidRPr="00043A79">
        <w:rPr>
          <w:rFonts w:ascii="Palatino Linotype" w:hAnsi="Palatino Linotype" w:eastAsia="Palatino Linotype" w:cs="Times New Roman"/>
          <w:kern w:val="0"/>
          <w14:ligatures w14:val="none"/>
        </w:rPr>
        <w:t xml:space="preserve">iled on </w:t>
      </w:r>
      <w:r>
        <w:rPr>
          <w:rFonts w:ascii="Palatino Linotype" w:hAnsi="Palatino Linotype" w:eastAsia="Palatino Linotype" w:cs="Times New Roman"/>
          <w:kern w:val="0"/>
          <w14:ligatures w14:val="none"/>
        </w:rPr>
        <w:t>Sept</w:t>
      </w:r>
      <w:r w:rsidRPr="00043A79">
        <w:rPr>
          <w:rFonts w:ascii="Palatino Linotype" w:hAnsi="Palatino Linotype" w:eastAsia="Palatino Linotype" w:cs="Times New Roman"/>
          <w:kern w:val="0"/>
          <w14:ligatures w14:val="none"/>
        </w:rPr>
        <w:t xml:space="preserve">ember </w:t>
      </w:r>
      <w:r>
        <w:rPr>
          <w:rFonts w:ascii="Palatino Linotype" w:hAnsi="Palatino Linotype" w:eastAsia="Palatino Linotype" w:cs="Times New Roman"/>
          <w:kern w:val="0"/>
          <w14:ligatures w14:val="none"/>
        </w:rPr>
        <w:t>24</w:t>
      </w:r>
      <w:r w:rsidRPr="00043A79">
        <w:rPr>
          <w:rFonts w:ascii="Palatino Linotype" w:hAnsi="Palatino Linotype" w:eastAsia="Palatino Linotype" w:cs="Times New Roman"/>
          <w:kern w:val="0"/>
          <w14:ligatures w14:val="none"/>
        </w:rPr>
        <w:t>, 202</w:t>
      </w:r>
      <w:r>
        <w:rPr>
          <w:rFonts w:ascii="Palatino Linotype" w:hAnsi="Palatino Linotype" w:eastAsia="Palatino Linotype" w:cs="Times New Roman"/>
          <w:kern w:val="0"/>
          <w14:ligatures w14:val="none"/>
        </w:rPr>
        <w:t>4</w:t>
      </w:r>
      <w:r w:rsidRPr="00043A79">
        <w:rPr>
          <w:rFonts w:ascii="Palatino Linotype" w:hAnsi="Palatino Linotype" w:eastAsia="Palatino Linotype" w:cs="Times New Roman"/>
          <w:kern w:val="0"/>
          <w14:ligatures w14:val="none"/>
        </w:rPr>
        <w:t xml:space="preserve"> and </w:t>
      </w:r>
      <w:r>
        <w:rPr>
          <w:rFonts w:ascii="Palatino Linotype" w:hAnsi="Palatino Linotype" w:eastAsia="Palatino Linotype" w:cs="Times New Roman"/>
          <w:kern w:val="0"/>
          <w14:ligatures w14:val="none"/>
        </w:rPr>
        <w:t>August 6</w:t>
      </w:r>
      <w:r w:rsidRPr="00043A79">
        <w:rPr>
          <w:rFonts w:ascii="Palatino Linotype" w:hAnsi="Palatino Linotype" w:eastAsia="Palatino Linotype" w:cs="Times New Roman"/>
          <w:kern w:val="0"/>
          <w14:ligatures w14:val="none"/>
        </w:rPr>
        <w:t>, 2025.</w:t>
      </w:r>
    </w:p>
    <w:p w:rsidRPr="00EA0D38" w:rsidR="00A76F4A" w:rsidP="7DF8D1A9" w:rsidRDefault="00A76F4A" w14:paraId="3698292F" w14:textId="77777777">
      <w:pPr>
        <w:spacing w:after="0" w:line="276" w:lineRule="auto"/>
        <w:jc w:val="center"/>
        <w:rPr>
          <w:rFonts w:ascii="Palatino Linotype" w:hAnsi="Palatino Linotype" w:eastAsia="Palatino Linotype" w:cs="Times New Roman"/>
          <w:kern w:val="0"/>
          <w:sz w:val="18"/>
          <w:szCs w:val="18"/>
          <w14:ligatures w14:val="none"/>
        </w:rPr>
      </w:pPr>
      <w:r w:rsidRPr="00EA0D38">
        <w:rPr>
          <w:rFonts w:ascii="Palatino Linotype" w:hAnsi="Palatino Linotype" w:eastAsia="Palatino Linotype" w:cs="Times New Roman"/>
          <w:kern w:val="0"/>
          <w:sz w:val="18"/>
          <w:szCs w:val="18"/>
          <w14:ligatures w14:val="none"/>
        </w:rPr>
        <w:t>__________________________________________________________</w:t>
      </w:r>
    </w:p>
    <w:p w:rsidRPr="001942D0" w:rsidR="00A76F4A" w:rsidP="003606DD" w:rsidRDefault="003606DD" w14:paraId="0670CA4B" w14:textId="52902492">
      <w:pPr>
        <w:tabs>
          <w:tab w:val="left" w:pos="2472"/>
        </w:tabs>
        <w:spacing w:after="0" w:line="276"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r>
    </w:p>
    <w:p w:rsidRPr="001942D0" w:rsidR="00A76F4A" w:rsidP="7DF8D1A9" w:rsidRDefault="00A76F4A" w14:paraId="300D4709" w14:textId="77777777">
      <w:pPr>
        <w:keepNext/>
        <w:spacing w:before="120" w:after="240" w:line="276" w:lineRule="auto"/>
        <w:outlineLvl w:val="0"/>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lastRenderedPageBreak/>
        <w:t>Summary</w:t>
      </w:r>
      <w:bookmarkEnd w:id="0"/>
    </w:p>
    <w:p w:rsidRPr="00211E90" w:rsidR="00211E90" w:rsidP="7DF8D1A9" w:rsidRDefault="3B433BAA" w14:paraId="086AE90F" w14:textId="77777777">
      <w:pPr>
        <w:spacing w:after="0" w:line="276" w:lineRule="auto"/>
        <w:rPr>
          <w:rFonts w:ascii="Palatino Linotype" w:hAnsi="Palatino Linotype" w:eastAsia="Times New Roman" w:cs="Times New Roman"/>
          <w:kern w:val="0"/>
          <w14:ligatures w14:val="none"/>
        </w:rPr>
      </w:pPr>
      <w:r w:rsidRPr="00211E90">
        <w:rPr>
          <w:rFonts w:ascii="Palatino Linotype" w:hAnsi="Palatino Linotype" w:eastAsia="Times New Roman" w:cs="Times New Roman"/>
          <w:kern w:val="0"/>
          <w14:ligatures w14:val="none"/>
        </w:rPr>
        <w:t>On September 24, 2024, P</w:t>
      </w:r>
      <w:r w:rsidR="000279B3">
        <w:rPr>
          <w:rFonts w:ascii="Palatino Linotype" w:hAnsi="Palatino Linotype" w:eastAsia="Times New Roman" w:cs="Times New Roman"/>
          <w:kern w:val="0"/>
          <w14:ligatures w14:val="none"/>
        </w:rPr>
        <w:t>ac</w:t>
      </w:r>
      <w:r w:rsidR="00A968CD">
        <w:rPr>
          <w:rFonts w:ascii="Palatino Linotype" w:hAnsi="Palatino Linotype" w:eastAsia="Times New Roman" w:cs="Times New Roman"/>
          <w:kern w:val="0"/>
          <w14:ligatures w14:val="none"/>
        </w:rPr>
        <w:t>i</w:t>
      </w:r>
      <w:r w:rsidR="000279B3">
        <w:rPr>
          <w:rFonts w:ascii="Palatino Linotype" w:hAnsi="Palatino Linotype" w:eastAsia="Times New Roman" w:cs="Times New Roman"/>
          <w:kern w:val="0"/>
          <w14:ligatures w14:val="none"/>
        </w:rPr>
        <w:t>fic Gas and Electric Company (P</w:t>
      </w:r>
      <w:r w:rsidRPr="00211E90">
        <w:rPr>
          <w:rFonts w:ascii="Palatino Linotype" w:hAnsi="Palatino Linotype" w:eastAsia="Times New Roman" w:cs="Times New Roman"/>
          <w:kern w:val="0"/>
          <w14:ligatures w14:val="none"/>
        </w:rPr>
        <w:t>G&amp;E</w:t>
      </w:r>
      <w:r w:rsidR="000279B3">
        <w:rPr>
          <w:rFonts w:ascii="Palatino Linotype" w:hAnsi="Palatino Linotype" w:eastAsia="Times New Roman" w:cs="Times New Roman"/>
          <w:kern w:val="0"/>
          <w14:ligatures w14:val="none"/>
        </w:rPr>
        <w:t>)</w:t>
      </w:r>
      <w:r w:rsidRPr="00211E90">
        <w:rPr>
          <w:rFonts w:ascii="Palatino Linotype" w:hAnsi="Palatino Linotype" w:eastAsia="Times New Roman" w:cs="Times New Roman"/>
          <w:kern w:val="0"/>
          <w14:ligatures w14:val="none"/>
        </w:rPr>
        <w:t xml:space="preserve"> filed A</w:t>
      </w:r>
      <w:r w:rsidR="00762EE5">
        <w:rPr>
          <w:rFonts w:ascii="Palatino Linotype" w:hAnsi="Palatino Linotype" w:eastAsia="Times New Roman" w:cs="Times New Roman"/>
          <w:kern w:val="0"/>
          <w14:ligatures w14:val="none"/>
        </w:rPr>
        <w:t>dvice Letter (A</w:t>
      </w:r>
      <w:r w:rsidRPr="00211E90">
        <w:rPr>
          <w:rFonts w:ascii="Palatino Linotype" w:hAnsi="Palatino Linotype" w:eastAsia="Times New Roman" w:cs="Times New Roman"/>
          <w:kern w:val="0"/>
          <w14:ligatures w14:val="none"/>
        </w:rPr>
        <w:t>L</w:t>
      </w:r>
      <w:r w:rsidR="00762EE5">
        <w:rPr>
          <w:rFonts w:ascii="Palatino Linotype" w:hAnsi="Palatino Linotype" w:eastAsia="Times New Roman" w:cs="Times New Roman"/>
          <w:kern w:val="0"/>
          <w14:ligatures w14:val="none"/>
        </w:rPr>
        <w:t>)</w:t>
      </w:r>
      <w:r w:rsidRPr="00211E90">
        <w:rPr>
          <w:rFonts w:ascii="Palatino Linotype" w:hAnsi="Palatino Linotype" w:eastAsia="Times New Roman" w:cs="Times New Roman"/>
          <w:kern w:val="0"/>
          <w14:ligatures w14:val="none"/>
        </w:rPr>
        <w:t xml:space="preserve"> 7378-E requesting an extension of time for Pilot #3, the </w:t>
      </w:r>
      <w:r w:rsidR="00762EE5">
        <w:rPr>
          <w:rFonts w:ascii="Palatino Linotype" w:hAnsi="Palatino Linotype" w:eastAsia="Times New Roman" w:cs="Times New Roman"/>
          <w:kern w:val="0"/>
          <w14:ligatures w14:val="none"/>
        </w:rPr>
        <w:t>Vehicle-to-Everything (</w:t>
      </w:r>
      <w:r w:rsidRPr="00211E90">
        <w:rPr>
          <w:rFonts w:ascii="Palatino Linotype" w:hAnsi="Palatino Linotype" w:eastAsia="Times New Roman" w:cs="Times New Roman"/>
          <w:kern w:val="0"/>
          <w14:ligatures w14:val="none"/>
        </w:rPr>
        <w:t>V2X</w:t>
      </w:r>
      <w:r w:rsidR="00762EE5">
        <w:rPr>
          <w:rFonts w:ascii="Palatino Linotype" w:hAnsi="Palatino Linotype" w:eastAsia="Times New Roman" w:cs="Times New Roman"/>
          <w:kern w:val="0"/>
          <w14:ligatures w14:val="none"/>
        </w:rPr>
        <w:t>)</w:t>
      </w:r>
      <w:r w:rsidRPr="00211E90">
        <w:rPr>
          <w:rFonts w:ascii="Palatino Linotype" w:hAnsi="Palatino Linotype" w:eastAsia="Times New Roman" w:cs="Times New Roman"/>
          <w:kern w:val="0"/>
          <w14:ligatures w14:val="none"/>
        </w:rPr>
        <w:t xml:space="preserve"> Microgrid Pilot. AL 7378-E proposed converting</w:t>
      </w:r>
      <w:r w:rsidRPr="00211E90" w:rsidR="6FC4F833">
        <w:rPr>
          <w:rFonts w:ascii="Palatino Linotype" w:hAnsi="Palatino Linotype" w:eastAsia="Times New Roman" w:cs="Times New Roman"/>
          <w:kern w:val="0"/>
          <w14:ligatures w14:val="none"/>
        </w:rPr>
        <w:t xml:space="preserve"> the</w:t>
      </w:r>
      <w:r w:rsidRPr="00211E90">
        <w:rPr>
          <w:rFonts w:ascii="Palatino Linotype" w:hAnsi="Palatino Linotype" w:eastAsia="Times New Roman" w:cs="Times New Roman"/>
          <w:kern w:val="0"/>
          <w14:ligatures w14:val="none"/>
        </w:rPr>
        <w:t xml:space="preserve"> Phase I</w:t>
      </w:r>
      <w:r w:rsidRPr="00211E90" w:rsidR="1238698F">
        <w:rPr>
          <w:rFonts w:ascii="Palatino Linotype" w:hAnsi="Palatino Linotype" w:eastAsia="Times New Roman" w:cs="Times New Roman"/>
          <w:kern w:val="0"/>
          <w14:ligatures w14:val="none"/>
        </w:rPr>
        <w:t xml:space="preserve"> deadline</w:t>
      </w:r>
      <w:r w:rsidRPr="00211E90">
        <w:rPr>
          <w:rFonts w:ascii="Palatino Linotype" w:hAnsi="Palatino Linotype" w:eastAsia="Times New Roman" w:cs="Times New Roman"/>
          <w:kern w:val="0"/>
          <w14:ligatures w14:val="none"/>
        </w:rPr>
        <w:t xml:space="preserve"> at the Redwood Coast Airport Microgrid (RCAM) to a milestone-based schedule and extending Phase II through April 2028, or until pilot incentives </w:t>
      </w:r>
      <w:r w:rsidRPr="00211E90" w:rsidR="668272B5">
        <w:rPr>
          <w:rFonts w:ascii="Palatino Linotype" w:hAnsi="Palatino Linotype" w:eastAsia="Times New Roman" w:cs="Times New Roman"/>
          <w:kern w:val="0"/>
          <w14:ligatures w14:val="none"/>
        </w:rPr>
        <w:t>a</w:t>
      </w:r>
      <w:r w:rsidRPr="00211E90">
        <w:rPr>
          <w:rFonts w:ascii="Palatino Linotype" w:hAnsi="Palatino Linotype" w:eastAsia="Times New Roman" w:cs="Times New Roman"/>
          <w:kern w:val="0"/>
          <w14:ligatures w14:val="none"/>
        </w:rPr>
        <w:t>re exhausted.</w:t>
      </w:r>
    </w:p>
    <w:p w:rsidR="00D60D23" w:rsidP="18AA0EAE" w:rsidRDefault="00D60D23" w14:paraId="087B8E30" w14:textId="77777777">
      <w:pPr>
        <w:spacing w:after="0" w:line="276" w:lineRule="auto"/>
        <w:rPr>
          <w:rFonts w:ascii="Palatino Linotype" w:hAnsi="Palatino Linotype" w:eastAsia="Times New Roman" w:cs="Times New Roman"/>
          <w:kern w:val="0"/>
          <w14:ligatures w14:val="none"/>
        </w:rPr>
      </w:pPr>
    </w:p>
    <w:p w:rsidR="00211E90" w:rsidP="18AA0EAE" w:rsidRDefault="3B433BAA" w14:paraId="070A8196" w14:textId="77777777">
      <w:pPr>
        <w:spacing w:after="0" w:line="276" w:lineRule="auto"/>
        <w:rPr>
          <w:rFonts w:ascii="Palatino Linotype" w:hAnsi="Palatino Linotype" w:eastAsia="Times New Roman" w:cs="Times New Roman"/>
          <w:kern w:val="0"/>
          <w14:ligatures w14:val="none"/>
        </w:rPr>
      </w:pPr>
      <w:r w:rsidRPr="00211E90">
        <w:rPr>
          <w:rFonts w:ascii="Palatino Linotype" w:hAnsi="Palatino Linotype" w:eastAsia="Times New Roman" w:cs="Times New Roman"/>
          <w:kern w:val="0"/>
          <w14:ligatures w14:val="none"/>
        </w:rPr>
        <w:t>On August 6, 2025, PG&amp;E filed</w:t>
      </w:r>
      <w:r w:rsidR="009F000A">
        <w:rPr>
          <w:rFonts w:ascii="Palatino Linotype" w:hAnsi="Palatino Linotype" w:eastAsia="Times New Roman" w:cs="Times New Roman"/>
          <w:kern w:val="0"/>
          <w14:ligatures w14:val="none"/>
        </w:rPr>
        <w:t xml:space="preserve"> s</w:t>
      </w:r>
      <w:r w:rsidRPr="00211E90">
        <w:rPr>
          <w:rFonts w:ascii="Palatino Linotype" w:hAnsi="Palatino Linotype" w:eastAsia="Times New Roman" w:cs="Times New Roman"/>
          <w:kern w:val="0"/>
          <w14:ligatures w14:val="none"/>
        </w:rPr>
        <w:t>upplemental</w:t>
      </w:r>
      <w:r w:rsidR="009F000A">
        <w:rPr>
          <w:rFonts w:ascii="Palatino Linotype" w:hAnsi="Palatino Linotype" w:eastAsia="Times New Roman" w:cs="Times New Roman"/>
          <w:kern w:val="0"/>
          <w14:ligatures w14:val="none"/>
        </w:rPr>
        <w:t xml:space="preserve"> </w:t>
      </w:r>
      <w:r w:rsidRPr="00211E90">
        <w:rPr>
          <w:rFonts w:ascii="Palatino Linotype" w:hAnsi="Palatino Linotype" w:eastAsia="Times New Roman" w:cs="Times New Roman"/>
          <w:kern w:val="0"/>
          <w14:ligatures w14:val="none"/>
        </w:rPr>
        <w:t xml:space="preserve">AL 7378-E-A. This </w:t>
      </w:r>
      <w:r w:rsidR="009F000A">
        <w:rPr>
          <w:rFonts w:ascii="Palatino Linotype" w:hAnsi="Palatino Linotype" w:eastAsia="Times New Roman" w:cs="Times New Roman"/>
          <w:kern w:val="0"/>
          <w14:ligatures w14:val="none"/>
        </w:rPr>
        <w:t>supplemental</w:t>
      </w:r>
      <w:r w:rsidR="005D55B9">
        <w:rPr>
          <w:rFonts w:ascii="Palatino Linotype" w:hAnsi="Palatino Linotype" w:eastAsia="Times New Roman" w:cs="Times New Roman"/>
          <w:kern w:val="0"/>
          <w14:ligatures w14:val="none"/>
        </w:rPr>
        <w:t xml:space="preserve"> AL</w:t>
      </w:r>
      <w:r w:rsidRPr="00211E90" w:rsidR="009F000A">
        <w:rPr>
          <w:rFonts w:ascii="Palatino Linotype" w:hAnsi="Palatino Linotype" w:eastAsia="Times New Roman" w:cs="Times New Roman"/>
          <w:kern w:val="0"/>
          <w14:ligatures w14:val="none"/>
        </w:rPr>
        <w:t xml:space="preserve"> </w:t>
      </w:r>
      <w:r w:rsidRPr="00211E90">
        <w:rPr>
          <w:rFonts w:ascii="Palatino Linotype" w:hAnsi="Palatino Linotype" w:eastAsia="Times New Roman" w:cs="Times New Roman"/>
          <w:kern w:val="0"/>
          <w14:ligatures w14:val="none"/>
        </w:rPr>
        <w:t>replace</w:t>
      </w:r>
      <w:r w:rsidRPr="00211E90" w:rsidR="5794BF2B">
        <w:rPr>
          <w:rFonts w:ascii="Palatino Linotype" w:hAnsi="Palatino Linotype" w:eastAsia="Times New Roman" w:cs="Times New Roman"/>
          <w:kern w:val="0"/>
          <w14:ligatures w14:val="none"/>
        </w:rPr>
        <w:t>s</w:t>
      </w:r>
      <w:r w:rsidRPr="00211E90">
        <w:rPr>
          <w:rFonts w:ascii="Palatino Linotype" w:hAnsi="Palatino Linotype" w:eastAsia="Times New Roman" w:cs="Times New Roman"/>
          <w:kern w:val="0"/>
          <w14:ligatures w14:val="none"/>
        </w:rPr>
        <w:t xml:space="preserve"> the Phase II </w:t>
      </w:r>
      <w:r w:rsidRPr="18AA0EAE" w:rsidR="179E342C">
        <w:rPr>
          <w:rFonts w:ascii="Palatino Linotype" w:hAnsi="Palatino Linotype" w:eastAsia="Times New Roman" w:cs="Times New Roman"/>
        </w:rPr>
        <w:t>time</w:t>
      </w:r>
      <w:r w:rsidRPr="00211E90" w:rsidR="179E342C">
        <w:rPr>
          <w:rFonts w:ascii="Palatino Linotype" w:hAnsi="Palatino Linotype" w:eastAsia="Times New Roman" w:cs="Times New Roman"/>
          <w:kern w:val="0"/>
          <w14:ligatures w14:val="none"/>
        </w:rPr>
        <w:t xml:space="preserve"> </w:t>
      </w:r>
      <w:r w:rsidRPr="00211E90">
        <w:rPr>
          <w:rFonts w:ascii="Palatino Linotype" w:hAnsi="Palatino Linotype" w:eastAsia="Times New Roman" w:cs="Times New Roman"/>
          <w:kern w:val="0"/>
          <w14:ligatures w14:val="none"/>
        </w:rPr>
        <w:t>extension</w:t>
      </w:r>
      <w:r w:rsidRPr="00211E90" w:rsidR="27B181C1">
        <w:rPr>
          <w:rFonts w:ascii="Palatino Linotype" w:hAnsi="Palatino Linotype" w:eastAsia="Times New Roman" w:cs="Times New Roman"/>
          <w:kern w:val="0"/>
          <w14:ligatures w14:val="none"/>
        </w:rPr>
        <w:t xml:space="preserve"> request</w:t>
      </w:r>
      <w:r w:rsidRPr="00211E90" w:rsidR="2805A5D4">
        <w:rPr>
          <w:rFonts w:ascii="Palatino Linotype" w:hAnsi="Palatino Linotype" w:eastAsia="Times New Roman" w:cs="Times New Roman"/>
          <w:kern w:val="0"/>
          <w14:ligatures w14:val="none"/>
        </w:rPr>
        <w:t xml:space="preserve"> portion of</w:t>
      </w:r>
      <w:r w:rsidRPr="00211E90" w:rsidR="756FBEEA">
        <w:rPr>
          <w:rFonts w:ascii="Palatino Linotype" w:hAnsi="Palatino Linotype" w:eastAsia="Times New Roman" w:cs="Times New Roman"/>
          <w:kern w:val="0"/>
          <w14:ligatures w14:val="none"/>
        </w:rPr>
        <w:t xml:space="preserve"> </w:t>
      </w:r>
      <w:r w:rsidRPr="78369BE0" w:rsidR="756FBEEA">
        <w:rPr>
          <w:rFonts w:ascii="Palatino Linotype" w:hAnsi="Palatino Linotype" w:eastAsia="Times New Roman" w:cs="Times New Roman"/>
        </w:rPr>
        <w:t>AL 7378-E</w:t>
      </w:r>
      <w:r w:rsidRPr="00211E90" w:rsidR="756FBEEA">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with a Hybrid Support Model</w:t>
      </w:r>
      <w:r w:rsidR="00363F29">
        <w:rPr>
          <w:rFonts w:ascii="Palatino Linotype" w:hAnsi="Palatino Linotype" w:eastAsia="Times New Roman" w:cs="Times New Roman"/>
          <w:kern w:val="0"/>
          <w14:ligatures w14:val="none"/>
        </w:rPr>
        <w:t>;</w:t>
      </w:r>
      <w:r w:rsidR="4141B980">
        <w:rPr>
          <w:rFonts w:ascii="Palatino Linotype" w:hAnsi="Palatino Linotype" w:eastAsia="Times New Roman" w:cs="Times New Roman"/>
          <w:kern w:val="0"/>
          <w14:ligatures w14:val="none"/>
        </w:rPr>
        <w:t xml:space="preserve"> </w:t>
      </w:r>
      <w:r w:rsidR="00363F29">
        <w:rPr>
          <w:rFonts w:ascii="Palatino Linotype" w:hAnsi="Palatino Linotype" w:eastAsia="Times New Roman" w:cs="Times New Roman"/>
        </w:rPr>
        <w:t>however,</w:t>
      </w:r>
      <w:r w:rsidRPr="71283022" w:rsidR="4141B980">
        <w:rPr>
          <w:rFonts w:ascii="Palatino Linotype" w:hAnsi="Palatino Linotype" w:eastAsia="Times New Roman" w:cs="Times New Roman"/>
        </w:rPr>
        <w:t xml:space="preserve"> does not replace the AL in its </w:t>
      </w:r>
      <w:r w:rsidRPr="71283022" w:rsidR="00AD66E6">
        <w:rPr>
          <w:rFonts w:ascii="Palatino Linotype" w:hAnsi="Palatino Linotype" w:eastAsia="Times New Roman" w:cs="Times New Roman"/>
        </w:rPr>
        <w:t>entirety</w:t>
      </w:r>
      <w:r>
        <w:rPr>
          <w:rFonts w:ascii="Palatino Linotype" w:hAnsi="Palatino Linotype" w:eastAsia="Times New Roman" w:cs="Times New Roman"/>
          <w:kern w:val="0"/>
          <w14:ligatures w14:val="none"/>
        </w:rPr>
        <w:t>. Under this proposal, PG&amp;E would close new participant enrollment</w:t>
      </w:r>
      <w:r w:rsidRPr="00211E90" w:rsidR="005D55B9">
        <w:rPr>
          <w:rFonts w:ascii="Palatino Linotype" w:hAnsi="Palatino Linotype" w:eastAsia="Times New Roman" w:cs="Times New Roman"/>
          <w:kern w:val="0"/>
          <w14:ligatures w14:val="none"/>
        </w:rPr>
        <w:t xml:space="preserve"> for Phase II</w:t>
      </w:r>
      <w:r>
        <w:rPr>
          <w:rFonts w:ascii="Palatino Linotype" w:hAnsi="Palatino Linotype" w:eastAsia="Times New Roman" w:cs="Times New Roman"/>
          <w:kern w:val="0"/>
          <w14:ligatures w14:val="none"/>
        </w:rPr>
        <w:t>, return remaining customer incentive</w:t>
      </w:r>
      <w:r w:rsidRPr="00211E90" w:rsidR="00A933EA">
        <w:rPr>
          <w:rFonts w:ascii="Palatino Linotype" w:hAnsi="Palatino Linotype" w:eastAsia="Times New Roman" w:cs="Times New Roman"/>
          <w:kern w:val="0"/>
          <w14:ligatures w14:val="none"/>
        </w:rPr>
        <w:t xml:space="preserve"> funds</w:t>
      </w:r>
      <w:r w:rsidRPr="00211E90">
        <w:rPr>
          <w:rFonts w:ascii="Palatino Linotype" w:hAnsi="Palatino Linotype" w:eastAsia="Times New Roman" w:cs="Times New Roman"/>
          <w:kern w:val="0"/>
          <w14:ligatures w14:val="none"/>
        </w:rPr>
        <w:t xml:space="preserve"> to ratepayers, and provide V2X technical consulting support to </w:t>
      </w:r>
      <w:r w:rsidR="00762EE5">
        <w:rPr>
          <w:rFonts w:ascii="Palatino Linotype" w:hAnsi="Palatino Linotype" w:eastAsia="Times New Roman" w:cs="Times New Roman"/>
          <w:kern w:val="0"/>
          <w14:ligatures w14:val="none"/>
        </w:rPr>
        <w:t>the Microgrid Incentive Program (</w:t>
      </w:r>
      <w:r w:rsidRPr="00211E90">
        <w:rPr>
          <w:rFonts w:ascii="Palatino Linotype" w:hAnsi="Palatino Linotype" w:eastAsia="Times New Roman" w:cs="Times New Roman"/>
          <w:kern w:val="0"/>
          <w14:ligatures w14:val="none"/>
        </w:rPr>
        <w:t>MIP</w:t>
      </w:r>
      <w:r w:rsidR="00762EE5">
        <w:rPr>
          <w:rFonts w:ascii="Palatino Linotype" w:hAnsi="Palatino Linotype" w:eastAsia="Times New Roman" w:cs="Times New Roman"/>
          <w:kern w:val="0"/>
          <w14:ligatures w14:val="none"/>
        </w:rPr>
        <w:t>)</w:t>
      </w:r>
      <w:r w:rsidRPr="00211E90">
        <w:rPr>
          <w:rFonts w:ascii="Palatino Linotype" w:hAnsi="Palatino Linotype" w:eastAsia="Times New Roman" w:cs="Times New Roman"/>
          <w:kern w:val="0"/>
          <w14:ligatures w14:val="none"/>
        </w:rPr>
        <w:t xml:space="preserve"> </w:t>
      </w:r>
      <w:r w:rsidR="00085FC0">
        <w:rPr>
          <w:rStyle w:val="FootnoteReference"/>
          <w:rFonts w:ascii="Palatino Linotype" w:hAnsi="Palatino Linotype" w:eastAsia="Times New Roman" w:cs="Times New Roman"/>
          <w:kern w:val="0"/>
          <w14:ligatures w14:val="none"/>
        </w:rPr>
        <w:footnoteReference w:id="2"/>
      </w:r>
      <w:r w:rsidRPr="00211E90">
        <w:rPr>
          <w:rFonts w:ascii="Palatino Linotype" w:hAnsi="Palatino Linotype" w:eastAsia="Times New Roman" w:cs="Times New Roman"/>
          <w:kern w:val="0"/>
          <w14:ligatures w14:val="none"/>
        </w:rPr>
        <w:t xml:space="preserve">sites using internal </w:t>
      </w:r>
      <w:r w:rsidRPr="78369BE0">
        <w:rPr>
          <w:rFonts w:ascii="Palatino Linotype" w:hAnsi="Palatino Linotype" w:eastAsia="Times New Roman" w:cs="Times New Roman"/>
        </w:rPr>
        <w:t xml:space="preserve">funds. </w:t>
      </w:r>
      <w:r w:rsidRPr="78369BE0" w:rsidR="574E5DFD">
        <w:rPr>
          <w:rFonts w:ascii="Palatino Linotype" w:hAnsi="Palatino Linotype" w:eastAsia="Times New Roman" w:cs="Times New Roman"/>
        </w:rPr>
        <w:t>The Phase I extension request made in AL 7378-E remained in place.</w:t>
      </w:r>
    </w:p>
    <w:p w:rsidR="00D60D23" w:rsidP="78369BE0" w:rsidRDefault="00D60D23" w14:paraId="391A092C" w14:textId="77777777">
      <w:pPr>
        <w:spacing w:after="0" w:line="276" w:lineRule="auto"/>
        <w:rPr>
          <w:rFonts w:ascii="Palatino Linotype" w:hAnsi="Palatino Linotype" w:eastAsia="Times New Roman" w:cs="Times New Roman"/>
          <w:kern w:val="0"/>
          <w14:ligatures w14:val="none"/>
        </w:rPr>
      </w:pPr>
    </w:p>
    <w:p w:rsidRPr="00211E90" w:rsidR="00211E90" w:rsidP="72F52493" w:rsidRDefault="7C32B948" w14:paraId="36DEA0DF" w14:textId="77777777">
      <w:pPr>
        <w:spacing w:after="0" w:line="276" w:lineRule="auto"/>
        <w:rPr>
          <w:rFonts w:ascii="Palatino Linotype" w:hAnsi="Palatino Linotype" w:eastAsia="Times New Roman" w:cs="Times New Roman"/>
        </w:rPr>
      </w:pPr>
      <w:r w:rsidRPr="00211E90">
        <w:rPr>
          <w:rFonts w:ascii="Palatino Linotype" w:hAnsi="Palatino Linotype" w:eastAsia="Times New Roman" w:cs="Times New Roman"/>
          <w:kern w:val="0"/>
          <w14:ligatures w14:val="none"/>
        </w:rPr>
        <w:t xml:space="preserve">This </w:t>
      </w:r>
      <w:r w:rsidR="000279B3">
        <w:rPr>
          <w:rFonts w:ascii="Palatino Linotype" w:hAnsi="Palatino Linotype" w:eastAsia="Times New Roman" w:cs="Times New Roman"/>
          <w:kern w:val="0"/>
          <w14:ligatures w14:val="none"/>
        </w:rPr>
        <w:t>R</w:t>
      </w:r>
      <w:r w:rsidRPr="00211E90">
        <w:rPr>
          <w:rFonts w:ascii="Palatino Linotype" w:hAnsi="Palatino Linotype" w:eastAsia="Times New Roman" w:cs="Times New Roman"/>
          <w:kern w:val="0"/>
          <w14:ligatures w14:val="none"/>
        </w:rPr>
        <w:t>esolution</w:t>
      </w:r>
      <w:r w:rsidRPr="00211E90" w:rsidR="00211E90">
        <w:rPr>
          <w:rFonts w:ascii="Palatino Linotype" w:hAnsi="Palatino Linotype" w:eastAsia="Times New Roman" w:cs="Times New Roman"/>
          <w:kern w:val="0"/>
          <w14:ligatures w14:val="none"/>
        </w:rPr>
        <w:t xml:space="preserve"> approve</w:t>
      </w:r>
      <w:r w:rsidRPr="00211E90" w:rsidR="4F5592F1">
        <w:rPr>
          <w:rFonts w:ascii="Palatino Linotype" w:hAnsi="Palatino Linotype" w:eastAsia="Times New Roman" w:cs="Times New Roman"/>
          <w:kern w:val="0"/>
          <w14:ligatures w14:val="none"/>
        </w:rPr>
        <w:t>s</w:t>
      </w:r>
      <w:r w:rsidRPr="00211E90" w:rsidR="00211E90">
        <w:rPr>
          <w:rFonts w:ascii="Palatino Linotype" w:hAnsi="Palatino Linotype" w:eastAsia="Times New Roman" w:cs="Times New Roman"/>
          <w:kern w:val="0"/>
          <w14:ligatures w14:val="none"/>
        </w:rPr>
        <w:t xml:space="preserve"> PG&amp;E’s </w:t>
      </w:r>
      <w:r w:rsidRPr="00211E90" w:rsidR="72F1ECE2">
        <w:rPr>
          <w:rFonts w:ascii="Palatino Linotype" w:hAnsi="Palatino Linotype" w:eastAsia="Times New Roman" w:cs="Times New Roman"/>
          <w:kern w:val="0"/>
          <w14:ligatures w14:val="none"/>
        </w:rPr>
        <w:t xml:space="preserve">requests through </w:t>
      </w:r>
      <w:r w:rsidRPr="72F52493" w:rsidR="00AF5860">
        <w:rPr>
          <w:rFonts w:ascii="Palatino Linotype" w:hAnsi="Palatino Linotype" w:eastAsia="Times New Roman" w:cs="Times New Roman"/>
        </w:rPr>
        <w:t>Advice Letter</w:t>
      </w:r>
      <w:r w:rsidRPr="72F52493" w:rsidR="170D89F3">
        <w:rPr>
          <w:rFonts w:ascii="Palatino Linotype" w:hAnsi="Palatino Linotype" w:eastAsia="Times New Roman" w:cs="Times New Roman"/>
        </w:rPr>
        <w:t>s</w:t>
      </w:r>
      <w:r w:rsidRPr="72F52493" w:rsidR="00AF5860">
        <w:rPr>
          <w:rFonts w:ascii="Palatino Linotype" w:hAnsi="Palatino Linotype" w:eastAsia="Times New Roman" w:cs="Times New Roman"/>
        </w:rPr>
        <w:t xml:space="preserve">, </w:t>
      </w:r>
      <w:r w:rsidRPr="72F52493" w:rsidR="00BD2355">
        <w:rPr>
          <w:rFonts w:ascii="Palatino Linotype" w:hAnsi="Palatino Linotype" w:eastAsia="Times New Roman" w:cs="Times New Roman"/>
        </w:rPr>
        <w:t>with some</w:t>
      </w:r>
      <w:r w:rsidRPr="72F52493" w:rsidR="0069436D">
        <w:rPr>
          <w:rFonts w:ascii="Palatino Linotype" w:hAnsi="Palatino Linotype" w:eastAsia="Times New Roman" w:cs="Times New Roman"/>
        </w:rPr>
        <w:t xml:space="preserve"> modifications</w:t>
      </w:r>
      <w:r w:rsidRPr="72F52493" w:rsidR="667B0AB7">
        <w:rPr>
          <w:rFonts w:ascii="Palatino Linotype" w:hAnsi="Palatino Linotype" w:eastAsia="Times New Roman" w:cs="Times New Roman"/>
        </w:rPr>
        <w:t xml:space="preserve"> as follows</w:t>
      </w:r>
      <w:r w:rsidR="0069436D">
        <w:rPr>
          <w:rFonts w:ascii="Palatino Linotype" w:hAnsi="Palatino Linotype" w:eastAsia="Times New Roman" w:cs="Times New Roman"/>
          <w:kern w:val="0"/>
          <w14:ligatures w14:val="none"/>
        </w:rPr>
        <w:t xml:space="preserve">: </w:t>
      </w:r>
      <w:r w:rsidRPr="72F52493" w:rsidR="72125AF3">
        <w:rPr>
          <w:rFonts w:ascii="Palatino Linotype" w:hAnsi="Palatino Linotype" w:eastAsia="Palatino Linotype" w:cs="Palatino Linotype"/>
        </w:rPr>
        <w:t xml:space="preserve"> </w:t>
      </w:r>
    </w:p>
    <w:p w:rsidRPr="00211E90" w:rsidR="00211E90" w:rsidP="72F52493" w:rsidRDefault="72125AF3" w14:paraId="15CE5438" w14:textId="77777777">
      <w:pPr>
        <w:spacing w:after="0" w:line="276" w:lineRule="auto"/>
        <w:rPr>
          <w:rFonts w:ascii="Palatino Linotype" w:hAnsi="Palatino Linotype" w:eastAsia="Times New Roman" w:cs="Times New Roman"/>
        </w:rPr>
      </w:pPr>
      <w:r w:rsidRPr="72F52493">
        <w:rPr>
          <w:rFonts w:ascii="Palatino Linotype" w:hAnsi="Palatino Linotype" w:eastAsia="Palatino Linotype" w:cs="Palatino Linotype"/>
        </w:rPr>
        <w:t>Approve PG&amp;E’s proposed milestone-based implementation timeline</w:t>
      </w:r>
      <w:r w:rsidRPr="72F52493" w:rsidR="59E94391">
        <w:rPr>
          <w:rFonts w:ascii="Palatino Linotype" w:hAnsi="Palatino Linotype" w:eastAsia="Palatino Linotype" w:cs="Palatino Linotype"/>
        </w:rPr>
        <w:t xml:space="preserve"> and time extension</w:t>
      </w:r>
      <w:r w:rsidRPr="72F52493">
        <w:rPr>
          <w:rFonts w:ascii="Palatino Linotype" w:hAnsi="Palatino Linotype" w:eastAsia="Palatino Linotype" w:cs="Palatino Linotype"/>
        </w:rPr>
        <w:t xml:space="preserve"> for Phase I of Pilot #3, as requested in AL 7378-E, with </w:t>
      </w:r>
      <w:r w:rsidRPr="72F52493" w:rsidR="3AE22541">
        <w:rPr>
          <w:rFonts w:ascii="Palatino Linotype" w:hAnsi="Palatino Linotype" w:eastAsia="Palatino Linotype" w:cs="Palatino Linotype"/>
        </w:rPr>
        <w:t xml:space="preserve">modification of an </w:t>
      </w:r>
      <w:r w:rsidRPr="72F52493">
        <w:rPr>
          <w:rFonts w:ascii="Palatino Linotype" w:hAnsi="Palatino Linotype" w:eastAsia="Palatino Linotype" w:cs="Palatino Linotype"/>
        </w:rPr>
        <w:t>ultimate completion date of June 30, 2026, and find that this approved schedule can still produce useful operational data and lessons learned once the RCAM chargers are repaired, energized, and testing resumes.</w:t>
      </w:r>
      <w:r w:rsidRPr="72F52493" w:rsidR="00211E90">
        <w:rPr>
          <w:rFonts w:ascii="Palatino Linotype" w:hAnsi="Palatino Linotype" w:eastAsia="Times New Roman" w:cs="Times New Roman"/>
        </w:rPr>
        <w:t xml:space="preserve"> </w:t>
      </w:r>
      <w:r w:rsidRPr="72F52493" w:rsidR="0E822C40">
        <w:rPr>
          <w:rFonts w:ascii="Palatino Linotype" w:hAnsi="Palatino Linotype" w:eastAsia="Times New Roman" w:cs="Times New Roman"/>
        </w:rPr>
        <w:t>As another modification, PG&amp;E shall provide a narrative update on its strategy for meeting the five-to-ten bidirectional EV metric requirement, including an explanation of how the current two-vehicle configuration aligns with the pilot’s original objectives</w:t>
      </w:r>
      <w:r w:rsidRPr="72F52493" w:rsidR="0BE02002">
        <w:rPr>
          <w:rFonts w:ascii="Palatino Linotype" w:hAnsi="Palatino Linotype" w:eastAsia="Times New Roman" w:cs="Times New Roman"/>
        </w:rPr>
        <w:t xml:space="preserve"> in a Tier 2 AL</w:t>
      </w:r>
      <w:r w:rsidRPr="72F52493" w:rsidR="0E822C40">
        <w:rPr>
          <w:rFonts w:ascii="Palatino Linotype" w:hAnsi="Palatino Linotype" w:eastAsia="Times New Roman" w:cs="Times New Roman"/>
        </w:rPr>
        <w:t>.</w:t>
      </w:r>
    </w:p>
    <w:p w:rsidRPr="00211E90" w:rsidR="00211E90" w:rsidP="72F52493" w:rsidRDefault="00211E90" w14:paraId="2781AD94" w14:textId="77777777">
      <w:pPr>
        <w:spacing w:after="0" w:line="276" w:lineRule="auto"/>
        <w:rPr>
          <w:rFonts w:ascii="Palatino Linotype" w:hAnsi="Palatino Linotype" w:eastAsia="Times New Roman" w:cs="Times New Roman"/>
          <w:kern w:val="0"/>
          <w14:ligatures w14:val="none"/>
        </w:rPr>
      </w:pPr>
      <w:r w:rsidRPr="72F52493">
        <w:rPr>
          <w:rFonts w:ascii="Palatino Linotype" w:hAnsi="Palatino Linotype" w:eastAsia="Times New Roman" w:cs="Times New Roman"/>
        </w:rPr>
        <w:t xml:space="preserve">PG&amp;E’s request to </w:t>
      </w:r>
      <w:r w:rsidRPr="00211E90">
        <w:rPr>
          <w:rFonts w:ascii="Palatino Linotype" w:hAnsi="Palatino Linotype" w:eastAsia="Times New Roman" w:cs="Times New Roman"/>
          <w:kern w:val="0"/>
          <w14:ligatures w14:val="none"/>
        </w:rPr>
        <w:t>modify Phase II, concluding that the Hybrid Support Model reasonably adapts the pilot to</w:t>
      </w:r>
      <w:r w:rsidRPr="00211E90" w:rsidR="00F94526">
        <w:rPr>
          <w:rFonts w:ascii="Palatino Linotype" w:hAnsi="Palatino Linotype" w:eastAsia="Times New Roman" w:cs="Times New Roman"/>
          <w:kern w:val="0"/>
          <w14:ligatures w14:val="none"/>
        </w:rPr>
        <w:t xml:space="preserve"> new</w:t>
      </w:r>
      <w:r>
        <w:rPr>
          <w:rFonts w:ascii="Palatino Linotype" w:hAnsi="Palatino Linotype" w:eastAsia="Times New Roman" w:cs="Times New Roman"/>
          <w:kern w:val="0"/>
          <w14:ligatures w14:val="none"/>
        </w:rPr>
        <w:t xml:space="preserve"> market conditions by using </w:t>
      </w:r>
      <w:r w:rsidRPr="00211E90" w:rsidR="00012485">
        <w:rPr>
          <w:rFonts w:ascii="Palatino Linotype" w:hAnsi="Palatino Linotype" w:eastAsia="Times New Roman" w:cs="Times New Roman"/>
          <w:kern w:val="0"/>
          <w14:ligatures w14:val="none"/>
        </w:rPr>
        <w:t>non-pilot</w:t>
      </w:r>
      <w:r>
        <w:rPr>
          <w:rFonts w:ascii="Palatino Linotype" w:hAnsi="Palatino Linotype" w:eastAsia="Times New Roman" w:cs="Times New Roman"/>
          <w:kern w:val="0"/>
          <w14:ligatures w14:val="none"/>
        </w:rPr>
        <w:t xml:space="preserve"> funds for technical support, closing enrollment, and </w:t>
      </w:r>
      <w:r w:rsidRPr="72F52493">
        <w:rPr>
          <w:rFonts w:ascii="Palatino Linotype" w:hAnsi="Palatino Linotype" w:eastAsia="Times New Roman" w:cs="Times New Roman"/>
        </w:rPr>
        <w:t xml:space="preserve">returning unused </w:t>
      </w:r>
      <w:r w:rsidRPr="00211E90" w:rsidR="008132AA">
        <w:rPr>
          <w:rFonts w:ascii="Palatino Linotype" w:hAnsi="Palatino Linotype" w:eastAsia="Times New Roman" w:cs="Times New Roman"/>
          <w:kern w:val="0"/>
          <w14:ligatures w14:val="none"/>
        </w:rPr>
        <w:t xml:space="preserve">authorized </w:t>
      </w:r>
      <w:r>
        <w:rPr>
          <w:rFonts w:ascii="Palatino Linotype" w:hAnsi="Palatino Linotype" w:eastAsia="Times New Roman" w:cs="Times New Roman"/>
          <w:kern w:val="0"/>
          <w14:ligatures w14:val="none"/>
        </w:rPr>
        <w:t>incentive funds to ratepayers</w:t>
      </w:r>
      <w:r w:rsidRPr="72F52493" w:rsidR="40809F34">
        <w:rPr>
          <w:rFonts w:ascii="Palatino Linotype" w:hAnsi="Palatino Linotype" w:eastAsia="Times New Roman" w:cs="Times New Roman"/>
        </w:rPr>
        <w:t>,</w:t>
      </w:r>
      <w:r w:rsidRPr="00211E90" w:rsidR="0206D7B4">
        <w:rPr>
          <w:rFonts w:ascii="Palatino Linotype" w:hAnsi="Palatino Linotype" w:eastAsia="Times New Roman" w:cs="Times New Roman"/>
          <w:kern w:val="0"/>
          <w14:ligatures w14:val="none"/>
        </w:rPr>
        <w:t xml:space="preserve"> is also approved</w:t>
      </w:r>
      <w:r w:rsidRPr="00211E90">
        <w:rPr>
          <w:rFonts w:ascii="Palatino Linotype" w:hAnsi="Palatino Linotype" w:eastAsia="Times New Roman" w:cs="Times New Roman"/>
          <w:kern w:val="0"/>
          <w14:ligatures w14:val="none"/>
        </w:rPr>
        <w:t xml:space="preserve">. These actions </w:t>
      </w:r>
      <w:r w:rsidRPr="00211E90" w:rsidR="00762EE5">
        <w:rPr>
          <w:rFonts w:ascii="Palatino Linotype" w:hAnsi="Palatino Linotype" w:eastAsia="Times New Roman" w:cs="Times New Roman"/>
          <w:kern w:val="0"/>
          <w14:ligatures w14:val="none"/>
        </w:rPr>
        <w:t xml:space="preserve">can </w:t>
      </w:r>
      <w:r>
        <w:rPr>
          <w:rFonts w:ascii="Palatino Linotype" w:hAnsi="Palatino Linotype" w:eastAsia="Times New Roman" w:cs="Times New Roman"/>
          <w:kern w:val="0"/>
          <w14:ligatures w14:val="none"/>
        </w:rPr>
        <w:t>protect ratepayers</w:t>
      </w:r>
      <w:r w:rsidRPr="00211E90" w:rsidR="00762EE5">
        <w:rPr>
          <w:rFonts w:ascii="Palatino Linotype" w:hAnsi="Palatino Linotype" w:eastAsia="Times New Roman" w:cs="Times New Roman"/>
          <w:kern w:val="0"/>
          <w14:ligatures w14:val="none"/>
        </w:rPr>
        <w:t xml:space="preserve"> from undue costs</w:t>
      </w:r>
      <w:r>
        <w:rPr>
          <w:rFonts w:ascii="Palatino Linotype" w:hAnsi="Palatino Linotype" w:eastAsia="Times New Roman" w:cs="Times New Roman"/>
          <w:kern w:val="0"/>
          <w14:ligatures w14:val="none"/>
        </w:rPr>
        <w:t xml:space="preserve"> while ensuring that </w:t>
      </w:r>
      <w:r w:rsidR="00BD2355">
        <w:rPr>
          <w:rFonts w:ascii="Palatino Linotype" w:hAnsi="Palatino Linotype" w:eastAsia="Times New Roman" w:cs="Times New Roman"/>
          <w:kern w:val="0"/>
          <w14:ligatures w14:val="none"/>
        </w:rPr>
        <w:t>lessons</w:t>
      </w:r>
      <w:r>
        <w:rPr>
          <w:rFonts w:ascii="Palatino Linotype" w:hAnsi="Palatino Linotype" w:eastAsia="Times New Roman" w:cs="Times New Roman"/>
          <w:kern w:val="0"/>
          <w14:ligatures w14:val="none"/>
        </w:rPr>
        <w:t xml:space="preserve"> learned from Pilot #3 are applied to emerging community microgrids</w:t>
      </w:r>
      <w:r w:rsidR="00BD2355">
        <w:rPr>
          <w:kern w:val="0"/>
          <w14:ligatures w14:val="none"/>
        </w:rPr>
        <w:t>.</w:t>
      </w:r>
    </w:p>
    <w:p w:rsidRPr="001942D0" w:rsidR="00A76F4A" w:rsidP="00AD66E6" w:rsidRDefault="00A76F4A" w14:paraId="34ECDA50" w14:textId="77777777">
      <w:pPr>
        <w:spacing w:after="0" w:line="240" w:lineRule="auto"/>
        <w:rPr>
          <w:rFonts w:ascii="Palatino Linotype" w:hAnsi="Palatino Linotype" w:eastAsia="Palatino Linotype" w:cs="Times New Roman"/>
          <w:kern w:val="0"/>
          <w14:ligatures w14:val="none"/>
        </w:rPr>
      </w:pPr>
    </w:p>
    <w:p w:rsidRPr="001942D0" w:rsidR="00A76F4A" w:rsidP="7DF8D1A9" w:rsidRDefault="00A76F4A" w14:paraId="7D7FF6D7" w14:textId="77777777">
      <w:pPr>
        <w:keepNext/>
        <w:spacing w:before="120" w:after="240" w:line="276" w:lineRule="auto"/>
        <w:outlineLvl w:val="0"/>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t>Background</w:t>
      </w:r>
    </w:p>
    <w:p w:rsidR="000831B2" w:rsidP="7DF8D1A9" w:rsidRDefault="000831B2" w14:paraId="312D96C2" w14:textId="77777777">
      <w:pPr>
        <w:spacing w:after="0" w:line="276" w:lineRule="auto"/>
        <w:rPr>
          <w:rFonts w:ascii="Palatino Linotype" w:hAnsi="Palatino Linotype" w:eastAsia="Times New Roman" w:cs="Times New Roman"/>
          <w:kern w:val="0"/>
          <w14:ligatures w14:val="none"/>
        </w:rPr>
      </w:pPr>
      <w:r w:rsidRPr="000831B2">
        <w:rPr>
          <w:rFonts w:ascii="Palatino Linotype" w:hAnsi="Palatino Linotype" w:eastAsia="Times New Roman" w:cs="Times New Roman"/>
          <w:kern w:val="0"/>
          <w14:ligatures w14:val="none"/>
        </w:rPr>
        <w:t xml:space="preserve">This </w:t>
      </w:r>
      <w:r w:rsidR="000279B3">
        <w:rPr>
          <w:rFonts w:ascii="Palatino Linotype" w:hAnsi="Palatino Linotype" w:eastAsia="Times New Roman" w:cs="Times New Roman"/>
          <w:kern w:val="0"/>
          <w14:ligatures w14:val="none"/>
        </w:rPr>
        <w:t>R</w:t>
      </w:r>
      <w:r w:rsidRPr="000831B2">
        <w:rPr>
          <w:rFonts w:ascii="Palatino Linotype" w:hAnsi="Palatino Linotype" w:eastAsia="Times New Roman" w:cs="Times New Roman"/>
          <w:kern w:val="0"/>
          <w14:ligatures w14:val="none"/>
        </w:rPr>
        <w:t>esolution addresses PG&amp;E</w:t>
      </w:r>
      <w:r w:rsidRPr="000831B2" w:rsidR="4A339CEC">
        <w:rPr>
          <w:rFonts w:ascii="Palatino Linotype" w:hAnsi="Palatino Linotype" w:eastAsia="Times New Roman" w:cs="Times New Roman"/>
          <w:kern w:val="0"/>
          <w14:ligatures w14:val="none"/>
        </w:rPr>
        <w:t xml:space="preserve"> </w:t>
      </w:r>
      <w:r w:rsidRPr="78369BE0" w:rsidR="4A339CEC">
        <w:rPr>
          <w:rFonts w:ascii="Palatino Linotype" w:hAnsi="Palatino Linotype" w:eastAsia="Times New Roman" w:cs="Times New Roman"/>
        </w:rPr>
        <w:t>AL 7378-E and</w:t>
      </w:r>
      <w:r w:rsidRPr="000831B2">
        <w:rPr>
          <w:rFonts w:ascii="Palatino Linotype" w:hAnsi="Palatino Linotype" w:eastAsia="Times New Roman" w:cs="Times New Roman"/>
          <w:kern w:val="0"/>
          <w14:ligatures w14:val="none"/>
        </w:rPr>
        <w:t xml:space="preserve"> AL 7378-E-A, filed on </w:t>
      </w:r>
      <w:r w:rsidR="001D61B3">
        <w:rPr>
          <w:rFonts w:ascii="Palatino Linotype" w:hAnsi="Palatino Linotype" w:eastAsia="Times New Roman" w:cs="Times New Roman"/>
          <w:kern w:val="0"/>
          <w14:ligatures w14:val="none"/>
        </w:rPr>
        <w:br/>
      </w:r>
      <w:r w:rsidRPr="78369BE0" w:rsidR="40CAB5ED">
        <w:rPr>
          <w:rFonts w:ascii="Palatino Linotype" w:hAnsi="Palatino Linotype" w:eastAsia="Times New Roman" w:cs="Times New Roman"/>
        </w:rPr>
        <w:t xml:space="preserve">September 24, 2024, and </w:t>
      </w:r>
      <w:r w:rsidRPr="000831B2">
        <w:rPr>
          <w:rFonts w:ascii="Palatino Linotype" w:hAnsi="Palatino Linotype" w:eastAsia="Times New Roman" w:cs="Times New Roman"/>
          <w:kern w:val="0"/>
          <w14:ligatures w14:val="none"/>
        </w:rPr>
        <w:t>August 6, 2025, pursuant to</w:t>
      </w:r>
      <w:r>
        <w:rPr>
          <w:rFonts w:ascii="Palatino Linotype" w:hAnsi="Palatino Linotype" w:eastAsia="Times New Roman" w:cs="Times New Roman"/>
          <w:kern w:val="0"/>
          <w14:ligatures w14:val="none"/>
        </w:rPr>
        <w:t xml:space="preserve"> Decision (D.) 20-12-029</w:t>
      </w:r>
      <w:r w:rsidRPr="000831B2">
        <w:rPr>
          <w:rFonts w:ascii="Palatino Linotype" w:hAnsi="Palatino Linotype" w:eastAsia="Times New Roman" w:cs="Times New Roman"/>
          <w:kern w:val="0"/>
          <w14:ligatures w14:val="none"/>
        </w:rPr>
        <w:t xml:space="preserve"> and </w:t>
      </w:r>
      <w:r>
        <w:rPr>
          <w:rFonts w:ascii="Palatino Linotype" w:hAnsi="Palatino Linotype" w:eastAsia="Times New Roman" w:cs="Times New Roman"/>
          <w:kern w:val="0"/>
          <w14:ligatures w14:val="none"/>
        </w:rPr>
        <w:t>Resolution E-5192</w:t>
      </w:r>
      <w:r w:rsidRPr="78369BE0">
        <w:rPr>
          <w:rFonts w:ascii="Palatino Linotype" w:hAnsi="Palatino Linotype" w:eastAsia="Times New Roman" w:cs="Times New Roman"/>
        </w:rPr>
        <w:t>.</w:t>
      </w:r>
    </w:p>
    <w:p w:rsidR="000831B2" w:rsidP="7DF8D1A9" w:rsidRDefault="000831B2" w14:paraId="3CFD65AC" w14:textId="77777777">
      <w:pPr>
        <w:spacing w:after="0" w:line="276" w:lineRule="auto"/>
        <w:rPr>
          <w:rFonts w:ascii="Palatino Linotype" w:hAnsi="Palatino Linotype" w:eastAsia="Palatino Linotype" w:cs="Times New Roman"/>
          <w:b/>
          <w:bCs/>
          <w:kern w:val="0"/>
          <w:u w:val="single"/>
          <w14:ligatures w14:val="none"/>
        </w:rPr>
      </w:pPr>
    </w:p>
    <w:p w:rsidRPr="00676BB1" w:rsidR="00264214" w:rsidP="7DF8D1A9" w:rsidRDefault="00676BB1" w14:paraId="60323F1D" w14:textId="77777777">
      <w:pPr>
        <w:pStyle w:val="ListParagraph"/>
        <w:numPr>
          <w:ilvl w:val="0"/>
          <w:numId w:val="11"/>
        </w:numPr>
        <w:spacing w:after="0" w:line="276" w:lineRule="auto"/>
        <w:rPr>
          <w:rFonts w:ascii="Palatino Linotype" w:hAnsi="Palatino Linotype" w:eastAsia="Palatino Linotype" w:cs="Times New Roman"/>
          <w:b/>
          <w:bCs/>
          <w:kern w:val="0"/>
          <w:u w:val="single"/>
          <w14:ligatures w14:val="none"/>
        </w:rPr>
      </w:pPr>
      <w:r w:rsidRPr="7DF8D1A9">
        <w:rPr>
          <w:rFonts w:ascii="Palatino Linotype" w:hAnsi="Palatino Linotype" w:eastAsia="Palatino Linotype" w:cs="Times New Roman"/>
          <w:b/>
          <w:bCs/>
          <w:kern w:val="0"/>
          <w:u w:val="single"/>
          <w14:ligatures w14:val="none"/>
        </w:rPr>
        <w:t xml:space="preserve">Background and Procedural History </w:t>
      </w:r>
    </w:p>
    <w:p w:rsidR="00676BB1" w:rsidP="7DF8D1A9" w:rsidRDefault="00676BB1" w14:paraId="02AC2E41" w14:textId="77777777">
      <w:pPr>
        <w:spacing w:after="0" w:line="276" w:lineRule="auto"/>
        <w:rPr>
          <w:rFonts w:ascii="Palatino Linotype" w:hAnsi="Palatino Linotype" w:eastAsia="Palatino Linotype" w:cs="Times New Roman"/>
          <w:b/>
          <w:bCs/>
          <w:kern w:val="0"/>
          <w:u w:val="single"/>
          <w14:ligatures w14:val="none"/>
        </w:rPr>
      </w:pPr>
    </w:p>
    <w:p w:rsidR="00CF5EA6" w:rsidP="7DF8D1A9" w:rsidRDefault="49944ED7" w14:paraId="22772A9D" w14:textId="77777777">
      <w:pPr>
        <w:spacing w:after="0" w:line="276" w:lineRule="auto"/>
        <w:rPr>
          <w:rFonts w:ascii="Palatino Linotype" w:hAnsi="Palatino Linotype" w:eastAsia="Palatino Linotype" w:cs="Times New Roman"/>
          <w:kern w:val="0"/>
          <w14:ligatures w14:val="none"/>
        </w:rPr>
      </w:pPr>
      <w:r w:rsidRPr="7DF8D1A9">
        <w:rPr>
          <w:rFonts w:ascii="Palatino Linotype" w:hAnsi="Palatino Linotype" w:eastAsia="Palatino Linotype" w:cs="Times New Roman"/>
          <w:kern w:val="0"/>
          <w14:ligatures w14:val="none"/>
        </w:rPr>
        <w:t xml:space="preserve">Senate Bill (SB) 676 (Stats. 2019, </w:t>
      </w:r>
      <w:r w:rsidRPr="7DF8D1A9" w:rsidR="72A820B4">
        <w:rPr>
          <w:rFonts w:ascii="Palatino Linotype" w:hAnsi="Palatino Linotype" w:eastAsia="Palatino Linotype" w:cs="Times New Roman"/>
          <w:kern w:val="0"/>
          <w14:ligatures w14:val="none"/>
        </w:rPr>
        <w:t>Ch.</w:t>
      </w:r>
      <w:r w:rsidRPr="7DF8D1A9">
        <w:rPr>
          <w:rFonts w:ascii="Palatino Linotype" w:hAnsi="Palatino Linotype" w:eastAsia="Palatino Linotype" w:cs="Times New Roman"/>
          <w:kern w:val="0"/>
          <w14:ligatures w14:val="none"/>
        </w:rPr>
        <w:t xml:space="preserve"> 484) enacted Public Utilities Code §740.16, directing the California Public Utilities Commission (CPUC) to develop strategies and metrics to maximize feasible and cost-effective electric vehicle (EV) integration into the electrical grid by January 1, 2030. In response, D. 20-12-029 implemented SB 676, </w:t>
      </w:r>
      <w:r w:rsidR="00DF1648">
        <w:rPr>
          <w:rFonts w:ascii="Palatino Linotype" w:hAnsi="Palatino Linotype" w:eastAsia="Palatino Linotype" w:cs="Times New Roman"/>
          <w:kern w:val="0"/>
          <w14:ligatures w14:val="none"/>
        </w:rPr>
        <w:t xml:space="preserve">which </w:t>
      </w:r>
      <w:r w:rsidRPr="78369BE0" w:rsidR="364ECE7B">
        <w:rPr>
          <w:rFonts w:ascii="Palatino Linotype" w:hAnsi="Palatino Linotype" w:eastAsia="Palatino Linotype" w:cs="Palatino Linotype"/>
        </w:rPr>
        <w:t xml:space="preserve">authorized </w:t>
      </w:r>
      <w:r w:rsidRPr="7DF8D1A9">
        <w:rPr>
          <w:rFonts w:ascii="Palatino Linotype" w:hAnsi="Palatino Linotype" w:eastAsia="Palatino Linotype" w:cs="Times New Roman"/>
          <w:kern w:val="0"/>
          <w14:ligatures w14:val="none"/>
        </w:rPr>
        <w:t xml:space="preserve">investor-owned utilities (IOUs) to propose pilots via advice letters. Among its policy priorities, the decision emphasized accelerating the </w:t>
      </w:r>
      <w:r w:rsidRPr="7DF8D1A9" w:rsidR="5B85C990">
        <w:rPr>
          <w:rFonts w:ascii="Palatino Linotype" w:hAnsi="Palatino Linotype" w:eastAsia="Palatino Linotype" w:cs="Times New Roman"/>
          <w:kern w:val="0"/>
          <w14:ligatures w14:val="none"/>
        </w:rPr>
        <w:t>adoption</w:t>
      </w:r>
      <w:r w:rsidRPr="7DF8D1A9">
        <w:rPr>
          <w:rFonts w:ascii="Palatino Linotype" w:hAnsi="Palatino Linotype" w:eastAsia="Palatino Linotype" w:cs="Times New Roman"/>
          <w:kern w:val="0"/>
          <w14:ligatures w14:val="none"/>
        </w:rPr>
        <w:t xml:space="preserve"> of EVs for </w:t>
      </w:r>
      <w:r w:rsidR="001D61B3">
        <w:rPr>
          <w:rFonts w:ascii="Palatino Linotype" w:hAnsi="Palatino Linotype" w:eastAsia="Palatino Linotype" w:cs="Times New Roman"/>
          <w:kern w:val="0"/>
          <w14:ligatures w14:val="none"/>
        </w:rPr>
        <w:br/>
      </w:r>
      <w:r w:rsidRPr="7DF8D1A9">
        <w:rPr>
          <w:rFonts w:ascii="Palatino Linotype" w:hAnsi="Palatino Linotype" w:eastAsia="Palatino Linotype" w:cs="Times New Roman"/>
          <w:kern w:val="0"/>
          <w14:ligatures w14:val="none"/>
        </w:rPr>
        <w:t>bi-directional, non-grid-export power and resiliency during Public Safety Power Shutoff (PSPS) events.</w:t>
      </w:r>
    </w:p>
    <w:p w:rsidRPr="00CF5EA6" w:rsidR="00CF5EA6" w:rsidP="7DF8D1A9" w:rsidRDefault="00CF5EA6" w14:paraId="50AA88F3" w14:textId="77777777">
      <w:pPr>
        <w:spacing w:after="0" w:line="276" w:lineRule="auto"/>
        <w:rPr>
          <w:rFonts w:ascii="Palatino Linotype" w:hAnsi="Palatino Linotype" w:eastAsia="Palatino Linotype" w:cs="Times New Roman"/>
          <w:kern w:val="0"/>
          <w14:ligatures w14:val="none"/>
        </w:rPr>
      </w:pPr>
    </w:p>
    <w:p w:rsidR="00CF5EA6" w:rsidP="78369BE0" w:rsidRDefault="00CF5EA6" w14:paraId="3954C0CC" w14:textId="77777777">
      <w:pPr>
        <w:spacing w:after="0" w:line="276" w:lineRule="auto"/>
        <w:rPr>
          <w:rFonts w:ascii="Palatino Linotype" w:hAnsi="Palatino Linotype" w:eastAsia="Palatino Linotype" w:cs="Times New Roman"/>
        </w:rPr>
      </w:pPr>
      <w:r w:rsidRPr="7DF8D1A9">
        <w:rPr>
          <w:rFonts w:ascii="Palatino Linotype" w:hAnsi="Palatino Linotype" w:eastAsia="Palatino Linotype" w:cs="Times New Roman"/>
          <w:kern w:val="0"/>
          <w14:ligatures w14:val="none"/>
        </w:rPr>
        <w:t xml:space="preserve">Pursuant to D.20-12-029, PG&amp;E submitted AL 6259-E on July 15, 2021, proposing four V2X pilots, including Pilot #3, the Vehicle-to-Microgrid PSPS Microgrid Pilot. On </w:t>
      </w:r>
      <w:r w:rsidR="001D61B3">
        <w:rPr>
          <w:rFonts w:ascii="Palatino Linotype" w:hAnsi="Palatino Linotype" w:eastAsia="Palatino Linotype" w:cs="Times New Roman"/>
          <w:kern w:val="0"/>
          <w14:ligatures w14:val="none"/>
        </w:rPr>
        <w:br/>
      </w:r>
      <w:r w:rsidRPr="7DF8D1A9">
        <w:rPr>
          <w:rFonts w:ascii="Palatino Linotype" w:hAnsi="Palatino Linotype" w:eastAsia="Palatino Linotype" w:cs="Times New Roman"/>
          <w:kern w:val="0"/>
          <w14:ligatures w14:val="none"/>
        </w:rPr>
        <w:t xml:space="preserve">May 5, 2022, the CPUC approved Pilot #3 through Resolution E-5192, authorizing a </w:t>
      </w:r>
      <w:r w:rsidR="001D61B3">
        <w:rPr>
          <w:rFonts w:ascii="Palatino Linotype" w:hAnsi="Palatino Linotype" w:eastAsia="Palatino Linotype" w:cs="Times New Roman"/>
          <w:kern w:val="0"/>
          <w14:ligatures w14:val="none"/>
        </w:rPr>
        <w:br/>
      </w:r>
      <w:r w:rsidRPr="7DF8D1A9">
        <w:rPr>
          <w:rFonts w:ascii="Palatino Linotype" w:hAnsi="Palatino Linotype" w:eastAsia="Palatino Linotype" w:cs="Times New Roman"/>
          <w:kern w:val="0"/>
          <w14:ligatures w14:val="none"/>
        </w:rPr>
        <w:t xml:space="preserve">$1.5 million budget. Resolution E-5192 established overall objectives and success metrics for Pilot #3, but it did not distinguish between “Phase I” and “Phase II.” </w:t>
      </w:r>
      <w:r w:rsidRPr="7DF8D1A9" w:rsidR="11D38771">
        <w:rPr>
          <w:rFonts w:ascii="Palatino Linotype" w:hAnsi="Palatino Linotype" w:eastAsia="Palatino Linotype" w:cs="Times New Roman"/>
          <w:kern w:val="0"/>
          <w14:ligatures w14:val="none"/>
        </w:rPr>
        <w:t>Before that</w:t>
      </w:r>
      <w:r w:rsidR="00363F29">
        <w:rPr>
          <w:rFonts w:ascii="Palatino Linotype" w:hAnsi="Palatino Linotype" w:eastAsia="Palatino Linotype" w:cs="Times New Roman"/>
          <w:kern w:val="0"/>
          <w14:ligatures w14:val="none"/>
        </w:rPr>
        <w:t>,</w:t>
      </w:r>
      <w:r w:rsidRPr="7DF8D1A9" w:rsidR="11D38771">
        <w:rPr>
          <w:rFonts w:ascii="Palatino Linotype" w:hAnsi="Palatino Linotype" w:eastAsia="Palatino Linotype" w:cs="Times New Roman"/>
          <w:kern w:val="0"/>
          <w14:ligatures w14:val="none"/>
        </w:rPr>
        <w:t xml:space="preserve"> </w:t>
      </w:r>
      <w:r w:rsidRPr="7DF8D1A9" w:rsidR="00A87B74">
        <w:rPr>
          <w:rFonts w:ascii="Palatino Linotype" w:hAnsi="Palatino Linotype" w:eastAsia="Palatino Linotype" w:cs="Times New Roman"/>
          <w:kern w:val="0"/>
          <w14:ligatures w14:val="none"/>
        </w:rPr>
        <w:t>PG&amp;E introduced the two-phase structure</w:t>
      </w:r>
      <w:r w:rsidRPr="7DF8D1A9" w:rsidR="51184D3B">
        <w:rPr>
          <w:rFonts w:ascii="Palatino Linotype" w:hAnsi="Palatino Linotype" w:eastAsia="Palatino Linotype" w:cs="Times New Roman"/>
          <w:kern w:val="0"/>
          <w14:ligatures w14:val="none"/>
        </w:rPr>
        <w:t xml:space="preserve"> </w:t>
      </w:r>
      <w:r w:rsidRPr="7DF8D1A9" w:rsidR="737A4FEC">
        <w:rPr>
          <w:rFonts w:ascii="Palatino Linotype" w:hAnsi="Palatino Linotype" w:eastAsia="Palatino Linotype" w:cs="Times New Roman"/>
          <w:kern w:val="0"/>
          <w14:ligatures w14:val="none"/>
        </w:rPr>
        <w:t xml:space="preserve">on </w:t>
      </w:r>
      <w:r w:rsidRPr="4F027024" w:rsidR="737A4FEC">
        <w:rPr>
          <w:rFonts w:ascii="Palatino Linotype" w:hAnsi="Palatino Linotype" w:eastAsia="Palatino Linotype" w:cs="Times New Roman"/>
        </w:rPr>
        <w:t>July 15, 2021,</w:t>
      </w:r>
      <w:r w:rsidRPr="7DF8D1A9" w:rsidR="737A4FEC">
        <w:rPr>
          <w:rFonts w:ascii="Palatino Linotype" w:hAnsi="Palatino Linotype" w:eastAsia="Palatino Linotype" w:cs="Times New Roman"/>
          <w:kern w:val="0"/>
          <w14:ligatures w14:val="none"/>
        </w:rPr>
        <w:t xml:space="preserve"> </w:t>
      </w:r>
      <w:r w:rsidRPr="49A7AEC5" w:rsidR="51184D3B">
        <w:rPr>
          <w:rFonts w:ascii="Palatino Linotype" w:hAnsi="Palatino Linotype" w:eastAsia="Palatino Linotype" w:cs="Times New Roman"/>
        </w:rPr>
        <w:t xml:space="preserve">in AL </w:t>
      </w:r>
      <w:r w:rsidRPr="7DF8D1A9" w:rsidR="51184D3B">
        <w:rPr>
          <w:rFonts w:ascii="Palatino Linotype" w:hAnsi="Palatino Linotype" w:eastAsia="Palatino Linotype" w:cs="Times New Roman"/>
          <w:kern w:val="0"/>
          <w14:ligatures w14:val="none"/>
        </w:rPr>
        <w:t xml:space="preserve">6259-E, Attachment </w:t>
      </w:r>
      <w:r w:rsidRPr="7DF8D1A9" w:rsidR="0A271E50">
        <w:rPr>
          <w:rFonts w:ascii="Palatino Linotype" w:hAnsi="Palatino Linotype" w:eastAsia="Palatino Linotype" w:cs="Times New Roman"/>
          <w:kern w:val="0"/>
          <w14:ligatures w14:val="none"/>
        </w:rPr>
        <w:t>1</w:t>
      </w:r>
      <w:r w:rsidRPr="7DF8D1A9" w:rsidR="51184D3B">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to describe how the</w:t>
      </w:r>
      <w:r w:rsidRPr="7DF8D1A9" w:rsidR="004E6392">
        <w:rPr>
          <w:rFonts w:ascii="Palatino Linotype" w:hAnsi="Palatino Linotype" w:eastAsia="Palatino Linotype" w:cs="Times New Roman"/>
          <w:kern w:val="0"/>
          <w14:ligatures w14:val="none"/>
        </w:rPr>
        <w:t xml:space="preserve"> pilot’s</w:t>
      </w:r>
      <w:r w:rsidRPr="4F027024">
        <w:rPr>
          <w:rFonts w:ascii="Palatino Linotype" w:hAnsi="Palatino Linotype" w:eastAsia="Palatino Linotype" w:cs="Times New Roman"/>
        </w:rPr>
        <w:t xml:space="preserve"> demonstration would be staged.</w:t>
      </w:r>
    </w:p>
    <w:p w:rsidR="00CF5EA6" w:rsidP="78369BE0" w:rsidRDefault="00CF5EA6" w14:paraId="037528E1" w14:textId="77777777">
      <w:pPr>
        <w:spacing w:after="0" w:line="276" w:lineRule="auto"/>
        <w:rPr>
          <w:rFonts w:ascii="Palatino Linotype" w:hAnsi="Palatino Linotype" w:eastAsia="Palatino Linotype" w:cs="Times New Roman"/>
        </w:rPr>
      </w:pPr>
    </w:p>
    <w:p w:rsidR="00CF5EA6" w:rsidP="78369BE0" w:rsidRDefault="000279B3" w14:paraId="40AE0040" w14:textId="77777777">
      <w:pPr>
        <w:spacing w:after="0" w:line="276" w:lineRule="auto"/>
        <w:rPr>
          <w:rFonts w:ascii="Palatino Linotype" w:hAnsi="Palatino Linotype" w:eastAsia="Palatino Linotype" w:cs="Times New Roman"/>
        </w:rPr>
      </w:pPr>
      <w:r w:rsidRPr="4F027024">
        <w:rPr>
          <w:rFonts w:ascii="Palatino Linotype" w:hAnsi="Palatino Linotype" w:eastAsia="Palatino Linotype" w:cs="Times New Roman"/>
        </w:rPr>
        <w:t xml:space="preserve">PG&amp;E designed </w:t>
      </w:r>
      <w:r w:rsidRPr="78369BE0" w:rsidR="44DABF71">
        <w:rPr>
          <w:rFonts w:ascii="Palatino Linotype" w:hAnsi="Palatino Linotype" w:eastAsia="Palatino Linotype" w:cs="Times New Roman"/>
        </w:rPr>
        <w:t>Pilot #3 to demonstrate how bidirectional</w:t>
      </w:r>
      <w:r w:rsidR="0024510C">
        <w:rPr>
          <w:rFonts w:ascii="Palatino Linotype" w:hAnsi="Palatino Linotype" w:eastAsia="Palatino Linotype" w:cs="Times New Roman"/>
        </w:rPr>
        <w:t xml:space="preserve"> </w:t>
      </w:r>
      <w:r w:rsidRPr="78369BE0" w:rsidR="44DABF71">
        <w:rPr>
          <w:rFonts w:ascii="Palatino Linotype" w:hAnsi="Palatino Linotype" w:eastAsia="Palatino Linotype" w:cs="Times New Roman"/>
        </w:rPr>
        <w:t xml:space="preserve">EVs and </w:t>
      </w:r>
      <w:r w:rsidRPr="4F027024" w:rsidR="002B07A4">
        <w:rPr>
          <w:rFonts w:ascii="Palatino Linotype" w:hAnsi="Palatino Linotype" w:eastAsia="Palatino Linotype" w:cs="Times New Roman"/>
        </w:rPr>
        <w:t>electric vehicle supply equipment (</w:t>
      </w:r>
      <w:r w:rsidRPr="78369BE0" w:rsidR="44DABF71">
        <w:rPr>
          <w:rFonts w:ascii="Palatino Linotype" w:hAnsi="Palatino Linotype" w:eastAsia="Palatino Linotype" w:cs="Times New Roman"/>
        </w:rPr>
        <w:t>EVSE</w:t>
      </w:r>
      <w:r w:rsidRPr="4F027024" w:rsidR="002B07A4">
        <w:rPr>
          <w:rFonts w:ascii="Palatino Linotype" w:hAnsi="Palatino Linotype" w:eastAsia="Palatino Linotype" w:cs="Times New Roman"/>
        </w:rPr>
        <w:t>)</w:t>
      </w:r>
      <w:r w:rsidRPr="78369BE0" w:rsidR="44DABF71">
        <w:rPr>
          <w:rFonts w:ascii="Palatino Linotype" w:hAnsi="Palatino Linotype" w:eastAsia="Palatino Linotype" w:cs="Times New Roman"/>
        </w:rPr>
        <w:t xml:space="preserve"> can provide community resiliency</w:t>
      </w:r>
      <w:r w:rsidRPr="78369BE0" w:rsidR="00CF5EA6">
        <w:rPr>
          <w:rStyle w:val="FootnoteReference"/>
          <w:rFonts w:ascii="Palatino Linotype" w:hAnsi="Palatino Linotype" w:eastAsia="Palatino Linotype" w:cs="Times New Roman"/>
        </w:rPr>
        <w:footnoteReference w:id="3"/>
      </w:r>
      <w:r w:rsidRPr="78369BE0" w:rsidR="44DABF71">
        <w:rPr>
          <w:rFonts w:ascii="Palatino Linotype" w:hAnsi="Palatino Linotype" w:eastAsia="Palatino Linotype" w:cs="Times New Roman"/>
        </w:rPr>
        <w:t xml:space="preserve"> benefits during grid outages. The pilot builds on the Electric Program Investment Charge (EPIC) Project 3.11B, which validated behind-the-meter (BTM) real-time resiliency controls for solar </w:t>
      </w:r>
      <w:r w:rsidRPr="78369BE0" w:rsidR="44DABF71">
        <w:rPr>
          <w:rFonts w:ascii="Palatino Linotype" w:hAnsi="Palatino Linotype" w:eastAsia="Palatino Linotype" w:cs="Times New Roman"/>
        </w:rPr>
        <w:lastRenderedPageBreak/>
        <w:t>and storage, by incorporating EVs as bidirectional resources capable of charging and discharging within a multi-customer microgrid. The objective is to enable operational integration between front-of-the-meter (FTM) generation and BTM vehicle resources to balance generation and load during PSPS events.</w:t>
      </w:r>
    </w:p>
    <w:p w:rsidR="000279B3" w:rsidP="78369BE0" w:rsidRDefault="000279B3" w14:paraId="6E4C8026" w14:textId="77777777">
      <w:pPr>
        <w:spacing w:after="0" w:line="276" w:lineRule="auto"/>
        <w:rPr>
          <w:rFonts w:ascii="Palatino Linotype" w:hAnsi="Palatino Linotype" w:eastAsia="Palatino Linotype" w:cs="Times New Roman"/>
        </w:rPr>
      </w:pPr>
    </w:p>
    <w:p w:rsidR="00CF5EA6" w:rsidP="78369BE0" w:rsidRDefault="44DABF71" w14:paraId="07DD1709" w14:textId="77777777">
      <w:pPr>
        <w:spacing w:after="0" w:line="276" w:lineRule="auto"/>
        <w:rPr>
          <w:rFonts w:ascii="Palatino Linotype" w:hAnsi="Palatino Linotype" w:eastAsia="Palatino Linotype" w:cs="Times New Roman"/>
        </w:rPr>
      </w:pPr>
      <w:r w:rsidRPr="78369BE0">
        <w:rPr>
          <w:rFonts w:ascii="Palatino Linotype" w:hAnsi="Palatino Linotype" w:eastAsia="Palatino Linotype" w:cs="Times New Roman"/>
        </w:rPr>
        <w:t>Under the approved design,</w:t>
      </w:r>
      <w:r w:rsidR="002B07A4">
        <w:rPr>
          <w:rFonts w:ascii="Palatino Linotype" w:hAnsi="Palatino Linotype" w:eastAsia="Palatino Linotype" w:cs="Times New Roman"/>
        </w:rPr>
        <w:t xml:space="preserve"> PG&amp;E was to test</w:t>
      </w:r>
      <w:r w:rsidRPr="78369BE0">
        <w:rPr>
          <w:rFonts w:ascii="Palatino Linotype" w:hAnsi="Palatino Linotype" w:eastAsia="Palatino Linotype" w:cs="Times New Roman"/>
        </w:rPr>
        <w:t xml:space="preserve"> approximately five to ten BTM bidirectional EVs in coordination with </w:t>
      </w:r>
      <w:r w:rsidR="00795517">
        <w:rPr>
          <w:rFonts w:ascii="Palatino Linotype" w:hAnsi="Palatino Linotype" w:eastAsia="Palatino Linotype" w:cs="Times New Roman"/>
        </w:rPr>
        <w:t>an</w:t>
      </w:r>
      <w:r w:rsidRPr="78369BE0">
        <w:rPr>
          <w:rFonts w:ascii="Palatino Linotype" w:hAnsi="Palatino Linotype" w:eastAsia="Palatino Linotype" w:cs="Times New Roman"/>
        </w:rPr>
        <w:t xml:space="preserve"> FTM generator or generator-plus-battery system at</w:t>
      </w:r>
      <w:r w:rsidR="00DC4735">
        <w:rPr>
          <w:rFonts w:ascii="Palatino Linotype" w:hAnsi="Palatino Linotype" w:eastAsia="Palatino Linotype" w:cs="Times New Roman"/>
        </w:rPr>
        <w:t xml:space="preserve"> </w:t>
      </w:r>
      <w:r w:rsidRPr="00211E90" w:rsidR="00DC4735">
        <w:rPr>
          <w:rFonts w:ascii="Palatino Linotype" w:hAnsi="Palatino Linotype" w:eastAsia="Times New Roman" w:cs="Times New Roman"/>
          <w:kern w:val="0"/>
          <w14:ligatures w14:val="none"/>
        </w:rPr>
        <w:t>Redwood Coast Airport Microgrid (RCAM)</w:t>
      </w:r>
      <w:r w:rsidRPr="78369BE0">
        <w:rPr>
          <w:rFonts w:ascii="Palatino Linotype" w:hAnsi="Palatino Linotype" w:eastAsia="Palatino Linotype" w:cs="Times New Roman"/>
        </w:rPr>
        <w:t xml:space="preserve">. </w:t>
      </w:r>
      <w:r w:rsidR="002B07A4">
        <w:rPr>
          <w:rFonts w:ascii="Palatino Linotype" w:hAnsi="Palatino Linotype" w:eastAsia="Palatino Linotype" w:cs="Times New Roman"/>
        </w:rPr>
        <w:t>The Commission adopted s</w:t>
      </w:r>
      <w:r w:rsidRPr="78369BE0">
        <w:rPr>
          <w:rFonts w:ascii="Palatino Linotype" w:hAnsi="Palatino Linotype" w:eastAsia="Palatino Linotype" w:cs="Times New Roman"/>
        </w:rPr>
        <w:t>uccess metrics in Resolution E-5192</w:t>
      </w:r>
      <w:r w:rsidR="00684278">
        <w:rPr>
          <w:rFonts w:ascii="Palatino Linotype" w:hAnsi="Palatino Linotype" w:eastAsia="Palatino Linotype" w:cs="Times New Roman"/>
        </w:rPr>
        <w:t>,</w:t>
      </w:r>
      <w:r w:rsidRPr="78369BE0">
        <w:rPr>
          <w:rFonts w:ascii="Palatino Linotype" w:hAnsi="Palatino Linotype" w:eastAsia="Palatino Linotype" w:cs="Times New Roman"/>
        </w:rPr>
        <w:t xml:space="preserve"> includ</w:t>
      </w:r>
      <w:r w:rsidR="00724F40">
        <w:rPr>
          <w:rFonts w:ascii="Palatino Linotype" w:hAnsi="Palatino Linotype" w:eastAsia="Palatino Linotype" w:cs="Times New Roman"/>
        </w:rPr>
        <w:t>ing</w:t>
      </w:r>
      <w:r w:rsidRPr="78369BE0">
        <w:rPr>
          <w:rFonts w:ascii="Palatino Linotype" w:hAnsi="Palatino Linotype" w:eastAsia="Palatino Linotype" w:cs="Times New Roman"/>
        </w:rPr>
        <w:t xml:space="preserve"> </w:t>
      </w:r>
      <w:r w:rsidR="00684278">
        <w:rPr>
          <w:rFonts w:ascii="Palatino Linotype" w:hAnsi="Palatino Linotype" w:eastAsia="Palatino Linotype" w:cs="Times New Roman"/>
        </w:rPr>
        <w:t xml:space="preserve">the </w:t>
      </w:r>
      <w:r w:rsidRPr="78369BE0">
        <w:rPr>
          <w:rFonts w:ascii="Palatino Linotype" w:hAnsi="Palatino Linotype" w:eastAsia="Palatino Linotype" w:cs="Times New Roman"/>
        </w:rPr>
        <w:t>develop</w:t>
      </w:r>
      <w:r w:rsidR="00684278">
        <w:rPr>
          <w:rFonts w:ascii="Palatino Linotype" w:hAnsi="Palatino Linotype" w:eastAsia="Palatino Linotype" w:cs="Times New Roman"/>
        </w:rPr>
        <w:t>ment of</w:t>
      </w:r>
      <w:r w:rsidRPr="78369BE0">
        <w:rPr>
          <w:rFonts w:ascii="Palatino Linotype" w:hAnsi="Palatino Linotype" w:eastAsia="Palatino Linotype" w:cs="Times New Roman"/>
        </w:rPr>
        <w:t xml:space="preserve"> operational processes that allow multi-customer microgrids to use BTM EVs to balance generation and load, demonstrating five to ten bidirectional EVs operating within a microgrid during PSPS or islanded conditions, and launching an incentive program for up to 200 participating vehicles located within PSPS microgrid boundaries.</w:t>
      </w:r>
    </w:p>
    <w:p w:rsidR="00BF7D0E" w:rsidP="78369BE0" w:rsidRDefault="00BF7D0E" w14:paraId="47C97708" w14:textId="77777777">
      <w:pPr>
        <w:spacing w:after="0" w:line="276" w:lineRule="auto"/>
      </w:pPr>
    </w:p>
    <w:p w:rsidR="00CF5EA6" w:rsidP="4ECBD263" w:rsidRDefault="44DABF71" w14:paraId="16E841AE" w14:textId="77777777">
      <w:pPr>
        <w:spacing w:after="0" w:line="276" w:lineRule="auto"/>
        <w:rPr>
          <w:rFonts w:ascii="Palatino Linotype" w:hAnsi="Palatino Linotype" w:eastAsia="Palatino Linotype" w:cs="Times New Roman"/>
        </w:rPr>
      </w:pPr>
      <w:r w:rsidRPr="4ECBD263">
        <w:rPr>
          <w:rFonts w:ascii="Palatino Linotype" w:hAnsi="Palatino Linotype" w:eastAsia="Palatino Linotype" w:cs="Times New Roman"/>
        </w:rPr>
        <w:t>Funding for the core microgrid functions</w:t>
      </w:r>
      <w:r w:rsidRPr="4ECBD263" w:rsidR="005700E4">
        <w:rPr>
          <w:rFonts w:ascii="Palatino Linotype" w:hAnsi="Palatino Linotype" w:eastAsia="Palatino Linotype" w:cs="Times New Roman"/>
        </w:rPr>
        <w:t>,</w:t>
      </w:r>
      <w:r w:rsidRPr="4ECBD263">
        <w:rPr>
          <w:rFonts w:ascii="Palatino Linotype" w:hAnsi="Palatino Linotype" w:eastAsia="Palatino Linotype" w:cs="Times New Roman"/>
        </w:rPr>
        <w:t xml:space="preserve"> such as generator management, supervisory control and data acquisition (SCADA) integration, and switching controls</w:t>
      </w:r>
      <w:r w:rsidRPr="4ECBD263" w:rsidR="005700E4">
        <w:rPr>
          <w:rFonts w:ascii="Palatino Linotype" w:hAnsi="Palatino Linotype" w:eastAsia="Palatino Linotype" w:cs="Times New Roman"/>
        </w:rPr>
        <w:t>,</w:t>
      </w:r>
      <w:r w:rsidRPr="4ECBD263">
        <w:rPr>
          <w:rFonts w:ascii="Palatino Linotype" w:hAnsi="Palatino Linotype" w:eastAsia="Palatino Linotype" w:cs="Times New Roman"/>
        </w:rPr>
        <w:t xml:space="preserve"> is provided through EPIC 3.11B</w:t>
      </w:r>
      <w:r w:rsidRPr="4ECBD263" w:rsidR="007A05D5">
        <w:rPr>
          <w:rFonts w:ascii="Palatino Linotype" w:hAnsi="Palatino Linotype" w:eastAsia="Palatino Linotype" w:cs="Times New Roman"/>
        </w:rPr>
        <w:t>. The</w:t>
      </w:r>
      <w:r w:rsidRPr="4ECBD263">
        <w:rPr>
          <w:rFonts w:ascii="Palatino Linotype" w:hAnsi="Palatino Linotype" w:eastAsia="Palatino Linotype" w:cs="Times New Roman"/>
        </w:rPr>
        <w:t xml:space="preserve"> VGI pilot funds support incremental activities specific to EV integration, including inverter configuration, performance testing, and customer engagement on resiliency and mobility benefits.</w:t>
      </w:r>
    </w:p>
    <w:p w:rsidR="18AA0EAE" w:rsidP="18AA0EAE" w:rsidRDefault="18AA0EAE" w14:paraId="672C6688" w14:textId="77777777">
      <w:pPr>
        <w:spacing w:after="0" w:line="276" w:lineRule="auto"/>
        <w:rPr>
          <w:rFonts w:ascii="Palatino Linotype" w:hAnsi="Palatino Linotype" w:eastAsia="Palatino Linotype" w:cs="Times New Roman"/>
        </w:rPr>
      </w:pPr>
    </w:p>
    <w:p w:rsidR="00CF5EA6" w:rsidP="7DF8D1A9" w:rsidRDefault="008E2CD7" w14:paraId="2D6663B2" w14:textId="77777777">
      <w:pPr>
        <w:spacing w:after="0"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On November 14, 2023,</w:t>
      </w:r>
      <w:r w:rsidR="004536E7">
        <w:rPr>
          <w:rFonts w:ascii="Palatino Linotype" w:hAnsi="Palatino Linotype" w:eastAsia="Palatino Linotype" w:cs="Times New Roman"/>
        </w:rPr>
        <w:t xml:space="preserve"> </w:t>
      </w:r>
      <w:r w:rsidRPr="4F027024" w:rsidR="00BF7D0E">
        <w:rPr>
          <w:rFonts w:ascii="Palatino Linotype" w:hAnsi="Palatino Linotype" w:eastAsia="Palatino Linotype" w:cs="Times New Roman"/>
        </w:rPr>
        <w:t>PG&amp;E submitted an extension request to the CPUC</w:t>
      </w:r>
      <w:r w:rsidR="00795517">
        <w:rPr>
          <w:rFonts w:ascii="Palatino Linotype" w:hAnsi="Palatino Linotype" w:eastAsia="Palatino Linotype" w:cs="Times New Roman"/>
        </w:rPr>
        <w:t>,</w:t>
      </w:r>
      <w:r w:rsidRPr="4F027024" w:rsidR="00BF7D0E">
        <w:rPr>
          <w:rFonts w:ascii="Palatino Linotype" w:hAnsi="Palatino Linotype" w:eastAsia="Palatino Linotype" w:cs="Times New Roman"/>
        </w:rPr>
        <w:t xml:space="preserve"> citing delays related to the Federal Aviation Administration (FAA) dispersion of funding needed to complete the installation of bi-directional chargers at the RCAM, where the first demonstration site was to be located.</w:t>
      </w:r>
      <w:r w:rsidR="00F86C3B">
        <w:rPr>
          <w:kern w:val="0"/>
          <w14:ligatures w14:val="none"/>
        </w:rPr>
        <w:t xml:space="preserve"> </w:t>
      </w:r>
      <w:r w:rsidRPr="7DF8D1A9" w:rsidR="00CF5EA6">
        <w:rPr>
          <w:rFonts w:ascii="Palatino Linotype" w:hAnsi="Palatino Linotype" w:eastAsia="Palatino Linotype" w:cs="Times New Roman"/>
          <w:kern w:val="0"/>
          <w14:ligatures w14:val="none"/>
        </w:rPr>
        <w:t>On January 12, 2024, the CPUC Executive Director granted PG&amp;E</w:t>
      </w:r>
      <w:r w:rsidRPr="4F027024" w:rsidR="00BF7D0E">
        <w:rPr>
          <w:rFonts w:ascii="Palatino Linotype" w:hAnsi="Palatino Linotype" w:eastAsia="Palatino Linotype" w:cs="Times New Roman"/>
        </w:rPr>
        <w:t>’s extension request</w:t>
      </w:r>
      <w:r w:rsidRPr="7DF8D1A9" w:rsidR="00CF5EA6">
        <w:rPr>
          <w:rFonts w:ascii="Palatino Linotype" w:hAnsi="Palatino Linotype" w:eastAsia="Palatino Linotype" w:cs="Times New Roman"/>
          <w:kern w:val="0"/>
          <w14:ligatures w14:val="none"/>
        </w:rPr>
        <w:t>. On May 21, 2024, PG&amp;E submitted another extension request</w:t>
      </w:r>
      <w:r w:rsidRPr="7DF8D1A9" w:rsidR="3E98E334">
        <w:rPr>
          <w:rFonts w:ascii="Palatino Linotype" w:hAnsi="Palatino Linotype" w:eastAsia="Palatino Linotype" w:cs="Times New Roman"/>
          <w:kern w:val="0"/>
          <w14:ligatures w14:val="none"/>
        </w:rPr>
        <w:t xml:space="preserve"> letter</w:t>
      </w:r>
      <w:r w:rsidR="00F86C3B">
        <w:rPr>
          <w:rFonts w:ascii="Palatino Linotype" w:hAnsi="Palatino Linotype" w:eastAsia="Palatino Linotype" w:cs="Times New Roman"/>
          <w:kern w:val="0"/>
          <w14:ligatures w14:val="none"/>
        </w:rPr>
        <w:t>,</w:t>
      </w:r>
      <w:r w:rsidRPr="7DF8D1A9" w:rsidR="00CF5EA6">
        <w:rPr>
          <w:rFonts w:ascii="Palatino Linotype" w:hAnsi="Palatino Linotype" w:eastAsia="Palatino Linotype" w:cs="Times New Roman"/>
          <w:kern w:val="0"/>
          <w14:ligatures w14:val="none"/>
        </w:rPr>
        <w:t xml:space="preserve"> citing continued FAA delays</w:t>
      </w:r>
      <w:r w:rsidRPr="7DF8D1A9" w:rsidR="4CA5F00D">
        <w:rPr>
          <w:rFonts w:ascii="Palatino Linotype" w:hAnsi="Palatino Linotype" w:eastAsia="Palatino Linotype" w:cs="Times New Roman"/>
          <w:kern w:val="0"/>
          <w14:ligatures w14:val="none"/>
        </w:rPr>
        <w:t xml:space="preserve">, which </w:t>
      </w:r>
      <w:r w:rsidR="0024510C">
        <w:rPr>
          <w:rFonts w:ascii="Palatino Linotype" w:hAnsi="Palatino Linotype" w:eastAsia="Palatino Linotype" w:cs="Times New Roman"/>
          <w:kern w:val="0"/>
          <w14:ligatures w14:val="none"/>
        </w:rPr>
        <w:t xml:space="preserve">was </w:t>
      </w:r>
      <w:r w:rsidRPr="7DF8D1A9" w:rsidR="4CA5F00D">
        <w:rPr>
          <w:rFonts w:ascii="Palatino Linotype" w:hAnsi="Palatino Linotype" w:eastAsia="Palatino Linotype" w:cs="Times New Roman"/>
          <w:kern w:val="0"/>
          <w14:ligatures w14:val="none"/>
        </w:rPr>
        <w:t xml:space="preserve">denied by the </w:t>
      </w:r>
      <w:r w:rsidR="0024510C">
        <w:rPr>
          <w:rFonts w:ascii="Palatino Linotype" w:hAnsi="Palatino Linotype" w:eastAsia="Palatino Linotype" w:cs="Times New Roman"/>
          <w:kern w:val="0"/>
          <w14:ligatures w14:val="none"/>
        </w:rPr>
        <w:t>C</w:t>
      </w:r>
      <w:r w:rsidRPr="7DF8D1A9" w:rsidR="4CA5F00D">
        <w:rPr>
          <w:rFonts w:ascii="Palatino Linotype" w:hAnsi="Palatino Linotype" w:eastAsia="Palatino Linotype" w:cs="Times New Roman"/>
          <w:kern w:val="0"/>
          <w14:ligatures w14:val="none"/>
        </w:rPr>
        <w:t xml:space="preserve">ommission on </w:t>
      </w:r>
      <w:r w:rsidRPr="4F027024" w:rsidR="4CA5F00D">
        <w:rPr>
          <w:rFonts w:ascii="Palatino Linotype" w:hAnsi="Palatino Linotype" w:eastAsia="Palatino Linotype" w:cs="Times New Roman"/>
        </w:rPr>
        <w:t>June 2, 2024</w:t>
      </w:r>
      <w:r w:rsidRPr="7DF8D1A9" w:rsidR="00CF5EA6">
        <w:rPr>
          <w:rFonts w:ascii="Palatino Linotype" w:hAnsi="Palatino Linotype" w:eastAsia="Palatino Linotype" w:cs="Times New Roman"/>
          <w:kern w:val="0"/>
          <w14:ligatures w14:val="none"/>
        </w:rPr>
        <w:t>.</w:t>
      </w:r>
    </w:p>
    <w:p w:rsidRPr="00CF5EA6" w:rsidR="001C1E90" w:rsidP="7DF8D1A9" w:rsidRDefault="001C1E90" w14:paraId="4C0B79E8" w14:textId="77777777">
      <w:pPr>
        <w:spacing w:after="0" w:line="276" w:lineRule="auto"/>
        <w:rPr>
          <w:rFonts w:ascii="Palatino Linotype" w:hAnsi="Palatino Linotype" w:eastAsia="Palatino Linotype" w:cs="Times New Roman"/>
          <w:kern w:val="0"/>
          <w14:ligatures w14:val="none"/>
        </w:rPr>
      </w:pPr>
    </w:p>
    <w:p w:rsidRPr="00CF5EA6" w:rsidR="001C1E90" w:rsidP="7DF8D1A9" w:rsidRDefault="369342FC" w14:paraId="6F5095BD" w14:textId="77777777">
      <w:pPr>
        <w:spacing w:after="0" w:line="276" w:lineRule="auto"/>
        <w:rPr>
          <w:rFonts w:ascii="Palatino Linotype" w:hAnsi="Palatino Linotype" w:eastAsia="Palatino Linotype" w:cs="Times New Roman"/>
          <w:kern w:val="0"/>
          <w14:ligatures w14:val="none"/>
        </w:rPr>
      </w:pPr>
      <w:r w:rsidRPr="78369BE0">
        <w:rPr>
          <w:rFonts w:ascii="Palatino Linotype" w:hAnsi="Palatino Linotype" w:eastAsia="Palatino Linotype" w:cs="Times New Roman"/>
        </w:rPr>
        <w:t xml:space="preserve">On September 24, 2024, PG&amp;E filed Advice Letter 7378-E requesting </w:t>
      </w:r>
      <w:r w:rsidR="00BF7D0E">
        <w:rPr>
          <w:rFonts w:ascii="Palatino Linotype" w:hAnsi="Palatino Linotype" w:eastAsia="Palatino Linotype" w:cs="Times New Roman"/>
        </w:rPr>
        <w:t xml:space="preserve">the </w:t>
      </w:r>
      <w:r w:rsidRPr="78369BE0">
        <w:rPr>
          <w:rFonts w:ascii="Palatino Linotype" w:hAnsi="Palatino Linotype" w:eastAsia="Palatino Linotype" w:cs="Times New Roman"/>
        </w:rPr>
        <w:t>Commission</w:t>
      </w:r>
      <w:r w:rsidR="00BF7D0E">
        <w:rPr>
          <w:rFonts w:ascii="Palatino Linotype" w:hAnsi="Palatino Linotype" w:eastAsia="Palatino Linotype" w:cs="Times New Roman"/>
        </w:rPr>
        <w:t>’s</w:t>
      </w:r>
      <w:r w:rsidRPr="78369BE0">
        <w:rPr>
          <w:rFonts w:ascii="Palatino Linotype" w:hAnsi="Palatino Linotype" w:eastAsia="Palatino Linotype" w:cs="Times New Roman"/>
        </w:rPr>
        <w:t xml:space="preserve"> approval to revise the schedule for the V2X Microgrid Pilot. PG&amp;E proposed to transition Phase I from a fixed, date-based timeline to a milestone-based schedule, under which demonstration activities would begin after the bi-directional chargers were installed and energized</w:t>
      </w:r>
      <w:r w:rsidR="009C1870">
        <w:rPr>
          <w:rFonts w:ascii="Palatino Linotype" w:hAnsi="Palatino Linotype" w:eastAsia="Palatino Linotype" w:cs="Times New Roman"/>
        </w:rPr>
        <w:t>,</w:t>
      </w:r>
      <w:r w:rsidRPr="78369BE0">
        <w:rPr>
          <w:rFonts w:ascii="Palatino Linotype" w:hAnsi="Palatino Linotype" w:eastAsia="Palatino Linotype" w:cs="Times New Roman"/>
        </w:rPr>
        <w:t xml:space="preserve"> and continue for four months following deployment of the </w:t>
      </w:r>
      <w:r w:rsidRPr="78369BE0">
        <w:rPr>
          <w:rFonts w:ascii="Palatino Linotype" w:hAnsi="Palatino Linotype" w:eastAsia="Palatino Linotype" w:cs="Times New Roman"/>
        </w:rPr>
        <w:lastRenderedPageBreak/>
        <w:t>vendor’s EPIC 3.11B</w:t>
      </w:r>
      <w:r w:rsidRPr="78369BE0" w:rsidR="001C1E90">
        <w:rPr>
          <w:rStyle w:val="FootnoteReference"/>
          <w:rFonts w:ascii="Palatino Linotype" w:hAnsi="Palatino Linotype" w:eastAsia="Palatino Linotype" w:cs="Times New Roman"/>
        </w:rPr>
        <w:footnoteReference w:id="4"/>
      </w:r>
      <w:r w:rsidRPr="78369BE0">
        <w:rPr>
          <w:rFonts w:ascii="Palatino Linotype" w:hAnsi="Palatino Linotype" w:eastAsia="Palatino Linotype" w:cs="Times New Roman"/>
        </w:rPr>
        <w:t xml:space="preserve"> microgrid control system at the RCAM. PG&amp;E also requested to extend Phase II through April 2028, or until available pilot incentive funds are fully expended, to align with the longer development timelines of </w:t>
      </w:r>
      <w:r w:rsidR="00F9621E">
        <w:rPr>
          <w:rFonts w:ascii="Palatino Linotype" w:hAnsi="Palatino Linotype" w:eastAsia="Palatino Linotype" w:cs="Times New Roman"/>
        </w:rPr>
        <w:t xml:space="preserve">the </w:t>
      </w:r>
      <w:r w:rsidRPr="78369BE0">
        <w:rPr>
          <w:rFonts w:ascii="Palatino Linotype" w:hAnsi="Palatino Linotype" w:eastAsia="Palatino Linotype" w:cs="Times New Roman"/>
        </w:rPr>
        <w:t>Community Microgrid Enablement Program (CMEP)</w:t>
      </w:r>
      <w:r w:rsidR="0087065C">
        <w:rPr>
          <w:rStyle w:val="FootnoteReference"/>
          <w:rFonts w:ascii="Palatino Linotype" w:hAnsi="Palatino Linotype" w:eastAsia="Palatino Linotype" w:cs="Times New Roman"/>
        </w:rPr>
        <w:footnoteReference w:id="5"/>
      </w:r>
      <w:r w:rsidRPr="78369BE0">
        <w:rPr>
          <w:rFonts w:ascii="Palatino Linotype" w:hAnsi="Palatino Linotype" w:eastAsia="Palatino Linotype" w:cs="Times New Roman"/>
        </w:rPr>
        <w:t xml:space="preserve"> and </w:t>
      </w:r>
      <w:r w:rsidRPr="78369BE0" w:rsidR="00000490">
        <w:rPr>
          <w:rFonts w:ascii="Palatino Linotype" w:hAnsi="Palatino Linotype" w:eastAsia="Palatino Linotype" w:cs="Times New Roman"/>
        </w:rPr>
        <w:t>MIP</w:t>
      </w:r>
      <w:r w:rsidRPr="78369BE0">
        <w:rPr>
          <w:rFonts w:ascii="Palatino Linotype" w:hAnsi="Palatino Linotype" w:eastAsia="Palatino Linotype" w:cs="Times New Roman"/>
        </w:rPr>
        <w:t xml:space="preserve"> projects. PG&amp;E stated that the requested extensions would not require additional ratepayer funding.</w:t>
      </w:r>
    </w:p>
    <w:p w:rsidR="78369BE0" w:rsidP="78369BE0" w:rsidRDefault="78369BE0" w14:paraId="018D7969" w14:textId="77777777">
      <w:pPr>
        <w:spacing w:after="0" w:line="276" w:lineRule="auto"/>
        <w:rPr>
          <w:rFonts w:ascii="Palatino Linotype" w:hAnsi="Palatino Linotype" w:eastAsia="Palatino Linotype" w:cs="Times New Roman"/>
        </w:rPr>
      </w:pPr>
    </w:p>
    <w:p w:rsidRPr="00282553" w:rsidR="00282553" w:rsidP="00282553" w:rsidRDefault="49944ED7" w14:paraId="2B776D77" w14:textId="77777777">
      <w:pPr>
        <w:spacing w:after="0" w:line="276" w:lineRule="auto"/>
        <w:rPr>
          <w:rFonts w:ascii="Palatino Linotype" w:hAnsi="Palatino Linotype" w:eastAsia="Palatino Linotype" w:cs="Times New Roman"/>
          <w:kern w:val="0"/>
          <w14:ligatures w14:val="none"/>
        </w:rPr>
      </w:pPr>
      <w:r w:rsidRPr="7DF8D1A9">
        <w:rPr>
          <w:rFonts w:ascii="Palatino Linotype" w:hAnsi="Palatino Linotype" w:eastAsia="Palatino Linotype" w:cs="Times New Roman"/>
          <w:kern w:val="0"/>
          <w14:ligatures w14:val="none"/>
        </w:rPr>
        <w:t>On August 6, 2025, PG&amp;E filed AL 7378-E-A</w:t>
      </w:r>
      <w:r w:rsidR="009E2BEC">
        <w:rPr>
          <w:rFonts w:ascii="Palatino Linotype" w:hAnsi="Palatino Linotype" w:eastAsia="Palatino Linotype" w:cs="Times New Roman"/>
          <w:kern w:val="0"/>
          <w14:ligatures w14:val="none"/>
        </w:rPr>
        <w:t xml:space="preserve"> </w:t>
      </w:r>
      <w:r w:rsidRPr="00282553" w:rsidR="00282553">
        <w:rPr>
          <w:rFonts w:ascii="Palatino Linotype" w:hAnsi="Palatino Linotype" w:eastAsia="Palatino Linotype" w:cs="Times New Roman"/>
          <w:kern w:val="0"/>
          <w14:ligatures w14:val="none"/>
        </w:rPr>
        <w:t xml:space="preserve">to update and replace the Phase II </w:t>
      </w:r>
      <w:r w:rsidR="00282553">
        <w:rPr>
          <w:rFonts w:ascii="Palatino Linotype" w:hAnsi="Palatino Linotype" w:eastAsia="Palatino Linotype" w:cs="Times New Roman"/>
          <w:kern w:val="0"/>
          <w14:ligatures w14:val="none"/>
        </w:rPr>
        <w:t xml:space="preserve">time </w:t>
      </w:r>
      <w:r w:rsidRPr="00282553" w:rsidR="00282553">
        <w:rPr>
          <w:rFonts w:ascii="Palatino Linotype" w:hAnsi="Palatino Linotype" w:eastAsia="Palatino Linotype" w:cs="Times New Roman"/>
          <w:kern w:val="0"/>
          <w14:ligatures w14:val="none"/>
        </w:rPr>
        <w:t xml:space="preserve">extension request contained in AL 7378-E. The supplemental filing retained the previously proposed Phase I </w:t>
      </w:r>
      <w:r w:rsidR="00282553">
        <w:rPr>
          <w:rFonts w:ascii="Palatino Linotype" w:hAnsi="Palatino Linotype" w:eastAsia="Palatino Linotype" w:cs="Times New Roman"/>
          <w:kern w:val="0"/>
          <w14:ligatures w14:val="none"/>
        </w:rPr>
        <w:t xml:space="preserve">time </w:t>
      </w:r>
      <w:r w:rsidRPr="00282553" w:rsidR="00282553">
        <w:rPr>
          <w:rFonts w:ascii="Palatino Linotype" w:hAnsi="Palatino Linotype" w:eastAsia="Palatino Linotype" w:cs="Times New Roman"/>
          <w:kern w:val="0"/>
          <w14:ligatures w14:val="none"/>
        </w:rPr>
        <w:t xml:space="preserve">extension but </w:t>
      </w:r>
      <w:r w:rsidR="00B61F5E">
        <w:rPr>
          <w:rFonts w:ascii="Palatino Linotype" w:hAnsi="Palatino Linotype" w:eastAsia="Palatino Linotype" w:cs="Times New Roman"/>
          <w:kern w:val="0"/>
          <w14:ligatures w14:val="none"/>
        </w:rPr>
        <w:t xml:space="preserve">fully </w:t>
      </w:r>
      <w:r w:rsidRPr="00282553" w:rsidR="00282553">
        <w:rPr>
          <w:rFonts w:ascii="Palatino Linotype" w:hAnsi="Palatino Linotype" w:eastAsia="Palatino Linotype" w:cs="Times New Roman"/>
          <w:kern w:val="0"/>
          <w14:ligatures w14:val="none"/>
        </w:rPr>
        <w:t>replaced the Phase II time</w:t>
      </w:r>
      <w:r w:rsidR="00282553">
        <w:rPr>
          <w:rFonts w:ascii="Palatino Linotype" w:hAnsi="Palatino Linotype" w:eastAsia="Palatino Linotype" w:cs="Times New Roman"/>
          <w:kern w:val="0"/>
          <w14:ligatures w14:val="none"/>
        </w:rPr>
        <w:t xml:space="preserve"> </w:t>
      </w:r>
      <w:r w:rsidRPr="00282553" w:rsidR="00282553">
        <w:rPr>
          <w:rFonts w:ascii="Palatino Linotype" w:hAnsi="Palatino Linotype" w:eastAsia="Palatino Linotype" w:cs="Times New Roman"/>
          <w:kern w:val="0"/>
          <w14:ligatures w14:val="none"/>
        </w:rPr>
        <w:t xml:space="preserve">extension request with a proposal for a </w:t>
      </w:r>
      <w:r w:rsidR="00282553">
        <w:rPr>
          <w:rFonts w:ascii="Palatino Linotype" w:hAnsi="Palatino Linotype" w:eastAsia="Palatino Linotype" w:cs="Times New Roman"/>
          <w:kern w:val="0"/>
          <w14:ligatures w14:val="none"/>
        </w:rPr>
        <w:t>“</w:t>
      </w:r>
      <w:r w:rsidRPr="00282553" w:rsidR="00282553">
        <w:rPr>
          <w:rFonts w:ascii="Palatino Linotype" w:hAnsi="Palatino Linotype" w:eastAsia="Palatino Linotype" w:cs="Times New Roman"/>
          <w:kern w:val="0"/>
          <w14:ligatures w14:val="none"/>
        </w:rPr>
        <w:t>Hybrid Support Model</w:t>
      </w:r>
      <w:r w:rsidR="00282553">
        <w:rPr>
          <w:rFonts w:ascii="Palatino Linotype" w:hAnsi="Palatino Linotype" w:eastAsia="Palatino Linotype" w:cs="Times New Roman"/>
          <w:kern w:val="0"/>
          <w14:ligatures w14:val="none"/>
        </w:rPr>
        <w:t>”</w:t>
      </w:r>
      <w:r w:rsidRPr="00282553" w:rsidR="00282553">
        <w:rPr>
          <w:rFonts w:ascii="Palatino Linotype" w:hAnsi="Palatino Linotype" w:eastAsia="Palatino Linotype" w:cs="Times New Roman"/>
          <w:kern w:val="0"/>
          <w14:ligatures w14:val="none"/>
        </w:rPr>
        <w:t xml:space="preserve">. Under this approach, PG&amp;E would close customer enrollment, return unspent incentive funds to ratepayers, and continue providing technical and engineering support to MIP sites using internal, non-pilot </w:t>
      </w:r>
      <w:r w:rsidR="00282553">
        <w:rPr>
          <w:rFonts w:ascii="Palatino Linotype" w:hAnsi="Palatino Linotype" w:eastAsia="Palatino Linotype" w:cs="Times New Roman"/>
          <w:kern w:val="0"/>
          <w14:ligatures w14:val="none"/>
        </w:rPr>
        <w:t>funds</w:t>
      </w:r>
      <w:r w:rsidRPr="00282553" w:rsidR="00282553">
        <w:rPr>
          <w:rFonts w:ascii="Palatino Linotype" w:hAnsi="Palatino Linotype" w:eastAsia="Palatino Linotype" w:cs="Times New Roman"/>
          <w:kern w:val="0"/>
          <w14:ligatures w14:val="none"/>
        </w:rPr>
        <w:t xml:space="preserve">. The Hybrid Support Model was designed to leverage PG&amp;E’s V2X expertise to assist MIP communities with integrating bidirectional charging and </w:t>
      </w:r>
      <w:r w:rsidR="00282553">
        <w:rPr>
          <w:rFonts w:ascii="Palatino Linotype" w:hAnsi="Palatino Linotype" w:eastAsia="Palatino Linotype" w:cs="Times New Roman"/>
          <w:kern w:val="0"/>
          <w14:ligatures w14:val="none"/>
        </w:rPr>
        <w:t>EV</w:t>
      </w:r>
      <w:r w:rsidRPr="00282553" w:rsidR="00282553">
        <w:rPr>
          <w:rFonts w:ascii="Palatino Linotype" w:hAnsi="Palatino Linotype" w:eastAsia="Palatino Linotype" w:cs="Times New Roman"/>
          <w:kern w:val="0"/>
          <w14:ligatures w14:val="none"/>
        </w:rPr>
        <w:t xml:space="preserve"> readiness during early design and interconnection stages, while avoiding additional pilot costs and administrative burden. PG&amp;E stated that this modification better reflected current market readiness, given the limited number of operational </w:t>
      </w:r>
      <w:bookmarkStart w:name="_Int_2hP9LuOd" w:id="1"/>
      <w:r w:rsidR="00EF1E71">
        <w:rPr>
          <w:rFonts w:ascii="Palatino Linotype" w:hAnsi="Palatino Linotype" w:eastAsia="Palatino Linotype" w:cs="Times New Roman"/>
          <w:kern w:val="0"/>
          <w14:ligatures w14:val="none"/>
        </w:rPr>
        <w:t>communit</w:t>
      </w:r>
      <w:r w:rsidR="000A586C">
        <w:rPr>
          <w:rFonts w:ascii="Palatino Linotype" w:hAnsi="Palatino Linotype" w:eastAsia="Palatino Linotype" w:cs="Times New Roman"/>
          <w:kern w:val="0"/>
          <w14:ligatures w14:val="none"/>
        </w:rPr>
        <w:t>y</w:t>
      </w:r>
      <w:bookmarkEnd w:id="1"/>
      <w:r w:rsidRPr="00282553" w:rsidR="00282553">
        <w:rPr>
          <w:rFonts w:ascii="Palatino Linotype" w:hAnsi="Palatino Linotype" w:eastAsia="Palatino Linotype" w:cs="Times New Roman"/>
          <w:kern w:val="0"/>
          <w14:ligatures w14:val="none"/>
        </w:rPr>
        <w:t xml:space="preserve"> microgrids, persistent vendor and equipment challenges, and the nascent state of bidirectional EV technology.</w:t>
      </w:r>
    </w:p>
    <w:p w:rsidRPr="00282553" w:rsidR="00282553" w:rsidP="00282553" w:rsidRDefault="00282553" w14:paraId="1FAF2A2D" w14:textId="77777777">
      <w:pPr>
        <w:spacing w:after="0" w:line="276" w:lineRule="auto"/>
        <w:rPr>
          <w:rFonts w:ascii="Palatino Linotype" w:hAnsi="Palatino Linotype" w:eastAsia="Palatino Linotype" w:cs="Times New Roman"/>
          <w:kern w:val="0"/>
          <w14:ligatures w14:val="none"/>
        </w:rPr>
      </w:pPr>
    </w:p>
    <w:p w:rsidR="00CF5EA6" w:rsidP="00282553" w:rsidRDefault="00282553" w14:paraId="1DF1CB51" w14:textId="77777777">
      <w:pPr>
        <w:spacing w:after="0" w:line="276" w:lineRule="auto"/>
        <w:rPr>
          <w:rFonts w:ascii="Palatino Linotype" w:hAnsi="Palatino Linotype" w:eastAsia="Palatino Linotype" w:cs="Times New Roman"/>
          <w:kern w:val="0"/>
          <w14:ligatures w14:val="none"/>
        </w:rPr>
      </w:pPr>
      <w:r w:rsidRPr="00282553">
        <w:rPr>
          <w:rFonts w:ascii="Palatino Linotype" w:hAnsi="Palatino Linotype" w:eastAsia="Palatino Linotype" w:cs="Times New Roman"/>
          <w:kern w:val="0"/>
          <w14:ligatures w14:val="none"/>
        </w:rPr>
        <w:t>In support of this filing, Appendix I</w:t>
      </w:r>
      <w:r w:rsidR="00840E0D">
        <w:rPr>
          <w:rFonts w:ascii="Palatino Linotype" w:hAnsi="Palatino Linotype" w:eastAsia="Palatino Linotype" w:cs="Times New Roman"/>
          <w:kern w:val="0"/>
          <w14:ligatures w14:val="none"/>
        </w:rPr>
        <w:t xml:space="preserve">, </w:t>
      </w:r>
      <w:r w:rsidRPr="00282553">
        <w:rPr>
          <w:rFonts w:ascii="Palatino Linotype" w:hAnsi="Palatino Linotype" w:eastAsia="Palatino Linotype" w:cs="Times New Roman"/>
          <w:kern w:val="0"/>
          <w14:ligatures w14:val="none"/>
        </w:rPr>
        <w:t>Q&amp;A From Energy Division</w:t>
      </w:r>
      <w:r w:rsidR="00840E0D">
        <w:rPr>
          <w:rFonts w:ascii="Palatino Linotype" w:hAnsi="Palatino Linotype" w:eastAsia="Palatino Linotype" w:cs="Times New Roman"/>
          <w:kern w:val="0"/>
          <w14:ligatures w14:val="none"/>
        </w:rPr>
        <w:t xml:space="preserve"> Staff,</w:t>
      </w:r>
      <w:r w:rsidRPr="00282553">
        <w:rPr>
          <w:rFonts w:ascii="Palatino Linotype" w:hAnsi="Palatino Linotype" w:eastAsia="Palatino Linotype" w:cs="Times New Roman"/>
          <w:kern w:val="0"/>
          <w14:ligatures w14:val="none"/>
        </w:rPr>
        <w:t xml:space="preserve"> </w:t>
      </w:r>
      <w:r w:rsidR="00840E0D">
        <w:rPr>
          <w:rFonts w:ascii="Palatino Linotype" w:hAnsi="Palatino Linotype" w:eastAsia="Palatino Linotype" w:cs="Times New Roman"/>
          <w:kern w:val="0"/>
          <w14:ligatures w14:val="none"/>
        </w:rPr>
        <w:t>provided</w:t>
      </w:r>
      <w:r w:rsidRPr="00282553">
        <w:rPr>
          <w:rFonts w:ascii="Palatino Linotype" w:hAnsi="Palatino Linotype" w:eastAsia="Palatino Linotype" w:cs="Times New Roman"/>
          <w:kern w:val="0"/>
          <w14:ligatures w14:val="none"/>
        </w:rPr>
        <w:t xml:space="preserve"> detailed responses to outstanding questions regarding the pilot’s timeline, budget, lessons learned, and technical performance. The appendix documented implementation challenges in Phase I, including vendor instability, firmware issues, and charger damage during testing at the RCAM. It also summarized PG&amp;E’s key lessons </w:t>
      </w:r>
      <w:r w:rsidR="009C1870">
        <w:rPr>
          <w:rFonts w:ascii="Palatino Linotype" w:hAnsi="Palatino Linotype" w:eastAsia="Palatino Linotype" w:cs="Times New Roman"/>
          <w:kern w:val="0"/>
          <w14:ligatures w14:val="none"/>
        </w:rPr>
        <w:t xml:space="preserve">learns </w:t>
      </w:r>
      <w:r w:rsidRPr="00282553">
        <w:rPr>
          <w:rFonts w:ascii="Palatino Linotype" w:hAnsi="Palatino Linotype" w:eastAsia="Palatino Linotype" w:cs="Times New Roman"/>
          <w:kern w:val="0"/>
          <w14:ligatures w14:val="none"/>
        </w:rPr>
        <w:t xml:space="preserve">and outlined PG&amp;E’s proposed cost allocations and evaluation methods for both pilot </w:t>
      </w:r>
      <w:r w:rsidRPr="00282553">
        <w:rPr>
          <w:rFonts w:ascii="Palatino Linotype" w:hAnsi="Palatino Linotype" w:eastAsia="Palatino Linotype" w:cs="Times New Roman"/>
          <w:kern w:val="0"/>
          <w14:ligatures w14:val="none"/>
        </w:rPr>
        <w:lastRenderedPageBreak/>
        <w:t xml:space="preserve">phases. These responses were submitted to ensure </w:t>
      </w:r>
      <w:r w:rsidR="009C1870">
        <w:rPr>
          <w:rFonts w:ascii="Palatino Linotype" w:hAnsi="Palatino Linotype" w:eastAsia="Palatino Linotype" w:cs="Times New Roman"/>
          <w:kern w:val="0"/>
          <w14:ligatures w14:val="none"/>
        </w:rPr>
        <w:t xml:space="preserve">the </w:t>
      </w:r>
      <w:r w:rsidRPr="00282553">
        <w:rPr>
          <w:rFonts w:ascii="Palatino Linotype" w:hAnsi="Palatino Linotype" w:eastAsia="Palatino Linotype" w:cs="Times New Roman"/>
          <w:kern w:val="0"/>
          <w14:ligatures w14:val="none"/>
        </w:rPr>
        <w:t>Energy Division had a complete record of the pilot’s progress, findings, and rationale for the proposed shift to the Hybrid Support Model.</w:t>
      </w:r>
    </w:p>
    <w:p w:rsidR="0007672B" w:rsidP="00282553" w:rsidRDefault="0007672B" w14:paraId="60119EC7" w14:textId="77777777">
      <w:pPr>
        <w:spacing w:after="0" w:line="276" w:lineRule="auto"/>
        <w:rPr>
          <w:rFonts w:ascii="Palatino Linotype" w:hAnsi="Palatino Linotype" w:eastAsia="Palatino Linotype" w:cs="Times New Roman"/>
          <w:kern w:val="0"/>
          <w14:ligatures w14:val="none"/>
        </w:rPr>
      </w:pPr>
    </w:p>
    <w:p w:rsidRPr="00916869" w:rsidR="00916869" w:rsidP="00916869" w:rsidRDefault="00916869" w14:paraId="1F053144" w14:textId="77777777">
      <w:pPr>
        <w:spacing w:after="0" w:line="276" w:lineRule="auto"/>
        <w:rPr>
          <w:rFonts w:ascii="Palatino Linotype" w:hAnsi="Palatino Linotype" w:eastAsia="Palatino Linotype" w:cs="Times New Roman"/>
        </w:rPr>
      </w:pPr>
      <w:r w:rsidRPr="4ECBD263">
        <w:rPr>
          <w:rFonts w:ascii="Palatino Linotype" w:hAnsi="Palatino Linotype" w:eastAsia="Palatino Linotype" w:cs="Times New Roman"/>
        </w:rPr>
        <w:t xml:space="preserve">The V2X Microgrid Pilot also seeks to demonstrate how frequency-based controls could enable bidirectional EVs to support the balance of generation and load within a community microgrid. As described in AL 6259-E, the pilot builds on the EPIC Project 3.11B, which validated </w:t>
      </w:r>
      <w:r w:rsidRPr="4ECBD263" w:rsidR="00B61F5E">
        <w:rPr>
          <w:rFonts w:ascii="Palatino Linotype" w:hAnsi="Palatino Linotype" w:eastAsia="Palatino Linotype" w:cs="Times New Roman"/>
        </w:rPr>
        <w:t>BTM</w:t>
      </w:r>
      <w:r w:rsidRPr="4ECBD263">
        <w:rPr>
          <w:rFonts w:ascii="Palatino Linotype" w:hAnsi="Palatino Linotype" w:eastAsia="Palatino Linotype" w:cs="Times New Roman"/>
        </w:rPr>
        <w:t xml:space="preserve"> real-time resiliency controls for solar and storage, by extending these functions to include EVs. Under this control scheme, bidirectional chargers respond to small, intentional changes in system frequency to charge or discharge power, allowing distributed energy resources to operate in coordination with front-of-the-meter generation and maintain stability when the microgrid is islanded.</w:t>
      </w:r>
    </w:p>
    <w:p w:rsidR="00090389" w:rsidP="49A7AEC5" w:rsidRDefault="00090389" w14:paraId="253FCE54" w14:textId="77777777">
      <w:pPr>
        <w:spacing w:after="0" w:line="276" w:lineRule="auto"/>
        <w:rPr>
          <w:rFonts w:ascii="Palatino Linotype" w:hAnsi="Palatino Linotype" w:eastAsia="Palatino Linotype" w:cs="Times New Roman"/>
          <w:kern w:val="0"/>
          <w14:ligatures w14:val="none"/>
        </w:rPr>
      </w:pPr>
    </w:p>
    <w:p w:rsidRPr="00D1287E" w:rsidR="00A76F4A" w:rsidP="00ED5732" w:rsidRDefault="00A76F4A" w14:paraId="1BDB3114" w14:textId="77777777">
      <w:pPr>
        <w:keepNext/>
        <w:spacing w:before="120" w:after="240" w:line="240" w:lineRule="auto"/>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t>Notice</w:t>
      </w:r>
    </w:p>
    <w:p w:rsidR="005D682A" w:rsidP="7DF8D1A9" w:rsidRDefault="00A76F4A" w14:paraId="42F68776" w14:textId="77777777">
      <w:pPr>
        <w:spacing w:after="0" w:line="276" w:lineRule="auto"/>
        <w:rPr>
          <w:rFonts w:ascii="Palatino Linotype" w:hAnsi="Palatino Linotype" w:eastAsia="Palatino Linotype" w:cs="Times New Roman"/>
        </w:rPr>
      </w:pPr>
      <w:r w:rsidRPr="001942D0">
        <w:rPr>
          <w:rFonts w:ascii="Palatino Linotype" w:hAnsi="Palatino Linotype" w:eastAsia="Palatino Linotype" w:cs="Times New Roman"/>
          <w:kern w:val="0"/>
          <w14:ligatures w14:val="none"/>
        </w:rPr>
        <w:t xml:space="preserve">Notice of </w:t>
      </w:r>
      <w:r w:rsidRPr="49A7AEC5" w:rsidR="7FCF34DC">
        <w:rPr>
          <w:rFonts w:ascii="Palatino Linotype" w:hAnsi="Palatino Linotype" w:eastAsia="Palatino Linotype" w:cs="Times New Roman"/>
        </w:rPr>
        <w:t>AL 7378-E</w:t>
      </w:r>
      <w:r w:rsidRPr="001942D0" w:rsidR="7FCF34DC">
        <w:rPr>
          <w:rFonts w:ascii="Palatino Linotype" w:hAnsi="Palatino Linotype" w:eastAsia="Palatino Linotype" w:cs="Times New Roman"/>
          <w:kern w:val="0"/>
          <w14:ligatures w14:val="none"/>
        </w:rPr>
        <w:t xml:space="preserve"> and </w:t>
      </w:r>
      <w:r w:rsidRPr="49A7AEC5">
        <w:rPr>
          <w:rFonts w:ascii="Palatino Linotype" w:hAnsi="Palatino Linotype" w:eastAsia="Palatino Linotype" w:cs="Times New Roman"/>
          <w:kern w:val="0"/>
          <w14:ligatures w14:val="none"/>
        </w:rPr>
        <w:t xml:space="preserve">AL </w:t>
      </w:r>
      <w:r w:rsidR="00D1287E">
        <w:rPr>
          <w:rFonts w:ascii="Palatino Linotype" w:hAnsi="Palatino Linotype" w:eastAsia="Times New Roman" w:cs="Times New Roman"/>
          <w:kern w:val="0"/>
          <w14:ligatures w14:val="none"/>
        </w:rPr>
        <w:t>7378-E-A</w:t>
      </w:r>
      <w:r w:rsidRPr="49A7AEC5" w:rsidR="00D1287E">
        <w:rPr>
          <w:rFonts w:ascii="Palatino Linotype" w:hAnsi="Palatino Linotype" w:eastAsia="Times New Roman" w:cs="Times New Roman"/>
          <w:kern w:val="0"/>
          <w14:ligatures w14:val="none"/>
        </w:rPr>
        <w:t xml:space="preserve"> </w:t>
      </w:r>
      <w:r w:rsidRPr="49A7AEC5" w:rsidR="00EF1E71">
        <w:rPr>
          <w:rFonts w:ascii="Palatino Linotype" w:hAnsi="Palatino Linotype" w:eastAsia="Palatino Linotype" w:cs="Times New Roman"/>
          <w:kern w:val="0"/>
          <w14:ligatures w14:val="none"/>
        </w:rPr>
        <w:t>were</w:t>
      </w:r>
      <w:r w:rsidRPr="49A7AEC5">
        <w:rPr>
          <w:rFonts w:ascii="Palatino Linotype" w:hAnsi="Palatino Linotype" w:eastAsia="Palatino Linotype" w:cs="Times New Roman"/>
          <w:kern w:val="0"/>
          <w14:ligatures w14:val="none"/>
        </w:rPr>
        <w:t xml:space="preserve"> made by publication in the Commission’s Daily Calendar.  </w:t>
      </w:r>
      <w:r w:rsidR="00DC3406">
        <w:rPr>
          <w:rFonts w:ascii="Palatino Linotype" w:hAnsi="Palatino Linotype" w:eastAsia="Times New Roman" w:cs="Times New Roman"/>
          <w:kern w:val="0"/>
          <w14:ligatures w14:val="none"/>
        </w:rPr>
        <w:t>PG&amp;E</w:t>
      </w:r>
      <w:r w:rsidRPr="49A7AEC5" w:rsidR="00DC3406">
        <w:rPr>
          <w:rFonts w:ascii="Palatino Linotype" w:hAnsi="Palatino Linotype" w:eastAsia="Times New Roman" w:cs="Times New Roman"/>
          <w:kern w:val="0"/>
          <w14:ligatures w14:val="none"/>
        </w:rPr>
        <w:t xml:space="preserve"> </w:t>
      </w:r>
      <w:r w:rsidRPr="49A7AEC5">
        <w:rPr>
          <w:rFonts w:ascii="Palatino Linotype" w:hAnsi="Palatino Linotype" w:eastAsia="Palatino Linotype" w:cs="Times New Roman"/>
        </w:rPr>
        <w:t>states that a copy of the Advice Letter was mailed and distributed in accordance with Section 4 of General Order 96-B.</w:t>
      </w:r>
    </w:p>
    <w:p w:rsidR="005D682A" w:rsidP="7DF8D1A9" w:rsidRDefault="005D682A" w14:paraId="06B78061" w14:textId="77777777">
      <w:pPr>
        <w:spacing w:after="0" w:line="276" w:lineRule="auto"/>
        <w:rPr>
          <w:rFonts w:ascii="Palatino Linotype" w:hAnsi="Palatino Linotype" w:eastAsia="Palatino Linotype" w:cs="Times New Roman"/>
        </w:rPr>
      </w:pPr>
    </w:p>
    <w:p w:rsidR="00A76F4A" w:rsidDel="009B24EC" w:rsidP="00ED5732" w:rsidRDefault="00A76F4A" w14:paraId="48C4B9CB" w14:textId="77777777">
      <w:pPr>
        <w:spacing w:before="120" w:after="240" w:line="276" w:lineRule="auto"/>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t>Protests</w:t>
      </w:r>
    </w:p>
    <w:p w:rsidR="00A76F4A" w:rsidP="7DF8D1A9" w:rsidRDefault="005E6AEB" w14:paraId="3E186F32" w14:textId="77777777">
      <w:pPr>
        <w:spacing w:after="0" w:line="276"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On </w:t>
      </w:r>
      <w:r w:rsidRPr="78369BE0" w:rsidR="3BEBE789">
        <w:rPr>
          <w:rFonts w:ascii="Palatino Linotype" w:hAnsi="Palatino Linotype" w:eastAsia="Times New Roman" w:cs="Times New Roman"/>
        </w:rPr>
        <w:t xml:space="preserve">Aug 26, 2025, </w:t>
      </w:r>
      <w:r w:rsidRPr="00F374E6" w:rsidR="00F374E6">
        <w:rPr>
          <w:rFonts w:ascii="Palatino Linotype" w:hAnsi="Palatino Linotype" w:eastAsia="Palatino Linotype" w:cs="Times New Roman"/>
          <w:kern w:val="0"/>
          <w14:ligatures w14:val="none"/>
        </w:rPr>
        <w:t>David Carter</w:t>
      </w:r>
      <w:r w:rsidR="00F374E6">
        <w:rPr>
          <w:rFonts w:ascii="Palatino Linotype" w:hAnsi="Palatino Linotype" w:eastAsia="Palatino Linotype" w:cs="Times New Roman"/>
          <w:kern w:val="0"/>
          <w14:ligatures w14:val="none"/>
        </w:rPr>
        <w:t xml:space="preserve">, </w:t>
      </w:r>
      <w:r w:rsidRPr="00F374E6" w:rsidR="00F374E6">
        <w:rPr>
          <w:rFonts w:ascii="Palatino Linotype" w:hAnsi="Palatino Linotype" w:eastAsia="Palatino Linotype" w:cs="Times New Roman"/>
          <w:kern w:val="0"/>
          <w14:ligatures w14:val="none"/>
        </w:rPr>
        <w:t xml:space="preserve">PE, </w:t>
      </w:r>
      <w:r w:rsidR="00F374E6">
        <w:rPr>
          <w:rFonts w:ascii="Palatino Linotype" w:hAnsi="Palatino Linotype" w:eastAsia="Palatino Linotype" w:cs="Times New Roman"/>
          <w:kern w:val="0"/>
          <w14:ligatures w14:val="none"/>
        </w:rPr>
        <w:t xml:space="preserve">with </w:t>
      </w:r>
      <w:r w:rsidRPr="00F374E6" w:rsidR="00F374E6">
        <w:rPr>
          <w:rFonts w:ascii="Palatino Linotype" w:hAnsi="Palatino Linotype" w:eastAsia="Palatino Linotype" w:cs="Times New Roman"/>
          <w:kern w:val="0"/>
          <w14:ligatures w14:val="none"/>
        </w:rPr>
        <w:t>Schatz Energy Research Center</w:t>
      </w:r>
      <w:r w:rsidR="00264214">
        <w:rPr>
          <w:rFonts w:ascii="Palatino Linotype" w:hAnsi="Palatino Linotype" w:eastAsia="Palatino Linotype" w:cs="Times New Roman"/>
          <w:kern w:val="0"/>
          <w14:ligatures w14:val="none"/>
        </w:rPr>
        <w:t>,</w:t>
      </w:r>
      <w:r w:rsidRPr="00F374E6" w:rsidR="00F374E6">
        <w:rPr>
          <w:rFonts w:ascii="Palatino Linotype" w:hAnsi="Palatino Linotype" w:eastAsia="Palatino Linotype" w:cs="Times New Roman"/>
          <w:kern w:val="0"/>
          <w14:ligatures w14:val="none"/>
        </w:rPr>
        <w:t xml:space="preserve"> Cal Poly Humboldt</w:t>
      </w:r>
      <w:r w:rsidRPr="00F374E6" w:rsidR="2D774805">
        <w:rPr>
          <w:rFonts w:ascii="Palatino Linotype" w:hAnsi="Palatino Linotype" w:eastAsia="Palatino Linotype" w:cs="Times New Roman"/>
          <w:kern w:val="0"/>
          <w14:ligatures w14:val="none"/>
        </w:rPr>
        <w:t xml:space="preserve">, </w:t>
      </w:r>
      <w:r w:rsidR="004B6854">
        <w:rPr>
          <w:rFonts w:ascii="Palatino Linotype" w:hAnsi="Palatino Linotype" w:eastAsia="Palatino Linotype" w:cs="Times New Roman"/>
          <w:kern w:val="0"/>
          <w14:ligatures w14:val="none"/>
        </w:rPr>
        <w:t>Schatz Energy Research Center</w:t>
      </w:r>
      <w:r w:rsidR="478F2040">
        <w:rPr>
          <w:rFonts w:ascii="Palatino Linotype" w:hAnsi="Palatino Linotype" w:eastAsia="Palatino Linotype" w:cs="Times New Roman"/>
          <w:kern w:val="0"/>
          <w14:ligatures w14:val="none"/>
        </w:rPr>
        <w:t xml:space="preserve"> (SERC)</w:t>
      </w:r>
      <w:r w:rsidR="00BE0F44">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filed </w:t>
      </w:r>
      <w:r w:rsidRPr="4ECBD263" w:rsidR="171C0E1F">
        <w:rPr>
          <w:rFonts w:ascii="Palatino Linotype" w:hAnsi="Palatino Linotype" w:eastAsia="Palatino Linotype" w:cs="Times New Roman"/>
        </w:rPr>
        <w:t>its response in the form of a protest letter</w:t>
      </w:r>
      <w:r>
        <w:rPr>
          <w:rFonts w:ascii="Palatino Linotype" w:hAnsi="Palatino Linotype" w:eastAsia="Palatino Linotype" w:cs="Times New Roman"/>
          <w:kern w:val="0"/>
          <w14:ligatures w14:val="none"/>
        </w:rPr>
        <w:t xml:space="preserve"> </w:t>
      </w:r>
      <w:r w:rsidR="26DD300A">
        <w:rPr>
          <w:rFonts w:ascii="Palatino Linotype" w:hAnsi="Palatino Linotype" w:eastAsia="Palatino Linotype" w:cs="Times New Roman"/>
          <w:kern w:val="0"/>
          <w14:ligatures w14:val="none"/>
        </w:rPr>
        <w:t>regarding</w:t>
      </w:r>
      <w:r>
        <w:rPr>
          <w:rFonts w:ascii="Palatino Linotype" w:hAnsi="Palatino Linotype" w:eastAsia="Palatino Linotype" w:cs="Times New Roman"/>
          <w:kern w:val="0"/>
          <w14:ligatures w14:val="none"/>
        </w:rPr>
        <w:t xml:space="preserve"> PG&amp;E’s AL </w:t>
      </w:r>
      <w:r w:rsidR="00C402E6">
        <w:rPr>
          <w:rFonts w:ascii="Palatino Linotype" w:hAnsi="Palatino Linotype" w:eastAsia="Palatino Linotype" w:cs="Times New Roman"/>
          <w:kern w:val="0"/>
          <w14:ligatures w14:val="none"/>
        </w:rPr>
        <w:t>7378-E</w:t>
      </w:r>
      <w:r w:rsidR="2F68209E">
        <w:rPr>
          <w:rFonts w:ascii="Palatino Linotype" w:hAnsi="Palatino Linotype" w:eastAsia="Palatino Linotype" w:cs="Times New Roman"/>
          <w:kern w:val="0"/>
          <w14:ligatures w14:val="none"/>
        </w:rPr>
        <w:t>.</w:t>
      </w:r>
    </w:p>
    <w:p w:rsidR="78369BE0" w:rsidP="78369BE0" w:rsidRDefault="78369BE0" w14:paraId="4A6EB1D2" w14:textId="77777777">
      <w:pPr>
        <w:spacing w:after="0" w:line="276" w:lineRule="auto"/>
        <w:rPr>
          <w:rFonts w:ascii="Palatino Linotype" w:hAnsi="Palatino Linotype" w:eastAsia="Palatino Linotype" w:cs="Times New Roman"/>
        </w:rPr>
      </w:pPr>
    </w:p>
    <w:p w:rsidR="004530D1" w:rsidP="7DF8D1A9" w:rsidRDefault="004530D1" w14:paraId="13A8AB45" w14:textId="77777777">
      <w:pPr>
        <w:spacing w:after="0"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On August 26, 2025, the Vehicle</w:t>
      </w:r>
      <w:r w:rsidR="00443F4C">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Grid Integration Council (VGIC) filed a response to PG&amp;E’s AL 7378-E-A</w:t>
      </w:r>
      <w:r w:rsidR="7CEF24BC">
        <w:rPr>
          <w:rFonts w:ascii="Palatino Linotype" w:hAnsi="Palatino Linotype" w:eastAsia="Palatino Linotype" w:cs="Times New Roman"/>
          <w:kern w:val="0"/>
          <w14:ligatures w14:val="none"/>
        </w:rPr>
        <w:t>.</w:t>
      </w:r>
    </w:p>
    <w:p w:rsidR="00A76F4A" w:rsidP="7DF8D1A9" w:rsidRDefault="00A76F4A" w14:paraId="48BF31B6" w14:textId="77777777">
      <w:pPr>
        <w:spacing w:after="0" w:line="276" w:lineRule="auto"/>
        <w:rPr>
          <w:rFonts w:ascii="Palatino Linotype" w:hAnsi="Palatino Linotype" w:eastAsia="Palatino Linotype" w:cs="Times New Roman"/>
          <w:kern w:val="0"/>
          <w14:ligatures w14:val="none"/>
        </w:rPr>
      </w:pPr>
    </w:p>
    <w:p w:rsidR="004817DE" w:rsidP="7DF8D1A9" w:rsidRDefault="004817DE" w14:paraId="69E2DD12" w14:textId="77777777">
      <w:pPr>
        <w:spacing w:after="0" w:line="276" w:lineRule="auto"/>
        <w:rPr>
          <w:rFonts w:ascii="Palatino Linotype" w:hAnsi="Palatino Linotype" w:eastAsia="Palatino Linotype" w:cs="Times New Roman"/>
        </w:rPr>
      </w:pPr>
      <w:r w:rsidRPr="004817DE">
        <w:rPr>
          <w:rFonts w:ascii="Palatino Linotype" w:hAnsi="Palatino Linotype" w:eastAsia="Palatino Linotype" w:cs="Times New Roman"/>
          <w:kern w:val="0"/>
          <w14:ligatures w14:val="none"/>
        </w:rPr>
        <w:t>S</w:t>
      </w:r>
      <w:r w:rsidRPr="004817DE" w:rsidR="270824B3">
        <w:rPr>
          <w:rFonts w:ascii="Palatino Linotype" w:hAnsi="Palatino Linotype" w:eastAsia="Palatino Linotype" w:cs="Times New Roman"/>
          <w:kern w:val="0"/>
          <w14:ligatures w14:val="none"/>
        </w:rPr>
        <w:t>ERC</w:t>
      </w:r>
      <w:r w:rsidR="0084699F">
        <w:rPr>
          <w:rFonts w:ascii="Palatino Linotype" w:hAnsi="Palatino Linotype" w:eastAsia="Palatino Linotype" w:cs="Times New Roman"/>
          <w:kern w:val="0"/>
          <w14:ligatures w14:val="none"/>
        </w:rPr>
        <w:t xml:space="preserve"> </w:t>
      </w:r>
      <w:r w:rsidR="0084699F">
        <w:rPr>
          <w:rFonts w:ascii="Palatino Linotype" w:hAnsi="Palatino Linotype" w:eastAsia="Palatino Linotype" w:cs="Times New Roman"/>
        </w:rPr>
        <w:t>acknowledged</w:t>
      </w:r>
      <w:r w:rsidR="439C2057">
        <w:rPr>
          <w:rFonts w:ascii="Palatino Linotype" w:hAnsi="Palatino Linotype" w:eastAsia="Palatino Linotype" w:cs="Times New Roman"/>
        </w:rPr>
        <w:t xml:space="preserve"> in their response</w:t>
      </w:r>
      <w:r w:rsidRPr="0084699F" w:rsidR="0084699F">
        <w:rPr>
          <w:rFonts w:ascii="Palatino Linotype" w:hAnsi="Palatino Linotype" w:eastAsia="Palatino Linotype" w:cs="Times New Roman"/>
        </w:rPr>
        <w:t xml:space="preserve"> that the V2X Pilot at the RCAM experienced schedule delays largely beyond the </w:t>
      </w:r>
      <w:r w:rsidR="001A798E">
        <w:rPr>
          <w:rFonts w:ascii="Palatino Linotype" w:hAnsi="Palatino Linotype" w:eastAsia="Palatino Linotype" w:cs="Times New Roman"/>
        </w:rPr>
        <w:t>project team's control</w:t>
      </w:r>
      <w:r w:rsidRPr="0084699F" w:rsidR="0084699F">
        <w:rPr>
          <w:rFonts w:ascii="Palatino Linotype" w:hAnsi="Palatino Linotype" w:eastAsia="Palatino Linotype" w:cs="Times New Roman"/>
        </w:rPr>
        <w:t xml:space="preserve">, including FAA approval timelines, seasonal construction constraints, equipment lead times, and technology development challenges. The letter commended PG&amp;E and its partners for prudent use of public funds and successful demonstration of frequency-shift controls consistent with IEEE 1547-2018, which verified that load flow within an islanded microgrid can be </w:t>
      </w:r>
      <w:r w:rsidRPr="0084699F" w:rsidR="0084699F">
        <w:rPr>
          <w:rFonts w:ascii="Palatino Linotype" w:hAnsi="Palatino Linotype" w:eastAsia="Palatino Linotype" w:cs="Times New Roman"/>
        </w:rPr>
        <w:lastRenderedPageBreak/>
        <w:t xml:space="preserve">managed through controlled frequency variation. </w:t>
      </w:r>
      <w:r w:rsidR="00F62B84">
        <w:rPr>
          <w:rFonts w:ascii="Palatino Linotype" w:hAnsi="Palatino Linotype" w:eastAsia="Palatino Linotype" w:cs="Times New Roman"/>
        </w:rPr>
        <w:t>SERC asserts that t</w:t>
      </w:r>
      <w:r w:rsidRPr="0084699F" w:rsidR="0084699F">
        <w:rPr>
          <w:rFonts w:ascii="Palatino Linotype" w:hAnsi="Palatino Linotype" w:eastAsia="Palatino Linotype" w:cs="Times New Roman"/>
        </w:rPr>
        <w:t xml:space="preserve">he damage sustained by three chargers was confirmed to be unrelated to the frequency-control testing and is being addressed. The letter further recognized the contributions of Fermata Energy and Nissan in developing a bidirectional DC fast-charging solution </w:t>
      </w:r>
      <w:r w:rsidR="00442AD4">
        <w:rPr>
          <w:rFonts w:ascii="Palatino Linotype" w:hAnsi="Palatino Linotype" w:eastAsia="Palatino Linotype" w:cs="Times New Roman"/>
        </w:rPr>
        <w:t>to support</w:t>
      </w:r>
      <w:r w:rsidRPr="0084699F" w:rsidR="0084699F">
        <w:rPr>
          <w:rFonts w:ascii="Palatino Linotype" w:hAnsi="Palatino Linotype" w:eastAsia="Palatino Linotype" w:cs="Times New Roman"/>
        </w:rPr>
        <w:t xml:space="preserve"> grid </w:t>
      </w:r>
      <w:r w:rsidRPr="0084699F" w:rsidR="00C16F2E">
        <w:rPr>
          <w:rFonts w:ascii="Palatino Linotype" w:hAnsi="Palatino Linotype" w:eastAsia="Palatino Linotype" w:cs="Times New Roman"/>
        </w:rPr>
        <w:t>stability and</w:t>
      </w:r>
      <w:r w:rsidRPr="0084699F" w:rsidR="0084699F">
        <w:rPr>
          <w:rFonts w:ascii="Palatino Linotype" w:hAnsi="Palatino Linotype" w:eastAsia="Palatino Linotype" w:cs="Times New Roman"/>
        </w:rPr>
        <w:t xml:space="preserve"> expressed support for PG&amp;E’s proposed modifications to the pilot</w:t>
      </w:r>
      <w:r w:rsidR="00C16F2E">
        <w:rPr>
          <w:rFonts w:ascii="Palatino Linotype" w:hAnsi="Palatino Linotype" w:eastAsia="Palatino Linotype" w:cs="Times New Roman"/>
        </w:rPr>
        <w:t>,</w:t>
      </w:r>
      <w:r w:rsidRPr="0084699F" w:rsidR="0084699F">
        <w:rPr>
          <w:rFonts w:ascii="Palatino Linotype" w:hAnsi="Palatino Linotype" w:eastAsia="Palatino Linotype" w:cs="Times New Roman"/>
        </w:rPr>
        <w:t xml:space="preserve"> given current technology maturity and the limited availability of suitable microgrid sites.</w:t>
      </w:r>
    </w:p>
    <w:p w:rsidR="006A598C" w:rsidP="78369BE0" w:rsidRDefault="006A598C" w14:paraId="3F47E018" w14:textId="77777777">
      <w:pPr>
        <w:spacing w:after="0" w:line="276" w:lineRule="auto"/>
        <w:rPr>
          <w:rFonts w:ascii="Palatino Linotype" w:hAnsi="Palatino Linotype" w:eastAsia="Palatino Linotype" w:cs="Times New Roman"/>
          <w:kern w:val="0"/>
          <w14:ligatures w14:val="none"/>
        </w:rPr>
      </w:pPr>
    </w:p>
    <w:p w:rsidR="009B24EC" w:rsidP="306FEAF9" w:rsidRDefault="007D0D74" w14:paraId="436CC96B" w14:textId="77777777">
      <w:pPr>
        <w:keepNext/>
        <w:spacing w:before="120" w:after="240" w:line="276" w:lineRule="auto"/>
        <w:outlineLvl w:val="0"/>
        <w:rPr>
          <w:rFonts w:ascii="Palatino Linotype" w:hAnsi="Palatino Linotype" w:eastAsia="Palatino Linotype" w:cs="Palatino Linotype"/>
        </w:rPr>
      </w:pPr>
      <w:r w:rsidRPr="306FEAF9">
        <w:rPr>
          <w:rFonts w:ascii="Palatino Linotype" w:hAnsi="Palatino Linotype" w:eastAsia="Palatino Linotype" w:cs="Palatino Linotype"/>
        </w:rPr>
        <w:t>VGIC's</w:t>
      </w:r>
      <w:r w:rsidRPr="306FEAF9" w:rsidR="004530D1">
        <w:rPr>
          <w:rFonts w:ascii="Palatino Linotype" w:hAnsi="Palatino Linotype" w:eastAsia="Palatino Linotype" w:cs="Palatino Linotype"/>
        </w:rPr>
        <w:t xml:space="preserve"> response to PG&amp;E’s AL </w:t>
      </w:r>
      <w:r w:rsidRPr="306FEAF9" w:rsidR="00C00C5A">
        <w:rPr>
          <w:rFonts w:ascii="Palatino Linotype" w:hAnsi="Palatino Linotype" w:eastAsia="Palatino Linotype" w:cs="Palatino Linotype"/>
        </w:rPr>
        <w:t>7378-E-A</w:t>
      </w:r>
      <w:r w:rsidRPr="306FEAF9" w:rsidR="00E75067">
        <w:rPr>
          <w:rFonts w:ascii="Palatino Linotype" w:hAnsi="Palatino Linotype" w:eastAsia="Palatino Linotype" w:cs="Palatino Linotype"/>
        </w:rPr>
        <w:t xml:space="preserve"> expresses</w:t>
      </w:r>
      <w:r w:rsidRPr="306FEAF9" w:rsidR="42622C35">
        <w:rPr>
          <w:rFonts w:ascii="Palatino Linotype" w:hAnsi="Palatino Linotype" w:eastAsia="Palatino Linotype" w:cs="Palatino Linotype"/>
        </w:rPr>
        <w:t xml:space="preserve"> support</w:t>
      </w:r>
      <w:r w:rsidRPr="306FEAF9" w:rsidR="00E75067">
        <w:rPr>
          <w:rFonts w:ascii="Palatino Linotype" w:hAnsi="Palatino Linotype" w:eastAsia="Palatino Linotype" w:cs="Palatino Linotype"/>
        </w:rPr>
        <w:t xml:space="preserve"> for</w:t>
      </w:r>
      <w:r w:rsidRPr="306FEAF9" w:rsidR="42622C35">
        <w:rPr>
          <w:rFonts w:ascii="Palatino Linotype" w:hAnsi="Palatino Linotype" w:eastAsia="Palatino Linotype" w:cs="Palatino Linotype"/>
        </w:rPr>
        <w:t xml:space="preserve"> PG&amp;E’s request to transition away from the originally scoped Phase II of the V2X Microgrid Pilot and </w:t>
      </w:r>
      <w:r w:rsidRPr="306FEAF9" w:rsidR="001A798E">
        <w:rPr>
          <w:rFonts w:ascii="Palatino Linotype" w:hAnsi="Palatino Linotype" w:eastAsia="Palatino Linotype" w:cs="Palatino Linotype"/>
        </w:rPr>
        <w:t>move</w:t>
      </w:r>
      <w:r w:rsidRPr="306FEAF9" w:rsidR="42622C35">
        <w:rPr>
          <w:rFonts w:ascii="Palatino Linotype" w:hAnsi="Palatino Linotype" w:eastAsia="Palatino Linotype" w:cs="Palatino Linotype"/>
        </w:rPr>
        <w:t xml:space="preserve"> to the hybrid support model. VGIC recommends </w:t>
      </w:r>
      <w:r w:rsidRPr="306FEAF9" w:rsidR="00900A54">
        <w:rPr>
          <w:rFonts w:ascii="Palatino Linotype" w:hAnsi="Palatino Linotype" w:eastAsia="Palatino Linotype" w:cs="Palatino Linotype"/>
        </w:rPr>
        <w:t xml:space="preserve">redirecting resources associated with the microgrid pilot to provide additional funding and staff support for the Residential and Commercial V2X pilots, noting that </w:t>
      </w:r>
      <w:r w:rsidRPr="306FEAF9" w:rsidR="42622C35">
        <w:rPr>
          <w:rFonts w:ascii="Palatino Linotype" w:hAnsi="Palatino Linotype" w:eastAsia="Palatino Linotype" w:cs="Palatino Linotype"/>
        </w:rPr>
        <w:t xml:space="preserve">MIP and community microgrid uptake have been slow. VGIC </w:t>
      </w:r>
      <w:r w:rsidRPr="306FEAF9" w:rsidR="00A929D4">
        <w:rPr>
          <w:rFonts w:ascii="Palatino Linotype" w:hAnsi="Palatino Linotype" w:eastAsia="Palatino Linotype" w:cs="Palatino Linotype"/>
        </w:rPr>
        <w:t xml:space="preserve">claims </w:t>
      </w:r>
      <w:r w:rsidRPr="306FEAF9" w:rsidR="42622C35">
        <w:rPr>
          <w:rFonts w:ascii="Palatino Linotype" w:hAnsi="Palatino Linotype" w:eastAsia="Palatino Linotype" w:cs="Palatino Linotype"/>
        </w:rPr>
        <w:t xml:space="preserve">that the microgrid pilot is the most complex of the VGI pilots because community microgrids often rely on nascent equipment and configurations, </w:t>
      </w:r>
      <w:r w:rsidRPr="306FEAF9" w:rsidR="520BB12A">
        <w:rPr>
          <w:rFonts w:ascii="Palatino Linotype" w:hAnsi="Palatino Linotype" w:eastAsia="Palatino Linotype" w:cs="Palatino Linotype"/>
        </w:rPr>
        <w:t xml:space="preserve">creating </w:t>
      </w:r>
      <w:r w:rsidRPr="306FEAF9" w:rsidR="42622C35">
        <w:rPr>
          <w:rFonts w:ascii="Palatino Linotype" w:hAnsi="Palatino Linotype" w:eastAsia="Palatino Linotype" w:cs="Palatino Linotype"/>
        </w:rPr>
        <w:t xml:space="preserve">unique implementation challenges. </w:t>
      </w:r>
    </w:p>
    <w:p w:rsidRPr="001942D0" w:rsidR="00A76F4A" w:rsidP="00ED5732" w:rsidRDefault="00A76F4A" w14:paraId="3F77D966" w14:textId="77777777">
      <w:pPr>
        <w:keepNext/>
        <w:spacing w:before="120" w:after="240" w:line="276" w:lineRule="auto"/>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t>Discussion</w:t>
      </w:r>
    </w:p>
    <w:p w:rsidR="00B05EDA" w:rsidP="7DF8D1A9" w:rsidRDefault="00B05EDA" w14:paraId="73DBFB7D" w14:textId="77777777">
      <w:pPr>
        <w:spacing w:after="0" w:line="276" w:lineRule="auto"/>
        <w:contextualSpacing/>
        <w:rPr>
          <w:rFonts w:ascii="Palatino Linotype" w:hAnsi="Palatino Linotype" w:eastAsia="Palatino Linotype" w:cs="Times New Roman"/>
          <w:kern w:val="0"/>
          <w14:ligatures w14:val="none"/>
        </w:rPr>
      </w:pPr>
      <w:r w:rsidRPr="00B05EDA">
        <w:rPr>
          <w:rFonts w:ascii="Palatino Linotype" w:hAnsi="Palatino Linotype" w:eastAsia="Palatino Linotype" w:cs="Times New Roman"/>
          <w:kern w:val="0"/>
          <w14:ligatures w14:val="none"/>
        </w:rPr>
        <w:t xml:space="preserve">The Commission has reviewed PG&amp;E’s </w:t>
      </w:r>
      <w:r w:rsidR="005A63B0">
        <w:rPr>
          <w:rFonts w:ascii="Palatino Linotype" w:hAnsi="Palatino Linotype" w:eastAsia="Palatino Linotype" w:cs="Times New Roman"/>
          <w:kern w:val="0"/>
          <w14:ligatures w14:val="none"/>
        </w:rPr>
        <w:t>ALs</w:t>
      </w:r>
      <w:r w:rsidRPr="00B05EDA">
        <w:rPr>
          <w:rFonts w:ascii="Palatino Linotype" w:hAnsi="Palatino Linotype" w:eastAsia="Palatino Linotype" w:cs="Times New Roman"/>
          <w:kern w:val="0"/>
          <w14:ligatures w14:val="none"/>
        </w:rPr>
        <w:t xml:space="preserve"> 7378-E and 7378-E-A</w:t>
      </w:r>
      <w:r w:rsidRPr="1BCDB34A" w:rsidR="000E2683">
        <w:rPr>
          <w:rFonts w:ascii="Palatino Linotype" w:hAnsi="Palatino Linotype" w:eastAsia="Palatino Linotype" w:cs="Times New Roman"/>
        </w:rPr>
        <w:t xml:space="preserve"> and</w:t>
      </w:r>
      <w:r w:rsidR="000E2683">
        <w:rPr>
          <w:rFonts w:ascii="Palatino Linotype" w:hAnsi="Palatino Linotype" w:eastAsia="Palatino Linotype" w:cs="Times New Roman"/>
          <w:kern w:val="0"/>
          <w14:ligatures w14:val="none"/>
        </w:rPr>
        <w:t xml:space="preserve"> </w:t>
      </w:r>
      <w:r w:rsidRPr="00B05EDA">
        <w:rPr>
          <w:rFonts w:ascii="Palatino Linotype" w:hAnsi="Palatino Linotype" w:eastAsia="Palatino Linotype" w:cs="Times New Roman"/>
          <w:kern w:val="0"/>
          <w14:ligatures w14:val="none"/>
        </w:rPr>
        <w:t>finds it reasonable to approve both the extension of Phase I and the modification of the Phase II scope for Pilot #3, the V2X Microgrid Pilot.</w:t>
      </w:r>
    </w:p>
    <w:p w:rsidR="00F72059" w:rsidP="093CF01F" w:rsidRDefault="00F72059" w14:paraId="594BD7A8" w14:textId="77777777">
      <w:pPr>
        <w:spacing w:after="0" w:line="276" w:lineRule="auto"/>
        <w:contextualSpacing/>
        <w:rPr>
          <w:rFonts w:ascii="Palatino Linotype" w:hAnsi="Palatino Linotype" w:eastAsia="Palatino Linotype" w:cs="Times New Roman"/>
          <w:b/>
          <w:bCs/>
          <w:kern w:val="0"/>
          <w14:ligatures w14:val="none"/>
        </w:rPr>
      </w:pPr>
    </w:p>
    <w:p w:rsidR="00F72059" w:rsidP="093CF01F" w:rsidRDefault="00B05EDA" w14:paraId="4D9D1B93" w14:textId="77777777">
      <w:pPr>
        <w:spacing w:after="0" w:line="276" w:lineRule="auto"/>
        <w:contextualSpacing/>
        <w:rPr>
          <w:rFonts w:ascii="Palatino Linotype" w:hAnsi="Palatino Linotype" w:eastAsia="Palatino Linotype" w:cs="Times New Roman"/>
          <w:kern w:val="0"/>
          <w14:ligatures w14:val="none"/>
        </w:rPr>
      </w:pPr>
      <w:r w:rsidRPr="00B05EDA">
        <w:rPr>
          <w:rFonts w:ascii="Palatino Linotype" w:hAnsi="Palatino Linotype" w:eastAsia="Palatino Linotype" w:cs="Times New Roman"/>
          <w:b/>
          <w:bCs/>
          <w:kern w:val="0"/>
          <w14:ligatures w14:val="none"/>
        </w:rPr>
        <w:t xml:space="preserve">Phase I </w:t>
      </w:r>
      <w:r w:rsidR="003B5AB0">
        <w:rPr>
          <w:rFonts w:ascii="Palatino Linotype" w:hAnsi="Palatino Linotype" w:eastAsia="Palatino Linotype" w:cs="Times New Roman"/>
          <w:b/>
          <w:bCs/>
          <w:kern w:val="0"/>
          <w14:ligatures w14:val="none"/>
        </w:rPr>
        <w:t xml:space="preserve">Time </w:t>
      </w:r>
      <w:r w:rsidRPr="00B05EDA">
        <w:rPr>
          <w:rFonts w:ascii="Palatino Linotype" w:hAnsi="Palatino Linotype" w:eastAsia="Palatino Linotype" w:cs="Times New Roman"/>
          <w:b/>
          <w:bCs/>
          <w:kern w:val="0"/>
          <w14:ligatures w14:val="none"/>
        </w:rPr>
        <w:t>Extension</w:t>
      </w:r>
      <w:r w:rsidR="003B5AB0">
        <w:rPr>
          <w:rFonts w:ascii="Palatino Linotype" w:hAnsi="Palatino Linotype" w:eastAsia="Palatino Linotype" w:cs="Times New Roman"/>
          <w:b/>
          <w:bCs/>
          <w:kern w:val="0"/>
          <w14:ligatures w14:val="none"/>
        </w:rPr>
        <w:t xml:space="preserve"> Request</w:t>
      </w:r>
      <w:r w:rsidR="00EE3C26">
        <w:rPr>
          <w:rFonts w:ascii="Palatino Linotype" w:hAnsi="Palatino Linotype" w:eastAsia="Palatino Linotype" w:cs="Times New Roman"/>
          <w:b/>
          <w:bCs/>
          <w:kern w:val="0"/>
          <w14:ligatures w14:val="none"/>
        </w:rPr>
        <w:t xml:space="preserve"> </w:t>
      </w:r>
      <w:r w:rsidR="007C58A8">
        <w:rPr>
          <w:rFonts w:ascii="Palatino Linotype" w:hAnsi="Palatino Linotype" w:eastAsia="Palatino Linotype" w:cs="Times New Roman"/>
          <w:b/>
          <w:bCs/>
          <w:kern w:val="0"/>
          <w14:ligatures w14:val="none"/>
        </w:rPr>
        <w:t>due to</w:t>
      </w:r>
      <w:r w:rsidR="00EE3C26">
        <w:rPr>
          <w:rFonts w:ascii="Palatino Linotype" w:hAnsi="Palatino Linotype" w:eastAsia="Palatino Linotype" w:cs="Times New Roman"/>
          <w:b/>
          <w:bCs/>
          <w:kern w:val="0"/>
          <w14:ligatures w14:val="none"/>
        </w:rPr>
        <w:t xml:space="preserve"> Implementation Issues</w:t>
      </w:r>
      <w:r w:rsidRPr="00B05EDA">
        <w:rPr>
          <w:rFonts w:ascii="Palatino Linotype" w:hAnsi="Palatino Linotype" w:eastAsia="Palatino Linotype" w:cs="Times New Roman"/>
          <w:kern w:val="0"/>
          <w14:ligatures w14:val="none"/>
        </w:rPr>
        <w:br/>
      </w:r>
    </w:p>
    <w:p w:rsidR="008C7600" w:rsidP="008C7600" w:rsidRDefault="00BB1F4A" w14:paraId="1F37C48D" w14:textId="77777777">
      <w:pPr>
        <w:spacing w:after="0" w:line="276" w:lineRule="auto"/>
        <w:contextualSpacing/>
        <w:rPr>
          <w:rFonts w:ascii="Palatino Linotype" w:hAnsi="Palatino Linotype" w:eastAsia="Palatino Linotype" w:cs="Times New Roman"/>
          <w:kern w:val="0"/>
          <w14:ligatures w14:val="none"/>
        </w:rPr>
      </w:pPr>
      <w:r w:rsidRPr="00BB1F4A">
        <w:rPr>
          <w:rFonts w:ascii="Palatino Linotype" w:hAnsi="Palatino Linotype" w:eastAsia="Palatino Linotype" w:cs="Times New Roman"/>
          <w:kern w:val="0"/>
          <w14:ligatures w14:val="none"/>
        </w:rPr>
        <w:t xml:space="preserve">PG&amp;E’s </w:t>
      </w:r>
      <w:r w:rsidR="0002585A">
        <w:rPr>
          <w:rFonts w:ascii="Palatino Linotype" w:hAnsi="Palatino Linotype" w:eastAsia="Palatino Linotype" w:cs="Times New Roman"/>
          <w:kern w:val="0"/>
          <w14:ligatures w14:val="none"/>
        </w:rPr>
        <w:t>AL</w:t>
      </w:r>
      <w:r w:rsidRPr="00BB1F4A">
        <w:rPr>
          <w:rFonts w:ascii="Palatino Linotype" w:hAnsi="Palatino Linotype" w:eastAsia="Palatino Linotype" w:cs="Times New Roman"/>
          <w:kern w:val="0"/>
          <w14:ligatures w14:val="none"/>
        </w:rPr>
        <w:t xml:space="preserve"> 7378-E requests an additional extension for completion of Phase I of the V2X Microgrid Pilot. </w:t>
      </w:r>
      <w:r w:rsidR="00F72059">
        <w:rPr>
          <w:rFonts w:ascii="Palatino Linotype" w:hAnsi="Palatino Linotype" w:eastAsia="Palatino Linotype" w:cs="Times New Roman"/>
          <w:kern w:val="0"/>
          <w14:ligatures w14:val="none"/>
        </w:rPr>
        <w:t>PG&amp;E’s</w:t>
      </w:r>
      <w:r w:rsidRPr="00BB1F4A" w:rsidR="00F72059">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request does not introduce any changes to the approved budget or scope but seeks to extend the completion timeline</w:t>
      </w:r>
      <w:r w:rsidR="00993D4F">
        <w:rPr>
          <w:rFonts w:ascii="Palatino Linotype" w:hAnsi="Palatino Linotype" w:eastAsia="Palatino Linotype" w:cs="Times New Roman"/>
          <w:kern w:val="0"/>
          <w14:ligatures w14:val="none"/>
        </w:rPr>
        <w:t>.</w:t>
      </w:r>
      <w:r w:rsidR="00795517">
        <w:rPr>
          <w:rFonts w:ascii="Palatino Linotype" w:hAnsi="Palatino Linotype" w:eastAsia="Palatino Linotype" w:cs="Times New Roman"/>
          <w:kern w:val="0"/>
          <w14:ligatures w14:val="none"/>
        </w:rPr>
        <w:t xml:space="preserve"> </w:t>
      </w:r>
      <w:r w:rsidRPr="72F52493" w:rsidR="72CA9867">
        <w:rPr>
          <w:rFonts w:ascii="Palatino Linotype" w:hAnsi="Palatino Linotype" w:eastAsia="Palatino Linotype" w:cs="Palatino Linotype"/>
        </w:rPr>
        <w:t xml:space="preserve">In Appendix I of the supplemental AL 7378-E-A and Advice Letter 7878-E, PG&amp;E proposes a milestone-based </w:t>
      </w:r>
      <w:r w:rsidR="00795517">
        <w:rPr>
          <w:rFonts w:ascii="Palatino Linotype" w:hAnsi="Palatino Linotype" w:eastAsia="Palatino Linotype" w:cs="Palatino Linotype"/>
        </w:rPr>
        <w:t xml:space="preserve">approach </w:t>
      </w:r>
      <w:r w:rsidRPr="72F52493" w:rsidR="5D9E7676">
        <w:rPr>
          <w:rFonts w:ascii="Palatino Linotype" w:hAnsi="Palatino Linotype" w:eastAsia="Palatino Linotype" w:cs="Palatino Linotype"/>
        </w:rPr>
        <w:t xml:space="preserve">that begins three months after charger installation and energization and extends for four months following the EVSE provider’s completion of the 3.11B control system rollout. Although </w:t>
      </w:r>
      <w:r w:rsidR="00795517">
        <w:rPr>
          <w:rFonts w:ascii="Palatino Linotype" w:hAnsi="Palatino Linotype" w:eastAsia="Palatino Linotype" w:cs="Palatino Linotype"/>
        </w:rPr>
        <w:t>A</w:t>
      </w:r>
      <w:r w:rsidRPr="72F52493" w:rsidR="5D9E7676">
        <w:rPr>
          <w:rFonts w:ascii="Palatino Linotype" w:hAnsi="Palatino Linotype" w:eastAsia="Palatino Linotype" w:cs="Palatino Linotype"/>
        </w:rPr>
        <w:t xml:space="preserve">ppendix I does not explicitly identify a specific calendar end date, </w:t>
      </w:r>
      <w:r w:rsidR="00795517">
        <w:rPr>
          <w:rFonts w:ascii="Palatino Linotype" w:hAnsi="Palatino Linotype" w:eastAsia="Palatino Linotype" w:cs="Palatino Linotype"/>
        </w:rPr>
        <w:t xml:space="preserve">the </w:t>
      </w:r>
      <w:r w:rsidRPr="72F52493" w:rsidR="5D9E7676">
        <w:rPr>
          <w:rFonts w:ascii="Palatino Linotype" w:hAnsi="Palatino Linotype" w:eastAsia="Palatino Linotype" w:cs="Palatino Linotype"/>
        </w:rPr>
        <w:t xml:space="preserve">Commission approves PG&amp;E’s proposed milestone-based implementation </w:t>
      </w:r>
      <w:r w:rsidRPr="72F52493" w:rsidR="5D9E7676">
        <w:rPr>
          <w:rFonts w:ascii="Palatino Linotype" w:hAnsi="Palatino Linotype" w:eastAsia="Palatino Linotype" w:cs="Palatino Linotype"/>
        </w:rPr>
        <w:lastRenderedPageBreak/>
        <w:t xml:space="preserve">timeline, with an ultimate completion date of June 30, 2026, and directs PG&amp;E to </w:t>
      </w:r>
      <w:r w:rsidRPr="72F52493" w:rsidR="56FBE4B6">
        <w:rPr>
          <w:rFonts w:ascii="Palatino Linotype" w:hAnsi="Palatino Linotype" w:eastAsia="Palatino Linotype" w:cs="Palatino Linotype"/>
        </w:rPr>
        <w:t xml:space="preserve">confirm </w:t>
      </w:r>
      <w:r w:rsidRPr="72F52493" w:rsidR="5D9E7676">
        <w:rPr>
          <w:rFonts w:ascii="Palatino Linotype" w:hAnsi="Palatino Linotype" w:eastAsia="Palatino Linotype" w:cs="Palatino Linotype"/>
        </w:rPr>
        <w:t xml:space="preserve">this date through a Tier 2 </w:t>
      </w:r>
      <w:r w:rsidRPr="72F52493" w:rsidR="46E7367E">
        <w:rPr>
          <w:rFonts w:ascii="Palatino Linotype" w:hAnsi="Palatino Linotype" w:eastAsia="Palatino Linotype" w:cs="Palatino Linotype"/>
        </w:rPr>
        <w:t>AL</w:t>
      </w:r>
      <w:r w:rsidRPr="72F52493" w:rsidR="5D9E7676">
        <w:rPr>
          <w:rFonts w:ascii="Palatino Linotype" w:hAnsi="Palatino Linotype" w:eastAsia="Palatino Linotype" w:cs="Palatino Linotype"/>
        </w:rPr>
        <w:t>.</w:t>
      </w:r>
    </w:p>
    <w:p w:rsidR="5D9E7676" w:rsidP="72F52493" w:rsidRDefault="5D9E7676" w14:paraId="397C0926" w14:textId="77777777">
      <w:pPr>
        <w:spacing w:after="0" w:line="276" w:lineRule="auto"/>
        <w:contextualSpacing/>
        <w:rPr>
          <w:rFonts w:ascii="Palatino Linotype" w:hAnsi="Palatino Linotype" w:eastAsia="Palatino Linotype" w:cs="Palatino Linotype"/>
        </w:rPr>
      </w:pPr>
    </w:p>
    <w:p w:rsidR="008C7600" w:rsidP="008C7600" w:rsidRDefault="008C7600" w14:paraId="6677CBEC" w14:textId="77777777">
      <w:pPr>
        <w:spacing w:after="0" w:line="276" w:lineRule="auto"/>
        <w:contextualSpacing/>
        <w:rPr>
          <w:rFonts w:ascii="Palatino Linotype" w:hAnsi="Palatino Linotype" w:eastAsia="Palatino Linotype" w:cs="Times New Roman"/>
          <w:kern w:val="0"/>
          <w14:ligatures w14:val="none"/>
        </w:rPr>
      </w:pPr>
    </w:p>
    <w:p w:rsidRPr="00BB1F4A" w:rsidR="008C7600" w:rsidP="008C7600" w:rsidRDefault="008C7600" w14:paraId="1CD703C3" w14:textId="77777777">
      <w:pPr>
        <w:spacing w:after="0" w:line="276" w:lineRule="auto"/>
        <w:contextualSpacing/>
        <w:rPr>
          <w:rFonts w:ascii="Palatino Linotype" w:hAnsi="Palatino Linotype" w:eastAsia="Palatino Linotype" w:cs="Times New Roman"/>
          <w:kern w:val="0"/>
          <w14:ligatures w14:val="none"/>
        </w:rPr>
      </w:pPr>
      <w:r w:rsidRPr="00BB1F4A">
        <w:rPr>
          <w:rFonts w:ascii="Palatino Linotype" w:hAnsi="Palatino Linotype" w:eastAsia="Palatino Linotype" w:cs="Times New Roman"/>
          <w:kern w:val="0"/>
          <w14:ligatures w14:val="none"/>
        </w:rPr>
        <w:t>PG&amp;E explains that the</w:t>
      </w:r>
      <w:r>
        <w:rPr>
          <w:rFonts w:ascii="Palatino Linotype" w:hAnsi="Palatino Linotype" w:eastAsia="Palatino Linotype" w:cs="Times New Roman"/>
          <w:kern w:val="0"/>
          <w14:ligatures w14:val="none"/>
        </w:rPr>
        <w:t xml:space="preserve"> requested</w:t>
      </w:r>
      <w:r w:rsidRPr="00BB1F4A">
        <w:rPr>
          <w:rFonts w:ascii="Palatino Linotype" w:hAnsi="Palatino Linotype" w:eastAsia="Palatino Linotype" w:cs="Times New Roman"/>
          <w:kern w:val="0"/>
          <w14:ligatures w14:val="none"/>
        </w:rPr>
        <w:t xml:space="preserve"> extension is necessary to allow sufficient time to install replacement chargers at the RCAM and complete the data</w:t>
      </w:r>
      <w:r>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collection and </w:t>
      </w:r>
      <w:r>
        <w:rPr>
          <w:rFonts w:ascii="Palatino Linotype" w:hAnsi="Palatino Linotype" w:eastAsia="Palatino Linotype" w:cs="Times New Roman"/>
          <w:kern w:val="0"/>
          <w14:ligatures w14:val="none"/>
        </w:rPr>
        <w:t>testing</w:t>
      </w:r>
      <w:r w:rsidRPr="00BB1F4A">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According to Appendix I, AL 7378-E-A, they</w:t>
      </w:r>
      <w:r w:rsidRPr="00BB1F4A">
        <w:rPr>
          <w:rFonts w:ascii="Palatino Linotype" w:hAnsi="Palatino Linotype" w:eastAsia="Palatino Linotype" w:cs="Times New Roman"/>
          <w:kern w:val="0"/>
          <w14:ligatures w14:val="none"/>
        </w:rPr>
        <w:t xml:space="preserve"> estimate</w:t>
      </w:r>
      <w:r>
        <w:rPr>
          <w:rFonts w:ascii="Palatino Linotype" w:hAnsi="Palatino Linotype" w:eastAsia="Palatino Linotype" w:cs="Times New Roman"/>
          <w:kern w:val="0"/>
          <w14:ligatures w14:val="none"/>
        </w:rPr>
        <w:t>d</w:t>
      </w:r>
      <w:r w:rsidRPr="00BB1F4A">
        <w:rPr>
          <w:rFonts w:ascii="Palatino Linotype" w:hAnsi="Palatino Linotype" w:eastAsia="Palatino Linotype" w:cs="Times New Roman"/>
          <w:kern w:val="0"/>
          <w14:ligatures w14:val="none"/>
        </w:rPr>
        <w:t xml:space="preserve"> that Phase I will conclude approximately four to six months after the new chargers begin data collection and transfer, acknowledging that </w:t>
      </w:r>
      <w:r>
        <w:rPr>
          <w:rFonts w:ascii="Palatino Linotype" w:hAnsi="Palatino Linotype" w:eastAsia="Palatino Linotype" w:cs="Times New Roman"/>
          <w:kern w:val="0"/>
          <w14:ligatures w14:val="none"/>
        </w:rPr>
        <w:t>ongoing technical, operational, or regulatory challenges could still influence this timeline</w:t>
      </w:r>
      <w:r w:rsidRPr="00BB1F4A">
        <w:rPr>
          <w:rFonts w:ascii="Palatino Linotype" w:hAnsi="Palatino Linotype" w:eastAsia="Palatino Linotype" w:cs="Times New Roman"/>
          <w:kern w:val="0"/>
          <w14:ligatures w14:val="none"/>
        </w:rPr>
        <w:t>.</w:t>
      </w:r>
    </w:p>
    <w:p w:rsidRPr="00BB1F4A" w:rsidR="008C7600" w:rsidP="008C7600" w:rsidRDefault="008C7600" w14:paraId="7FB8204F" w14:textId="77777777">
      <w:pPr>
        <w:spacing w:after="0" w:line="276" w:lineRule="auto"/>
        <w:contextualSpacing/>
        <w:rPr>
          <w:rFonts w:ascii="Palatino Linotype" w:hAnsi="Palatino Linotype" w:eastAsia="Palatino Linotype" w:cs="Times New Roman"/>
          <w:kern w:val="0"/>
          <w14:ligatures w14:val="none"/>
        </w:rPr>
      </w:pPr>
    </w:p>
    <w:p w:rsidRPr="00BB1F4A" w:rsidR="008C7600" w:rsidP="008C7600" w:rsidRDefault="008C7600" w14:paraId="55BC7A0C" w14:textId="77777777">
      <w:pPr>
        <w:spacing w:after="0" w:line="276" w:lineRule="auto"/>
        <w:contextualSpacing/>
        <w:rPr>
          <w:rFonts w:ascii="Palatino Linotype" w:hAnsi="Palatino Linotype" w:eastAsia="Palatino Linotype" w:cs="Times New Roman"/>
          <w:kern w:val="0"/>
          <w14:ligatures w14:val="none"/>
        </w:rPr>
      </w:pPr>
      <w:r w:rsidRPr="00BB1F4A">
        <w:rPr>
          <w:rFonts w:ascii="Palatino Linotype" w:hAnsi="Palatino Linotype" w:eastAsia="Palatino Linotype" w:cs="Times New Roman"/>
          <w:kern w:val="0"/>
          <w14:ligatures w14:val="none"/>
        </w:rPr>
        <w:t>The request builds on the prior extension in AL 7378-E</w:t>
      </w:r>
      <w:r>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which was prompted by delays in FAA funding and downstream impacts on contracting and site readiness. As detailed in that filing, the late release of FAA funding caused </w:t>
      </w:r>
      <w:r>
        <w:rPr>
          <w:rFonts w:ascii="Palatino Linotype" w:hAnsi="Palatino Linotype" w:eastAsia="Palatino Linotype" w:cs="Times New Roman"/>
          <w:kern w:val="0"/>
          <w14:ligatures w14:val="none"/>
        </w:rPr>
        <w:t>schedule delays, specifically in equipment procurement and in finalizing three major stakeholder contracts:</w:t>
      </w:r>
      <w:r w:rsidRPr="00BB1F4A">
        <w:rPr>
          <w:rFonts w:ascii="Palatino Linotype" w:hAnsi="Palatino Linotype" w:eastAsia="Palatino Linotype" w:cs="Times New Roman"/>
          <w:kern w:val="0"/>
          <w14:ligatures w14:val="none"/>
        </w:rPr>
        <w:t xml:space="preserve"> the EV</w:t>
      </w:r>
      <w:r>
        <w:rPr>
          <w:rFonts w:ascii="Palatino Linotype" w:hAnsi="Palatino Linotype" w:eastAsia="Palatino Linotype" w:cs="Times New Roman"/>
          <w:kern w:val="0"/>
          <w14:ligatures w14:val="none"/>
        </w:rPr>
        <w:t xml:space="preserve"> charger</w:t>
      </w:r>
      <w:r w:rsidRPr="00BB1F4A">
        <w:rPr>
          <w:rFonts w:ascii="Palatino Linotype" w:hAnsi="Palatino Linotype" w:eastAsia="Palatino Linotype" w:cs="Times New Roman"/>
          <w:kern w:val="0"/>
          <w14:ligatures w14:val="none"/>
        </w:rPr>
        <w:t xml:space="preserve"> provider, the RCAM project manager, and the construction contractor. </w:t>
      </w:r>
      <w:r>
        <w:rPr>
          <w:rFonts w:ascii="Palatino Linotype" w:hAnsi="Palatino Linotype" w:eastAsia="Palatino Linotype" w:cs="Times New Roman"/>
          <w:kern w:val="0"/>
          <w14:ligatures w14:val="none"/>
        </w:rPr>
        <w:t>PG&amp;E asserts that t</w:t>
      </w:r>
      <w:r w:rsidRPr="00BB1F4A">
        <w:rPr>
          <w:rFonts w:ascii="Palatino Linotype" w:hAnsi="Palatino Linotype" w:eastAsia="Palatino Linotype" w:cs="Times New Roman"/>
          <w:kern w:val="0"/>
          <w14:ligatures w14:val="none"/>
        </w:rPr>
        <w:t>h</w:t>
      </w:r>
      <w:r>
        <w:rPr>
          <w:rFonts w:ascii="Palatino Linotype" w:hAnsi="Palatino Linotype" w:eastAsia="Palatino Linotype" w:cs="Times New Roman"/>
          <w:kern w:val="0"/>
          <w14:ligatures w14:val="none"/>
        </w:rPr>
        <w:t>e</w:t>
      </w:r>
      <w:r w:rsidRPr="00BB1F4A">
        <w:rPr>
          <w:rFonts w:ascii="Palatino Linotype" w:hAnsi="Palatino Linotype" w:eastAsia="Palatino Linotype" w:cs="Times New Roman"/>
          <w:kern w:val="0"/>
          <w14:ligatures w14:val="none"/>
        </w:rPr>
        <w:t xml:space="preserve">se delays postponed the deployment of the control system to the chargers, which PG&amp;E reported had proven more complex than initially anticipated. In </w:t>
      </w:r>
      <w:r>
        <w:rPr>
          <w:rFonts w:ascii="Palatino Linotype" w:hAnsi="Palatino Linotype" w:eastAsia="Palatino Linotype" w:cs="Times New Roman"/>
          <w:kern w:val="0"/>
          <w14:ligatures w14:val="none"/>
        </w:rPr>
        <w:t>AL 7378-E-A</w:t>
      </w:r>
      <w:r w:rsidRPr="00BB1F4A">
        <w:rPr>
          <w:rFonts w:ascii="Palatino Linotype" w:hAnsi="Palatino Linotype" w:eastAsia="Palatino Linotype" w:cs="Times New Roman"/>
          <w:kern w:val="0"/>
          <w14:ligatures w14:val="none"/>
        </w:rPr>
        <w:t xml:space="preserve">, PG&amp;E </w:t>
      </w:r>
      <w:r w:rsidR="001E782B">
        <w:rPr>
          <w:rFonts w:ascii="Palatino Linotype" w:hAnsi="Palatino Linotype" w:eastAsia="Palatino Linotype" w:cs="Times New Roman"/>
          <w:kern w:val="0"/>
          <w14:ligatures w14:val="none"/>
        </w:rPr>
        <w:t>claims</w:t>
      </w:r>
      <w:r w:rsidRPr="00BB1F4A">
        <w:rPr>
          <w:rFonts w:ascii="Palatino Linotype" w:hAnsi="Palatino Linotype" w:eastAsia="Palatino Linotype" w:cs="Times New Roman"/>
          <w:kern w:val="0"/>
          <w14:ligatures w14:val="none"/>
        </w:rPr>
        <w:t xml:space="preserve"> that although Phase I design milestones were achieved, field implementation encountered additional complications that have prevented completion of the final demonstration period.</w:t>
      </w:r>
    </w:p>
    <w:p w:rsidRPr="00BB1F4A" w:rsidR="008C7600" w:rsidP="008C7600" w:rsidRDefault="008C7600" w14:paraId="3AA3083C" w14:textId="77777777">
      <w:pPr>
        <w:spacing w:after="0" w:line="276" w:lineRule="auto"/>
        <w:contextualSpacing/>
        <w:rPr>
          <w:rFonts w:ascii="Palatino Linotype" w:hAnsi="Palatino Linotype" w:eastAsia="Palatino Linotype" w:cs="Times New Roman"/>
          <w:kern w:val="0"/>
          <w14:ligatures w14:val="none"/>
        </w:rPr>
      </w:pPr>
    </w:p>
    <w:p w:rsidR="008C7600" w:rsidP="008C7600" w:rsidRDefault="008C7600" w14:paraId="1B7FB287" w14:textId="77777777">
      <w:pPr>
        <w:spacing w:after="0" w:line="276" w:lineRule="auto"/>
        <w:contextualSpacing/>
        <w:rPr>
          <w:rFonts w:ascii="Palatino Linotype" w:hAnsi="Palatino Linotype" w:eastAsia="Palatino Linotype" w:cs="Times New Roman"/>
          <w:kern w:val="0"/>
          <w14:ligatures w14:val="none"/>
        </w:rPr>
      </w:pPr>
      <w:r w:rsidRPr="00BB1F4A">
        <w:rPr>
          <w:rFonts w:ascii="Palatino Linotype" w:hAnsi="Palatino Linotype" w:eastAsia="Palatino Linotype" w:cs="Times New Roman"/>
          <w:kern w:val="0"/>
          <w14:ligatures w14:val="none"/>
        </w:rPr>
        <w:t xml:space="preserve">In </w:t>
      </w:r>
      <w:r>
        <w:rPr>
          <w:rFonts w:ascii="Palatino Linotype" w:hAnsi="Palatino Linotype" w:eastAsia="Palatino Linotype" w:cs="Times New Roman"/>
          <w:kern w:val="0"/>
          <w14:ligatures w14:val="none"/>
        </w:rPr>
        <w:t xml:space="preserve">AL 7378-E-A, </w:t>
      </w:r>
      <w:r w:rsidRPr="00BB1F4A">
        <w:rPr>
          <w:rFonts w:ascii="Palatino Linotype" w:hAnsi="Palatino Linotype" w:eastAsia="Palatino Linotype" w:cs="Times New Roman"/>
          <w:kern w:val="0"/>
          <w14:ligatures w14:val="none"/>
        </w:rPr>
        <w:t>Appendix I, PG&amp;E further explains that the primary barriers have been technical and vendor-related. Vendor staffing shortages and limited firmware support constrained PG&amp;E’s operational readiness. The first attempt at the frequency-droop islanded test in May 2025 failed due to improper charger responses to frequency signals, requiring additional firmware modifications. While these issues were eventually resolved, allowing the control scheme to function as intended and marking the transition into continuous data collection</w:t>
      </w:r>
      <w:r>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the pilot experienced another significant </w:t>
      </w:r>
      <w:r>
        <w:rPr>
          <w:rFonts w:ascii="Palatino Linotype" w:hAnsi="Palatino Linotype" w:eastAsia="Palatino Linotype" w:cs="Times New Roman"/>
          <w:kern w:val="0"/>
          <w14:ligatures w14:val="none"/>
        </w:rPr>
        <w:t>issue</w:t>
      </w:r>
      <w:r w:rsidRPr="00BB1F4A">
        <w:rPr>
          <w:rFonts w:ascii="Palatino Linotype" w:hAnsi="Palatino Linotype" w:eastAsia="Palatino Linotype" w:cs="Times New Roman"/>
          <w:kern w:val="0"/>
          <w14:ligatures w14:val="none"/>
        </w:rPr>
        <w:t xml:space="preserve"> on June 28, 2025, when an outage event damaged three of the four bidirectional chargers. PG&amp;E has since initiated root-cause analysis and </w:t>
      </w:r>
      <w:r>
        <w:rPr>
          <w:rFonts w:ascii="Palatino Linotype" w:hAnsi="Palatino Linotype" w:eastAsia="Palatino Linotype" w:cs="Times New Roman"/>
          <w:kern w:val="0"/>
          <w14:ligatures w14:val="none"/>
        </w:rPr>
        <w:t>begun</w:t>
      </w:r>
      <w:r w:rsidRPr="00BB1F4A">
        <w:rPr>
          <w:rFonts w:ascii="Palatino Linotype" w:hAnsi="Palatino Linotype" w:eastAsia="Palatino Linotype" w:cs="Times New Roman"/>
          <w:kern w:val="0"/>
          <w14:ligatures w14:val="none"/>
        </w:rPr>
        <w:t xml:space="preserve"> coordinating the repair and replacement process, after which a three-month operational testing window will resume to </w:t>
      </w:r>
      <w:r>
        <w:rPr>
          <w:rFonts w:ascii="Palatino Linotype" w:hAnsi="Palatino Linotype" w:eastAsia="Palatino Linotype" w:cs="Times New Roman"/>
          <w:kern w:val="0"/>
          <w14:ligatures w14:val="none"/>
        </w:rPr>
        <w:t xml:space="preserve">continue and </w:t>
      </w:r>
      <w:r w:rsidRPr="00BB1F4A">
        <w:rPr>
          <w:rFonts w:ascii="Palatino Linotype" w:hAnsi="Palatino Linotype" w:eastAsia="Palatino Linotype" w:cs="Times New Roman"/>
          <w:kern w:val="0"/>
          <w14:ligatures w14:val="none"/>
        </w:rPr>
        <w:t>finalize Phase I.</w:t>
      </w:r>
    </w:p>
    <w:p w:rsidR="001E782B" w:rsidP="008C7600" w:rsidRDefault="001E782B" w14:paraId="0CF09886" w14:textId="77777777">
      <w:pPr>
        <w:spacing w:after="0" w:line="276" w:lineRule="auto"/>
        <w:contextualSpacing/>
        <w:rPr>
          <w:rFonts w:ascii="Palatino Linotype" w:hAnsi="Palatino Linotype" w:eastAsia="Palatino Linotype" w:cs="Times New Roman"/>
          <w:kern w:val="0"/>
          <w14:ligatures w14:val="none"/>
        </w:rPr>
      </w:pPr>
    </w:p>
    <w:p w:rsidR="001E782B" w:rsidP="001E782B" w:rsidRDefault="001E782B" w14:paraId="0517F7FE" w14:textId="77777777">
      <w:pPr>
        <w:spacing w:after="0" w:line="276" w:lineRule="auto"/>
        <w:contextualSpacing/>
        <w:rPr>
          <w:rFonts w:ascii="Palatino Linotype" w:hAnsi="Palatino Linotype" w:eastAsia="Palatino Linotype" w:cs="Times New Roman"/>
          <w:kern w:val="0"/>
          <w14:ligatures w14:val="none"/>
        </w:rPr>
      </w:pPr>
      <w:r w:rsidRPr="007A7758">
        <w:rPr>
          <w:rFonts w:ascii="Palatino Linotype" w:hAnsi="Palatino Linotype" w:eastAsia="Palatino Linotype" w:cs="Times New Roman"/>
          <w:kern w:val="0"/>
          <w14:ligatures w14:val="none"/>
        </w:rPr>
        <w:lastRenderedPageBreak/>
        <w:t xml:space="preserve">Both </w:t>
      </w:r>
      <w:r>
        <w:rPr>
          <w:rFonts w:ascii="Palatino Linotype" w:hAnsi="Palatino Linotype" w:eastAsia="Palatino Linotype" w:cs="Times New Roman"/>
          <w:kern w:val="0"/>
          <w14:ligatures w14:val="none"/>
        </w:rPr>
        <w:t>SERC</w:t>
      </w:r>
      <w:r w:rsidRPr="007A7758">
        <w:rPr>
          <w:rFonts w:ascii="Palatino Linotype" w:hAnsi="Palatino Linotype" w:eastAsia="Palatino Linotype" w:cs="Times New Roman"/>
          <w:kern w:val="0"/>
          <w14:ligatures w14:val="none"/>
        </w:rPr>
        <w:t xml:space="preserve"> and VGIC expressed support </w:t>
      </w:r>
      <w:r>
        <w:rPr>
          <w:rFonts w:ascii="Palatino Linotype" w:hAnsi="Palatino Linotype" w:eastAsia="Palatino Linotype" w:cs="Times New Roman"/>
          <w:kern w:val="0"/>
          <w14:ligatures w14:val="none"/>
        </w:rPr>
        <w:t xml:space="preserve">in their response letters to AL 7378-E-A </w:t>
      </w:r>
      <w:r w:rsidRPr="007A7758">
        <w:rPr>
          <w:rFonts w:ascii="Palatino Linotype" w:hAnsi="Palatino Linotype" w:eastAsia="Palatino Linotype" w:cs="Times New Roman"/>
          <w:kern w:val="0"/>
          <w14:ligatures w14:val="none"/>
        </w:rPr>
        <w:t xml:space="preserve">for extending the Phase I timeline, recognizing the continued value of the demonstration at the </w:t>
      </w:r>
      <w:r>
        <w:rPr>
          <w:rFonts w:ascii="Palatino Linotype" w:hAnsi="Palatino Linotype" w:eastAsia="Palatino Linotype" w:cs="Times New Roman"/>
          <w:kern w:val="0"/>
          <w14:ligatures w14:val="none"/>
        </w:rPr>
        <w:t>RCAM</w:t>
      </w:r>
      <w:r w:rsidRPr="007A7758">
        <w:rPr>
          <w:rFonts w:ascii="Palatino Linotype" w:hAnsi="Palatino Linotype" w:eastAsia="Palatino Linotype" w:cs="Times New Roman"/>
          <w:kern w:val="0"/>
          <w14:ligatures w14:val="none"/>
        </w:rPr>
        <w:t>. SERC noted that PG&amp;E successfully resolved earlier firmware and communication issues and demonstrated proper frequency-droop response, confirming the technical viability of bidirectional charging within a multi-customer microgrid. Both parties agreed that completing the remaining data</w:t>
      </w:r>
      <w:r>
        <w:rPr>
          <w:rFonts w:ascii="Palatino Linotype" w:hAnsi="Palatino Linotype" w:eastAsia="Palatino Linotype" w:cs="Times New Roman"/>
          <w:kern w:val="0"/>
          <w14:ligatures w14:val="none"/>
        </w:rPr>
        <w:t xml:space="preserve"> </w:t>
      </w:r>
      <w:r w:rsidRPr="007A7758">
        <w:rPr>
          <w:rFonts w:ascii="Palatino Linotype" w:hAnsi="Palatino Linotype" w:eastAsia="Palatino Linotype" w:cs="Times New Roman"/>
          <w:kern w:val="0"/>
          <w14:ligatures w14:val="none"/>
        </w:rPr>
        <w:t>collection period is reasonable and necessary to obtain</w:t>
      </w:r>
      <w:r>
        <w:rPr>
          <w:rFonts w:ascii="Palatino Linotype" w:hAnsi="Palatino Linotype" w:eastAsia="Palatino Linotype" w:cs="Times New Roman"/>
          <w:kern w:val="0"/>
          <w14:ligatures w14:val="none"/>
        </w:rPr>
        <w:t xml:space="preserve"> </w:t>
      </w:r>
      <w:r w:rsidRPr="007A7758">
        <w:rPr>
          <w:rFonts w:ascii="Palatino Linotype" w:hAnsi="Palatino Linotype" w:eastAsia="Palatino Linotype" w:cs="Times New Roman"/>
          <w:kern w:val="0"/>
          <w14:ligatures w14:val="none"/>
        </w:rPr>
        <w:t xml:space="preserve">results and lessons learned. VGIC further emphasized that the Phase I findings will provide critical empirical data on interoperability and control processes that should inform future pilot design. </w:t>
      </w:r>
    </w:p>
    <w:p w:rsidR="008C7600" w:rsidP="093CF01F" w:rsidRDefault="008C7600" w14:paraId="03917E4E" w14:textId="77777777">
      <w:pPr>
        <w:spacing w:after="0" w:line="276" w:lineRule="auto"/>
        <w:contextualSpacing/>
        <w:rPr>
          <w:rFonts w:ascii="Palatino Linotype" w:hAnsi="Palatino Linotype" w:eastAsia="Palatino Linotype" w:cs="Times New Roman"/>
          <w:kern w:val="0"/>
          <w14:ligatures w14:val="none"/>
        </w:rPr>
      </w:pPr>
    </w:p>
    <w:p w:rsidR="008C7600" w:rsidP="008C7600" w:rsidRDefault="008C7600" w14:paraId="7FA71E32" w14:textId="77777777">
      <w:pPr>
        <w:spacing w:after="0"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Energy Division finds the extension request </w:t>
      </w:r>
      <w:r w:rsidRPr="00BB1F4A">
        <w:rPr>
          <w:rFonts w:ascii="Palatino Linotype" w:hAnsi="Palatino Linotype" w:eastAsia="Palatino Linotype" w:cs="Times New Roman"/>
          <w:kern w:val="0"/>
          <w14:ligatures w14:val="none"/>
        </w:rPr>
        <w:t xml:space="preserve">reasonable. The challenges </w:t>
      </w:r>
      <w:r w:rsidR="001E782B">
        <w:rPr>
          <w:rFonts w:ascii="Palatino Linotype" w:hAnsi="Palatino Linotype" w:eastAsia="Palatino Linotype" w:cs="Times New Roman"/>
          <w:kern w:val="0"/>
          <w14:ligatures w14:val="none"/>
        </w:rPr>
        <w:t xml:space="preserve">that PG&amp;E </w:t>
      </w:r>
      <w:r w:rsidR="005528DC">
        <w:rPr>
          <w:rFonts w:ascii="Palatino Linotype" w:hAnsi="Palatino Linotype" w:eastAsia="Palatino Linotype" w:cs="Times New Roman"/>
          <w:kern w:val="0"/>
          <w14:ligatures w14:val="none"/>
        </w:rPr>
        <w:t>describes</w:t>
      </w:r>
      <w:r w:rsidRPr="00BB1F4A" w:rsidR="005528DC">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are </w:t>
      </w:r>
      <w:r>
        <w:rPr>
          <w:rFonts w:ascii="Palatino Linotype" w:hAnsi="Palatino Linotype" w:eastAsia="Palatino Linotype" w:cs="Times New Roman"/>
          <w:kern w:val="0"/>
          <w14:ligatures w14:val="none"/>
        </w:rPr>
        <w:t>well documented, largely external to PG&amp;E’s control, and consistent with the project's scope of risk</w:t>
      </w:r>
      <w:r w:rsidRPr="00BB1F4A">
        <w:rPr>
          <w:rFonts w:ascii="Palatino Linotype" w:hAnsi="Palatino Linotype" w:eastAsia="Palatino Linotype" w:cs="Times New Roman"/>
          <w:kern w:val="0"/>
          <w14:ligatures w14:val="none"/>
        </w:rPr>
        <w:t xml:space="preserve">. </w:t>
      </w:r>
      <w:r w:rsidR="001E782B">
        <w:rPr>
          <w:rFonts w:ascii="Palatino Linotype" w:hAnsi="Palatino Linotype" w:eastAsia="Palatino Linotype" w:cs="Times New Roman"/>
          <w:kern w:val="0"/>
          <w14:ligatures w14:val="none"/>
        </w:rPr>
        <w:t>We believe c</w:t>
      </w:r>
      <w:r w:rsidRPr="00BB1F4A">
        <w:rPr>
          <w:rFonts w:ascii="Palatino Linotype" w:hAnsi="Palatino Linotype" w:eastAsia="Palatino Linotype" w:cs="Times New Roman"/>
          <w:kern w:val="0"/>
          <w14:ligatures w14:val="none"/>
        </w:rPr>
        <w:t xml:space="preserve">ompleting Phase I testing is essential for validating the interoperability of bidirectional charging equipment, the stability of control communications, and the practical feasibility of vehicle-to-microgrid operations. Allowing time </w:t>
      </w:r>
      <w:r>
        <w:rPr>
          <w:rFonts w:ascii="Palatino Linotype" w:hAnsi="Palatino Linotype" w:eastAsia="Palatino Linotype" w:cs="Times New Roman"/>
          <w:kern w:val="0"/>
          <w14:ligatures w14:val="none"/>
        </w:rPr>
        <w:t xml:space="preserve">extension </w:t>
      </w:r>
      <w:r w:rsidRPr="00BB1F4A">
        <w:rPr>
          <w:rFonts w:ascii="Palatino Linotype" w:hAnsi="Palatino Linotype" w:eastAsia="Palatino Linotype" w:cs="Times New Roman"/>
          <w:kern w:val="0"/>
          <w14:ligatures w14:val="none"/>
        </w:rPr>
        <w:t xml:space="preserve">through </w:t>
      </w:r>
      <w:r w:rsidRPr="49A7AEC5">
        <w:rPr>
          <w:rFonts w:ascii="Palatino Linotype" w:hAnsi="Palatino Linotype" w:eastAsia="Palatino Linotype" w:cs="Times New Roman"/>
        </w:rPr>
        <w:t>June 30,</w:t>
      </w:r>
      <w:r w:rsidRPr="00BB1F4A">
        <w:rPr>
          <w:rFonts w:ascii="Palatino Linotype" w:hAnsi="Palatino Linotype" w:eastAsia="Palatino Linotype" w:cs="Times New Roman"/>
          <w:kern w:val="0"/>
          <w14:ligatures w14:val="none"/>
        </w:rPr>
        <w:t xml:space="preserve"> 2026, ensures that PG&amp;E can restore the damaged chargers, complete the planned data</w:t>
      </w:r>
      <w:r>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collection period, and deliver the comprehensive evaluation necessary to close out the pilot. </w:t>
      </w:r>
    </w:p>
    <w:p w:rsidR="008C7600" w:rsidP="093CF01F" w:rsidRDefault="008C7600" w14:paraId="493E5648" w14:textId="77777777">
      <w:pPr>
        <w:spacing w:after="0" w:line="276" w:lineRule="auto"/>
        <w:contextualSpacing/>
        <w:rPr>
          <w:rFonts w:ascii="Palatino Linotype" w:hAnsi="Palatino Linotype" w:eastAsia="Palatino Linotype" w:cs="Times New Roman"/>
          <w:kern w:val="0"/>
          <w14:ligatures w14:val="none"/>
        </w:rPr>
      </w:pPr>
    </w:p>
    <w:p w:rsidR="00F90E2A" w:rsidP="00277273" w:rsidRDefault="00A80032" w14:paraId="7780D435" w14:textId="77777777">
      <w:pPr>
        <w:spacing w:after="0" w:line="276" w:lineRule="auto"/>
        <w:rPr>
          <w:rFonts w:ascii="Palatino Linotype" w:hAnsi="Palatino Linotype" w:eastAsia="Palatino Linotype" w:cs="Times New Roman"/>
        </w:rPr>
      </w:pPr>
      <w:r w:rsidRPr="00A80032">
        <w:rPr>
          <w:rFonts w:ascii="Palatino Linotype" w:hAnsi="Palatino Linotype" w:eastAsia="Palatino Linotype" w:cs="Times New Roman"/>
          <w:kern w:val="0"/>
          <w14:ligatures w14:val="none"/>
        </w:rPr>
        <w:t xml:space="preserve">To ensure clarity and maintain an accurate project record, </w:t>
      </w:r>
      <w:r w:rsidRPr="4F027024" w:rsidR="3396AE62">
        <w:rPr>
          <w:rFonts w:ascii="Palatino Linotype" w:hAnsi="Palatino Linotype" w:eastAsia="Palatino Linotype" w:cs="Times New Roman"/>
        </w:rPr>
        <w:t>the Commission</w:t>
      </w:r>
      <w:r w:rsidRPr="4F027024" w:rsidR="00AB4E3A">
        <w:rPr>
          <w:rFonts w:ascii="Palatino Linotype" w:hAnsi="Palatino Linotype" w:eastAsia="Palatino Linotype" w:cs="Times New Roman"/>
        </w:rPr>
        <w:t xml:space="preserve"> direct</w:t>
      </w:r>
      <w:r w:rsidRPr="4F027024" w:rsidR="0DB2DD07">
        <w:rPr>
          <w:rFonts w:ascii="Palatino Linotype" w:hAnsi="Palatino Linotype" w:eastAsia="Palatino Linotype" w:cs="Times New Roman"/>
        </w:rPr>
        <w:t>s</w:t>
      </w:r>
      <w:r w:rsidRPr="00A80032">
        <w:rPr>
          <w:rFonts w:ascii="Palatino Linotype" w:hAnsi="Palatino Linotype" w:eastAsia="Palatino Linotype" w:cs="Times New Roman"/>
          <w:kern w:val="0"/>
          <w14:ligatures w14:val="none"/>
        </w:rPr>
        <w:t xml:space="preserve"> PG&amp;E </w:t>
      </w:r>
      <w:r w:rsidRPr="4F027024" w:rsidR="00AB4E3A">
        <w:rPr>
          <w:rFonts w:ascii="Palatino Linotype" w:hAnsi="Palatino Linotype" w:eastAsia="Palatino Linotype" w:cs="Times New Roman"/>
        </w:rPr>
        <w:t xml:space="preserve">to </w:t>
      </w:r>
      <w:r w:rsidRPr="00A80032">
        <w:rPr>
          <w:rFonts w:ascii="Palatino Linotype" w:hAnsi="Palatino Linotype" w:eastAsia="Palatino Linotype" w:cs="Times New Roman"/>
          <w:kern w:val="0"/>
          <w14:ligatures w14:val="none"/>
        </w:rPr>
        <w:t xml:space="preserve">file a Tier </w:t>
      </w:r>
      <w:r w:rsidR="00DB191C">
        <w:rPr>
          <w:rFonts w:ascii="Palatino Linotype" w:hAnsi="Palatino Linotype" w:eastAsia="Palatino Linotype" w:cs="Times New Roman"/>
        </w:rPr>
        <w:t>2</w:t>
      </w:r>
      <w:r w:rsidRPr="00A80032">
        <w:rPr>
          <w:rFonts w:ascii="Palatino Linotype" w:hAnsi="Palatino Linotype" w:eastAsia="Palatino Linotype" w:cs="Times New Roman"/>
          <w:kern w:val="0"/>
          <w14:ligatures w14:val="none"/>
        </w:rPr>
        <w:t xml:space="preserve"> Advice Letter</w:t>
      </w:r>
      <w:r w:rsidRPr="4F027024" w:rsidR="008C7600">
        <w:rPr>
          <w:rFonts w:ascii="Palatino Linotype" w:hAnsi="Palatino Linotype" w:eastAsia="Palatino Linotype" w:cs="Times New Roman"/>
        </w:rPr>
        <w:t xml:space="preserve"> within </w:t>
      </w:r>
      <w:r w:rsidRPr="4F027024" w:rsidR="238AD286">
        <w:rPr>
          <w:rFonts w:ascii="Palatino Linotype" w:hAnsi="Palatino Linotype" w:eastAsia="Palatino Linotype" w:cs="Times New Roman"/>
        </w:rPr>
        <w:t>30</w:t>
      </w:r>
      <w:r w:rsidRPr="4F027024" w:rsidR="008C7600">
        <w:rPr>
          <w:rFonts w:ascii="Palatino Linotype" w:hAnsi="Palatino Linotype" w:eastAsia="Palatino Linotype" w:cs="Times New Roman"/>
        </w:rPr>
        <w:t xml:space="preserve"> days of approval of this Resolution to</w:t>
      </w:r>
      <w:r w:rsidRPr="00A80032">
        <w:rPr>
          <w:rFonts w:ascii="Palatino Linotype" w:hAnsi="Palatino Linotype" w:eastAsia="Palatino Linotype" w:cs="Times New Roman"/>
          <w:kern w:val="0"/>
          <w14:ligatures w14:val="none"/>
        </w:rPr>
        <w:t xml:space="preserve"> </w:t>
      </w:r>
      <w:r w:rsidRPr="4F027024" w:rsidR="008C7600">
        <w:rPr>
          <w:rFonts w:ascii="Palatino Linotype" w:hAnsi="Palatino Linotype" w:eastAsia="Palatino Linotype" w:cs="Times New Roman"/>
        </w:rPr>
        <w:t>provide</w:t>
      </w:r>
      <w:r w:rsidRPr="00A80032">
        <w:rPr>
          <w:rFonts w:ascii="Palatino Linotype" w:hAnsi="Palatino Linotype" w:eastAsia="Palatino Linotype" w:cs="Times New Roman"/>
          <w:kern w:val="0"/>
          <w14:ligatures w14:val="none"/>
        </w:rPr>
        <w:t xml:space="preserve"> </w:t>
      </w:r>
      <w:r w:rsidRPr="4F027024" w:rsidR="008C7600">
        <w:rPr>
          <w:rFonts w:ascii="Palatino Linotype" w:hAnsi="Palatino Linotype" w:eastAsia="Palatino Linotype" w:cs="Times New Roman"/>
        </w:rPr>
        <w:t xml:space="preserve">an </w:t>
      </w:r>
      <w:r w:rsidRPr="00A80032">
        <w:rPr>
          <w:rFonts w:ascii="Palatino Linotype" w:hAnsi="Palatino Linotype" w:eastAsia="Palatino Linotype" w:cs="Times New Roman"/>
          <w:kern w:val="0"/>
          <w14:ligatures w14:val="none"/>
        </w:rPr>
        <w:t xml:space="preserve">updated Phase I completion schedule through </w:t>
      </w:r>
      <w:r w:rsidRPr="093CF01F" w:rsidR="049AD179">
        <w:rPr>
          <w:rFonts w:ascii="Palatino Linotype" w:hAnsi="Palatino Linotype" w:eastAsia="Palatino Linotype" w:cs="Times New Roman"/>
        </w:rPr>
        <w:t>June 30,</w:t>
      </w:r>
      <w:r w:rsidRPr="00A80032">
        <w:rPr>
          <w:rFonts w:ascii="Palatino Linotype" w:hAnsi="Palatino Linotype" w:eastAsia="Palatino Linotype" w:cs="Times New Roman"/>
          <w:kern w:val="0"/>
          <w14:ligatures w14:val="none"/>
        </w:rPr>
        <w:t xml:space="preserve"> 2026, including revised milestones for charger replacement, data collection, and reporting activities.</w:t>
      </w:r>
    </w:p>
    <w:p w:rsidRPr="00BB1F4A" w:rsidR="008C7600" w:rsidP="2FF289E7" w:rsidRDefault="008C7600" w14:paraId="2459DD1B" w14:textId="77777777">
      <w:pPr>
        <w:spacing w:after="0" w:line="276" w:lineRule="auto"/>
        <w:contextualSpacing/>
        <w:rPr>
          <w:rFonts w:ascii="Palatino Linotype" w:hAnsi="Palatino Linotype" w:eastAsia="Palatino Linotype" w:cs="Times New Roman"/>
        </w:rPr>
      </w:pPr>
    </w:p>
    <w:p w:rsidR="00B05EDA" w:rsidP="306FEAF9" w:rsidRDefault="525EE8AA" w14:paraId="2684255C" w14:textId="77777777">
      <w:pPr>
        <w:spacing w:after="0" w:line="276" w:lineRule="auto"/>
        <w:contextualSpacing/>
        <w:rPr>
          <w:rFonts w:ascii="Palatino Linotype" w:hAnsi="Palatino Linotype" w:eastAsia="Palatino Linotype" w:cs="Times New Roman"/>
          <w:b/>
          <w:bCs/>
        </w:rPr>
      </w:pPr>
      <w:r w:rsidRPr="306FEAF9">
        <w:rPr>
          <w:rFonts w:ascii="Palatino Linotype" w:hAnsi="Palatino Linotype" w:eastAsia="Palatino Linotype" w:cs="Palatino Linotype"/>
          <w:b/>
          <w:bCs/>
        </w:rPr>
        <w:t xml:space="preserve">Phase I – </w:t>
      </w:r>
      <w:r w:rsidRPr="306FEAF9" w:rsidR="00784511">
        <w:rPr>
          <w:rFonts w:ascii="Palatino Linotype" w:hAnsi="Palatino Linotype" w:eastAsia="Palatino Linotype" w:cs="Palatino Linotype"/>
          <w:b/>
          <w:bCs/>
        </w:rPr>
        <w:t xml:space="preserve">Analysis of </w:t>
      </w:r>
      <w:r w:rsidRPr="306FEAF9">
        <w:rPr>
          <w:rFonts w:ascii="Palatino Linotype" w:hAnsi="Palatino Linotype" w:eastAsia="Palatino Linotype" w:cs="Times New Roman"/>
          <w:b/>
          <w:bCs/>
        </w:rPr>
        <w:t>Alignment with Success Metrics (Resolution E-5192)</w:t>
      </w:r>
    </w:p>
    <w:p w:rsidR="00EC5515" w:rsidP="306FEAF9" w:rsidRDefault="00EC5515" w14:paraId="3699F804" w14:textId="77777777">
      <w:pPr>
        <w:spacing w:after="0" w:line="276" w:lineRule="auto"/>
        <w:contextualSpacing/>
        <w:rPr>
          <w:rFonts w:ascii="Palatino Linotype" w:hAnsi="Palatino Linotype" w:eastAsia="Palatino Linotype" w:cs="Palatino Linotype"/>
        </w:rPr>
      </w:pPr>
      <w:r w:rsidRPr="4ECBD263">
        <w:rPr>
          <w:rFonts w:ascii="Palatino Linotype" w:hAnsi="Palatino Linotype" w:eastAsia="Palatino Linotype" w:cs="Palatino Linotype"/>
        </w:rPr>
        <w:t xml:space="preserve">Resolution E-5192 approved PG&amp;E’s operational processes for multi-customer microgrids utilizing EVs to balance generation and load as a key success measure. In </w:t>
      </w:r>
      <w:r w:rsidR="002E35A6">
        <w:rPr>
          <w:rFonts w:ascii="Palatino Linotype" w:hAnsi="Palatino Linotype" w:eastAsia="Palatino Linotype" w:cs="Palatino Linotype"/>
        </w:rPr>
        <w:br/>
      </w:r>
      <w:r w:rsidRPr="4ECBD263">
        <w:rPr>
          <w:rFonts w:ascii="Palatino Linotype" w:hAnsi="Palatino Linotype" w:eastAsia="Palatino Linotype" w:cs="Palatino Linotype"/>
        </w:rPr>
        <w:t xml:space="preserve">AL 7378-E-A, PG&amp;E asserts that Phase I progress demonstrates achievement toward this objective through a series of technical and operational milestones at RCAM. These milestones include firmware updates that enable bidirectional charging and frequency-droop response, completion of detailed system and control-engineering design, interconnection studies, and successful island testing, which confirm that frequency variation can directly control the EV charger's charging and discharge behavior. SERC expressed support for PG&amp;E’s frequency-droop testing, noting that the control system </w:t>
      </w:r>
      <w:r w:rsidRPr="4ECBD263">
        <w:rPr>
          <w:rFonts w:ascii="Palatino Linotype" w:hAnsi="Palatino Linotype" w:eastAsia="Palatino Linotype" w:cs="Palatino Linotype"/>
        </w:rPr>
        <w:lastRenderedPageBreak/>
        <w:t>functioned as intended and represented meaningful technical progress in coordinating bidirectional chargers within the microgrid.</w:t>
      </w:r>
    </w:p>
    <w:p w:rsidR="00EC5515" w:rsidP="49A7AEC5" w:rsidRDefault="00EC5515" w14:paraId="4BCC70C4" w14:textId="77777777">
      <w:pPr>
        <w:spacing w:after="0" w:line="276" w:lineRule="auto"/>
        <w:rPr>
          <w:rFonts w:ascii="Palatino Linotype" w:hAnsi="Palatino Linotype" w:eastAsia="Palatino Linotype" w:cs="Palatino Linotype"/>
        </w:rPr>
      </w:pPr>
    </w:p>
    <w:p w:rsidRPr="00B05EDA" w:rsidR="00B05EDA" w:rsidP="4ECBD263" w:rsidRDefault="00F67C77" w14:paraId="7D0EFBB2" w14:textId="77777777">
      <w:pPr>
        <w:spacing w:after="0" w:line="276" w:lineRule="auto"/>
        <w:rPr>
          <w:rFonts w:ascii="Palatino Linotype" w:hAnsi="Palatino Linotype" w:eastAsia="Palatino Linotype" w:cs="Palatino Linotype"/>
        </w:rPr>
      </w:pPr>
      <w:r w:rsidRPr="72F52493">
        <w:rPr>
          <w:rFonts w:ascii="Palatino Linotype" w:hAnsi="Palatino Linotype" w:eastAsia="Palatino Linotype" w:cs="Palatino Linotype"/>
        </w:rPr>
        <w:t xml:space="preserve">Resolution E-5192 </w:t>
      </w:r>
      <w:r w:rsidRPr="72F52493" w:rsidR="00EC5515">
        <w:rPr>
          <w:rFonts w:ascii="Palatino Linotype" w:hAnsi="Palatino Linotype" w:eastAsia="Palatino Linotype" w:cs="Palatino Linotype"/>
        </w:rPr>
        <w:t xml:space="preserve">also </w:t>
      </w:r>
      <w:r w:rsidRPr="72F52493">
        <w:rPr>
          <w:rFonts w:ascii="Palatino Linotype" w:hAnsi="Palatino Linotype" w:eastAsia="Palatino Linotype" w:cs="Palatino Linotype"/>
        </w:rPr>
        <w:t>established a success metric</w:t>
      </w:r>
      <w:r w:rsidRPr="72F52493" w:rsidR="00AB4E3A">
        <w:rPr>
          <w:rFonts w:ascii="Palatino Linotype" w:hAnsi="Palatino Linotype" w:eastAsia="Palatino Linotype" w:cs="Palatino Linotype"/>
        </w:rPr>
        <w:t xml:space="preserve"> for PG&amp;E to achieve that includes</w:t>
      </w:r>
      <w:r w:rsidRPr="72F52493">
        <w:rPr>
          <w:rFonts w:ascii="Palatino Linotype" w:hAnsi="Palatino Linotype" w:eastAsia="Palatino Linotype" w:cs="Palatino Linotype"/>
        </w:rPr>
        <w:t xml:space="preserve"> the demonstration of five to ten bidirectional EVs operating within a multi-customer microgrid environment to support load and generation balance. In AL 7378-E-A, PG&amp;E report</w:t>
      </w:r>
      <w:r w:rsidRPr="72F52493" w:rsidR="00AB4E3A">
        <w:rPr>
          <w:rFonts w:ascii="Palatino Linotype" w:hAnsi="Palatino Linotype" w:eastAsia="Palatino Linotype" w:cs="Palatino Linotype"/>
        </w:rPr>
        <w:t>s</w:t>
      </w:r>
      <w:r w:rsidRPr="72F52493">
        <w:rPr>
          <w:rFonts w:ascii="Palatino Linotype" w:hAnsi="Palatino Linotype" w:eastAsia="Palatino Linotype" w:cs="Palatino Linotype"/>
        </w:rPr>
        <w:t xml:space="preserve"> that two EVs are currently participating in the Phase I demonstration at RCAM. While this provides valuable technical and operational data on charger interoperability, firmware performance, and frequency-based control, it does not yet fulfill the </w:t>
      </w:r>
      <w:r w:rsidRPr="72F52493" w:rsidR="00AB4E3A">
        <w:rPr>
          <w:rFonts w:ascii="Palatino Linotype" w:hAnsi="Palatino Linotype" w:eastAsia="Palatino Linotype" w:cs="Palatino Linotype"/>
        </w:rPr>
        <w:t xml:space="preserve">requirements </w:t>
      </w:r>
      <w:r w:rsidRPr="72F52493" w:rsidR="00155361">
        <w:rPr>
          <w:rFonts w:ascii="Palatino Linotype" w:hAnsi="Palatino Linotype" w:eastAsia="Palatino Linotype" w:cs="Palatino Linotype"/>
        </w:rPr>
        <w:t>of</w:t>
      </w:r>
      <w:r w:rsidRPr="72F52493">
        <w:rPr>
          <w:rFonts w:ascii="Palatino Linotype" w:hAnsi="Palatino Linotype" w:eastAsia="Palatino Linotype" w:cs="Palatino Linotype"/>
        </w:rPr>
        <w:t xml:space="preserve"> Resolution E-5192</w:t>
      </w:r>
      <w:r w:rsidRPr="72F52493" w:rsidR="009A089B">
        <w:rPr>
          <w:rFonts w:ascii="Palatino Linotype" w:hAnsi="Palatino Linotype" w:eastAsia="Palatino Linotype" w:cs="Palatino Linotype"/>
        </w:rPr>
        <w:t>.</w:t>
      </w:r>
      <w:r w:rsidRPr="72F52493" w:rsidR="00DD6D35">
        <w:rPr>
          <w:rFonts w:ascii="Palatino Linotype" w:hAnsi="Palatino Linotype" w:eastAsia="Palatino Linotype" w:cs="Palatino Linotype"/>
        </w:rPr>
        <w:t xml:space="preserve"> </w:t>
      </w:r>
      <w:r w:rsidRPr="72F52493" w:rsidR="00F96D01">
        <w:rPr>
          <w:rFonts w:ascii="Palatino Linotype" w:hAnsi="Palatino Linotype" w:eastAsia="Palatino Linotype" w:cs="Palatino Linotype"/>
        </w:rPr>
        <w:t xml:space="preserve">The </w:t>
      </w:r>
      <w:r w:rsidRPr="72F52493" w:rsidR="00277273">
        <w:rPr>
          <w:rFonts w:ascii="Palatino Linotype" w:hAnsi="Palatino Linotype" w:eastAsia="Palatino Linotype" w:cs="Palatino Linotype"/>
        </w:rPr>
        <w:t xml:space="preserve">Commission </w:t>
      </w:r>
      <w:r w:rsidRPr="72F52493" w:rsidR="00AB4E3A">
        <w:rPr>
          <w:rFonts w:ascii="Palatino Linotype" w:hAnsi="Palatino Linotype" w:eastAsia="Palatino Linotype" w:cs="Palatino Linotype"/>
        </w:rPr>
        <w:t>direct</w:t>
      </w:r>
      <w:r w:rsidRPr="72F52493" w:rsidR="00F96D01">
        <w:rPr>
          <w:rFonts w:ascii="Palatino Linotype" w:hAnsi="Palatino Linotype" w:eastAsia="Palatino Linotype" w:cs="Palatino Linotype"/>
        </w:rPr>
        <w:t>s</w:t>
      </w:r>
      <w:r w:rsidRPr="72F52493" w:rsidR="00AB4E3A">
        <w:rPr>
          <w:rFonts w:ascii="Palatino Linotype" w:hAnsi="Palatino Linotype" w:eastAsia="Palatino Linotype" w:cs="Palatino Linotype"/>
        </w:rPr>
        <w:t xml:space="preserve"> </w:t>
      </w:r>
      <w:r w:rsidRPr="72F52493">
        <w:rPr>
          <w:rFonts w:ascii="Palatino Linotype" w:hAnsi="Palatino Linotype" w:eastAsia="Palatino Linotype" w:cs="Palatino Linotype"/>
        </w:rPr>
        <w:t xml:space="preserve">PG&amp;E </w:t>
      </w:r>
      <w:r w:rsidRPr="72F52493" w:rsidR="00AB4E3A">
        <w:rPr>
          <w:rFonts w:ascii="Palatino Linotype" w:hAnsi="Palatino Linotype" w:eastAsia="Palatino Linotype" w:cs="Palatino Linotype"/>
        </w:rPr>
        <w:t xml:space="preserve">to </w:t>
      </w:r>
      <w:r w:rsidRPr="72F52493">
        <w:rPr>
          <w:rFonts w:ascii="Palatino Linotype" w:hAnsi="Palatino Linotype" w:eastAsia="Palatino Linotype" w:cs="Palatino Linotype"/>
        </w:rPr>
        <w:t>clarify whether additional vehicle participation is planned for the remainder of Phase I, or if the reduced scope reflects limitations in available equipment, customer participation, or technology readiness</w:t>
      </w:r>
      <w:r w:rsidRPr="72F52493" w:rsidR="528D35B2">
        <w:rPr>
          <w:rFonts w:ascii="Palatino Linotype" w:hAnsi="Palatino Linotype" w:eastAsia="Palatino Linotype" w:cs="Palatino Linotype"/>
        </w:rPr>
        <w:t xml:space="preserve"> in </w:t>
      </w:r>
      <w:r w:rsidR="00795517">
        <w:rPr>
          <w:rFonts w:ascii="Palatino Linotype" w:hAnsi="Palatino Linotype" w:eastAsia="Palatino Linotype" w:cs="Palatino Linotype"/>
        </w:rPr>
        <w:t xml:space="preserve">the </w:t>
      </w:r>
      <w:r w:rsidRPr="72F52493" w:rsidR="528D35B2">
        <w:rPr>
          <w:rFonts w:ascii="Palatino Linotype" w:hAnsi="Palatino Linotype" w:eastAsia="Palatino Linotype" w:cs="Palatino Linotype"/>
        </w:rPr>
        <w:t>form of a Tier 2 AL</w:t>
      </w:r>
      <w:r w:rsidRPr="72F52493">
        <w:rPr>
          <w:rFonts w:ascii="Palatino Linotype" w:hAnsi="Palatino Linotype" w:eastAsia="Palatino Linotype" w:cs="Palatino Linotype"/>
        </w:rPr>
        <w:t xml:space="preserve">. </w:t>
      </w:r>
      <w:r w:rsidRPr="72F52493" w:rsidR="00AB4E3A">
        <w:rPr>
          <w:rFonts w:ascii="Palatino Linotype" w:hAnsi="Palatino Linotype" w:eastAsia="Palatino Linotype" w:cs="Palatino Linotype"/>
        </w:rPr>
        <w:t xml:space="preserve">In </w:t>
      </w:r>
      <w:r w:rsidRPr="72F52493" w:rsidR="00B70278">
        <w:rPr>
          <w:rFonts w:ascii="Palatino Linotype" w:hAnsi="Palatino Linotype" w:eastAsia="Palatino Linotype" w:cs="Palatino Linotype"/>
        </w:rPr>
        <w:t xml:space="preserve">the previously </w:t>
      </w:r>
      <w:r w:rsidRPr="72F52493" w:rsidR="358FFAEC">
        <w:rPr>
          <w:rFonts w:ascii="Palatino Linotype" w:hAnsi="Palatino Linotype" w:eastAsia="Palatino Linotype" w:cs="Palatino Linotype"/>
        </w:rPr>
        <w:t>mentioned Tier</w:t>
      </w:r>
      <w:r w:rsidRPr="72F52493" w:rsidR="408A28AB">
        <w:rPr>
          <w:rFonts w:ascii="Palatino Linotype" w:hAnsi="Palatino Linotype" w:eastAsia="Palatino Linotype" w:cs="Palatino Linotype"/>
        </w:rPr>
        <w:t xml:space="preserve"> </w:t>
      </w:r>
      <w:r w:rsidRPr="72F52493" w:rsidR="340530F0">
        <w:rPr>
          <w:rFonts w:ascii="Palatino Linotype" w:hAnsi="Palatino Linotype" w:eastAsia="Palatino Linotype" w:cs="Palatino Linotype"/>
        </w:rPr>
        <w:t>2</w:t>
      </w:r>
      <w:r w:rsidRPr="72F52493" w:rsidR="00AB4E3A">
        <w:rPr>
          <w:rFonts w:ascii="Palatino Linotype" w:hAnsi="Palatino Linotype" w:eastAsia="Palatino Linotype" w:cs="Palatino Linotype"/>
        </w:rPr>
        <w:t xml:space="preserve"> </w:t>
      </w:r>
      <w:r w:rsidRPr="72F52493" w:rsidR="0055379D">
        <w:rPr>
          <w:rFonts w:ascii="Palatino Linotype" w:hAnsi="Palatino Linotype" w:eastAsia="Palatino Linotype" w:cs="Palatino Linotype"/>
        </w:rPr>
        <w:t xml:space="preserve">AL </w:t>
      </w:r>
      <w:r w:rsidRPr="72F52493" w:rsidR="00AB4E3A">
        <w:rPr>
          <w:rFonts w:ascii="Palatino Linotype" w:hAnsi="Palatino Linotype" w:eastAsia="Palatino Linotype" w:cs="Palatino Linotype"/>
        </w:rPr>
        <w:t xml:space="preserve">filing, PG&amp;E shall provide a narrative </w:t>
      </w:r>
      <w:r w:rsidRPr="72F52493">
        <w:rPr>
          <w:rFonts w:ascii="Palatino Linotype" w:hAnsi="Palatino Linotype" w:eastAsia="Palatino Linotype" w:cs="Palatino Linotype"/>
        </w:rPr>
        <w:t xml:space="preserve">update on its strategy for </w:t>
      </w:r>
      <w:r w:rsidRPr="72F52493" w:rsidR="00EC5515">
        <w:rPr>
          <w:rFonts w:ascii="Palatino Linotype" w:hAnsi="Palatino Linotype" w:eastAsia="Palatino Linotype" w:cs="Palatino Linotype"/>
        </w:rPr>
        <w:t>meeting the five to ten bidirectional EV metric requirement</w:t>
      </w:r>
      <w:r w:rsidRPr="72F52493">
        <w:rPr>
          <w:rFonts w:ascii="Palatino Linotype" w:hAnsi="Palatino Linotype" w:eastAsia="Palatino Linotype" w:cs="Palatino Linotype"/>
        </w:rPr>
        <w:t xml:space="preserve">, including an explanation of how the current </w:t>
      </w:r>
      <w:r w:rsidRPr="72F52493" w:rsidR="00F22039">
        <w:rPr>
          <w:rFonts w:ascii="Palatino Linotype" w:hAnsi="Palatino Linotype" w:eastAsia="Palatino Linotype" w:cs="Palatino Linotype"/>
        </w:rPr>
        <w:t>two-vehicle</w:t>
      </w:r>
      <w:r w:rsidRPr="72F52493">
        <w:rPr>
          <w:rFonts w:ascii="Palatino Linotype" w:hAnsi="Palatino Linotype" w:eastAsia="Palatino Linotype" w:cs="Palatino Linotype"/>
        </w:rPr>
        <w:t xml:space="preserve"> configuration aligns with the pilot’s original objectives.</w:t>
      </w:r>
      <w:r w:rsidRPr="72F52493" w:rsidR="00F22039">
        <w:rPr>
          <w:rFonts w:ascii="Palatino Linotype" w:hAnsi="Palatino Linotype" w:eastAsia="Palatino Linotype" w:cs="Palatino Linotype"/>
        </w:rPr>
        <w:t xml:space="preserve"> </w:t>
      </w:r>
      <w:r w:rsidRPr="72F52493" w:rsidR="26A0B1AD">
        <w:rPr>
          <w:rFonts w:ascii="Palatino Linotype" w:hAnsi="Palatino Linotype" w:eastAsia="Palatino Linotype" w:cs="Palatino Linotype"/>
        </w:rPr>
        <w:t xml:space="preserve"> </w:t>
      </w:r>
    </w:p>
    <w:p w:rsidR="00092930" w:rsidP="7DF8D1A9" w:rsidRDefault="00092930" w14:paraId="42DADC77" w14:textId="77777777">
      <w:pPr>
        <w:spacing w:after="0" w:line="276" w:lineRule="auto"/>
        <w:contextualSpacing/>
        <w:rPr>
          <w:rFonts w:ascii="Palatino Linotype" w:hAnsi="Palatino Linotype" w:eastAsia="Palatino Linotype" w:cs="Palatino Linotype"/>
        </w:rPr>
      </w:pPr>
    </w:p>
    <w:p w:rsidR="00EC5515" w:rsidDel="00713914" w:rsidP="7DF8D1A9" w:rsidRDefault="00A87ECE" w14:paraId="6148A45C" w14:textId="77777777">
      <w:pPr>
        <w:spacing w:after="0" w:line="276"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b/>
          <w:bCs/>
          <w:kern w:val="0"/>
          <w14:ligatures w14:val="none"/>
        </w:rPr>
        <w:t xml:space="preserve">Request for </w:t>
      </w:r>
      <w:r w:rsidRPr="00B05EDA" w:rsidR="00B05EDA">
        <w:rPr>
          <w:rFonts w:ascii="Palatino Linotype" w:hAnsi="Palatino Linotype" w:eastAsia="Palatino Linotype" w:cs="Times New Roman"/>
          <w:b/>
          <w:bCs/>
          <w:kern w:val="0"/>
          <w14:ligatures w14:val="none"/>
        </w:rPr>
        <w:t>Phase II Scope Modification</w:t>
      </w:r>
      <w:r w:rsidRPr="00B05EDA" w:rsidR="00B05EDA">
        <w:rPr>
          <w:rFonts w:ascii="Palatino Linotype" w:hAnsi="Palatino Linotype" w:eastAsia="Palatino Linotype" w:cs="Times New Roman"/>
          <w:kern w:val="0"/>
          <w14:ligatures w14:val="none"/>
        </w:rPr>
        <w:br/>
      </w:r>
      <w:r w:rsidRPr="005D5C5D" w:rsidR="005D5C5D">
        <w:rPr>
          <w:rFonts w:ascii="Palatino Linotype" w:hAnsi="Palatino Linotype" w:eastAsia="Palatino Linotype" w:cs="Times New Roman"/>
          <w:kern w:val="0"/>
          <w14:ligatures w14:val="none"/>
        </w:rPr>
        <w:t xml:space="preserve">PG&amp;E’s Supplemental </w:t>
      </w:r>
      <w:r w:rsidR="005D5C5D">
        <w:rPr>
          <w:rFonts w:ascii="Palatino Linotype" w:hAnsi="Palatino Linotype" w:eastAsia="Palatino Linotype" w:cs="Times New Roman"/>
          <w:kern w:val="0"/>
          <w14:ligatures w14:val="none"/>
        </w:rPr>
        <w:t>AL</w:t>
      </w:r>
      <w:r w:rsidRPr="005D5C5D" w:rsidR="005D5C5D">
        <w:rPr>
          <w:rFonts w:ascii="Palatino Linotype" w:hAnsi="Palatino Linotype" w:eastAsia="Palatino Linotype" w:cs="Times New Roman"/>
          <w:kern w:val="0"/>
          <w14:ligatures w14:val="none"/>
        </w:rPr>
        <w:t xml:space="preserve"> 7378-E-A requests to modify the scope of Phase II of the V2X Microgrid Pilot, shifting from a customer-enrollment and demonstration model to a Hybrid Support Model that provides technical consultation to the MIP</w:t>
      </w:r>
      <w:r w:rsidRPr="005D5C5D" w:rsidR="56BF1F8A">
        <w:rPr>
          <w:rFonts w:ascii="Palatino Linotype" w:hAnsi="Palatino Linotype" w:eastAsia="Palatino Linotype" w:cs="Times New Roman"/>
          <w:kern w:val="0"/>
          <w14:ligatures w14:val="none"/>
        </w:rPr>
        <w:t xml:space="preserve"> </w:t>
      </w:r>
      <w:r w:rsidRPr="005D5C5D" w:rsidR="005D5C5D">
        <w:rPr>
          <w:rFonts w:ascii="Palatino Linotype" w:hAnsi="Palatino Linotype" w:eastAsia="Palatino Linotype" w:cs="Times New Roman"/>
          <w:kern w:val="0"/>
          <w14:ligatures w14:val="none"/>
        </w:rPr>
        <w:t>and</w:t>
      </w:r>
      <w:r w:rsidRPr="005D5C5D" w:rsidR="2A1DC799">
        <w:rPr>
          <w:rFonts w:ascii="Palatino Linotype" w:hAnsi="Palatino Linotype" w:eastAsia="Palatino Linotype" w:cs="Times New Roman"/>
          <w:kern w:val="0"/>
          <w14:ligatures w14:val="none"/>
        </w:rPr>
        <w:t xml:space="preserve"> </w:t>
      </w:r>
      <w:r w:rsidRPr="005D5C5D" w:rsidR="005D5C5D">
        <w:rPr>
          <w:rFonts w:ascii="Palatino Linotype" w:hAnsi="Palatino Linotype" w:eastAsia="Palatino Linotype" w:cs="Times New Roman"/>
          <w:kern w:val="0"/>
          <w14:ligatures w14:val="none"/>
        </w:rPr>
        <w:t xml:space="preserve">CMEP. The proposal </w:t>
      </w:r>
      <w:r w:rsidR="00EC5515">
        <w:rPr>
          <w:rFonts w:ascii="Palatino Linotype" w:hAnsi="Palatino Linotype" w:eastAsia="Palatino Linotype" w:cs="Times New Roman"/>
          <w:kern w:val="0"/>
          <w14:ligatures w14:val="none"/>
        </w:rPr>
        <w:t xml:space="preserve">fully </w:t>
      </w:r>
      <w:r w:rsidRPr="005D5C5D" w:rsidR="005D5C5D">
        <w:rPr>
          <w:rFonts w:ascii="Palatino Linotype" w:hAnsi="Palatino Linotype" w:eastAsia="Palatino Linotype" w:cs="Times New Roman"/>
          <w:kern w:val="0"/>
          <w14:ligatures w14:val="none"/>
        </w:rPr>
        <w:t>replaces the Phase II extension request originally made in AL 7378-E and does not affect the previously approved Phase I extension or pilot budget.</w:t>
      </w:r>
      <w:r w:rsidR="00F0674E">
        <w:rPr>
          <w:rFonts w:ascii="Palatino Linotype" w:hAnsi="Palatino Linotype" w:eastAsia="Palatino Linotype" w:cs="Times New Roman"/>
          <w:kern w:val="0"/>
          <w14:ligatures w14:val="none"/>
        </w:rPr>
        <w:t xml:space="preserve"> </w:t>
      </w:r>
      <w:r w:rsidRPr="00F0674E" w:rsidR="00F0674E">
        <w:rPr>
          <w:rFonts w:ascii="Palatino Linotype" w:hAnsi="Palatino Linotype" w:eastAsia="Palatino Linotype" w:cs="Times New Roman"/>
          <w:kern w:val="0"/>
          <w14:ligatures w14:val="none"/>
        </w:rPr>
        <w:t xml:space="preserve">Under this approach, PG&amp;E would stop enrollment of new applicants, return remaining customer incentives funds to ratepayers, and provide V2X technical consulting support at MIP sites.  </w:t>
      </w:r>
    </w:p>
    <w:p w:rsidR="00587C50" w:rsidP="002846C3" w:rsidRDefault="00587C50" w14:paraId="3AD6432D" w14:textId="77777777">
      <w:pPr>
        <w:spacing w:after="0" w:line="276" w:lineRule="auto"/>
        <w:contextualSpacing/>
        <w:rPr>
          <w:rFonts w:ascii="Palatino Linotype" w:hAnsi="Palatino Linotype" w:eastAsia="Palatino Linotype" w:cs="Times New Roman"/>
          <w:kern w:val="0"/>
          <w14:ligatures w14:val="none"/>
        </w:rPr>
      </w:pPr>
    </w:p>
    <w:p w:rsidR="002846C3" w:rsidP="002846C3" w:rsidRDefault="00C100FD" w14:paraId="48DBE273" w14:textId="77777777">
      <w:pPr>
        <w:spacing w:after="0" w:line="276" w:lineRule="auto"/>
        <w:contextualSpacing/>
        <w:rPr>
          <w:rFonts w:ascii="Palatino Linotype" w:hAnsi="Palatino Linotype" w:eastAsia="Palatino Linotype" w:cs="Times New Roman"/>
          <w:kern w:val="0"/>
          <w14:ligatures w14:val="none"/>
        </w:rPr>
      </w:pPr>
      <w:r w:rsidRPr="00C100FD">
        <w:rPr>
          <w:rFonts w:ascii="Palatino Linotype" w:hAnsi="Palatino Linotype" w:eastAsia="Palatino Linotype" w:cs="Times New Roman"/>
          <w:kern w:val="0"/>
          <w14:ligatures w14:val="none"/>
        </w:rPr>
        <w:t xml:space="preserve">PG&amp;E explains that, despite substantial efforts to implement Phase II as authorized in Resolution E-5192, multiple interrelated barriers have prevented progress. </w:t>
      </w:r>
      <w:r>
        <w:rPr>
          <w:rFonts w:ascii="Palatino Linotype" w:hAnsi="Palatino Linotype" w:eastAsia="Palatino Linotype" w:cs="Times New Roman"/>
          <w:kern w:val="0"/>
          <w14:ligatures w14:val="none"/>
        </w:rPr>
        <w:t>PG&amp;E</w:t>
      </w:r>
      <w:r w:rsidRPr="00C100FD">
        <w:rPr>
          <w:rFonts w:ascii="Palatino Linotype" w:hAnsi="Palatino Linotype" w:eastAsia="Palatino Linotype" w:cs="Times New Roman"/>
          <w:kern w:val="0"/>
          <w14:ligatures w14:val="none"/>
        </w:rPr>
        <w:t xml:space="preserve"> reports that the scale and persistence of these obstacles </w:t>
      </w:r>
      <w:r w:rsidR="00352823">
        <w:rPr>
          <w:rFonts w:ascii="Palatino Linotype" w:hAnsi="Palatino Linotype" w:eastAsia="Palatino Linotype" w:cs="Times New Roman"/>
          <w:kern w:val="0"/>
          <w14:ligatures w14:val="none"/>
        </w:rPr>
        <w:t xml:space="preserve">exceed available mitigation options, leading to a determination that Phase II, as originally scoped, cannot be reasonably </w:t>
      </w:r>
      <w:r w:rsidRPr="00C100FD">
        <w:rPr>
          <w:rFonts w:ascii="Palatino Linotype" w:hAnsi="Palatino Linotype" w:eastAsia="Palatino Linotype" w:cs="Times New Roman"/>
          <w:kern w:val="0"/>
          <w14:ligatures w14:val="none"/>
        </w:rPr>
        <w:t>completed within the pilot’s timeframe.</w:t>
      </w:r>
    </w:p>
    <w:p w:rsidR="00587C50" w:rsidP="002846C3" w:rsidRDefault="00587C50" w14:paraId="368B2C18" w14:textId="77777777">
      <w:pPr>
        <w:spacing w:after="0" w:line="276" w:lineRule="auto"/>
        <w:contextualSpacing/>
        <w:rPr>
          <w:rFonts w:ascii="Palatino Linotype" w:hAnsi="Palatino Linotype" w:eastAsia="Palatino Linotype" w:cs="Times New Roman"/>
          <w:kern w:val="0"/>
          <w14:ligatures w14:val="none"/>
        </w:rPr>
      </w:pPr>
    </w:p>
    <w:p w:rsidR="00E7134B" w:rsidP="002846C3" w:rsidRDefault="00E7134B" w14:paraId="14277827" w14:textId="77777777">
      <w:pPr>
        <w:spacing w:after="0" w:line="276" w:lineRule="auto"/>
        <w:contextualSpacing/>
        <w:rPr>
          <w:rFonts w:ascii="Palatino Linotype" w:hAnsi="Palatino Linotype" w:eastAsia="Palatino Linotype" w:cs="Times New Roman"/>
          <w:kern w:val="0"/>
          <w14:ligatures w14:val="none"/>
        </w:rPr>
      </w:pPr>
      <w:r w:rsidRPr="00E7134B">
        <w:rPr>
          <w:rFonts w:ascii="Palatino Linotype" w:hAnsi="Palatino Linotype" w:eastAsia="Palatino Linotype" w:cs="Times New Roman"/>
          <w:kern w:val="0"/>
          <w14:ligatures w14:val="none"/>
        </w:rPr>
        <w:lastRenderedPageBreak/>
        <w:t xml:space="preserve">First, </w:t>
      </w:r>
      <w:r w:rsidR="00EC5515">
        <w:rPr>
          <w:rFonts w:ascii="Palatino Linotype" w:hAnsi="Palatino Linotype" w:eastAsia="Palatino Linotype" w:cs="Times New Roman"/>
          <w:kern w:val="0"/>
          <w14:ligatures w14:val="none"/>
        </w:rPr>
        <w:t xml:space="preserve">PG&amp;E claims </w:t>
      </w:r>
      <w:r w:rsidRPr="00E7134B">
        <w:rPr>
          <w:rFonts w:ascii="Palatino Linotype" w:hAnsi="Palatino Linotype" w:eastAsia="Palatino Linotype" w:cs="Times New Roman"/>
          <w:kern w:val="0"/>
          <w14:ligatures w14:val="none"/>
        </w:rPr>
        <w:t xml:space="preserve">the pool of eligible participants remains too small to sustain a meaningful demonstration. </w:t>
      </w:r>
      <w:r w:rsidR="00EC5515">
        <w:rPr>
          <w:rFonts w:ascii="Palatino Linotype" w:hAnsi="Palatino Linotype" w:eastAsia="Palatino Linotype" w:cs="Times New Roman"/>
          <w:kern w:val="0"/>
          <w14:ligatures w14:val="none"/>
        </w:rPr>
        <w:t xml:space="preserve">PG&amp;E </w:t>
      </w:r>
      <w:r w:rsidR="00D6594F">
        <w:rPr>
          <w:rFonts w:ascii="Palatino Linotype" w:hAnsi="Palatino Linotype" w:eastAsia="Palatino Linotype" w:cs="Times New Roman"/>
          <w:kern w:val="0"/>
          <w14:ligatures w14:val="none"/>
        </w:rPr>
        <w:t>cites</w:t>
      </w:r>
      <w:r w:rsidR="00EC5515">
        <w:rPr>
          <w:rFonts w:ascii="Palatino Linotype" w:hAnsi="Palatino Linotype" w:eastAsia="Palatino Linotype" w:cs="Times New Roman"/>
          <w:kern w:val="0"/>
          <w14:ligatures w14:val="none"/>
        </w:rPr>
        <w:t xml:space="preserve"> t</w:t>
      </w:r>
      <w:r w:rsidRPr="00E7134B">
        <w:rPr>
          <w:rFonts w:ascii="Palatino Linotype" w:hAnsi="Palatino Linotype" w:eastAsia="Palatino Linotype" w:cs="Times New Roman"/>
          <w:kern w:val="0"/>
          <w14:ligatures w14:val="none"/>
        </w:rPr>
        <w:t xml:space="preserve">he V2G equipment market </w:t>
      </w:r>
      <w:r w:rsidR="00EC5515">
        <w:rPr>
          <w:rFonts w:ascii="Palatino Linotype" w:hAnsi="Palatino Linotype" w:eastAsia="Palatino Linotype" w:cs="Times New Roman"/>
          <w:kern w:val="0"/>
          <w14:ligatures w14:val="none"/>
        </w:rPr>
        <w:t>as</w:t>
      </w:r>
      <w:r w:rsidRPr="00E7134B">
        <w:rPr>
          <w:rFonts w:ascii="Palatino Linotype" w:hAnsi="Palatino Linotype" w:eastAsia="Palatino Linotype" w:cs="Times New Roman"/>
          <w:kern w:val="0"/>
          <w14:ligatures w14:val="none"/>
        </w:rPr>
        <w:t xml:space="preserve"> still</w:t>
      </w:r>
      <w:r w:rsidR="00EC5515">
        <w:rPr>
          <w:rFonts w:ascii="Palatino Linotype" w:hAnsi="Palatino Linotype" w:eastAsia="Palatino Linotype" w:cs="Times New Roman"/>
          <w:kern w:val="0"/>
          <w14:ligatures w14:val="none"/>
        </w:rPr>
        <w:t xml:space="preserve"> being</w:t>
      </w:r>
      <w:r w:rsidRPr="00E7134B">
        <w:rPr>
          <w:rFonts w:ascii="Palatino Linotype" w:hAnsi="Palatino Linotype" w:eastAsia="Palatino Linotype" w:cs="Times New Roman"/>
          <w:kern w:val="0"/>
          <w14:ligatures w14:val="none"/>
        </w:rPr>
        <w:t xml:space="preserve"> nascent, and deployments depend on the readiness of partner microgrids. PG&amp;E states that the alignment of viable microgrid hosts, available bidirectional hardware, and customer willingness to participate has not yet materialized.</w:t>
      </w:r>
    </w:p>
    <w:p w:rsidR="00587C50" w:rsidP="002846C3" w:rsidRDefault="00587C50" w14:paraId="49392511" w14:textId="77777777">
      <w:pPr>
        <w:spacing w:after="0" w:line="276" w:lineRule="auto"/>
        <w:contextualSpacing/>
        <w:rPr>
          <w:rFonts w:ascii="Palatino Linotype" w:hAnsi="Palatino Linotype" w:eastAsia="Palatino Linotype" w:cs="Times New Roman"/>
          <w:kern w:val="0"/>
          <w14:ligatures w14:val="none"/>
        </w:rPr>
      </w:pPr>
    </w:p>
    <w:p w:rsidR="00C5488A" w:rsidP="002846C3" w:rsidRDefault="00587C50" w14:paraId="304FE028" w14:textId="77777777">
      <w:pPr>
        <w:spacing w:after="0" w:line="276" w:lineRule="auto"/>
        <w:contextualSpacing/>
        <w:rPr>
          <w:rFonts w:ascii="Palatino Linotype" w:hAnsi="Palatino Linotype" w:eastAsia="Palatino Linotype" w:cs="Times New Roman"/>
          <w:kern w:val="0"/>
          <w14:ligatures w14:val="none"/>
        </w:rPr>
      </w:pPr>
      <w:r w:rsidRPr="00587C50">
        <w:rPr>
          <w:rFonts w:ascii="Palatino Linotype" w:hAnsi="Palatino Linotype" w:eastAsia="Palatino Linotype" w:cs="Times New Roman"/>
          <w:kern w:val="0"/>
          <w14:ligatures w14:val="none"/>
        </w:rPr>
        <w:t xml:space="preserve">Second, </w:t>
      </w:r>
      <w:r w:rsidR="00EC5515">
        <w:rPr>
          <w:rFonts w:ascii="Palatino Linotype" w:hAnsi="Palatino Linotype" w:eastAsia="Palatino Linotype" w:cs="Times New Roman"/>
          <w:kern w:val="0"/>
          <w14:ligatures w14:val="none"/>
        </w:rPr>
        <w:t xml:space="preserve">PG&amp;E further asserts that </w:t>
      </w:r>
      <w:r w:rsidRPr="00587C50">
        <w:rPr>
          <w:rFonts w:ascii="Palatino Linotype" w:hAnsi="Palatino Linotype" w:eastAsia="Palatino Linotype" w:cs="Times New Roman"/>
          <w:kern w:val="0"/>
          <w14:ligatures w14:val="none"/>
        </w:rPr>
        <w:t xml:space="preserve">microgrid readiness has proven to be a limiting factor. RCAM </w:t>
      </w:r>
      <w:r w:rsidR="000F5056">
        <w:rPr>
          <w:rFonts w:ascii="Palatino Linotype" w:hAnsi="Palatino Linotype" w:eastAsia="Palatino Linotype" w:cs="Times New Roman"/>
          <w:kern w:val="0"/>
          <w14:ligatures w14:val="none"/>
        </w:rPr>
        <w:t xml:space="preserve">is </w:t>
      </w:r>
      <w:r w:rsidRPr="00587C50">
        <w:rPr>
          <w:rFonts w:ascii="Palatino Linotype" w:hAnsi="Palatino Linotype" w:eastAsia="Palatino Linotype" w:cs="Times New Roman"/>
          <w:kern w:val="0"/>
          <w14:ligatures w14:val="none"/>
        </w:rPr>
        <w:t>the only operational CMEP microgrid, and there are no operational MIP microgrids within PG&amp;E’s territory. Community microgrids generally require two to four years from application to operation, and MIP itself is experiencing delays. Extending Phase II under these conditions would likely require additional timeline modifications and continued uncertainty in meeting regulatory milestones.</w:t>
      </w:r>
    </w:p>
    <w:p w:rsidR="001B2BB1" w:rsidP="002846C3" w:rsidRDefault="001B2BB1" w14:paraId="0357365A" w14:textId="77777777">
      <w:pPr>
        <w:spacing w:after="0" w:line="276" w:lineRule="auto"/>
        <w:contextualSpacing/>
        <w:rPr>
          <w:rFonts w:ascii="Palatino Linotype" w:hAnsi="Palatino Linotype" w:eastAsia="Palatino Linotype" w:cs="Times New Roman"/>
          <w:kern w:val="0"/>
          <w14:ligatures w14:val="none"/>
        </w:rPr>
      </w:pPr>
    </w:p>
    <w:p w:rsidR="001B2BB1" w:rsidP="002846C3" w:rsidRDefault="003C6E30" w14:paraId="43CCC9AD" w14:textId="77777777">
      <w:pPr>
        <w:spacing w:after="0" w:line="276"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Finally</w:t>
      </w:r>
      <w:r w:rsidRPr="001B2BB1" w:rsidR="001B2BB1">
        <w:rPr>
          <w:rFonts w:ascii="Palatino Linotype" w:hAnsi="Palatino Linotype" w:eastAsia="Palatino Linotype" w:cs="Times New Roman"/>
          <w:kern w:val="0"/>
          <w14:ligatures w14:val="none"/>
        </w:rPr>
        <w:t xml:space="preserve">, PG&amp;E cites ongoing </w:t>
      </w:r>
      <w:r w:rsidRPr="00352823" w:rsidR="001B2BB1">
        <w:rPr>
          <w:rFonts w:ascii="Palatino Linotype" w:hAnsi="Palatino Linotype" w:eastAsia="Palatino Linotype" w:cs="Times New Roman"/>
          <w:kern w:val="0"/>
          <w14:ligatures w14:val="none"/>
        </w:rPr>
        <w:t xml:space="preserve">vendor and contractor challenges that have constrained deployment capacity. </w:t>
      </w:r>
      <w:r w:rsidRPr="4F027024" w:rsidR="00EC5515">
        <w:rPr>
          <w:rFonts w:ascii="Palatino Linotype" w:hAnsi="Palatino Linotype" w:eastAsia="Palatino Linotype" w:cs="Times New Roman"/>
        </w:rPr>
        <w:t>PG&amp;E states</w:t>
      </w:r>
      <w:r w:rsidR="00EC5515">
        <w:rPr>
          <w:rFonts w:ascii="Palatino Linotype" w:hAnsi="Palatino Linotype" w:eastAsia="Palatino Linotype" w:cs="Times New Roman"/>
          <w:kern w:val="0"/>
          <w14:ligatures w14:val="none"/>
        </w:rPr>
        <w:t xml:space="preserve"> that t</w:t>
      </w:r>
      <w:r w:rsidRPr="00352823" w:rsidR="001B2BB1">
        <w:rPr>
          <w:rFonts w:ascii="Palatino Linotype" w:hAnsi="Palatino Linotype" w:eastAsia="Palatino Linotype" w:cs="Times New Roman"/>
          <w:kern w:val="0"/>
          <w14:ligatures w14:val="none"/>
        </w:rPr>
        <w:t>he primary EV</w:t>
      </w:r>
      <w:r w:rsidR="00352823">
        <w:rPr>
          <w:rFonts w:ascii="Palatino Linotype" w:hAnsi="Palatino Linotype" w:eastAsia="Palatino Linotype" w:cs="Times New Roman"/>
          <w:kern w:val="0"/>
          <w14:ligatures w14:val="none"/>
        </w:rPr>
        <w:t xml:space="preserve"> charger</w:t>
      </w:r>
      <w:r w:rsidRPr="00352823" w:rsidR="001B2BB1">
        <w:rPr>
          <w:rFonts w:ascii="Palatino Linotype" w:hAnsi="Palatino Linotype" w:eastAsia="Palatino Linotype" w:cs="Times New Roman"/>
          <w:kern w:val="0"/>
          <w14:ligatures w14:val="none"/>
        </w:rPr>
        <w:t xml:space="preserve"> supplier experienced staff</w:t>
      </w:r>
      <w:r w:rsidR="00212FB5">
        <w:rPr>
          <w:rFonts w:ascii="Palatino Linotype" w:hAnsi="Palatino Linotype" w:eastAsia="Palatino Linotype" w:cs="Times New Roman"/>
          <w:kern w:val="0"/>
          <w14:ligatures w14:val="none"/>
        </w:rPr>
        <w:t xml:space="preserve"> shortage</w:t>
      </w:r>
      <w:r w:rsidR="009E6BB7">
        <w:rPr>
          <w:rFonts w:ascii="Palatino Linotype" w:hAnsi="Palatino Linotype" w:eastAsia="Palatino Linotype" w:cs="Times New Roman"/>
          <w:kern w:val="0"/>
          <w14:ligatures w14:val="none"/>
        </w:rPr>
        <w:t>s</w:t>
      </w:r>
      <w:r w:rsidRPr="00352823" w:rsidR="001B2BB1">
        <w:rPr>
          <w:rFonts w:ascii="Palatino Linotype" w:hAnsi="Palatino Linotype" w:eastAsia="Palatino Linotype" w:cs="Times New Roman"/>
          <w:kern w:val="0"/>
          <w14:ligatures w14:val="none"/>
        </w:rPr>
        <w:t xml:space="preserve"> and reduced production capability. </w:t>
      </w:r>
      <w:r>
        <w:rPr>
          <w:rFonts w:ascii="Palatino Linotype" w:hAnsi="Palatino Linotype" w:eastAsia="Palatino Linotype" w:cs="Times New Roman"/>
          <w:kern w:val="0"/>
          <w14:ligatures w14:val="none"/>
        </w:rPr>
        <w:t>PG&amp;E also claims</w:t>
      </w:r>
      <w:r w:rsidRPr="001B2BB1" w:rsidR="001B2BB1">
        <w:rPr>
          <w:rFonts w:ascii="Palatino Linotype" w:hAnsi="Palatino Linotype" w:eastAsia="Palatino Linotype" w:cs="Times New Roman"/>
          <w:kern w:val="0"/>
          <w14:ligatures w14:val="none"/>
        </w:rPr>
        <w:t xml:space="preserve"> the bidirectional EV </w:t>
      </w:r>
      <w:r w:rsidRPr="001B2BB1" w:rsidR="086C1086">
        <w:rPr>
          <w:rFonts w:ascii="Palatino Linotype" w:hAnsi="Palatino Linotype" w:eastAsia="Palatino Linotype" w:cs="Times New Roman"/>
          <w:kern w:val="0"/>
          <w14:ligatures w14:val="none"/>
        </w:rPr>
        <w:t>original equipment manufacturer (</w:t>
      </w:r>
      <w:r w:rsidRPr="001B2BB1" w:rsidR="001B2BB1">
        <w:rPr>
          <w:rFonts w:ascii="Palatino Linotype" w:hAnsi="Palatino Linotype" w:eastAsia="Palatino Linotype" w:cs="Times New Roman"/>
          <w:kern w:val="0"/>
          <w14:ligatures w14:val="none"/>
        </w:rPr>
        <w:t>OEM</w:t>
      </w:r>
      <w:r w:rsidRPr="001B2BB1" w:rsidR="47A07F3E">
        <w:rPr>
          <w:rFonts w:ascii="Palatino Linotype" w:hAnsi="Palatino Linotype" w:eastAsia="Palatino Linotype" w:cs="Times New Roman"/>
          <w:kern w:val="0"/>
          <w14:ligatures w14:val="none"/>
        </w:rPr>
        <w:t>)</w:t>
      </w:r>
      <w:r w:rsidRPr="001B2BB1" w:rsidR="001B2BB1">
        <w:rPr>
          <w:rFonts w:ascii="Palatino Linotype" w:hAnsi="Palatino Linotype" w:eastAsia="Palatino Linotype" w:cs="Times New Roman"/>
          <w:kern w:val="0"/>
          <w14:ligatures w14:val="none"/>
        </w:rPr>
        <w:t xml:space="preserve"> and charger manufacturer required more than two years to meet Phase II eligibility requirements, preventing participant enrollment even after </w:t>
      </w:r>
      <w:r w:rsidR="00C72CC9">
        <w:rPr>
          <w:rFonts w:ascii="Palatino Linotype" w:hAnsi="Palatino Linotype" w:eastAsia="Palatino Linotype" w:cs="Times New Roman"/>
          <w:kern w:val="0"/>
          <w14:ligatures w14:val="none"/>
        </w:rPr>
        <w:t xml:space="preserve">the </w:t>
      </w:r>
      <w:r w:rsidRPr="001B2BB1" w:rsidR="001B2BB1">
        <w:rPr>
          <w:rFonts w:ascii="Palatino Linotype" w:hAnsi="Palatino Linotype" w:eastAsia="Palatino Linotype" w:cs="Times New Roman"/>
          <w:kern w:val="0"/>
          <w14:ligatures w14:val="none"/>
        </w:rPr>
        <w:t>pilot design milestones had been met.</w:t>
      </w:r>
    </w:p>
    <w:p w:rsidR="00F348D6" w:rsidP="002846C3" w:rsidRDefault="00F348D6" w14:paraId="2261C76B" w14:textId="77777777">
      <w:pPr>
        <w:spacing w:after="0" w:line="276" w:lineRule="auto"/>
        <w:contextualSpacing/>
        <w:rPr>
          <w:rFonts w:ascii="Palatino Linotype" w:hAnsi="Palatino Linotype" w:eastAsia="Palatino Linotype" w:cs="Times New Roman"/>
          <w:kern w:val="0"/>
          <w14:ligatures w14:val="none"/>
        </w:rPr>
      </w:pPr>
    </w:p>
    <w:p w:rsidR="009D7CEC" w:rsidP="598B6DBC" w:rsidRDefault="009D7CEC" w14:paraId="1C2C17FC" w14:textId="77777777">
      <w:pPr>
        <w:spacing w:before="240" w:after="240" w:line="276" w:lineRule="auto"/>
        <w:contextualSpacing/>
        <w:rPr>
          <w:rFonts w:ascii="Palatino Linotype" w:hAnsi="Palatino Linotype" w:eastAsia="Palatino Linotype" w:cs="Palatino Linotype"/>
        </w:rPr>
      </w:pPr>
      <w:r w:rsidRPr="598B6DBC">
        <w:rPr>
          <w:rFonts w:ascii="Palatino Linotype" w:hAnsi="Palatino Linotype" w:eastAsia="Palatino Linotype" w:cs="Palatino Linotype"/>
        </w:rPr>
        <w:t>In</w:t>
      </w:r>
      <w:r w:rsidRPr="598B6DBC" w:rsidR="00E70DF3">
        <w:rPr>
          <w:rFonts w:ascii="Palatino Linotype" w:hAnsi="Palatino Linotype" w:eastAsia="Palatino Linotype" w:cs="Palatino Linotype"/>
        </w:rPr>
        <w:t xml:space="preserve"> </w:t>
      </w:r>
      <w:r w:rsidRPr="598B6DBC">
        <w:rPr>
          <w:rFonts w:ascii="Palatino Linotype" w:hAnsi="Palatino Linotype" w:eastAsia="Palatino Linotype" w:cs="Palatino Linotype"/>
        </w:rPr>
        <w:t>AL 7378-E-A</w:t>
      </w:r>
      <w:r w:rsidRPr="598B6DBC" w:rsidR="00E70DF3">
        <w:rPr>
          <w:rFonts w:ascii="Palatino Linotype" w:hAnsi="Palatino Linotype" w:eastAsia="Palatino Linotype" w:cs="Palatino Linotype"/>
        </w:rPr>
        <w:t xml:space="preserve"> Section B</w:t>
      </w:r>
      <w:r w:rsidRPr="598B6DBC">
        <w:rPr>
          <w:rFonts w:ascii="Palatino Linotype" w:hAnsi="Palatino Linotype" w:eastAsia="Palatino Linotype" w:cs="Palatino Linotype"/>
        </w:rPr>
        <w:t xml:space="preserve">, PG&amp;E explains that aligning the pilot with MIP provides a practical avenue for applying Phase I learnings while broader microgrid infrastructure matures. As MIP projects typically require two to four years from award to operation, PG&amp;E proposes to integrate its V2X technical support throughout that process, from feasibility studies and interconnection design to equipment selection and eventual islanded operation testing. The Hybrid Support Model would assist up to ten community microgrids, many located in disadvantaged and vulnerable communities, and would advance state goals for resilience and clean transportation by helping MIP sites incorporate bidirectional EV technology early in their design cycle. Neither VGIC nor SERC expressed opposition to PG&amp;E’s proposed modification of the Phase II scope. </w:t>
      </w:r>
    </w:p>
    <w:p w:rsidR="009D7CEC" w:rsidP="002846C3" w:rsidRDefault="009D7CEC" w14:paraId="62A0D64B" w14:textId="77777777">
      <w:pPr>
        <w:spacing w:after="0" w:line="276" w:lineRule="auto"/>
        <w:contextualSpacing/>
        <w:rPr>
          <w:rFonts w:ascii="Palatino Linotype" w:hAnsi="Palatino Linotype" w:eastAsia="Palatino Linotype" w:cs="Times New Roman"/>
          <w:kern w:val="0"/>
          <w14:ligatures w14:val="none"/>
        </w:rPr>
      </w:pPr>
    </w:p>
    <w:p w:rsidR="00A76F4A" w:rsidP="4F027024" w:rsidRDefault="675FD798" w14:paraId="4F49DA7B" w14:textId="77777777">
      <w:pPr>
        <w:spacing w:before="240" w:after="0" w:line="276" w:lineRule="auto"/>
        <w:contextualSpacing/>
        <w:rPr>
          <w:rFonts w:ascii="Palatino Linotype" w:hAnsi="Palatino Linotype" w:eastAsia="Palatino Linotype" w:cs="Palatino Linotype"/>
        </w:rPr>
      </w:pPr>
      <w:r w:rsidRPr="4F027024">
        <w:rPr>
          <w:rFonts w:ascii="Palatino Linotype" w:hAnsi="Palatino Linotype" w:eastAsia="Palatino Linotype" w:cs="Palatino Linotype"/>
        </w:rPr>
        <w:t xml:space="preserve">The Commission </w:t>
      </w:r>
      <w:r w:rsidRPr="4F027024" w:rsidR="009D7CEC">
        <w:rPr>
          <w:rFonts w:ascii="Palatino Linotype" w:hAnsi="Palatino Linotype" w:eastAsia="Palatino Linotype" w:cs="Palatino Linotype"/>
        </w:rPr>
        <w:t xml:space="preserve">approves </w:t>
      </w:r>
      <w:r w:rsidRPr="4F027024">
        <w:rPr>
          <w:rFonts w:ascii="Palatino Linotype" w:hAnsi="Palatino Linotype" w:eastAsia="Palatino Linotype" w:cs="Palatino Linotype"/>
        </w:rPr>
        <w:t xml:space="preserve">PG&amp;E’s </w:t>
      </w:r>
      <w:r w:rsidRPr="4F027024" w:rsidR="009D7CEC">
        <w:rPr>
          <w:rFonts w:ascii="Palatino Linotype" w:hAnsi="Palatino Linotype" w:eastAsia="Palatino Linotype" w:cs="Palatino Linotype"/>
        </w:rPr>
        <w:t xml:space="preserve">proposal to </w:t>
      </w:r>
      <w:r w:rsidRPr="4F027024">
        <w:rPr>
          <w:rFonts w:ascii="Palatino Linotype" w:hAnsi="Palatino Linotype" w:eastAsia="Palatino Linotype" w:cs="Palatino Linotype"/>
        </w:rPr>
        <w:t>replace the original</w:t>
      </w:r>
      <w:r w:rsidRPr="4F027024" w:rsidR="0061539B">
        <w:rPr>
          <w:rFonts w:ascii="Palatino Linotype" w:hAnsi="Palatino Linotype" w:eastAsia="Palatino Linotype" w:cs="Palatino Linotype"/>
        </w:rPr>
        <w:t xml:space="preserve"> scope of</w:t>
      </w:r>
      <w:r w:rsidRPr="4F027024">
        <w:rPr>
          <w:rFonts w:ascii="Palatino Linotype" w:hAnsi="Palatino Linotype" w:eastAsia="Palatino Linotype" w:cs="Palatino Linotype"/>
        </w:rPr>
        <w:t xml:space="preserve"> Phase II with a Hybrid Support Model that provides technical consulting support to community microgrids developed under the Commission’s MIP. The Commission finds that the </w:t>
      </w:r>
      <w:r w:rsidRPr="4F027024">
        <w:rPr>
          <w:rFonts w:ascii="Palatino Linotype" w:hAnsi="Palatino Linotype" w:eastAsia="Palatino Linotype" w:cs="Palatino Linotype"/>
        </w:rPr>
        <w:lastRenderedPageBreak/>
        <w:t>Hybrid Support Model reasonably builds on Phase I achievements and continues to advance the policy objectives established in Resolution E-5192.</w:t>
      </w:r>
      <w:r w:rsidRPr="4F027024" w:rsidR="00D92C72">
        <w:rPr>
          <w:rFonts w:ascii="Palatino Linotype" w:hAnsi="Palatino Linotype" w:eastAsia="Palatino Linotype" w:cs="Palatino Linotype"/>
        </w:rPr>
        <w:t xml:space="preserve"> </w:t>
      </w:r>
    </w:p>
    <w:p w:rsidR="00954F07" w:rsidP="4F027024" w:rsidRDefault="00954F07" w14:paraId="5F4F755A" w14:textId="77777777">
      <w:pPr>
        <w:spacing w:before="240" w:after="240" w:line="240" w:lineRule="auto"/>
        <w:contextualSpacing/>
      </w:pPr>
    </w:p>
    <w:p w:rsidR="0095707E" w:rsidP="7DF8D1A9" w:rsidRDefault="341AF4C4" w14:paraId="0655E147" w14:textId="77777777">
      <w:pPr>
        <w:spacing w:after="0" w:line="276" w:lineRule="auto"/>
        <w:contextualSpacing/>
        <w:rPr>
          <w:rFonts w:ascii="Palatino Linotype" w:hAnsi="Palatino Linotype" w:eastAsia="Palatino Linotype" w:cs="Palatino Linotype"/>
          <w:b/>
          <w:bCs/>
        </w:rPr>
      </w:pPr>
      <w:r w:rsidRPr="57FF32FF">
        <w:rPr>
          <w:rFonts w:ascii="Palatino Linotype" w:hAnsi="Palatino Linotype" w:eastAsia="Palatino Linotype" w:cs="Palatino Linotype"/>
          <w:b/>
          <w:bCs/>
        </w:rPr>
        <w:t>Pilot Budget and Expenditures</w:t>
      </w:r>
    </w:p>
    <w:p w:rsidRPr="00BA1C37" w:rsidR="00BA1C37" w:rsidP="00BA1C37" w:rsidRDefault="00BD6B50" w14:paraId="27B023A1" w14:textId="77777777">
      <w:pPr>
        <w:spacing w:before="240" w:after="240" w:line="276" w:lineRule="auto"/>
        <w:contextualSpacing/>
        <w:rPr>
          <w:rFonts w:ascii="Palatino Linotype" w:hAnsi="Palatino Linotype" w:eastAsia="Palatino Linotype" w:cs="Palatino Linotype"/>
        </w:rPr>
      </w:pPr>
      <w:r w:rsidRPr="4F027024">
        <w:rPr>
          <w:rFonts w:ascii="Palatino Linotype" w:hAnsi="Palatino Linotype" w:eastAsia="Palatino Linotype" w:cs="Palatino Linotype"/>
        </w:rPr>
        <w:t>Resolution E-51</w:t>
      </w:r>
      <w:r w:rsidRPr="4F027024" w:rsidR="000C5B76">
        <w:rPr>
          <w:rFonts w:ascii="Palatino Linotype" w:hAnsi="Palatino Linotype" w:eastAsia="Palatino Linotype" w:cs="Palatino Linotype"/>
        </w:rPr>
        <w:t>92 approved a</w:t>
      </w:r>
      <w:r w:rsidRPr="4F027024">
        <w:rPr>
          <w:rFonts w:ascii="Palatino Linotype" w:hAnsi="Palatino Linotype" w:eastAsia="Palatino Linotype" w:cs="Palatino Linotype"/>
        </w:rPr>
        <w:t xml:space="preserve"> </w:t>
      </w:r>
      <w:r w:rsidRPr="4F027024" w:rsidR="00BA1C37">
        <w:rPr>
          <w:rFonts w:ascii="Palatino Linotype" w:hAnsi="Palatino Linotype" w:eastAsia="Palatino Linotype" w:cs="Palatino Linotype"/>
        </w:rPr>
        <w:t>total pilot budget of $1.5 million</w:t>
      </w:r>
      <w:r w:rsidRPr="4F027024" w:rsidR="1B7C87FE">
        <w:rPr>
          <w:rFonts w:ascii="Palatino Linotype" w:hAnsi="Palatino Linotype" w:eastAsia="Palatino Linotype" w:cs="Palatino Linotype"/>
        </w:rPr>
        <w:t>,</w:t>
      </w:r>
      <w:r w:rsidRPr="4F027024" w:rsidR="51693991">
        <w:rPr>
          <w:rFonts w:ascii="Palatino Linotype" w:hAnsi="Palatino Linotype" w:eastAsia="Palatino Linotype" w:cs="Palatino Linotype"/>
        </w:rPr>
        <w:t xml:space="preserve"> </w:t>
      </w:r>
      <w:r w:rsidRPr="4F027024" w:rsidR="0095707E">
        <w:rPr>
          <w:rFonts w:ascii="Palatino Linotype" w:hAnsi="Palatino Linotype" w:eastAsia="Palatino Linotype" w:cs="Palatino Linotype"/>
        </w:rPr>
        <w:t>approximately $750,000 for project activities</w:t>
      </w:r>
      <w:r w:rsidRPr="4F027024" w:rsidR="00B70D1A">
        <w:rPr>
          <w:rFonts w:ascii="Palatino Linotype" w:hAnsi="Palatino Linotype" w:eastAsia="Palatino Linotype" w:cs="Palatino Linotype"/>
        </w:rPr>
        <w:t>, including</w:t>
      </w:r>
      <w:r w:rsidRPr="4F027024" w:rsidR="0095707E">
        <w:rPr>
          <w:rFonts w:ascii="Palatino Linotype" w:hAnsi="Palatino Linotype" w:eastAsia="Palatino Linotype" w:cs="Palatino Linotype"/>
        </w:rPr>
        <w:t xml:space="preserve"> engineering, project management, site selection, interconnection, and the installation of bidirectional chargers. The remaining</w:t>
      </w:r>
      <w:r w:rsidRPr="4F027024" w:rsidR="00275B38">
        <w:rPr>
          <w:rFonts w:ascii="Palatino Linotype" w:hAnsi="Palatino Linotype" w:eastAsia="Palatino Linotype" w:cs="Palatino Linotype"/>
        </w:rPr>
        <w:t xml:space="preserve"> $750,000</w:t>
      </w:r>
      <w:r w:rsidRPr="4F027024" w:rsidR="0095707E">
        <w:rPr>
          <w:rFonts w:ascii="Palatino Linotype" w:hAnsi="Palatino Linotype" w:eastAsia="Palatino Linotype" w:cs="Palatino Linotype"/>
        </w:rPr>
        <w:t xml:space="preserve"> funds were </w:t>
      </w:r>
      <w:r w:rsidRPr="4F027024" w:rsidR="00BA1C37">
        <w:rPr>
          <w:rFonts w:ascii="Palatino Linotype" w:hAnsi="Palatino Linotype" w:eastAsia="Palatino Linotype" w:cs="Palatino Linotype"/>
        </w:rPr>
        <w:t>designated for customer incentives under Phase II. PG&amp;E reported that Phase I funds are fully allocated and that no additional ratepayer funds are requested.</w:t>
      </w:r>
    </w:p>
    <w:p w:rsidRPr="00BA1C37" w:rsidR="00BA1C37" w:rsidP="00BA1C37" w:rsidRDefault="00BA1C37" w14:paraId="2B53B23A" w14:textId="77777777">
      <w:pPr>
        <w:spacing w:before="240" w:after="240" w:line="276" w:lineRule="auto"/>
        <w:contextualSpacing/>
        <w:rPr>
          <w:rFonts w:ascii="Palatino Linotype" w:hAnsi="Palatino Linotype" w:eastAsia="Palatino Linotype" w:cs="Palatino Linotype"/>
        </w:rPr>
      </w:pPr>
    </w:p>
    <w:p w:rsidR="00BA1C37" w:rsidP="00BA1C37" w:rsidRDefault="00BA1C37" w14:paraId="44E933A3" w14:textId="77777777">
      <w:pPr>
        <w:spacing w:before="240" w:after="240" w:line="276" w:lineRule="auto"/>
        <w:contextualSpacing/>
        <w:rPr>
          <w:rFonts w:ascii="Palatino Linotype" w:hAnsi="Palatino Linotype" w:eastAsia="Palatino Linotype" w:cs="Palatino Linotype"/>
        </w:rPr>
      </w:pPr>
      <w:r w:rsidRPr="4F027024">
        <w:rPr>
          <w:rFonts w:ascii="Palatino Linotype" w:hAnsi="Palatino Linotype" w:eastAsia="Palatino Linotype" w:cs="Palatino Linotype"/>
        </w:rPr>
        <w:t xml:space="preserve">According to </w:t>
      </w:r>
      <w:r w:rsidRPr="4F027024" w:rsidR="00EC44AA">
        <w:rPr>
          <w:rFonts w:ascii="Palatino Linotype" w:hAnsi="Palatino Linotype" w:eastAsia="Palatino Linotype" w:cs="Palatino Linotype"/>
        </w:rPr>
        <w:t xml:space="preserve">AL </w:t>
      </w:r>
      <w:r w:rsidRPr="4F027024" w:rsidR="00815B39">
        <w:rPr>
          <w:rFonts w:ascii="Palatino Linotype" w:hAnsi="Palatino Linotype" w:eastAsia="Palatino Linotype" w:cs="Palatino Linotype"/>
        </w:rPr>
        <w:t xml:space="preserve">7378-E-A, </w:t>
      </w:r>
      <w:r w:rsidRPr="4F027024">
        <w:rPr>
          <w:rFonts w:ascii="Palatino Linotype" w:hAnsi="Palatino Linotype" w:eastAsia="Palatino Linotype" w:cs="Palatino Linotype"/>
        </w:rPr>
        <w:t xml:space="preserve">Appendix I, </w:t>
      </w:r>
      <w:r w:rsidRPr="4F027024" w:rsidR="008B0764">
        <w:rPr>
          <w:rFonts w:ascii="Palatino Linotype" w:hAnsi="Palatino Linotype" w:eastAsia="Palatino Linotype" w:cs="Palatino Linotype"/>
        </w:rPr>
        <w:t xml:space="preserve">PG&amp;E claims that </w:t>
      </w:r>
      <w:r w:rsidRPr="4F027024" w:rsidR="000C5B76">
        <w:rPr>
          <w:rFonts w:ascii="Palatino Linotype" w:hAnsi="Palatino Linotype" w:eastAsia="Palatino Linotype" w:cs="Palatino Linotype"/>
        </w:rPr>
        <w:t xml:space="preserve">nearly all pilot expenditures occurred under Phase I. These </w:t>
      </w:r>
      <w:r w:rsidRPr="4F027024">
        <w:rPr>
          <w:rFonts w:ascii="Palatino Linotype" w:hAnsi="Palatino Linotype" w:eastAsia="Palatino Linotype" w:cs="Palatino Linotype"/>
        </w:rPr>
        <w:t xml:space="preserve">expenditures include internal labor, vendor payments, data collection and evaluation, and site commissioning activities. </w:t>
      </w:r>
      <w:r w:rsidRPr="4F027024" w:rsidR="008B0764">
        <w:rPr>
          <w:rFonts w:ascii="Palatino Linotype" w:hAnsi="Palatino Linotype" w:eastAsia="Palatino Linotype" w:cs="Palatino Linotype"/>
        </w:rPr>
        <w:t>PG&amp;E further</w:t>
      </w:r>
      <w:r w:rsidRPr="4F027024">
        <w:rPr>
          <w:rFonts w:ascii="Palatino Linotype" w:hAnsi="Palatino Linotype" w:eastAsia="Palatino Linotype" w:cs="Palatino Linotype"/>
        </w:rPr>
        <w:t xml:space="preserve"> details that $579,277 was allocated to RCAM vendor payments, labor, and evaluation</w:t>
      </w:r>
      <w:r w:rsidRPr="4F027024" w:rsidR="00DC1C94">
        <w:rPr>
          <w:rFonts w:ascii="Palatino Linotype" w:hAnsi="Palatino Linotype" w:eastAsia="Palatino Linotype" w:cs="Palatino Linotype"/>
        </w:rPr>
        <w:t>.</w:t>
      </w:r>
      <w:r w:rsidRPr="4F027024" w:rsidR="00852CA0">
        <w:rPr>
          <w:rFonts w:ascii="Palatino Linotype" w:hAnsi="Palatino Linotype" w:eastAsia="Palatino Linotype" w:cs="Palatino Linotype"/>
        </w:rPr>
        <w:t xml:space="preserve"> </w:t>
      </w:r>
      <w:r w:rsidRPr="4F027024">
        <w:rPr>
          <w:rFonts w:ascii="Palatino Linotype" w:hAnsi="Palatino Linotype" w:eastAsia="Palatino Linotype" w:cs="Palatino Linotype"/>
        </w:rPr>
        <w:t>PG&amp;E also noted that certain technical work and equipment validation were supported by the EPIC 3.11B project, which funded related activities such as control system testing and operational process development. These EPIC-funded tasks were separately accounted for and not charged to the pilot’s authorized budget.</w:t>
      </w:r>
    </w:p>
    <w:p w:rsidRPr="00BA1C37" w:rsidR="009D7CEC" w:rsidP="00BA1C37" w:rsidRDefault="009D7CEC" w14:paraId="416EC284" w14:textId="77777777">
      <w:pPr>
        <w:spacing w:before="240" w:after="240" w:line="276" w:lineRule="auto"/>
        <w:contextualSpacing/>
        <w:rPr>
          <w:rFonts w:ascii="Palatino Linotype" w:hAnsi="Palatino Linotype" w:eastAsia="Palatino Linotype" w:cs="Palatino Linotype"/>
        </w:rPr>
      </w:pPr>
    </w:p>
    <w:p w:rsidR="00852CA0" w:rsidP="00852CA0" w:rsidRDefault="00BA1C37" w14:paraId="512914AC" w14:textId="77777777">
      <w:pPr>
        <w:spacing w:before="240" w:after="240" w:line="276" w:lineRule="auto"/>
        <w:contextualSpacing/>
        <w:rPr>
          <w:rFonts w:ascii="Palatino Linotype" w:hAnsi="Palatino Linotype" w:eastAsia="Palatino Linotype" w:cs="Palatino Linotype"/>
        </w:rPr>
      </w:pPr>
      <w:r w:rsidRPr="4F027024">
        <w:rPr>
          <w:rFonts w:ascii="Palatino Linotype" w:hAnsi="Palatino Linotype" w:eastAsia="Palatino Linotype" w:cs="Palatino Linotype"/>
        </w:rPr>
        <w:t>In AL 7378-E-A, PG&amp;E state</w:t>
      </w:r>
      <w:r w:rsidRPr="4F027024" w:rsidR="009D7CEC">
        <w:rPr>
          <w:rFonts w:ascii="Palatino Linotype" w:hAnsi="Palatino Linotype" w:eastAsia="Palatino Linotype" w:cs="Palatino Linotype"/>
        </w:rPr>
        <w:t>s</w:t>
      </w:r>
      <w:r w:rsidRPr="4F027024">
        <w:rPr>
          <w:rFonts w:ascii="Palatino Linotype" w:hAnsi="Palatino Linotype" w:eastAsia="Palatino Linotype" w:cs="Palatino Linotype"/>
        </w:rPr>
        <w:t xml:space="preserve"> that none of the</w:t>
      </w:r>
      <w:r w:rsidRPr="4F027024" w:rsidR="005D4248">
        <w:rPr>
          <w:rFonts w:ascii="Palatino Linotype" w:hAnsi="Palatino Linotype" w:eastAsia="Palatino Linotype" w:cs="Palatino Linotype"/>
        </w:rPr>
        <w:t xml:space="preserve"> outstanding $750,000 for</w:t>
      </w:r>
      <w:r w:rsidRPr="4F027024">
        <w:rPr>
          <w:rFonts w:ascii="Palatino Linotype" w:hAnsi="Palatino Linotype" w:eastAsia="Palatino Linotype" w:cs="Palatino Linotype"/>
        </w:rPr>
        <w:t xml:space="preserve"> Phase II incentive funds will be used under the proposed Hybrid Support Model. </w:t>
      </w:r>
      <w:r w:rsidRPr="4F027024" w:rsidR="00931EC7">
        <w:rPr>
          <w:rFonts w:ascii="Palatino Linotype" w:hAnsi="Palatino Linotype" w:eastAsia="Palatino Linotype" w:cs="Palatino Linotype"/>
        </w:rPr>
        <w:t>PG&amp;E</w:t>
      </w:r>
      <w:r w:rsidRPr="4F027024">
        <w:rPr>
          <w:rFonts w:ascii="Palatino Linotype" w:hAnsi="Palatino Linotype" w:eastAsia="Palatino Linotype" w:cs="Palatino Linotype"/>
        </w:rPr>
        <w:t xml:space="preserve"> proposed </w:t>
      </w:r>
      <w:r w:rsidR="008C496F">
        <w:rPr>
          <w:rFonts w:ascii="Palatino Linotype" w:hAnsi="Palatino Linotype" w:eastAsia="Palatino Linotype" w:cs="Palatino Linotype"/>
        </w:rPr>
        <w:t>eliminating the</w:t>
      </w:r>
      <w:r w:rsidRPr="4F027024" w:rsidR="0095707E">
        <w:rPr>
          <w:rFonts w:ascii="Palatino Linotype" w:hAnsi="Palatino Linotype" w:eastAsia="Palatino Linotype" w:cs="Palatino Linotype"/>
        </w:rPr>
        <w:t xml:space="preserve"> $750,000 in unspent customer incentive funds </w:t>
      </w:r>
      <w:r w:rsidR="008C496F">
        <w:rPr>
          <w:rFonts w:ascii="Palatino Linotype" w:hAnsi="Palatino Linotype" w:eastAsia="Palatino Linotype" w:cs="Palatino Linotype"/>
        </w:rPr>
        <w:t xml:space="preserve">from </w:t>
      </w:r>
      <w:r w:rsidR="00985D35">
        <w:rPr>
          <w:rFonts w:ascii="Palatino Linotype" w:hAnsi="Palatino Linotype" w:eastAsia="Palatino Linotype" w:cs="Palatino Linotype"/>
        </w:rPr>
        <w:t xml:space="preserve">V2X </w:t>
      </w:r>
      <w:r w:rsidR="004E47F8">
        <w:rPr>
          <w:rFonts w:ascii="Palatino Linotype" w:hAnsi="Palatino Linotype" w:eastAsia="Palatino Linotype" w:cs="Palatino Linotype"/>
        </w:rPr>
        <w:t xml:space="preserve">pilots </w:t>
      </w:r>
      <w:r w:rsidR="00985D35">
        <w:rPr>
          <w:rFonts w:ascii="Palatino Linotype" w:hAnsi="Palatino Linotype" w:eastAsia="Palatino Linotype" w:cs="Palatino Linotype"/>
        </w:rPr>
        <w:t>authorized budget</w:t>
      </w:r>
      <w:r w:rsidR="004E47F8">
        <w:rPr>
          <w:rFonts w:ascii="Palatino Linotype" w:hAnsi="Palatino Linotype" w:eastAsia="Palatino Linotype" w:cs="Palatino Linotype"/>
        </w:rPr>
        <w:t xml:space="preserve"> ,</w:t>
      </w:r>
      <w:r w:rsidRPr="4F027024" w:rsidR="0095707E">
        <w:rPr>
          <w:rFonts w:ascii="Palatino Linotype" w:hAnsi="Palatino Linotype" w:eastAsia="Palatino Linotype" w:cs="Palatino Linotype"/>
        </w:rPr>
        <w:t>and closing</w:t>
      </w:r>
      <w:r w:rsidRPr="4F027024">
        <w:rPr>
          <w:rFonts w:ascii="Palatino Linotype" w:hAnsi="Palatino Linotype" w:eastAsia="Palatino Linotype" w:cs="Palatino Linotype"/>
        </w:rPr>
        <w:t xml:space="preserve"> pilot enrollment. PG&amp;E clarifie</w:t>
      </w:r>
      <w:r w:rsidRPr="4F027024" w:rsidR="009D7CEC">
        <w:rPr>
          <w:rFonts w:ascii="Palatino Linotype" w:hAnsi="Palatino Linotype" w:eastAsia="Palatino Linotype" w:cs="Palatino Linotype"/>
        </w:rPr>
        <w:t>s</w:t>
      </w:r>
      <w:r w:rsidRPr="4F027024">
        <w:rPr>
          <w:rFonts w:ascii="Palatino Linotype" w:hAnsi="Palatino Linotype" w:eastAsia="Palatino Linotype" w:cs="Palatino Linotype"/>
        </w:rPr>
        <w:t xml:space="preserve"> that the hybrid approach would rely on internal, non-pilot resources for future technical support to MIP sites and would not increase the pilot’s total authorized expenditures. </w:t>
      </w:r>
    </w:p>
    <w:p w:rsidR="009D7CEC" w:rsidP="00852CA0" w:rsidRDefault="009D7CEC" w14:paraId="300AF8B5" w14:textId="77777777">
      <w:pPr>
        <w:spacing w:before="240" w:after="240" w:line="276" w:lineRule="auto"/>
        <w:contextualSpacing/>
        <w:rPr>
          <w:rFonts w:ascii="Palatino Linotype" w:hAnsi="Palatino Linotype" w:eastAsia="Palatino Linotype" w:cs="Palatino Linotype"/>
        </w:rPr>
      </w:pPr>
    </w:p>
    <w:p w:rsidR="00713914" w:rsidP="00852CA0" w:rsidRDefault="009D7CEC" w14:paraId="2FF3F2A6" w14:textId="77777777">
      <w:pPr>
        <w:spacing w:before="240" w:after="240" w:line="276"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 approving PG&amp;E’s proposal to refocus Phase II, t</w:t>
      </w:r>
      <w:r w:rsidRPr="4F027024">
        <w:rPr>
          <w:rFonts w:ascii="Palatino Linotype" w:hAnsi="Palatino Linotype" w:eastAsia="Palatino Linotype" w:cs="Times New Roman"/>
        </w:rPr>
        <w:t xml:space="preserve">he Commission finds </w:t>
      </w:r>
      <w:r w:rsidR="00B3269F">
        <w:rPr>
          <w:rFonts w:ascii="Palatino Linotype" w:hAnsi="Palatino Linotype" w:eastAsia="Palatino Linotype" w:cs="Times New Roman"/>
          <w:kern w:val="0"/>
          <w14:ligatures w14:val="none"/>
        </w:rPr>
        <w:t xml:space="preserve"> </w:t>
      </w:r>
      <w:r w:rsidRPr="00B3269F" w:rsidR="00B3269F">
        <w:rPr>
          <w:rFonts w:ascii="Palatino Linotype" w:hAnsi="Palatino Linotype" w:eastAsia="Palatino Linotype" w:cs="Times New Roman"/>
          <w:kern w:val="0"/>
          <w14:ligatures w14:val="none"/>
        </w:rPr>
        <w:t>reducing the authorized budget for Pilot #3 by approximately $750,000, representing unspent customer incentive funds, is reasonable.</w:t>
      </w:r>
    </w:p>
    <w:p w:rsidR="008C2D0D" w:rsidP="00ED5732" w:rsidRDefault="008C2D0D" w14:paraId="3CB09B4D" w14:textId="77777777">
      <w:pPr>
        <w:spacing w:after="0" w:line="240" w:lineRule="auto"/>
        <w:rPr>
          <w:rFonts w:ascii="Palatino Linotype" w:hAnsi="Palatino Linotype" w:eastAsia="Palatino Linotype" w:cs="Palatino Linotype"/>
        </w:rPr>
      </w:pPr>
    </w:p>
    <w:p w:rsidRPr="001942D0" w:rsidR="00A76F4A" w:rsidDel="00713914" w:rsidP="00ED5732" w:rsidRDefault="00A76F4A" w14:paraId="5E42C05F" w14:textId="77777777">
      <w:pPr>
        <w:spacing w:before="120" w:after="240" w:line="276" w:lineRule="auto"/>
        <w:rPr>
          <w:rFonts w:ascii="Palatino Linotype" w:hAnsi="Palatino Linotype" w:eastAsia="Palatino Linotype" w:cs="Times New Roman"/>
          <w:b/>
          <w:bCs/>
          <w:caps/>
          <w:kern w:val="0"/>
          <w:u w:val="single"/>
          <w14:ligatures w14:val="none"/>
        </w:rPr>
      </w:pPr>
      <w:r w:rsidRPr="7DF8D1A9">
        <w:rPr>
          <w:rFonts w:ascii="Palatino Linotype" w:hAnsi="Palatino Linotype" w:eastAsia="Palatino Linotype" w:cs="Times New Roman"/>
          <w:b/>
          <w:bCs/>
          <w:caps/>
          <w:kern w:val="28"/>
          <w:u w:val="single"/>
          <w14:ligatures w14:val="none"/>
        </w:rPr>
        <w:t>Comments</w:t>
      </w:r>
    </w:p>
    <w:p w:rsidRPr="001942D0" w:rsidR="00A76F4A" w:rsidP="7DF8D1A9" w:rsidRDefault="00A76F4A" w14:paraId="41DAEFD4" w14:textId="77777777">
      <w:pPr>
        <w:spacing w:after="0" w:line="276"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w:t>
      </w:r>
      <w:r w:rsidR="00795517">
        <w:rPr>
          <w:rFonts w:ascii="Palatino Linotype" w:hAnsi="Palatino Linotype" w:eastAsia="Palatino Linotype" w:cs="Times New Roman"/>
          <w:kern w:val="0"/>
          <w14:ligatures w14:val="none"/>
        </w:rPr>
        <w:t xml:space="preserve">of </w:t>
      </w:r>
      <w:r w:rsidRPr="001942D0">
        <w:rPr>
          <w:rFonts w:ascii="Palatino Linotype" w:hAnsi="Palatino Linotype" w:eastAsia="Palatino Linotype" w:cs="Times New Roman"/>
          <w:kern w:val="0"/>
          <w14:ligatures w14:val="none"/>
        </w:rPr>
        <w:t xml:space="preserve">public review.  </w:t>
      </w:r>
    </w:p>
    <w:p w:rsidRPr="001942D0" w:rsidR="00A76F4A" w:rsidP="7DF8D1A9" w:rsidRDefault="00A76F4A" w14:paraId="072F6066" w14:textId="77777777">
      <w:pPr>
        <w:spacing w:after="0" w:line="276" w:lineRule="auto"/>
        <w:rPr>
          <w:rFonts w:ascii="Palatino Linotype" w:hAnsi="Palatino Linotype" w:eastAsia="Palatino Linotype" w:cs="Times New Roman"/>
          <w:kern w:val="0"/>
          <w14:ligatures w14:val="none"/>
        </w:rPr>
      </w:pPr>
    </w:p>
    <w:p w:rsidR="00EC09AE" w:rsidP="0041725B" w:rsidRDefault="00A76F4A" w14:paraId="3F91EE5D" w14:textId="77777777">
      <w:pPr>
        <w:spacing w:after="0" w:line="276"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w:t>
      </w:r>
      <w:bookmarkStart w:name="_Hlk72226406" w:id="2"/>
      <w:r w:rsidR="00EC09AE">
        <w:rPr>
          <w:rFonts w:ascii="Palatino Linotype" w:hAnsi="Palatino Linotype" w:eastAsia="Palatino Linotype" w:cs="Times New Roman"/>
          <w:kern w:val="0"/>
          <w14:ligatures w14:val="none"/>
        </w:rPr>
        <w:t xml:space="preserve"> </w:t>
      </w:r>
      <w:r w:rsidRPr="00EC09AE" w:rsidR="00EC09AE">
        <w:rPr>
          <w:rFonts w:ascii="Palatino Linotype" w:hAnsi="Palatino Linotype" w:eastAsia="Palatino Linotype" w:cs="Times New Roman"/>
          <w:kern w:val="0"/>
          <w14:ligatures w14:val="none"/>
        </w:rPr>
        <w:t>for a </w:t>
      </w:r>
      <w:r w:rsidR="00EC09AE">
        <w:rPr>
          <w:rFonts w:ascii="Palatino Linotype" w:hAnsi="Palatino Linotype" w:eastAsia="Palatino Linotype" w:cs="Times New Roman"/>
          <w:kern w:val="0"/>
          <w14:ligatures w14:val="none"/>
        </w:rPr>
        <w:t>20-day comment period, and the Resolution was placed on the February 26, 2026,</w:t>
      </w:r>
      <w:r w:rsidRPr="00EC09AE" w:rsidR="00EC09AE">
        <w:rPr>
          <w:rFonts w:ascii="Palatino Linotype" w:hAnsi="Palatino Linotype" w:eastAsia="Palatino Linotype" w:cs="Times New Roman"/>
          <w:kern w:val="0"/>
          <w14:ligatures w14:val="none"/>
        </w:rPr>
        <w:t> voting meeting.  </w:t>
      </w:r>
    </w:p>
    <w:p w:rsidR="000F11A0" w:rsidP="0041725B" w:rsidRDefault="000F11A0" w14:paraId="5C72404C" w14:textId="77777777">
      <w:pPr>
        <w:spacing w:after="0" w:line="276" w:lineRule="auto"/>
        <w:rPr>
          <w:rFonts w:ascii="Palatino Linotype" w:hAnsi="Palatino Linotype" w:eastAsia="Palatino Linotype" w:cs="Times New Roman"/>
          <w:kern w:val="0"/>
          <w14:ligatures w14:val="none"/>
        </w:rPr>
      </w:pPr>
    </w:p>
    <w:p w:rsidR="000F11A0" w:rsidP="000F11A0" w:rsidRDefault="422E84A8" w14:paraId="26198DA3" w14:textId="77777777">
      <w:pPr>
        <w:spacing w:after="0" w:line="276" w:lineRule="auto"/>
        <w:rPr>
          <w:rFonts w:ascii="Palatino Linotype" w:hAnsi="Palatino Linotype" w:eastAsia="Palatino Linotype" w:cs="Palatino Linotype"/>
          <w:kern w:val="0"/>
          <w14:ligatures w14:val="none"/>
        </w:rPr>
      </w:pPr>
      <w:r w:rsidRPr="0A373A74">
        <w:rPr>
          <w:rFonts w:ascii="Palatino Linotype" w:hAnsi="Palatino Linotype" w:eastAsia="Palatino Linotype" w:cs="Palatino Linotype"/>
        </w:rPr>
        <w:t>PG&amp;E filed public comments on February 12, 2026, on the original draft Resolution filed on January 23, 2026. PG&amp;E proposed an alternative view on certain components of the draft Resolution and requests modifications. Specifically, PG&amp;E raises two concerns. First, PG&amp;E requests clarification and modification of Ordering Paragraph 3 regarding the return of $750,000 in unspent customer incentive funds associated with Pilot #3, the Vehicle-to-Microgrid Pilot. Second, PG&amp;E states that the success metric requiring five to ten participating bidirectional EVs, as established in Resolution E-5192, is not feasible and requests that the Commission acknowledge this limitation. PG&amp;E’s comments on these issues are discussed below, along with any revisions made to the Resolution in response.</w:t>
      </w:r>
    </w:p>
    <w:p w:rsidR="000F11A0" w:rsidP="000F11A0" w:rsidRDefault="000F11A0" w14:paraId="3D5B5A84" w14:textId="77777777">
      <w:pPr>
        <w:spacing w:after="0" w:line="276" w:lineRule="auto"/>
        <w:rPr>
          <w:rFonts w:ascii="Palatino Linotype" w:hAnsi="Palatino Linotype" w:eastAsia="Palatino Linotype" w:cs="Palatino Linotype"/>
          <w:kern w:val="0"/>
          <w14:ligatures w14:val="none"/>
        </w:rPr>
      </w:pPr>
    </w:p>
    <w:p w:rsidR="000F11A0" w:rsidP="000F11A0" w:rsidRDefault="000F11A0" w14:paraId="74AC4B8C" w14:textId="77777777">
      <w:pPr>
        <w:pStyle w:val="ListParagraph"/>
        <w:numPr>
          <w:ilvl w:val="0"/>
          <w:numId w:val="12"/>
        </w:numPr>
        <w:spacing w:after="0" w:line="276" w:lineRule="auto"/>
        <w:rPr>
          <w:rFonts w:ascii="Palatino Linotype" w:hAnsi="Palatino Linotype" w:eastAsia="Palatino Linotype" w:cs="Palatino Linotype"/>
          <w:kern w:val="0"/>
          <w14:ligatures w14:val="none"/>
        </w:rPr>
      </w:pPr>
      <w:r w:rsidRPr="00036C26">
        <w:rPr>
          <w:rFonts w:ascii="Palatino Linotype" w:hAnsi="Palatino Linotype" w:eastAsia="Palatino Linotype" w:cs="Palatino Linotype"/>
          <w:kern w:val="0"/>
          <w14:ligatures w14:val="none"/>
        </w:rPr>
        <w:t>Return of Unspent Incentive Funds</w:t>
      </w:r>
      <w:r>
        <w:rPr>
          <w:rFonts w:ascii="Palatino Linotype" w:hAnsi="Palatino Linotype" w:eastAsia="Palatino Linotype" w:cs="Palatino Linotype"/>
          <w:kern w:val="0"/>
          <w14:ligatures w14:val="none"/>
        </w:rPr>
        <w:t xml:space="preserve"> for Phase II</w:t>
      </w:r>
    </w:p>
    <w:p w:rsidRPr="00AE5C2B" w:rsidR="000F11A0" w:rsidP="000F11A0" w:rsidRDefault="000F11A0" w14:paraId="10DB32A6" w14:textId="77777777">
      <w:pPr>
        <w:spacing w:after="0" w:line="276" w:lineRule="auto"/>
        <w:rPr>
          <w:rFonts w:ascii="Palatino Linotype" w:hAnsi="Palatino Linotype" w:eastAsia="Palatino Linotype" w:cs="Palatino Linotype"/>
          <w:kern w:val="0"/>
          <w14:ligatures w14:val="none"/>
        </w:rPr>
      </w:pPr>
      <w:r w:rsidRPr="00722B81">
        <w:rPr>
          <w:rFonts w:ascii="Palatino Linotype" w:hAnsi="Palatino Linotype" w:eastAsia="Palatino Linotype" w:cs="Palatino Linotype"/>
          <w:kern w:val="0"/>
          <w14:ligatures w14:val="none"/>
        </w:rPr>
        <w:t xml:space="preserve">PG&amp;E states that Ordering Paragraph 3 directs it to return approximately $750,000 of the unspent </w:t>
      </w:r>
      <w:r>
        <w:rPr>
          <w:rFonts w:ascii="Palatino Linotype" w:hAnsi="Palatino Linotype" w:eastAsia="Palatino Linotype" w:cs="Palatino Linotype"/>
          <w:kern w:val="0"/>
          <w14:ligatures w14:val="none"/>
        </w:rPr>
        <w:t>customer-incentive</w:t>
      </w:r>
      <w:r w:rsidRPr="00AE5C2B">
        <w:rPr>
          <w:rFonts w:ascii="Palatino Linotype" w:hAnsi="Palatino Linotype" w:eastAsia="Palatino Linotype" w:cs="Palatino Linotype"/>
          <w:kern w:val="0"/>
          <w14:ligatures w14:val="none"/>
        </w:rPr>
        <w:t xml:space="preserve"> budget for Pilot #3 to ratepayers. PG&amp;E explains that costs for the V2X Microgrid Pilot are tracked in the </w:t>
      </w:r>
      <w:r>
        <w:rPr>
          <w:rFonts w:ascii="Palatino Linotype" w:hAnsi="Palatino Linotype" w:eastAsia="Palatino Linotype" w:cs="Palatino Linotype"/>
          <w:kern w:val="0"/>
          <w14:ligatures w14:val="none"/>
        </w:rPr>
        <w:t>VGI</w:t>
      </w:r>
      <w:r w:rsidRPr="00AE5C2B">
        <w:rPr>
          <w:rFonts w:ascii="Palatino Linotype" w:hAnsi="Palatino Linotype" w:eastAsia="Palatino Linotype" w:cs="Palatino Linotype"/>
          <w:kern w:val="0"/>
          <w14:ligatures w14:val="none"/>
        </w:rPr>
        <w:t xml:space="preserve"> subaccount within the Transportation Electrification Balancing Account (TEBA). PG&amp;E represents that it has not recorded any of the $750,000 customer incentive funds in the </w:t>
      </w:r>
      <w:r>
        <w:rPr>
          <w:rFonts w:ascii="Palatino Linotype" w:hAnsi="Palatino Linotype" w:eastAsia="Palatino Linotype" w:cs="Palatino Linotype"/>
          <w:kern w:val="0"/>
          <w14:ligatures w14:val="none"/>
        </w:rPr>
        <w:t>VGI</w:t>
      </w:r>
      <w:r w:rsidRPr="00AE5C2B">
        <w:rPr>
          <w:rFonts w:ascii="Palatino Linotype" w:hAnsi="Palatino Linotype" w:eastAsia="Palatino Linotype" w:cs="Palatino Linotype"/>
          <w:kern w:val="0"/>
          <w14:ligatures w14:val="none"/>
        </w:rPr>
        <w:t xml:space="preserve"> subaccount and therefore has no mechanism within TEBA to “return” funds that were not spent or recorded.</w:t>
      </w:r>
    </w:p>
    <w:p w:rsidRPr="00AE5C2B" w:rsidR="000F11A0" w:rsidP="000F11A0" w:rsidRDefault="000F11A0" w14:paraId="4432B64A" w14:textId="77777777">
      <w:pPr>
        <w:spacing w:after="0" w:line="276" w:lineRule="auto"/>
        <w:ind w:left="360"/>
        <w:rPr>
          <w:rFonts w:ascii="Palatino Linotype" w:hAnsi="Palatino Linotype" w:eastAsia="Palatino Linotype" w:cs="Palatino Linotype"/>
          <w:kern w:val="0"/>
          <w14:ligatures w14:val="none"/>
        </w:rPr>
      </w:pPr>
    </w:p>
    <w:p w:rsidRPr="00AE5C2B" w:rsidR="000F11A0" w:rsidP="000F11A0" w:rsidRDefault="000F11A0" w14:paraId="68880042" w14:textId="77777777">
      <w:pPr>
        <w:spacing w:after="0" w:line="276" w:lineRule="auto"/>
        <w:rPr>
          <w:rFonts w:ascii="Palatino Linotype" w:hAnsi="Palatino Linotype" w:eastAsia="Palatino Linotype" w:cs="Palatino Linotype"/>
          <w:kern w:val="0"/>
          <w14:ligatures w14:val="none"/>
        </w:rPr>
      </w:pPr>
      <w:r w:rsidRPr="00AE5C2B">
        <w:rPr>
          <w:rFonts w:ascii="Palatino Linotype" w:hAnsi="Palatino Linotype" w:eastAsia="Palatino Linotype" w:cs="Palatino Linotype"/>
          <w:kern w:val="0"/>
          <w14:ligatures w14:val="none"/>
        </w:rPr>
        <w:t xml:space="preserve">PG&amp;E requests that, to effectuate the return of funds to ratepayers, the Commission reduce the authorized budget of the </w:t>
      </w:r>
      <w:r>
        <w:rPr>
          <w:rFonts w:ascii="Palatino Linotype" w:hAnsi="Palatino Linotype" w:eastAsia="Palatino Linotype" w:cs="Palatino Linotype"/>
          <w:kern w:val="0"/>
          <w14:ligatures w14:val="none"/>
        </w:rPr>
        <w:t>VGI</w:t>
      </w:r>
      <w:r w:rsidRPr="00AE5C2B">
        <w:rPr>
          <w:rFonts w:ascii="Palatino Linotype" w:hAnsi="Palatino Linotype" w:eastAsia="Palatino Linotype" w:cs="Palatino Linotype"/>
          <w:kern w:val="0"/>
          <w14:ligatures w14:val="none"/>
        </w:rPr>
        <w:t xml:space="preserve"> subaccount by $750,000 and set the new cap at $10,950,000. PG&amp;E asserts that reducing the authorized budget of the Vehicle Grid Integration subaccount within TEBA would effectively return the unspent funds to ratepayers by ensuring those funds are neither spent nor recovered through rates.</w:t>
      </w:r>
    </w:p>
    <w:p w:rsidRPr="00AE5C2B" w:rsidR="000F11A0" w:rsidP="000F11A0" w:rsidRDefault="000F11A0" w14:paraId="447ED9D7" w14:textId="77777777">
      <w:pPr>
        <w:spacing w:after="0" w:line="276" w:lineRule="auto"/>
        <w:ind w:left="360"/>
        <w:rPr>
          <w:rFonts w:ascii="Palatino Linotype" w:hAnsi="Palatino Linotype" w:eastAsia="Palatino Linotype" w:cs="Palatino Linotype"/>
          <w:kern w:val="0"/>
          <w14:ligatures w14:val="none"/>
        </w:rPr>
      </w:pPr>
    </w:p>
    <w:p w:rsidRPr="00903772" w:rsidR="000F11A0" w:rsidP="000F11A0" w:rsidRDefault="000F11A0" w14:paraId="5177DC3B" w14:textId="77777777">
      <w:pPr>
        <w:spacing w:after="0" w:line="276" w:lineRule="auto"/>
        <w:rPr>
          <w:rFonts w:ascii="Palatino Linotype" w:hAnsi="Palatino Linotype" w:eastAsia="Palatino Linotype" w:cs="Palatino Linotype"/>
          <w:kern w:val="0"/>
          <w14:ligatures w14:val="none"/>
        </w:rPr>
      </w:pPr>
      <w:r w:rsidRPr="00903772">
        <w:rPr>
          <w:rFonts w:ascii="Palatino Linotype" w:hAnsi="Palatino Linotype" w:eastAsia="Palatino Linotype" w:cs="Palatino Linotype"/>
          <w:kern w:val="0"/>
          <w14:ligatures w14:val="none"/>
        </w:rPr>
        <w:t xml:space="preserve">Based on PG&amp;E’s explanation regarding the accounting treatment within the TEBA, we find this approach reasonable. Reducing the authorized budget for Pilot #3 from $1.5 </w:t>
      </w:r>
      <w:r w:rsidRPr="00903772">
        <w:rPr>
          <w:rFonts w:ascii="Palatino Linotype" w:hAnsi="Palatino Linotype" w:eastAsia="Palatino Linotype" w:cs="Palatino Linotype"/>
          <w:kern w:val="0"/>
          <w14:ligatures w14:val="none"/>
        </w:rPr>
        <w:lastRenderedPageBreak/>
        <w:t>million to $750,000 achieves the Commission’s intent of ensuring that these unspent funds are no longer available for expenditure or recovery.</w:t>
      </w:r>
    </w:p>
    <w:p w:rsidRPr="00903772" w:rsidR="000F11A0" w:rsidP="000F11A0" w:rsidRDefault="000F11A0" w14:paraId="7E489613" w14:textId="77777777">
      <w:pPr>
        <w:spacing w:after="0" w:line="276" w:lineRule="auto"/>
        <w:ind w:left="360"/>
        <w:rPr>
          <w:rFonts w:ascii="Palatino Linotype" w:hAnsi="Palatino Linotype" w:eastAsia="Palatino Linotype" w:cs="Palatino Linotype"/>
          <w:kern w:val="0"/>
          <w14:ligatures w14:val="none"/>
        </w:rPr>
      </w:pPr>
    </w:p>
    <w:p w:rsidRPr="00AE5C2B" w:rsidR="000F11A0" w:rsidP="000F11A0" w:rsidRDefault="000F11A0" w14:paraId="41B26484" w14:textId="77777777">
      <w:pPr>
        <w:spacing w:after="0" w:line="276" w:lineRule="auto"/>
        <w:rPr>
          <w:rFonts w:ascii="Palatino Linotype" w:hAnsi="Palatino Linotype" w:eastAsia="Palatino Linotype" w:cs="Palatino Linotype"/>
          <w:kern w:val="0"/>
          <w14:ligatures w14:val="none"/>
        </w:rPr>
      </w:pPr>
      <w:r w:rsidRPr="00903772">
        <w:rPr>
          <w:rFonts w:ascii="Palatino Linotype" w:hAnsi="Palatino Linotype" w:eastAsia="Palatino Linotype" w:cs="Palatino Linotype"/>
          <w:kern w:val="0"/>
          <w14:ligatures w14:val="none"/>
        </w:rPr>
        <w:t>Accordingly, we modify this Resolution to reduce the authorized budget for Pilot #3 by $750,000, resulting in a revised Pilot #3 budget of $750,000 and a revised total pilot cap of $10,950,000</w:t>
      </w:r>
      <w:r>
        <w:rPr>
          <w:rFonts w:ascii="Palatino Linotype" w:hAnsi="Palatino Linotype" w:eastAsia="Palatino Linotype" w:cs="Palatino Linotype"/>
          <w:kern w:val="0"/>
          <w14:ligatures w14:val="none"/>
        </w:rPr>
        <w:t xml:space="preserve"> for V2X pilots, which was originally $11,700,000</w:t>
      </w:r>
      <w:r w:rsidRPr="00903772">
        <w:rPr>
          <w:rFonts w:ascii="Palatino Linotype" w:hAnsi="Palatino Linotype" w:eastAsia="Palatino Linotype" w:cs="Palatino Linotype"/>
          <w:kern w:val="0"/>
          <w14:ligatures w14:val="none"/>
        </w:rPr>
        <w:t>.</w:t>
      </w:r>
    </w:p>
    <w:p w:rsidR="000F11A0" w:rsidP="000F11A0" w:rsidRDefault="000F11A0" w14:paraId="73C7017A" w14:textId="77777777">
      <w:pPr>
        <w:pStyle w:val="ListParagraph"/>
        <w:spacing w:after="0" w:line="276" w:lineRule="auto"/>
      </w:pPr>
    </w:p>
    <w:p w:rsidRPr="00217698" w:rsidR="000F11A0" w:rsidP="000F11A0" w:rsidRDefault="000F11A0" w14:paraId="3490AA3E" w14:textId="77777777">
      <w:pPr>
        <w:spacing w:after="0"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r w:rsidRPr="00217698">
        <w:rPr>
          <w:rFonts w:ascii="Palatino Linotype" w:hAnsi="Palatino Linotype" w:eastAsia="Palatino Linotype" w:cs="Times New Roman"/>
          <w:kern w:val="0"/>
          <w14:ligatures w14:val="none"/>
        </w:rPr>
        <w:t xml:space="preserve">2. Five-to-Ten Bidirectional EV Participation </w:t>
      </w:r>
      <w:r>
        <w:rPr>
          <w:rFonts w:ascii="Palatino Linotype" w:hAnsi="Palatino Linotype" w:eastAsia="Palatino Linotype" w:cs="Times New Roman"/>
          <w:kern w:val="0"/>
          <w14:ligatures w14:val="none"/>
        </w:rPr>
        <w:t>Success Metric</w:t>
      </w:r>
    </w:p>
    <w:p w:rsidRPr="00217698" w:rsidR="000F11A0" w:rsidP="000F11A0" w:rsidRDefault="422E84A8" w14:paraId="2CDFEF5B" w14:textId="77777777">
      <w:pPr>
        <w:spacing w:after="0" w:line="276" w:lineRule="auto"/>
        <w:rPr>
          <w:rFonts w:ascii="Palatino Linotype" w:hAnsi="Palatino Linotype" w:eastAsia="Palatino Linotype" w:cs="Times New Roman"/>
          <w:kern w:val="0"/>
          <w14:ligatures w14:val="none"/>
        </w:rPr>
      </w:pPr>
      <w:r w:rsidRPr="0A373A74">
        <w:rPr>
          <w:rFonts w:ascii="Palatino Linotype" w:hAnsi="Palatino Linotype" w:eastAsia="Palatino Linotype" w:cs="Times New Roman"/>
        </w:rPr>
        <w:t xml:space="preserve">PG&amp;E states in its comments that the success metric of five to ten participating bidirectional EVs, as established in Resolution E-5192, is not feasible to achieve due to technical, vendor, and market challenges. </w:t>
      </w:r>
      <w:r w:rsidRPr="0A373A74" w:rsidR="0A373A74">
        <w:rPr>
          <w:rFonts w:ascii="Palatino Linotype" w:hAnsi="Palatino Linotype" w:eastAsia="Palatino Linotype" w:cs="Palatino Linotype"/>
        </w:rPr>
        <w:t xml:space="preserve"> </w:t>
      </w:r>
      <w:r w:rsidRPr="0A373A74" w:rsidR="0A373A74">
        <w:rPr>
          <w:rFonts w:ascii="Palatino Linotype" w:hAnsi="Palatino Linotype" w:eastAsia="Palatino Linotype" w:cs="Times New Roman"/>
        </w:rPr>
        <w:t>While the Commission understands PG&amp;E’s explanation of these challenges, the draft Resolution does not modify the previously adopted success metrics.</w:t>
      </w:r>
    </w:p>
    <w:p w:rsidRPr="00217698" w:rsidR="000F11A0" w:rsidP="000F11A0" w:rsidRDefault="000F11A0" w14:paraId="25EE3FF1" w14:textId="77777777">
      <w:pPr>
        <w:pStyle w:val="ListParagraph"/>
        <w:spacing w:after="0" w:line="276" w:lineRule="auto"/>
        <w:rPr>
          <w:rFonts w:ascii="Palatino Linotype" w:hAnsi="Palatino Linotype" w:eastAsia="Palatino Linotype" w:cs="Times New Roman"/>
          <w:kern w:val="0"/>
          <w14:ligatures w14:val="none"/>
        </w:rPr>
      </w:pPr>
    </w:p>
    <w:p w:rsidR="000F11A0" w:rsidP="000F11A0" w:rsidRDefault="000F11A0" w14:paraId="4017B7C6" w14:textId="77777777">
      <w:pPr>
        <w:spacing w:after="0" w:line="276" w:lineRule="auto"/>
        <w:rPr>
          <w:rFonts w:ascii="Palatino Linotype" w:hAnsi="Palatino Linotype" w:eastAsia="Palatino Linotype" w:cs="Times New Roman"/>
          <w:kern w:val="0"/>
          <w14:ligatures w14:val="none"/>
        </w:rPr>
      </w:pPr>
      <w:r w:rsidRPr="003914A8">
        <w:rPr>
          <w:rFonts w:ascii="Palatino Linotype" w:hAnsi="Palatino Linotype" w:eastAsia="Palatino Linotype" w:cs="Times New Roman"/>
          <w:kern w:val="0"/>
          <w14:ligatures w14:val="none"/>
        </w:rPr>
        <w:t xml:space="preserve">PG&amp;E has not provided a detailed explanation of how meeting the pilot’s original goals and success metrics </w:t>
      </w:r>
      <w:r>
        <w:rPr>
          <w:rFonts w:ascii="Palatino Linotype" w:hAnsi="Palatino Linotype" w:eastAsia="Palatino Linotype" w:cs="Times New Roman"/>
          <w:kern w:val="0"/>
          <w14:ligatures w14:val="none"/>
        </w:rPr>
        <w:t>remains</w:t>
      </w:r>
      <w:r w:rsidRPr="003914A8">
        <w:rPr>
          <w:rFonts w:ascii="Palatino Linotype" w:hAnsi="Palatino Linotype" w:eastAsia="Palatino Linotype" w:cs="Times New Roman"/>
          <w:kern w:val="0"/>
          <w14:ligatures w14:val="none"/>
        </w:rPr>
        <w:t xml:space="preserve"> achievable under the current two-vehicle configuration, nor has it explained how sufficient operational and performance data will be generated to evaluate the pilot’s effectiveness.</w:t>
      </w:r>
    </w:p>
    <w:p w:rsidR="000F11A0" w:rsidP="000F11A0" w:rsidRDefault="000F11A0" w14:paraId="68F1FBBF" w14:textId="77777777">
      <w:pPr>
        <w:spacing w:after="0" w:line="276" w:lineRule="auto"/>
        <w:rPr>
          <w:rFonts w:ascii="Palatino Linotype" w:hAnsi="Palatino Linotype" w:eastAsia="Palatino Linotype" w:cs="Times New Roman"/>
          <w:kern w:val="0"/>
          <w14:ligatures w14:val="none"/>
        </w:rPr>
      </w:pPr>
    </w:p>
    <w:p w:rsidRPr="00217698" w:rsidR="000F11A0" w:rsidP="000F11A0" w:rsidRDefault="000F11A0" w14:paraId="2653BFE8" w14:textId="77777777">
      <w:pPr>
        <w:spacing w:after="0" w:line="276" w:lineRule="auto"/>
        <w:rPr>
          <w:rFonts w:ascii="Palatino Linotype" w:hAnsi="Palatino Linotype" w:eastAsia="Palatino Linotype" w:cs="Times New Roman"/>
          <w:kern w:val="0"/>
          <w14:ligatures w14:val="none"/>
        </w:rPr>
      </w:pPr>
      <w:r w:rsidRPr="00217698">
        <w:rPr>
          <w:rFonts w:ascii="Palatino Linotype" w:hAnsi="Palatino Linotype" w:eastAsia="Palatino Linotype" w:cs="Times New Roman"/>
          <w:kern w:val="0"/>
          <w14:ligatures w14:val="none"/>
        </w:rPr>
        <w:t xml:space="preserve">Accordingly, PG&amp;E must file a Tier 2 Advice Letter within 30 days of the effective date of this Resolution. Tier 2 </w:t>
      </w:r>
      <w:r>
        <w:rPr>
          <w:rFonts w:ascii="Palatino Linotype" w:hAnsi="Palatino Linotype" w:eastAsia="Palatino Linotype" w:cs="Times New Roman"/>
          <w:kern w:val="0"/>
          <w14:ligatures w14:val="none"/>
        </w:rPr>
        <w:t>AL</w:t>
      </w:r>
      <w:r w:rsidRPr="00217698">
        <w:rPr>
          <w:rFonts w:ascii="Palatino Linotype" w:hAnsi="Palatino Linotype" w:eastAsia="Palatino Linotype" w:cs="Times New Roman"/>
          <w:kern w:val="0"/>
          <w14:ligatures w14:val="none"/>
        </w:rPr>
        <w:t xml:space="preserve"> shall provide:</w:t>
      </w:r>
    </w:p>
    <w:p w:rsidR="000F11A0" w:rsidP="000F11A0" w:rsidRDefault="000F11A0" w14:paraId="75F5E1DF" w14:textId="77777777">
      <w:pPr>
        <w:pStyle w:val="ListParagraph"/>
        <w:spacing w:after="0" w:line="276" w:lineRule="auto"/>
        <w:rPr>
          <w:rFonts w:ascii="Palatino Linotype" w:hAnsi="Palatino Linotype" w:eastAsia="Palatino Linotype" w:cs="Times New Roman"/>
          <w:kern w:val="0"/>
          <w14:ligatures w14:val="none"/>
        </w:rPr>
      </w:pPr>
      <w:r w:rsidRPr="00217698">
        <w:rPr>
          <w:rFonts w:ascii="Palatino Linotype" w:hAnsi="Palatino Linotype" w:eastAsia="Palatino Linotype" w:cs="Times New Roman"/>
          <w:kern w:val="0"/>
          <w14:ligatures w14:val="none"/>
        </w:rPr>
        <w:t>(1) an updated Phase I completion schedule extending through June 30, 2026, including revised milestones</w:t>
      </w:r>
      <w:r>
        <w:rPr>
          <w:rFonts w:ascii="Palatino Linotype" w:hAnsi="Palatino Linotype" w:eastAsia="Palatino Linotype" w:cs="Times New Roman"/>
          <w:kern w:val="0"/>
          <w14:ligatures w14:val="none"/>
        </w:rPr>
        <w:t>.</w:t>
      </w:r>
    </w:p>
    <w:p w:rsidRPr="00217698" w:rsidR="000F11A0" w:rsidP="000F11A0" w:rsidRDefault="422E84A8" w14:paraId="74E729DC" w14:textId="77777777">
      <w:pPr>
        <w:pStyle w:val="ListParagraph"/>
        <w:spacing w:after="0" w:line="276" w:lineRule="auto"/>
        <w:rPr>
          <w:rFonts w:ascii="Palatino Linotype" w:hAnsi="Palatino Linotype" w:eastAsia="Palatino Linotype" w:cs="Times New Roman"/>
          <w:kern w:val="0"/>
          <w14:ligatures w14:val="none"/>
        </w:rPr>
      </w:pPr>
      <w:r w:rsidRPr="0A373A74">
        <w:rPr>
          <w:rFonts w:ascii="Palatino Linotype" w:hAnsi="Palatino Linotype" w:eastAsia="Palatino Linotype" w:cs="Times New Roman"/>
        </w:rPr>
        <w:t>(2) a narrative explanation describing how PG&amp;E intends to meet the five-to-ten bidirectional EV participation target, or alternatively, how the current configuration will satisfy the pilot’s original objectives and generate sufficient data to assess performance against the adopted success metrics.</w:t>
      </w:r>
    </w:p>
    <w:p w:rsidRPr="00217698" w:rsidR="000F11A0" w:rsidP="000F11A0" w:rsidRDefault="000F11A0" w14:paraId="633DD4E1" w14:textId="77777777">
      <w:pPr>
        <w:pStyle w:val="ListParagraph"/>
        <w:spacing w:after="0" w:line="276" w:lineRule="auto"/>
        <w:rPr>
          <w:rFonts w:ascii="Palatino Linotype" w:hAnsi="Palatino Linotype" w:eastAsia="Palatino Linotype" w:cs="Times New Roman"/>
          <w:kern w:val="0"/>
          <w14:ligatures w14:val="none"/>
        </w:rPr>
      </w:pPr>
    </w:p>
    <w:p w:rsidR="00220745" w:rsidP="000F11A0" w:rsidRDefault="422E84A8" w14:paraId="561CB499" w14:textId="77777777">
      <w:pPr>
        <w:spacing w:after="0" w:line="276" w:lineRule="auto"/>
        <w:rPr>
          <w:rFonts w:ascii="Palatino Linotype" w:hAnsi="Palatino Linotype" w:eastAsia="Palatino Linotype" w:cs="Times New Roman"/>
          <w:kern w:val="0"/>
          <w14:ligatures w14:val="none"/>
        </w:rPr>
      </w:pPr>
      <w:r w:rsidRPr="0A373A74">
        <w:rPr>
          <w:rFonts w:ascii="Palatino Linotype" w:hAnsi="Palatino Linotype" w:eastAsia="Palatino Linotype" w:cs="Times New Roman"/>
        </w:rPr>
        <w:t>This ensures transparency regarding the current status of Phase I and allows the Commission to assess whether the pilot remains consistent with the success metrics adopted in Resolution E-5192.</w:t>
      </w:r>
    </w:p>
    <w:bookmarkEnd w:id="2"/>
    <w:p w:rsidRPr="00217698" w:rsidR="00807CD2" w:rsidDel="00ED583A" w:rsidP="00217698" w:rsidRDefault="00807CD2" w14:paraId="26492AE6" w14:textId="77777777">
      <w:pPr>
        <w:spacing w:after="0" w:line="276" w:lineRule="auto"/>
        <w:rPr>
          <w:rFonts w:ascii="Palatino Linotype" w:hAnsi="Palatino Linotype" w:eastAsia="Palatino Linotype" w:cs="Times New Roman"/>
          <w:kern w:val="0"/>
          <w14:ligatures w14:val="none"/>
        </w:rPr>
      </w:pPr>
    </w:p>
    <w:p w:rsidRPr="001942D0" w:rsidR="00A76F4A" w:rsidP="7DF8D1A9" w:rsidRDefault="00A76F4A" w14:paraId="5FFF80CF" w14:textId="77777777">
      <w:pPr>
        <w:keepNext/>
        <w:spacing w:before="120" w:after="240" w:line="276" w:lineRule="auto"/>
        <w:outlineLvl w:val="0"/>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lastRenderedPageBreak/>
        <w:t>Findings AND CONCLUSIONS</w:t>
      </w:r>
    </w:p>
    <w:p w:rsidRPr="00E937B5" w:rsidR="00A76F4A" w:rsidP="4ECBD263" w:rsidRDefault="3949A2B7" w14:paraId="67FD7B6F" w14:textId="77777777">
      <w:pPr>
        <w:pStyle w:val="ListParagraph"/>
        <w:numPr>
          <w:ilvl w:val="0"/>
          <w:numId w:val="4"/>
        </w:numPr>
        <w:spacing w:before="240" w:after="240" w:line="276" w:lineRule="auto"/>
        <w:rPr>
          <w:rFonts w:ascii="Palatino Linotype" w:hAnsi="Palatino Linotype" w:eastAsia="Palatino Linotype" w:cs="Palatino Linotype"/>
          <w:kern w:val="0"/>
          <w14:ligatures w14:val="none"/>
        </w:rPr>
      </w:pPr>
      <w:r w:rsidRPr="4ECBD263">
        <w:rPr>
          <w:rFonts w:ascii="Palatino Linotype" w:hAnsi="Palatino Linotype" w:eastAsia="Palatino Linotype" w:cs="Palatino Linotype"/>
          <w:kern w:val="0"/>
          <w14:ligatures w14:val="none"/>
        </w:rPr>
        <w:t>S</w:t>
      </w:r>
      <w:r w:rsidRPr="4ECBD263" w:rsidR="002232AD">
        <w:rPr>
          <w:rFonts w:ascii="Palatino Linotype" w:hAnsi="Palatino Linotype" w:eastAsia="Palatino Linotype" w:cs="Palatino Linotype"/>
          <w:kern w:val="0"/>
          <w14:ligatures w14:val="none"/>
        </w:rPr>
        <w:t xml:space="preserve">enate </w:t>
      </w:r>
      <w:r w:rsidRPr="4ECBD263">
        <w:rPr>
          <w:rFonts w:ascii="Palatino Linotype" w:hAnsi="Palatino Linotype" w:eastAsia="Palatino Linotype" w:cs="Palatino Linotype"/>
          <w:kern w:val="0"/>
          <w14:ligatures w14:val="none"/>
        </w:rPr>
        <w:t>B</w:t>
      </w:r>
      <w:r w:rsidRPr="4ECBD263" w:rsidR="002232AD">
        <w:rPr>
          <w:rFonts w:ascii="Palatino Linotype" w:hAnsi="Palatino Linotype" w:eastAsia="Palatino Linotype" w:cs="Palatino Linotype"/>
          <w:kern w:val="0"/>
          <w14:ligatures w14:val="none"/>
        </w:rPr>
        <w:t>ill</w:t>
      </w:r>
      <w:r w:rsidRPr="4ECBD263" w:rsidR="00CA19DE">
        <w:rPr>
          <w:rFonts w:ascii="Palatino Linotype" w:hAnsi="Palatino Linotype" w:eastAsia="Palatino Linotype" w:cs="Palatino Linotype"/>
          <w:kern w:val="0"/>
          <w14:ligatures w14:val="none"/>
        </w:rPr>
        <w:t xml:space="preserve"> (SB)</w:t>
      </w:r>
      <w:r w:rsidRPr="4ECBD263">
        <w:rPr>
          <w:rFonts w:ascii="Palatino Linotype" w:hAnsi="Palatino Linotype" w:eastAsia="Palatino Linotype" w:cs="Palatino Linotype"/>
          <w:kern w:val="0"/>
          <w14:ligatures w14:val="none"/>
        </w:rPr>
        <w:t xml:space="preserve"> 676 directed the Commission to establish policies and frameworks to accelerate the use of VGI</w:t>
      </w:r>
      <w:r w:rsidRPr="4ECBD263" w:rsidR="0C0D57F8">
        <w:rPr>
          <w:rFonts w:ascii="Palatino Linotype" w:hAnsi="Palatino Linotype" w:eastAsia="Palatino Linotype" w:cs="Palatino Linotype"/>
          <w:kern w:val="0"/>
          <w14:ligatures w14:val="none"/>
        </w:rPr>
        <w:t xml:space="preserve"> </w:t>
      </w:r>
      <w:r w:rsidRPr="4ECBD263">
        <w:rPr>
          <w:rFonts w:ascii="Palatino Linotype" w:hAnsi="Palatino Linotype" w:eastAsia="Palatino Linotype" w:cs="Palatino Linotype"/>
          <w:kern w:val="0"/>
          <w14:ligatures w14:val="none"/>
        </w:rPr>
        <w:t>technologies statewide by 2030.</w:t>
      </w:r>
    </w:p>
    <w:p w:rsidRPr="00E937B5" w:rsidR="00A76F4A" w:rsidP="093CF01F" w:rsidRDefault="3949A2B7" w14:paraId="0275434B" w14:textId="77777777">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D.</w:t>
      </w:r>
      <w:r w:rsidRPr="00E937B5" w:rsidR="5C0C88FD">
        <w:rPr>
          <w:rFonts w:ascii="Palatino Linotype" w:hAnsi="Palatino Linotype" w:eastAsia="Palatino Linotype" w:cs="Palatino Linotype"/>
          <w:kern w:val="0"/>
          <w:szCs w:val="20"/>
          <w14:ligatures w14:val="none"/>
        </w:rPr>
        <w:t xml:space="preserve"> </w:t>
      </w:r>
      <w:r w:rsidRPr="00E937B5">
        <w:rPr>
          <w:rFonts w:ascii="Palatino Linotype" w:hAnsi="Palatino Linotype" w:eastAsia="Palatino Linotype" w:cs="Palatino Linotype"/>
          <w:kern w:val="0"/>
          <w:szCs w:val="20"/>
          <w14:ligatures w14:val="none"/>
        </w:rPr>
        <w:t xml:space="preserve">20-12-029 directed PG&amp;E to submit a Tier 3 AL </w:t>
      </w:r>
      <w:r w:rsidRPr="00E937B5" w:rsidR="2B510F4A">
        <w:rPr>
          <w:rFonts w:ascii="Palatino Linotype" w:hAnsi="Palatino Linotype" w:eastAsia="Palatino Linotype" w:cs="Palatino Linotype"/>
          <w:kern w:val="0"/>
          <w:szCs w:val="20"/>
          <w14:ligatures w14:val="none"/>
        </w:rPr>
        <w:t>proposing pilot projects to accelerate VGI in alignment with the state’s clean energy and decarbonization objectives established under S</w:t>
      </w:r>
      <w:r w:rsidRPr="00E937B5" w:rsidR="336A2346">
        <w:rPr>
          <w:rFonts w:ascii="Palatino Linotype" w:hAnsi="Palatino Linotype" w:eastAsia="Palatino Linotype" w:cs="Palatino Linotype"/>
          <w:kern w:val="0"/>
          <w:szCs w:val="20"/>
          <w14:ligatures w14:val="none"/>
        </w:rPr>
        <w:t>B</w:t>
      </w:r>
      <w:r w:rsidRPr="00E937B5" w:rsidR="2B510F4A">
        <w:rPr>
          <w:rFonts w:ascii="Palatino Linotype" w:hAnsi="Palatino Linotype" w:eastAsia="Palatino Linotype" w:cs="Palatino Linotype"/>
          <w:kern w:val="0"/>
          <w:szCs w:val="20"/>
          <w14:ligatures w14:val="none"/>
        </w:rPr>
        <w:t xml:space="preserve"> 676 and Executive Order N-79-20.</w:t>
      </w:r>
    </w:p>
    <w:p w:rsidRPr="00E937B5" w:rsidR="00A76F4A" w:rsidP="093CF01F" w:rsidRDefault="3949A2B7" w14:paraId="67A35249" w14:textId="77777777">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Pursuant to D.20-12-029, PG&amp;E filed AL 6259-E, proposing four V2X pilots, including Pilot #3</w:t>
      </w:r>
      <w:r w:rsidRPr="00E937B5" w:rsidR="6554A83D">
        <w:rPr>
          <w:rFonts w:ascii="Palatino Linotype" w:hAnsi="Palatino Linotype" w:eastAsia="Palatino Linotype" w:cs="Palatino Linotype"/>
          <w:kern w:val="0"/>
          <w:szCs w:val="20"/>
          <w14:ligatures w14:val="none"/>
        </w:rPr>
        <w:t xml:space="preserve">, </w:t>
      </w:r>
      <w:r w:rsidRPr="00E937B5">
        <w:rPr>
          <w:rFonts w:ascii="Palatino Linotype" w:hAnsi="Palatino Linotype" w:eastAsia="Palatino Linotype" w:cs="Palatino Linotype"/>
          <w:kern w:val="0"/>
          <w:szCs w:val="20"/>
          <w14:ligatures w14:val="none"/>
        </w:rPr>
        <w:t>the Vehicle-to-Microgrid PSPS Microgrid Pilot.</w:t>
      </w:r>
    </w:p>
    <w:p w:rsidRPr="00E937B5" w:rsidR="00A76F4A" w:rsidP="093CF01F" w:rsidRDefault="3949A2B7" w14:paraId="7F98A3A5" w14:textId="77777777">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The Commission approved Pilot #3 through Resolution E-5192, which authorized PG&amp;E to implement the pilot consistent with the proposal in AL 6259-E and the Resolution’s adopted success metrics</w:t>
      </w:r>
      <w:r w:rsidRPr="00E937B5" w:rsidR="79184293">
        <w:rPr>
          <w:rFonts w:ascii="Palatino Linotype" w:hAnsi="Palatino Linotype" w:eastAsia="Palatino Linotype" w:cs="Palatino Linotype"/>
          <w:kern w:val="0"/>
          <w:szCs w:val="20"/>
          <w14:ligatures w14:val="none"/>
        </w:rPr>
        <w:t>.</w:t>
      </w:r>
    </w:p>
    <w:p w:rsidRPr="00E937B5" w:rsidR="00A76F4A" w:rsidP="093CF01F" w:rsidRDefault="3949A2B7" w14:paraId="1DCADBB7" w14:textId="77777777">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On September 24, 2024, PG&amp;E filed AL 7378-E, requesting an extension of time to complete Pilot #3</w:t>
      </w:r>
      <w:r w:rsidRPr="00E937B5" w:rsidR="5280221D">
        <w:rPr>
          <w:rFonts w:ascii="Palatino Linotype" w:hAnsi="Palatino Linotype" w:eastAsia="Palatino Linotype" w:cs="Palatino Linotype"/>
          <w:kern w:val="0"/>
          <w:szCs w:val="20"/>
          <w14:ligatures w14:val="none"/>
        </w:rPr>
        <w:t xml:space="preserve"> Phase I and Phase II</w:t>
      </w:r>
      <w:r w:rsidRPr="00E937B5">
        <w:rPr>
          <w:rFonts w:ascii="Palatino Linotype" w:hAnsi="Palatino Linotype" w:eastAsia="Palatino Linotype" w:cs="Palatino Linotype"/>
          <w:kern w:val="0"/>
          <w:szCs w:val="20"/>
          <w14:ligatures w14:val="none"/>
        </w:rPr>
        <w:t xml:space="preserve"> activities at RCAM due to delays in FAA infrastructure funding, contractor readiness, and equipment procurement.</w:t>
      </w:r>
    </w:p>
    <w:p w:rsidRPr="00E937B5" w:rsidR="00A76F4A" w:rsidP="4ECBD263" w:rsidRDefault="3949A2B7" w14:paraId="0A5BCF2E" w14:textId="77777777">
      <w:pPr>
        <w:pStyle w:val="ListParagraph"/>
        <w:numPr>
          <w:ilvl w:val="0"/>
          <w:numId w:val="4"/>
        </w:numPr>
        <w:spacing w:before="240" w:after="240" w:line="276" w:lineRule="auto"/>
        <w:rPr>
          <w:rFonts w:ascii="Palatino Linotype" w:hAnsi="Palatino Linotype" w:eastAsia="Palatino Linotype" w:cs="Palatino Linotype"/>
          <w:kern w:val="0"/>
          <w14:ligatures w14:val="none"/>
        </w:rPr>
      </w:pPr>
      <w:r w:rsidRPr="4ECBD263">
        <w:rPr>
          <w:rFonts w:ascii="Palatino Linotype" w:hAnsi="Palatino Linotype" w:eastAsia="Palatino Linotype" w:cs="Palatino Linotype"/>
          <w:kern w:val="0"/>
          <w14:ligatures w14:val="none"/>
        </w:rPr>
        <w:t xml:space="preserve">On August 6, 2025, PG&amp;E submitted Supplemental AL 7378-E-A, providing additional information to extend the </w:t>
      </w:r>
      <w:r w:rsidRPr="4ECBD263" w:rsidR="06BC950B">
        <w:rPr>
          <w:rFonts w:ascii="Palatino Linotype" w:hAnsi="Palatino Linotype" w:eastAsia="Palatino Linotype" w:cs="Palatino Linotype"/>
          <w:kern w:val="0"/>
          <w14:ligatures w14:val="none"/>
        </w:rPr>
        <w:t>Phase I</w:t>
      </w:r>
      <w:r w:rsidRPr="4ECBD263">
        <w:rPr>
          <w:rFonts w:ascii="Palatino Linotype" w:hAnsi="Palatino Linotype" w:eastAsia="Palatino Linotype" w:cs="Palatino Linotype"/>
          <w:kern w:val="0"/>
          <w14:ligatures w14:val="none"/>
        </w:rPr>
        <w:t xml:space="preserve"> under a milestone-based schedule to complete charger replacement and testing at RCAM, and to modify the </w:t>
      </w:r>
      <w:r w:rsidRPr="4ECBD263" w:rsidR="7BB139A1">
        <w:rPr>
          <w:rFonts w:ascii="Palatino Linotype" w:hAnsi="Palatino Linotype" w:eastAsia="Palatino Linotype" w:cs="Palatino Linotype"/>
          <w:kern w:val="0"/>
          <w14:ligatures w14:val="none"/>
        </w:rPr>
        <w:t>Phase II</w:t>
      </w:r>
      <w:r w:rsidRPr="4ECBD263">
        <w:rPr>
          <w:rFonts w:ascii="Palatino Linotype" w:hAnsi="Palatino Linotype" w:eastAsia="Palatino Linotype" w:cs="Palatino Linotype"/>
          <w:kern w:val="0"/>
          <w14:ligatures w14:val="none"/>
        </w:rPr>
        <w:t xml:space="preserve"> scope by transitioning from a customer-enrollment and incentive model to a Hybrid Support Model aligned with the MIP.</w:t>
      </w:r>
    </w:p>
    <w:p w:rsidRPr="00E937B5" w:rsidR="00A76F4A" w:rsidP="093CF01F" w:rsidRDefault="3949A2B7" w14:paraId="7F27C710" w14:textId="77777777">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 xml:space="preserve">PG&amp;E reported that </w:t>
      </w:r>
      <w:r w:rsidRPr="00E937B5" w:rsidR="4D94981E">
        <w:rPr>
          <w:rFonts w:ascii="Palatino Linotype" w:hAnsi="Palatino Linotype" w:eastAsia="Palatino Linotype" w:cs="Palatino Linotype"/>
          <w:kern w:val="0"/>
          <w:szCs w:val="20"/>
          <w14:ligatures w14:val="none"/>
        </w:rPr>
        <w:t xml:space="preserve">the </w:t>
      </w:r>
      <w:r w:rsidRPr="00E937B5">
        <w:rPr>
          <w:rFonts w:ascii="Palatino Linotype" w:hAnsi="Palatino Linotype" w:eastAsia="Palatino Linotype" w:cs="Palatino Linotype"/>
          <w:kern w:val="0"/>
          <w:szCs w:val="20"/>
          <w14:ligatures w14:val="none"/>
        </w:rPr>
        <w:t>pilot implementation faced multiple barriers, including vendor instability, firmware</w:t>
      </w:r>
      <w:r w:rsidRPr="00E937B5" w:rsidR="59589CC3">
        <w:rPr>
          <w:rFonts w:ascii="Palatino Linotype" w:hAnsi="Palatino Linotype" w:eastAsia="Palatino Linotype" w:cs="Palatino Linotype"/>
          <w:kern w:val="0"/>
          <w:szCs w:val="20"/>
          <w14:ligatures w14:val="none"/>
        </w:rPr>
        <w:t xml:space="preserve">, and hardware failures. </w:t>
      </w:r>
      <w:r w:rsidR="006E69BA">
        <w:rPr>
          <w:rFonts w:ascii="Palatino Linotype" w:hAnsi="Palatino Linotype" w:eastAsia="Palatino Linotype" w:cs="Palatino Linotype"/>
          <w:kern w:val="0"/>
          <w:szCs w:val="20"/>
          <w14:ligatures w14:val="none"/>
        </w:rPr>
        <w:t>P</w:t>
      </w:r>
      <w:r w:rsidRPr="00E937B5">
        <w:rPr>
          <w:rFonts w:ascii="Palatino Linotype" w:hAnsi="Palatino Linotype" w:eastAsia="Palatino Linotype" w:cs="Palatino Linotype"/>
          <w:kern w:val="0"/>
          <w:szCs w:val="20"/>
          <w14:ligatures w14:val="none"/>
        </w:rPr>
        <w:t>G&amp;E explained that continuing the pilot in its original customer-enrollment form would be impractical because no additional operational multi-customer microgrids exist in its service territory</w:t>
      </w:r>
      <w:r w:rsidRPr="00E937B5" w:rsidR="3CECBFA2">
        <w:rPr>
          <w:rFonts w:ascii="Palatino Linotype" w:hAnsi="Palatino Linotype" w:eastAsia="Palatino Linotype" w:cs="Palatino Linotype"/>
          <w:kern w:val="0"/>
          <w:szCs w:val="20"/>
          <w14:ligatures w14:val="none"/>
        </w:rPr>
        <w:t>.</w:t>
      </w:r>
    </w:p>
    <w:p w:rsidRPr="00E937B5" w:rsidR="00A76F4A" w:rsidP="4F027024" w:rsidRDefault="3949A2B7" w14:paraId="340CA939" w14:textId="77777777">
      <w:pPr>
        <w:pStyle w:val="ListParagraph"/>
        <w:numPr>
          <w:ilvl w:val="0"/>
          <w:numId w:val="4"/>
        </w:numPr>
        <w:spacing w:before="240" w:after="240" w:line="276" w:lineRule="auto"/>
        <w:rPr>
          <w:rFonts w:ascii="Palatino Linotype" w:hAnsi="Palatino Linotype" w:eastAsia="Palatino Linotype" w:cs="Palatino Linotype"/>
          <w:kern w:val="0"/>
          <w14:ligatures w14:val="none"/>
        </w:rPr>
      </w:pPr>
      <w:r w:rsidRPr="4F027024">
        <w:rPr>
          <w:rFonts w:ascii="Palatino Linotype" w:hAnsi="Palatino Linotype" w:eastAsia="Palatino Linotype" w:cs="Palatino Linotype"/>
          <w:kern w:val="0"/>
          <w14:ligatures w14:val="none"/>
        </w:rPr>
        <w:t>In AL 7378-E-A</w:t>
      </w:r>
      <w:r w:rsidRPr="4F027024" w:rsidR="238C87E3">
        <w:rPr>
          <w:rFonts w:ascii="Palatino Linotype" w:hAnsi="Palatino Linotype" w:eastAsia="Palatino Linotype" w:cs="Palatino Linotype"/>
          <w:kern w:val="0"/>
          <w14:ligatures w14:val="none"/>
        </w:rPr>
        <w:t xml:space="preserve"> and Appendix I</w:t>
      </w:r>
      <w:r w:rsidRPr="4F027024">
        <w:rPr>
          <w:rFonts w:ascii="Palatino Linotype" w:hAnsi="Palatino Linotype" w:eastAsia="Palatino Linotype" w:cs="Palatino Linotype"/>
          <w:kern w:val="0"/>
          <w14:ligatures w14:val="none"/>
        </w:rPr>
        <w:t xml:space="preserve">, PG&amp;E stated that under the proposed Hybrid Support Model, its V2X subject-matter experts would provide technical consulting to MIP microgrids using internal (non-pilot) labor resources and would </w:t>
      </w:r>
      <w:r w:rsidR="00F80DD7">
        <w:rPr>
          <w:rFonts w:ascii="Palatino Linotype" w:hAnsi="Palatino Linotype" w:eastAsia="Palatino Linotype" w:cs="Palatino Linotype"/>
          <w:kern w:val="0"/>
          <w14:ligatures w14:val="none"/>
        </w:rPr>
        <w:t>reduce the</w:t>
      </w:r>
      <w:r w:rsidR="00EC4B55">
        <w:rPr>
          <w:rFonts w:ascii="Palatino Linotype" w:hAnsi="Palatino Linotype" w:eastAsia="Palatino Linotype" w:cs="Palatino Linotype"/>
          <w:kern w:val="0"/>
          <w14:ligatures w14:val="none"/>
        </w:rPr>
        <w:t xml:space="preserve"> cap of</w:t>
      </w:r>
      <w:r w:rsidR="00F80DD7">
        <w:rPr>
          <w:rFonts w:ascii="Palatino Linotype" w:hAnsi="Palatino Linotype" w:eastAsia="Palatino Linotype" w:cs="Palatino Linotype"/>
          <w:kern w:val="0"/>
          <w14:ligatures w14:val="none"/>
        </w:rPr>
        <w:t xml:space="preserve"> authorized </w:t>
      </w:r>
      <w:r w:rsidR="00EC4B55">
        <w:rPr>
          <w:rFonts w:ascii="Palatino Linotype" w:hAnsi="Palatino Linotype" w:eastAsia="Palatino Linotype" w:cs="Palatino Linotype"/>
          <w:kern w:val="0"/>
          <w14:ligatures w14:val="none"/>
        </w:rPr>
        <w:t>budget for V2X pilots by</w:t>
      </w:r>
      <w:r w:rsidRPr="4F027024">
        <w:rPr>
          <w:rFonts w:ascii="Palatino Linotype" w:hAnsi="Palatino Linotype" w:eastAsia="Palatino Linotype" w:cs="Palatino Linotype"/>
          <w:kern w:val="0"/>
          <w14:ligatures w14:val="none"/>
        </w:rPr>
        <w:t xml:space="preserve"> </w:t>
      </w:r>
      <w:r w:rsidRPr="4F027024" w:rsidR="00086CA9">
        <w:rPr>
          <w:rFonts w:ascii="Palatino Linotype" w:hAnsi="Palatino Linotype" w:eastAsia="Palatino Linotype" w:cs="Palatino Linotype"/>
          <w:kern w:val="0"/>
          <w14:ligatures w14:val="none"/>
        </w:rPr>
        <w:t>$750,000</w:t>
      </w:r>
      <w:r w:rsidR="00891BBB">
        <w:rPr>
          <w:rFonts w:ascii="Palatino Linotype" w:hAnsi="Palatino Linotype" w:eastAsia="Palatino Linotype" w:cs="Palatino Linotype"/>
          <w:kern w:val="0"/>
          <w14:ligatures w14:val="none"/>
        </w:rPr>
        <w:t xml:space="preserve">. Accordingly, the new cap of </w:t>
      </w:r>
      <w:r w:rsidR="00B7486A">
        <w:rPr>
          <w:rFonts w:ascii="Palatino Linotype" w:hAnsi="Palatino Linotype" w:eastAsia="Palatino Linotype" w:cs="Palatino Linotype"/>
          <w:kern w:val="0"/>
          <w14:ligatures w14:val="none"/>
        </w:rPr>
        <w:t xml:space="preserve">VGI subaccount </w:t>
      </w:r>
      <w:r w:rsidR="00B56E8E">
        <w:rPr>
          <w:rFonts w:ascii="Palatino Linotype" w:hAnsi="Palatino Linotype" w:eastAsia="Palatino Linotype" w:cs="Palatino Linotype"/>
          <w:kern w:val="0"/>
          <w14:ligatures w14:val="none"/>
        </w:rPr>
        <w:t>within</w:t>
      </w:r>
      <w:r w:rsidR="00B7486A">
        <w:rPr>
          <w:rFonts w:ascii="Palatino Linotype" w:hAnsi="Palatino Linotype" w:eastAsia="Palatino Linotype" w:cs="Palatino Linotype"/>
          <w:kern w:val="0"/>
          <w14:ligatures w14:val="none"/>
        </w:rPr>
        <w:t xml:space="preserve"> the </w:t>
      </w:r>
      <w:r w:rsidRPr="00B56E8E" w:rsidR="00B56E8E">
        <w:rPr>
          <w:rFonts w:ascii="Palatino Linotype" w:hAnsi="Palatino Linotype" w:eastAsia="Palatino Linotype" w:cs="Palatino Linotype"/>
          <w:kern w:val="0"/>
          <w14:ligatures w14:val="none"/>
        </w:rPr>
        <w:t>Transportation Electrification Balancing Account (TEBA) is correspondingly reduced to $10,950,000.</w:t>
      </w:r>
      <w:r w:rsidRPr="4F027024">
        <w:rPr>
          <w:rFonts w:ascii="Palatino Linotype" w:hAnsi="Palatino Linotype" w:eastAsia="Palatino Linotype" w:cs="Palatino Linotype"/>
          <w:kern w:val="0"/>
          <w14:ligatures w14:val="none"/>
        </w:rPr>
        <w:t>.</w:t>
      </w:r>
    </w:p>
    <w:p w:rsidRPr="00E937B5" w:rsidR="00A76F4A" w:rsidP="005149A2" w:rsidRDefault="3949A2B7" w14:paraId="64C4C5A6" w14:textId="77777777">
      <w:pPr>
        <w:pStyle w:val="ListParagraph"/>
        <w:numPr>
          <w:ilvl w:val="0"/>
          <w:numId w:val="4"/>
        </w:numPr>
        <w:spacing w:before="240" w:after="120" w:line="276" w:lineRule="auto"/>
        <w:contextualSpacing w:val="0"/>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lastRenderedPageBreak/>
        <w:t>The record demonstrates that the Hybrid Support Model advances the intent of Resolution E-5192 by applying pilot learnings to support community microgrids</w:t>
      </w:r>
      <w:r w:rsidRPr="00E937B5" w:rsidR="685F3D4F">
        <w:rPr>
          <w:rFonts w:ascii="Palatino Linotype" w:hAnsi="Palatino Linotype" w:eastAsia="Palatino Linotype" w:cs="Palatino Linotype"/>
          <w:kern w:val="0"/>
          <w:szCs w:val="20"/>
          <w14:ligatures w14:val="none"/>
        </w:rPr>
        <w:t xml:space="preserve"> </w:t>
      </w:r>
      <w:r w:rsidRPr="00E937B5">
        <w:rPr>
          <w:rFonts w:ascii="Palatino Linotype" w:hAnsi="Palatino Linotype" w:eastAsia="Palatino Linotype" w:cs="Palatino Linotype"/>
          <w:kern w:val="0"/>
          <w:szCs w:val="20"/>
          <w14:ligatures w14:val="none"/>
        </w:rPr>
        <w:t>while protecting ratepayers from unnecessary costs.</w:t>
      </w:r>
    </w:p>
    <w:p w:rsidRPr="00E937B5" w:rsidR="00A76F4A" w:rsidP="005149A2" w:rsidRDefault="3949A2B7" w14:paraId="6BDF5841" w14:textId="77777777">
      <w:pPr>
        <w:pStyle w:val="ListParagraph"/>
        <w:numPr>
          <w:ilvl w:val="0"/>
          <w:numId w:val="4"/>
        </w:numPr>
        <w:spacing w:before="240" w:after="120" w:line="276" w:lineRule="auto"/>
        <w:contextualSpacing w:val="0"/>
        <w:rPr>
          <w:rFonts w:ascii="Palatino Linotype" w:hAnsi="Palatino Linotype" w:eastAsia="Palatino Linotype" w:cs="Palatino Linotype"/>
          <w:kern w:val="0"/>
          <w14:ligatures w14:val="none"/>
        </w:rPr>
      </w:pPr>
      <w:r w:rsidRPr="4F027024">
        <w:rPr>
          <w:rFonts w:ascii="Palatino Linotype" w:hAnsi="Palatino Linotype" w:eastAsia="Palatino Linotype" w:cs="Palatino Linotype"/>
          <w:kern w:val="0"/>
          <w14:ligatures w14:val="none"/>
        </w:rPr>
        <w:t>SERC filed a protest to AL 7378-E-A</w:t>
      </w:r>
      <w:r w:rsidRPr="4F027024" w:rsidR="4F773502">
        <w:rPr>
          <w:rFonts w:ascii="Palatino Linotype" w:hAnsi="Palatino Linotype" w:eastAsia="Palatino Linotype" w:cs="Palatino Linotype"/>
          <w:kern w:val="0"/>
          <w14:ligatures w14:val="none"/>
        </w:rPr>
        <w:t>,</w:t>
      </w:r>
      <w:r w:rsidRPr="4F027024">
        <w:rPr>
          <w:rFonts w:ascii="Palatino Linotype" w:hAnsi="Palatino Linotype" w:eastAsia="Palatino Linotype" w:cs="Palatino Linotype"/>
          <w:kern w:val="0"/>
          <w14:ligatures w14:val="none"/>
        </w:rPr>
        <w:t xml:space="preserve"> acknowledging PG&amp;E’s technical progress at RCAM and supporting completion of data collection but not opposing the proposed scope modification.</w:t>
      </w:r>
    </w:p>
    <w:p w:rsidRPr="00E937B5" w:rsidR="00A76F4A" w:rsidP="005149A2" w:rsidRDefault="3949A2B7" w14:paraId="7249A57A" w14:textId="77777777">
      <w:pPr>
        <w:pStyle w:val="ListParagraph"/>
        <w:numPr>
          <w:ilvl w:val="0"/>
          <w:numId w:val="4"/>
        </w:numPr>
        <w:spacing w:before="240" w:after="120" w:line="276" w:lineRule="auto"/>
        <w:rPr>
          <w:rFonts w:ascii="Palatino Linotype" w:hAnsi="Palatino Linotype" w:eastAsia="Palatino Linotype" w:cs="Palatino Linotype"/>
          <w:kern w:val="0"/>
          <w14:ligatures w14:val="none"/>
        </w:rPr>
      </w:pPr>
      <w:r w:rsidRPr="4F027024">
        <w:rPr>
          <w:rFonts w:ascii="Palatino Linotype" w:hAnsi="Palatino Linotype" w:eastAsia="Palatino Linotype" w:cs="Palatino Linotype"/>
          <w:kern w:val="0"/>
          <w14:ligatures w14:val="none"/>
        </w:rPr>
        <w:t xml:space="preserve">VGIC filed a response emphasizing the importance of documenting and sharing pilot findings to inform broader VGI </w:t>
      </w:r>
      <w:r w:rsidRPr="4F027024" w:rsidR="219387BA">
        <w:rPr>
          <w:rFonts w:ascii="Palatino Linotype" w:hAnsi="Palatino Linotype" w:eastAsia="Palatino Linotype" w:cs="Palatino Linotype"/>
          <w:kern w:val="0"/>
          <w14:ligatures w14:val="none"/>
        </w:rPr>
        <w:t>policy and</w:t>
      </w:r>
      <w:r w:rsidRPr="4F027024">
        <w:rPr>
          <w:rFonts w:ascii="Palatino Linotype" w:hAnsi="Palatino Linotype" w:eastAsia="Palatino Linotype" w:cs="Palatino Linotype"/>
          <w:kern w:val="0"/>
          <w14:ligatures w14:val="none"/>
        </w:rPr>
        <w:t xml:space="preserve"> did not oppose PG&amp;E’s proposed modification.</w:t>
      </w:r>
    </w:p>
    <w:p w:rsidRPr="00E937B5" w:rsidR="00A76F4A" w:rsidP="00277273" w:rsidRDefault="3949A2B7" w14:paraId="0E5E40DE" w14:textId="77777777">
      <w:pPr>
        <w:numPr>
          <w:ilvl w:val="0"/>
          <w:numId w:val="4"/>
        </w:numPr>
        <w:spacing w:before="240" w:after="240" w:line="276" w:lineRule="auto"/>
        <w:rPr>
          <w:rFonts w:ascii="Palatino Linotype" w:hAnsi="Palatino Linotype" w:eastAsia="Palatino Linotype" w:cs="Palatino Linotype"/>
          <w:kern w:val="0"/>
          <w14:ligatures w14:val="none"/>
        </w:rPr>
      </w:pPr>
      <w:r w:rsidRPr="4F027024">
        <w:rPr>
          <w:rFonts w:ascii="Palatino Linotype" w:hAnsi="Palatino Linotype" w:eastAsia="Palatino Linotype" w:cs="Palatino Linotype"/>
          <w:kern w:val="0"/>
          <w14:ligatures w14:val="none"/>
        </w:rPr>
        <w:t xml:space="preserve">Energy Division finds that PG&amp;E’s </w:t>
      </w:r>
      <w:r w:rsidRPr="4F027024" w:rsidR="00046162">
        <w:rPr>
          <w:rFonts w:ascii="Palatino Linotype" w:hAnsi="Palatino Linotype" w:eastAsia="Palatino Linotype" w:cs="Palatino Linotype"/>
          <w:kern w:val="0"/>
          <w14:ligatures w14:val="none"/>
        </w:rPr>
        <w:t xml:space="preserve">Phase I </w:t>
      </w:r>
      <w:r w:rsidRPr="4F027024">
        <w:rPr>
          <w:rFonts w:ascii="Palatino Linotype" w:hAnsi="Palatino Linotype" w:eastAsia="Palatino Linotype" w:cs="Palatino Linotype"/>
          <w:kern w:val="0"/>
          <w14:ligatures w14:val="none"/>
        </w:rPr>
        <w:t xml:space="preserve">proposed schedule extension through </w:t>
      </w:r>
      <w:r w:rsidRPr="4F027024" w:rsidR="68D4B6EB">
        <w:rPr>
          <w:rFonts w:ascii="Palatino Linotype" w:hAnsi="Palatino Linotype" w:eastAsia="Palatino Linotype" w:cs="Palatino Linotype"/>
          <w:kern w:val="0"/>
          <w14:ligatures w14:val="none"/>
        </w:rPr>
        <w:t>June 30,</w:t>
      </w:r>
      <w:r w:rsidRPr="4F027024">
        <w:rPr>
          <w:rFonts w:ascii="Palatino Linotype" w:hAnsi="Palatino Linotype" w:eastAsia="Palatino Linotype" w:cs="Palatino Linotype"/>
          <w:kern w:val="0"/>
          <w14:ligatures w14:val="none"/>
        </w:rPr>
        <w:t xml:space="preserve"> 2026</w:t>
      </w:r>
      <w:r w:rsidRPr="4F027024" w:rsidR="3AA8589C">
        <w:rPr>
          <w:rFonts w:ascii="Palatino Linotype" w:hAnsi="Palatino Linotype" w:eastAsia="Palatino Linotype" w:cs="Palatino Linotype"/>
          <w:kern w:val="0"/>
          <w14:ligatures w14:val="none"/>
        </w:rPr>
        <w:t>,</w:t>
      </w:r>
      <w:r w:rsidRPr="4F027024">
        <w:rPr>
          <w:rFonts w:ascii="Palatino Linotype" w:hAnsi="Palatino Linotype" w:eastAsia="Palatino Linotype" w:cs="Palatino Linotype"/>
          <w:kern w:val="0"/>
          <w14:ligatures w14:val="none"/>
        </w:rPr>
        <w:t xml:space="preserve"> and scope modification to a Hybrid Support Model</w:t>
      </w:r>
      <w:r w:rsidRPr="4F027024" w:rsidR="00046162">
        <w:rPr>
          <w:rFonts w:ascii="Palatino Linotype" w:hAnsi="Palatino Linotype" w:eastAsia="Palatino Linotype" w:cs="Palatino Linotype"/>
          <w:kern w:val="0"/>
          <w14:ligatures w14:val="none"/>
        </w:rPr>
        <w:t xml:space="preserve"> (Phase II)</w:t>
      </w:r>
      <w:r w:rsidRPr="4F027024">
        <w:rPr>
          <w:rFonts w:ascii="Palatino Linotype" w:hAnsi="Palatino Linotype" w:eastAsia="Palatino Linotype" w:cs="Palatino Linotype"/>
          <w:kern w:val="0"/>
          <w14:ligatures w14:val="none"/>
        </w:rPr>
        <w:t xml:space="preserve"> are reasonable, protect ratepayers, and remain consistent with Commission policy objectives under SB 676, D.20-12-029, and Resolution E-5192.</w:t>
      </w:r>
    </w:p>
    <w:p w:rsidR="579EAE0C" w:rsidP="00ED5732" w:rsidRDefault="579EAE0C" w14:paraId="50EB4EC0" w14:textId="77777777">
      <w:pPr>
        <w:pStyle w:val="ListParagraph"/>
        <w:spacing w:after="0"/>
        <w:rPr>
          <w:rFonts w:ascii="Palatino Linotype" w:hAnsi="Palatino Linotype" w:eastAsia="Palatino Linotype" w:cs="Times New Roman"/>
        </w:rPr>
      </w:pPr>
    </w:p>
    <w:p w:rsidRPr="001942D0" w:rsidR="00A76F4A" w:rsidP="7DF8D1A9" w:rsidRDefault="00A76F4A" w14:paraId="6E390E3D" w14:textId="77777777">
      <w:pPr>
        <w:keepNext/>
        <w:spacing w:before="120" w:after="240" w:line="276" w:lineRule="auto"/>
        <w:outlineLvl w:val="0"/>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t>Therefore it is ordered that:</w:t>
      </w:r>
    </w:p>
    <w:p w:rsidR="0072458B" w:rsidP="579EAE0C" w:rsidRDefault="0072458B" w14:paraId="1DE428FB" w14:textId="77777777">
      <w:pPr>
        <w:pStyle w:val="10spHanging05"/>
        <w:numPr>
          <w:ilvl w:val="0"/>
          <w:numId w:val="2"/>
        </w:numPr>
        <w:spacing w:line="276" w:lineRule="auto"/>
        <w:rPr>
          <w:rFonts w:ascii="Palatino Linotype" w:hAnsi="Palatino Linotype" w:eastAsia="Palatino Linotype" w:cs="Palatino Linotype"/>
        </w:rPr>
      </w:pPr>
      <w:r w:rsidRPr="72F52493">
        <w:rPr>
          <w:rFonts w:ascii="Palatino Linotype" w:hAnsi="Palatino Linotype" w:eastAsia="Palatino Linotype" w:cs="Palatino Linotype"/>
        </w:rPr>
        <w:t>P</w:t>
      </w:r>
      <w:r w:rsidRPr="72F52493" w:rsidR="000C7BEB">
        <w:rPr>
          <w:rFonts w:ascii="Palatino Linotype" w:hAnsi="Palatino Linotype" w:eastAsia="Palatino Linotype" w:cs="Palatino Linotype"/>
        </w:rPr>
        <w:t xml:space="preserve">acific Gas and Electric Company </w:t>
      </w:r>
      <w:r w:rsidRPr="72F52493">
        <w:rPr>
          <w:rFonts w:ascii="Palatino Linotype" w:hAnsi="Palatino Linotype" w:eastAsia="Palatino Linotype" w:cs="Palatino Linotype"/>
        </w:rPr>
        <w:t xml:space="preserve">AL 7378-E and </w:t>
      </w:r>
      <w:r w:rsidRPr="72F52493" w:rsidR="007C51AC">
        <w:rPr>
          <w:rFonts w:ascii="Palatino Linotype" w:hAnsi="Palatino Linotype" w:eastAsia="Palatino Linotype" w:cs="Palatino Linotype"/>
        </w:rPr>
        <w:t xml:space="preserve">AL </w:t>
      </w:r>
      <w:r w:rsidRPr="72F52493">
        <w:rPr>
          <w:rFonts w:ascii="Palatino Linotype" w:hAnsi="Palatino Linotype" w:eastAsia="Palatino Linotype" w:cs="Palatino Linotype"/>
        </w:rPr>
        <w:t>7378-E-A are approved</w:t>
      </w:r>
      <w:r w:rsidRPr="72F52493" w:rsidR="003B0AE4">
        <w:rPr>
          <w:rFonts w:ascii="Palatino Linotype" w:hAnsi="Palatino Linotype" w:eastAsia="Palatino Linotype" w:cs="Palatino Linotype"/>
        </w:rPr>
        <w:t>, with modifications,</w:t>
      </w:r>
      <w:r w:rsidRPr="72F52493">
        <w:rPr>
          <w:rFonts w:ascii="Palatino Linotype" w:hAnsi="Palatino Linotype" w:eastAsia="Palatino Linotype" w:cs="Palatino Linotype"/>
        </w:rPr>
        <w:t xml:space="preserve"> as </w:t>
      </w:r>
      <w:r w:rsidRPr="72F52493" w:rsidR="00B16A48">
        <w:rPr>
          <w:rFonts w:ascii="Palatino Linotype" w:hAnsi="Palatino Linotype" w:eastAsia="Palatino Linotype" w:cs="Palatino Linotype"/>
        </w:rPr>
        <w:t>discussed above</w:t>
      </w:r>
      <w:r w:rsidRPr="72F52493">
        <w:rPr>
          <w:rFonts w:ascii="Palatino Linotype" w:hAnsi="Palatino Linotype" w:eastAsia="Palatino Linotype" w:cs="Palatino Linotype"/>
        </w:rPr>
        <w:t>.</w:t>
      </w:r>
    </w:p>
    <w:p w:rsidR="0D5D2E84" w:rsidRDefault="05F049B7" w14:paraId="5504F189" w14:textId="77777777">
      <w:pPr>
        <w:pStyle w:val="10spHanging05"/>
        <w:numPr>
          <w:ilvl w:val="0"/>
          <w:numId w:val="2"/>
        </w:numPr>
        <w:spacing w:line="276" w:lineRule="auto"/>
        <w:rPr>
          <w:rFonts w:ascii="Palatino Linotype" w:hAnsi="Palatino Linotype" w:eastAsia="Palatino Linotype" w:cs="Palatino Linotype"/>
        </w:rPr>
      </w:pPr>
      <w:r w:rsidRPr="0A373A74">
        <w:rPr>
          <w:rFonts w:ascii="Palatino Linotype" w:hAnsi="Palatino Linotype" w:eastAsia="Palatino Linotype" w:cs="Palatino Linotype"/>
        </w:rPr>
        <w:t xml:space="preserve">Pacific Gas and Electric Company (PG&amp;E) must file a Tier </w:t>
      </w:r>
      <w:r w:rsidRPr="0A373A74" w:rsidR="2E426FB7">
        <w:rPr>
          <w:rFonts w:ascii="Palatino Linotype" w:hAnsi="Palatino Linotype" w:eastAsia="Palatino Linotype" w:cs="Palatino Linotype"/>
        </w:rPr>
        <w:t>2</w:t>
      </w:r>
      <w:r w:rsidRPr="0A373A74">
        <w:rPr>
          <w:rFonts w:ascii="Palatino Linotype" w:hAnsi="Palatino Linotype" w:eastAsia="Palatino Linotype" w:cs="Palatino Linotype"/>
        </w:rPr>
        <w:t xml:space="preserve"> Advice Letter within </w:t>
      </w:r>
      <w:r w:rsidRPr="0A373A74" w:rsidR="590F9E12">
        <w:rPr>
          <w:rFonts w:ascii="Palatino Linotype" w:hAnsi="Palatino Linotype" w:eastAsia="Palatino Linotype" w:cs="Palatino Linotype"/>
        </w:rPr>
        <w:t>30</w:t>
      </w:r>
      <w:r w:rsidRPr="0A373A74">
        <w:rPr>
          <w:rFonts w:ascii="Palatino Linotype" w:hAnsi="Palatino Linotype" w:eastAsia="Palatino Linotype" w:cs="Palatino Linotype"/>
        </w:rPr>
        <w:t xml:space="preserve"> days</w:t>
      </w:r>
      <w:r w:rsidRPr="0A373A74" w:rsidR="3AAAFE60">
        <w:rPr>
          <w:rFonts w:ascii="Palatino Linotype" w:hAnsi="Palatino Linotype" w:eastAsia="Palatino Linotype" w:cs="Palatino Linotype"/>
        </w:rPr>
        <w:t xml:space="preserve">, </w:t>
      </w:r>
      <w:r w:rsidRPr="0A373A74" w:rsidR="11CB1FE8">
        <w:rPr>
          <w:rFonts w:ascii="Palatino Linotype" w:hAnsi="Palatino Linotype" w:eastAsia="Palatino Linotype" w:cs="Palatino Linotype"/>
        </w:rPr>
        <w:t xml:space="preserve">providing an updated Phase I completion schedule extending through June 30, 2026, that includes revised milestones for charger replacement, data collection, and reporting activities. PG&amp;E shall also include a narrative update describing its strategy to achieve the five-to-ten bidirectional electric vehicle (EV) participation target </w:t>
      </w:r>
      <w:r w:rsidRPr="0A373A74" w:rsidR="504CA694">
        <w:rPr>
          <w:rFonts w:ascii="Palatino Linotype" w:hAnsi="Palatino Linotype" w:eastAsia="Palatino Linotype" w:cs="Palatino Linotype"/>
        </w:rPr>
        <w:t>or</w:t>
      </w:r>
      <w:r w:rsidRPr="0A373A74" w:rsidR="7C3ACFB2">
        <w:rPr>
          <w:rFonts w:ascii="Palatino Linotype" w:hAnsi="Palatino Linotype" w:eastAsia="Palatino Linotype" w:cs="Palatino Linotype"/>
        </w:rPr>
        <w:t>, alternatively</w:t>
      </w:r>
      <w:r w:rsidRPr="0A373A74" w:rsidR="11CB1FE8">
        <w:rPr>
          <w:rFonts w:ascii="Palatino Linotype" w:hAnsi="Palatino Linotype" w:eastAsia="Palatino Linotype" w:cs="Palatino Linotype"/>
        </w:rPr>
        <w:t xml:space="preserve"> explain how the current two-vehicle configuration aligns with the pilot’s original objectives and success metrics.</w:t>
      </w:r>
    </w:p>
    <w:p w:rsidRPr="00623F5F" w:rsidR="4E720A58" w:rsidP="579EAE0C" w:rsidRDefault="00E33A72" w14:paraId="39B2F222" w14:textId="77777777">
      <w:pPr>
        <w:pStyle w:val="10spHanging05"/>
        <w:numPr>
          <w:ilvl w:val="0"/>
          <w:numId w:val="2"/>
        </w:numPr>
        <w:spacing w:line="276" w:lineRule="auto"/>
        <w:rPr>
          <w:rFonts w:ascii="Palatino Linotype" w:hAnsi="Palatino Linotype" w:eastAsia="Palatino Linotype" w:cs="Palatino Linotype"/>
        </w:rPr>
      </w:pPr>
      <w:r w:rsidRPr="00623F5F">
        <w:rPr>
          <w:rFonts w:ascii="Palatino Linotype" w:hAnsi="Palatino Linotype" w:eastAsia="Palatino Linotype" w:cs="Palatino Linotype"/>
        </w:rPr>
        <w:t xml:space="preserve"> </w:t>
      </w:r>
      <w:r w:rsidRPr="00623F5F" w:rsidR="00780FF5">
        <w:rPr>
          <w:rFonts w:ascii="Palatino Linotype" w:hAnsi="Palatino Linotype" w:eastAsia="Palatino Linotype" w:cs="Palatino Linotype"/>
        </w:rPr>
        <w:t xml:space="preserve">The authorized budget for Pilot #3, the Vehicle-to-Microgrid Pilot, is reduced by $750,000. Accordingly, the authorized budget for Pilot #3 is reduced from $1,500,000 to $750,000, and the authorized cap of the Vehicle Grid Integration subaccount within the Transportation Electrification Balancing Account (TEBA) is reduced </w:t>
      </w:r>
      <w:r w:rsidRPr="00623F5F" w:rsidR="00552F7B">
        <w:rPr>
          <w:rFonts w:ascii="Palatino Linotype" w:hAnsi="Palatino Linotype" w:eastAsia="Palatino Linotype" w:cs="Palatino Linotype"/>
        </w:rPr>
        <w:t xml:space="preserve">from $11,700,000 </w:t>
      </w:r>
      <w:r w:rsidRPr="00623F5F" w:rsidR="00780FF5">
        <w:rPr>
          <w:rFonts w:ascii="Palatino Linotype" w:hAnsi="Palatino Linotype" w:eastAsia="Palatino Linotype" w:cs="Palatino Linotype"/>
        </w:rPr>
        <w:t>to $10,950,000.</w:t>
      </w:r>
    </w:p>
    <w:p w:rsidRPr="001942D0" w:rsidR="00A76F4A" w:rsidP="3FA086D7" w:rsidRDefault="00A76F4A" w14:paraId="20FFC245" w14:textId="77777777">
      <w:pPr>
        <w:pStyle w:val="10spHanging05"/>
        <w:spacing w:after="0" w:line="276" w:lineRule="auto"/>
        <w:rPr>
          <w:rFonts w:ascii="Palatino Linotype" w:hAnsi="Palatino Linotype" w:eastAsia="Palatino Linotype" w:cs="Palatino Linotype"/>
        </w:rPr>
      </w:pPr>
    </w:p>
    <w:p w:rsidRPr="001942D0" w:rsidR="00A76F4A" w:rsidP="7DF8D1A9" w:rsidRDefault="00A76F4A" w14:paraId="0ECC8239"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7DF8D1A9" w:rsidRDefault="00A76F4A" w14:paraId="56AC7E2D" w14:textId="77777777">
      <w:pPr>
        <w:keepNext/>
        <w:tabs>
          <w:tab w:val="left" w:pos="720"/>
          <w:tab w:val="left" w:pos="1296"/>
          <w:tab w:val="left" w:pos="2016"/>
          <w:tab w:val="left" w:pos="2736"/>
          <w:tab w:val="left" w:pos="3456"/>
          <w:tab w:val="left" w:pos="4176"/>
          <w:tab w:val="left" w:pos="4500"/>
        </w:tabs>
        <w:spacing w:after="0" w:line="276" w:lineRule="auto"/>
        <w:rPr>
          <w:rFonts w:ascii="Palatino Linotype" w:hAnsi="Palatino Linotype" w:eastAsia="Palatino Linotype" w:cs="Times New Roman"/>
          <w:kern w:val="0"/>
          <w14:ligatures w14:val="none"/>
        </w:rPr>
      </w:pPr>
    </w:p>
    <w:p w:rsidR="00A76F4A" w:rsidP="7DF8D1A9" w:rsidRDefault="00A76F4A" w14:paraId="32716A67"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00A76F4A" w:rsidP="7DF8D1A9" w:rsidRDefault="00A76F4A" w14:paraId="440BB408" w14:textId="77777777">
      <w:pPr>
        <w:pStyle w:val="10sp0"/>
        <w:spacing w:after="480" w:line="276" w:lineRule="auto"/>
        <w:rPr>
          <w:rFonts w:ascii="Palatino Linotype" w:hAnsi="Palatino Linotype"/>
        </w:rPr>
      </w:pPr>
      <w:r w:rsidRPr="4DA06BEA">
        <w:rPr>
          <w:rFonts w:ascii="Palatino Linotype" w:hAnsi="Palatino Linotype"/>
        </w:rPr>
        <w:t xml:space="preserve">The foregoing resolution was duly introduced, passed and adopted at a conference of the Public Utilities Commission of the State of California held on </w:t>
      </w:r>
      <w:r w:rsidRPr="4DA06BEA" w:rsidR="7F74A8C5">
        <w:rPr>
          <w:rFonts w:ascii="Palatino Linotype" w:hAnsi="Palatino Linotype"/>
        </w:rPr>
        <w:t>0</w:t>
      </w:r>
      <w:r w:rsidRPr="4DA06BEA" w:rsidR="3B7F41FA">
        <w:rPr>
          <w:rFonts w:ascii="Palatino Linotype" w:hAnsi="Palatino Linotype"/>
        </w:rPr>
        <w:t>2</w:t>
      </w:r>
      <w:r w:rsidRPr="4DA06BEA" w:rsidR="00FE258D">
        <w:rPr>
          <w:rFonts w:ascii="Palatino Linotype" w:hAnsi="Palatino Linotype"/>
        </w:rPr>
        <w:t>/</w:t>
      </w:r>
      <w:r w:rsidRPr="4DA06BEA" w:rsidR="48A0A412">
        <w:rPr>
          <w:rFonts w:ascii="Palatino Linotype" w:hAnsi="Palatino Linotype"/>
        </w:rPr>
        <w:t>26</w:t>
      </w:r>
      <w:r w:rsidRPr="4DA06BEA" w:rsidR="00FE258D">
        <w:rPr>
          <w:rFonts w:ascii="Palatino Linotype" w:hAnsi="Palatino Linotype"/>
        </w:rPr>
        <w:t>/2026</w:t>
      </w:r>
      <w:r w:rsidRPr="4DA06BEA">
        <w:rPr>
          <w:rFonts w:ascii="Palatino Linotype" w:hAnsi="Palatino Linotype"/>
        </w:rPr>
        <w:t>; the following Commissioners voting favorably thereon:</w:t>
      </w:r>
    </w:p>
    <w:p w:rsidRPr="00743ACB" w:rsidR="00743ACB" w:rsidP="00743ACB" w:rsidRDefault="00743ACB" w14:paraId="7D6BE768"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val="single" w:color="000000"/>
          <w:bdr w:val="nil"/>
          <w14:ligatures w14:val="none"/>
        </w:rPr>
      </w:pPr>
      <w:r w:rsidRPr="00743ACB">
        <w:rPr>
          <w:rFonts w:ascii="Palatino Linotype" w:hAnsi="Palatino Linotype" w:eastAsia="Palatino Linotype" w:cs="Palatino Linotype"/>
          <w:snapToGrid w:val="0"/>
          <w:color w:val="000000"/>
          <w:kern w:val="0"/>
          <w:u w:val="single" w:color="000000"/>
          <w:bdr w:val="nil"/>
          <w14:ligatures w14:val="none"/>
        </w:rPr>
        <w:t>/s/ LEUWAM TESFAI</w:t>
      </w:r>
    </w:p>
    <w:p w:rsidRPr="00743ACB" w:rsidR="00743ACB" w:rsidP="00743ACB" w:rsidRDefault="00743ACB" w14:paraId="2F9976CB" w14:textId="77777777">
      <w:pPr>
        <w:pBdr>
          <w:top w:val="nil"/>
          <w:left w:val="nil"/>
          <w:bottom w:val="nil"/>
          <w:right w:val="nil"/>
          <w:between w:val="nil"/>
          <w:bar w:val="nil"/>
        </w:pBdr>
        <w:spacing w:after="0" w:line="240" w:lineRule="auto"/>
        <w:ind w:left="6570" w:right="144" w:firstLine="270"/>
        <w:rPr>
          <w:rFonts w:ascii="Palatino Linotype" w:hAnsi="Palatino Linotype" w:eastAsia="Palatino Linotype" w:cs="Palatino Linotype"/>
          <w:snapToGrid w:val="0"/>
          <w:color w:val="000000"/>
          <w:kern w:val="0"/>
          <w:u w:color="000000"/>
          <w:bdr w:val="nil"/>
          <w14:ligatures w14:val="none"/>
        </w:rPr>
      </w:pPr>
      <w:r w:rsidRPr="00743ACB">
        <w:rPr>
          <w:rFonts w:ascii="Palatino Linotype" w:hAnsi="Palatino Linotype" w:eastAsia="Palatino Linotype" w:cs="Palatino Linotype"/>
          <w:snapToGrid w:val="0"/>
          <w:color w:val="000000"/>
          <w:kern w:val="0"/>
          <w:u w:color="000000"/>
          <w:bdr w:val="nil"/>
          <w14:ligatures w14:val="none"/>
        </w:rPr>
        <w:t>Leuwam Tesfai</w:t>
      </w:r>
    </w:p>
    <w:p w:rsidRPr="00743ACB" w:rsidR="00743ACB" w:rsidP="00743ACB" w:rsidRDefault="00743ACB" w14:paraId="2D6F26E2"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743ACB">
        <w:rPr>
          <w:rFonts w:ascii="Palatino Linotype" w:hAnsi="Palatino Linotype" w:eastAsia="Palatino Linotype" w:cs="Palatino Linotype"/>
          <w:snapToGrid w:val="0"/>
          <w:color w:val="000000"/>
          <w:kern w:val="0"/>
          <w:u w:color="000000"/>
          <w:bdr w:val="nil"/>
          <w14:ligatures w14:val="none"/>
        </w:rPr>
        <w:t xml:space="preserve">  Executive Director</w:t>
      </w:r>
    </w:p>
    <w:p w:rsidRPr="00743ACB" w:rsidR="00743ACB" w:rsidP="00743ACB" w:rsidRDefault="00743ACB" w14:paraId="1C337D7A"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p>
    <w:p w:rsidRPr="00743ACB" w:rsidR="00743ACB" w:rsidP="00743ACB" w:rsidRDefault="00743ACB" w14:paraId="7AE5E673"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743ACB">
        <w:rPr>
          <w:rFonts w:ascii="Palatino Linotype" w:hAnsi="Palatino Linotype" w:eastAsia="Palatino Linotype" w:cs="Palatino Linotype"/>
          <w:snapToGrid w:val="0"/>
          <w:color w:val="000000"/>
          <w:kern w:val="0"/>
          <w:u w:color="000000"/>
          <w:bdr w:val="nil"/>
          <w14:ligatures w14:val="none"/>
        </w:rPr>
        <w:t>ALICE REYNOLDS</w:t>
      </w:r>
    </w:p>
    <w:p w:rsidRPr="00743ACB" w:rsidR="00743ACB" w:rsidP="00743ACB" w:rsidRDefault="00743ACB" w14:paraId="60C6BA65"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743ACB">
        <w:rPr>
          <w:rFonts w:ascii="Palatino Linotype" w:hAnsi="Palatino Linotype" w:eastAsia="Palatino Linotype" w:cs="Palatino Linotype"/>
          <w:snapToGrid w:val="0"/>
          <w:color w:val="000000"/>
          <w:kern w:val="0"/>
          <w:u w:color="000000"/>
          <w:bdr w:val="nil"/>
          <w14:ligatures w14:val="none"/>
        </w:rPr>
        <w:t xml:space="preserve">       President</w:t>
      </w:r>
    </w:p>
    <w:p w:rsidRPr="00743ACB" w:rsidR="00743ACB" w:rsidP="00743ACB" w:rsidRDefault="00743ACB" w14:paraId="42E98ED5"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p>
    <w:p w:rsidRPr="00743ACB" w:rsidR="00743ACB" w:rsidP="00743ACB" w:rsidRDefault="00743ACB" w14:paraId="15194890"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743ACB">
        <w:rPr>
          <w:rFonts w:ascii="Palatino Linotype" w:hAnsi="Palatino Linotype" w:eastAsia="Palatino Linotype" w:cs="Palatino Linotype"/>
          <w:snapToGrid w:val="0"/>
          <w:color w:val="000000"/>
          <w:kern w:val="0"/>
          <w:u w:color="000000"/>
          <w:bdr w:val="nil"/>
          <w14:ligatures w14:val="none"/>
        </w:rPr>
        <w:t>DARCIE L. HOUCK</w:t>
      </w:r>
    </w:p>
    <w:p w:rsidRPr="00743ACB" w:rsidR="00743ACB" w:rsidP="00743ACB" w:rsidRDefault="00743ACB" w14:paraId="06018539"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743ACB">
        <w:rPr>
          <w:rFonts w:ascii="Palatino Linotype" w:hAnsi="Palatino Linotype" w:eastAsia="Palatino Linotype" w:cs="Palatino Linotype"/>
          <w:snapToGrid w:val="0"/>
          <w:color w:val="000000"/>
          <w:kern w:val="0"/>
          <w:u w:color="000000"/>
          <w:bdr w:val="nil"/>
          <w14:ligatures w14:val="none"/>
        </w:rPr>
        <w:t>JOHN REYNOLDS</w:t>
      </w:r>
    </w:p>
    <w:p w:rsidRPr="00743ACB" w:rsidR="00743ACB" w:rsidP="00743ACB" w:rsidRDefault="00743ACB" w14:paraId="03608512"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743ACB">
        <w:rPr>
          <w:rFonts w:ascii="Palatino Linotype" w:hAnsi="Palatino Linotype" w:eastAsia="Palatino Linotype" w:cs="Palatino Linotype"/>
          <w:snapToGrid w:val="0"/>
          <w:color w:val="000000"/>
          <w:kern w:val="0"/>
          <w:u w:color="000000"/>
          <w:bdr w:val="nil"/>
          <w14:ligatures w14:val="none"/>
        </w:rPr>
        <w:t>KAREN DOUGLAS</w:t>
      </w:r>
    </w:p>
    <w:p w:rsidRPr="00743ACB" w:rsidR="00743ACB" w:rsidP="00743ACB" w:rsidRDefault="00743ACB" w14:paraId="28DDC135"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743ACB">
        <w:rPr>
          <w:rFonts w:ascii="Palatino Linotype" w:hAnsi="Palatino Linotype" w:eastAsia="Palatino Linotype" w:cs="Palatino Linotype"/>
          <w:snapToGrid w:val="0"/>
          <w:color w:val="000000"/>
          <w:kern w:val="0"/>
          <w:u w:color="000000"/>
          <w:bdr w:val="nil"/>
          <w14:ligatures w14:val="none"/>
        </w:rPr>
        <w:t>MATTHEW BAKER</w:t>
      </w:r>
    </w:p>
    <w:p w:rsidR="00743ACB" w:rsidP="00743ACB" w:rsidRDefault="00743ACB" w14:paraId="5E49D489" w14:textId="77777777">
      <w:pPr>
        <w:pBdr>
          <w:top w:val="nil"/>
          <w:left w:val="nil"/>
          <w:bottom w:val="nil"/>
          <w:right w:val="nil"/>
          <w:between w:val="nil"/>
          <w:bar w:val="nil"/>
        </w:pBdr>
        <w:spacing w:after="0" w:line="276" w:lineRule="auto"/>
        <w:ind w:left="6570" w:right="144"/>
        <w:rPr>
          <w:rFonts w:ascii="Palatino Linotype" w:hAnsi="Palatino Linotype" w:eastAsia="Palatino Linotype" w:cs="Palatino Linotype"/>
          <w:snapToGrid w:val="0"/>
          <w:color w:val="000000"/>
          <w:kern w:val="0"/>
          <w:u w:color="000000"/>
          <w:bdr w:val="nil"/>
          <w14:ligatures w14:val="none"/>
        </w:rPr>
      </w:pPr>
      <w:r w:rsidRPr="00743ACB">
        <w:rPr>
          <w:rFonts w:ascii="Palatino Linotype" w:hAnsi="Palatino Linotype" w:eastAsia="Palatino Linotype" w:cs="Palatino Linotype"/>
          <w:snapToGrid w:val="0"/>
          <w:color w:val="000000"/>
          <w:kern w:val="0"/>
          <w:u w:color="000000"/>
          <w:bdr w:val="nil"/>
          <w14:ligatures w14:val="none"/>
        </w:rPr>
        <w:t xml:space="preserve">     Commissioners</w:t>
      </w:r>
    </w:p>
    <w:p w:rsidR="00743ACB" w:rsidP="00743ACB" w:rsidRDefault="00743ACB" w14:paraId="516B7425" w14:textId="77777777">
      <w:pPr>
        <w:pBdr>
          <w:top w:val="nil"/>
          <w:left w:val="nil"/>
          <w:bottom w:val="nil"/>
          <w:right w:val="nil"/>
          <w:between w:val="nil"/>
          <w:bar w:val="nil"/>
        </w:pBdr>
        <w:spacing w:after="0" w:line="276" w:lineRule="auto"/>
        <w:ind w:left="6570" w:right="144"/>
        <w:rPr>
          <w:rFonts w:ascii="Palatino Linotype" w:hAnsi="Palatino Linotype" w:eastAsia="Palatino Linotype" w:cs="Palatino Linotype"/>
          <w:snapToGrid w:val="0"/>
          <w:color w:val="000000"/>
          <w:kern w:val="0"/>
          <w:u w:color="000000"/>
          <w:bdr w:val="nil"/>
          <w14:ligatures w14:val="none"/>
        </w:rPr>
      </w:pPr>
    </w:p>
    <w:p w:rsidRPr="00743ACB" w:rsidR="00743ACB" w:rsidP="00743ACB" w:rsidRDefault="00743ACB" w14:paraId="22538A42" w14:textId="77777777">
      <w:pPr>
        <w:spacing w:before="40" w:after="40" w:line="240" w:lineRule="auto"/>
        <w:rPr>
          <w:rFonts w:ascii="Palatino Linotype" w:hAnsi="Palatino Linotype" w:eastAsia="Aptos" w:cs="Palatino"/>
          <w:snapToGrid w:val="0"/>
          <w:color w:val="000000"/>
          <w:kern w:val="0"/>
          <w14:ligatures w14:val="none"/>
        </w:rPr>
      </w:pPr>
      <w:r w:rsidRPr="00743ACB">
        <w:rPr>
          <w:rFonts w:ascii="Palatino Linotype" w:hAnsi="Palatino Linotype" w:eastAsia="Aptos" w:cs="Palatino"/>
          <w:snapToGrid w:val="0"/>
          <w:color w:val="000000"/>
          <w:kern w:val="0"/>
          <w14:ligatures w14:val="none"/>
        </w:rPr>
        <w:t xml:space="preserve"> Dated February 26, 2026, at Santa Maria City Hall, Council Chambers, 110 E. Cook St., Santa Maria, CA 93454, California </w:t>
      </w:r>
    </w:p>
    <w:p w:rsidR="00A76F4A" w:rsidP="00743ACB" w:rsidRDefault="00A76F4A" w14:paraId="641849F4" w14:textId="77777777">
      <w:pPr>
        <w:keepNext/>
        <w:tabs>
          <w:tab w:val="left" w:pos="720"/>
          <w:tab w:val="left" w:pos="1296"/>
          <w:tab w:val="left" w:pos="2016"/>
          <w:tab w:val="left" w:pos="2736"/>
          <w:tab w:val="left" w:pos="3456"/>
          <w:tab w:val="left" w:pos="4176"/>
          <w:tab w:val="left" w:pos="5760"/>
        </w:tabs>
        <w:spacing w:after="0" w:line="276" w:lineRule="auto"/>
        <w:ind w:firstLine="4176"/>
        <w:rPr>
          <w:rFonts w:ascii="Palatino Linotype" w:hAnsi="Palatino Linotype" w:eastAsia="Palatino Linotype" w:cs="Times New Roman"/>
        </w:rPr>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4C8D" w14:textId="77777777" w:rsidR="00FB6A87" w:rsidRDefault="00FB6A87" w:rsidP="00A76F4A">
      <w:pPr>
        <w:spacing w:after="0" w:line="240" w:lineRule="auto"/>
      </w:pPr>
      <w:r>
        <w:separator/>
      </w:r>
    </w:p>
  </w:endnote>
  <w:endnote w:type="continuationSeparator" w:id="0">
    <w:p w14:paraId="66AA0C29" w14:textId="77777777" w:rsidR="00FB6A87" w:rsidRDefault="00FB6A87" w:rsidP="00A76F4A">
      <w:pPr>
        <w:spacing w:after="0" w:line="240" w:lineRule="auto"/>
      </w:pPr>
      <w:r>
        <w:continuationSeparator/>
      </w:r>
    </w:p>
  </w:endnote>
  <w:endnote w:type="continuationNotice" w:id="1">
    <w:p w14:paraId="624CF47A" w14:textId="77777777" w:rsidR="00FB6A87" w:rsidRDefault="00FB6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5829EED2"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75099CF1" w14:textId="7AB7B4A8" w:rsidR="004A7A4C" w:rsidRPr="004A7A4C" w:rsidRDefault="003606DD" w:rsidP="004A7A4C">
        <w:pPr>
          <w:pStyle w:val="Footer"/>
          <w:rPr>
            <w:rFonts w:ascii="Palatino Linotype" w:hAnsi="Palatino Linotype"/>
          </w:rPr>
        </w:pPr>
        <w:r>
          <w:rPr>
            <w:rFonts w:ascii="Tahoma" w:hAnsi="Tahoma" w:cs="Tahoma"/>
            <w:sz w:val="18"/>
            <w:szCs w:val="18"/>
          </w:rPr>
          <w:t>601358005</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73D7" w14:textId="77777777" w:rsidR="00FB6A87" w:rsidRDefault="00FB6A87" w:rsidP="00A76F4A">
      <w:pPr>
        <w:spacing w:after="0" w:line="240" w:lineRule="auto"/>
      </w:pPr>
      <w:r>
        <w:separator/>
      </w:r>
    </w:p>
  </w:footnote>
  <w:footnote w:type="continuationSeparator" w:id="0">
    <w:p w14:paraId="142A5FD7" w14:textId="77777777" w:rsidR="00FB6A87" w:rsidRDefault="00FB6A87" w:rsidP="00A76F4A">
      <w:pPr>
        <w:spacing w:after="0" w:line="240" w:lineRule="auto"/>
      </w:pPr>
      <w:r>
        <w:continuationSeparator/>
      </w:r>
    </w:p>
  </w:footnote>
  <w:footnote w:type="continuationNotice" w:id="1">
    <w:p w14:paraId="2584475F" w14:textId="77777777" w:rsidR="00FB6A87" w:rsidRDefault="00FB6A87">
      <w:pPr>
        <w:spacing w:after="0" w:line="240" w:lineRule="auto"/>
      </w:pPr>
    </w:p>
  </w:footnote>
  <w:footnote w:id="2">
    <w:p w14:paraId="532F00D0" w14:textId="77777777" w:rsidR="00085FC0" w:rsidRDefault="00085FC0">
      <w:pPr>
        <w:pStyle w:val="FootnoteText"/>
      </w:pPr>
      <w:r>
        <w:rPr>
          <w:rStyle w:val="FootnoteReference"/>
        </w:rPr>
        <w:footnoteRef/>
      </w:r>
      <w:r>
        <w:t xml:space="preserve"> </w:t>
      </w:r>
      <w:r w:rsidR="00482942" w:rsidRPr="00482942">
        <w:rPr>
          <w:rFonts w:ascii="Palatino Linotype" w:eastAsia="Palatino Linotype" w:hAnsi="Palatino Linotype" w:cs="Times New Roman"/>
        </w:rPr>
        <w:t>The Microgrid Incentive Program (MIP) offers technical and financial support for community microgrids and follows a typical two-to-four-year development timeline from study to operation</w:t>
      </w:r>
      <w:r w:rsidR="00482942">
        <w:rPr>
          <w:rFonts w:ascii="Palatino Linotype" w:eastAsia="Palatino Linotype" w:hAnsi="Palatino Linotype" w:cs="Times New Roman"/>
        </w:rPr>
        <w:t>.</w:t>
      </w:r>
    </w:p>
  </w:footnote>
  <w:footnote w:id="3">
    <w:p w14:paraId="4D3F0866" w14:textId="77777777" w:rsidR="78369BE0" w:rsidRPr="000856E3" w:rsidRDefault="78369BE0" w:rsidP="78369BE0">
      <w:pPr>
        <w:pStyle w:val="FootnoteText"/>
        <w:rPr>
          <w:rFonts w:ascii="Palatino" w:eastAsia="Times New Roman" w:hAnsi="Palatino" w:cs="Palatino"/>
        </w:rPr>
      </w:pPr>
      <w:r w:rsidRPr="005131CD">
        <w:rPr>
          <w:rFonts w:ascii="Palatino Linotype" w:eastAsia="Palatino Linotype" w:hAnsi="Palatino Linotype" w:cs="Times New Roman"/>
          <w:vertAlign w:val="superscript"/>
        </w:rPr>
        <w:footnoteRef/>
      </w:r>
      <w:r w:rsidRPr="005131CD">
        <w:rPr>
          <w:rFonts w:ascii="Palatino Linotype" w:eastAsia="Palatino Linotype" w:hAnsi="Palatino Linotype" w:cs="Times New Roman"/>
          <w:vertAlign w:val="superscript"/>
        </w:rPr>
        <w:t xml:space="preserve"> </w:t>
      </w:r>
      <w:r w:rsidRPr="000856E3">
        <w:rPr>
          <w:rFonts w:ascii="Palatino Linotype" w:eastAsia="Palatino Linotype" w:hAnsi="Palatino Linotype" w:cs="Times New Roman"/>
        </w:rPr>
        <w:t>In AL 6259-E, PG&amp;E defined “resiliency” as maintaining critical electric service to communities during PSPS or outage conditions by enabling microgrids to operate independently from the grid using local renewable generation, storage, and bidirectional EVs to support essential loads and reduce reliance on fossil backup generation.</w:t>
      </w:r>
    </w:p>
  </w:footnote>
  <w:footnote w:id="4">
    <w:p w14:paraId="06320CEC" w14:textId="77777777" w:rsidR="78369BE0" w:rsidRDefault="78369BE0" w:rsidP="78369BE0">
      <w:pPr>
        <w:pStyle w:val="FootnoteText"/>
        <w:rPr>
          <w:rFonts w:ascii="Palatino Linotype" w:eastAsia="Palatino Linotype" w:hAnsi="Palatino Linotype" w:cs="Palatino Linotype"/>
        </w:rPr>
      </w:pPr>
      <w:r w:rsidRPr="78369BE0">
        <w:rPr>
          <w:rStyle w:val="FootnoteReference"/>
          <w:rFonts w:ascii="Palatino Linotype" w:eastAsia="Palatino Linotype" w:hAnsi="Palatino Linotype" w:cs="Palatino Linotype"/>
        </w:rPr>
        <w:footnoteRef/>
      </w:r>
      <w:r w:rsidRPr="78369BE0">
        <w:rPr>
          <w:rFonts w:ascii="Palatino Linotype" w:eastAsia="Palatino Linotype" w:hAnsi="Palatino Linotype" w:cs="Palatino Linotype"/>
        </w:rPr>
        <w:t xml:space="preserve"> EPIC Project 3.11B, titled </w:t>
      </w:r>
      <w:r w:rsidRPr="78369BE0">
        <w:rPr>
          <w:rFonts w:ascii="Palatino Linotype" w:eastAsia="Palatino Linotype" w:hAnsi="Palatino Linotype" w:cs="Palatino Linotype"/>
          <w:i/>
          <w:iCs/>
        </w:rPr>
        <w:t>Redwood Coast Airport Renewable Energy Microgrid and EV Integration</w:t>
      </w:r>
      <w:r w:rsidRPr="78369BE0">
        <w:rPr>
          <w:rFonts w:ascii="Palatino Linotype" w:eastAsia="Palatino Linotype" w:hAnsi="Palatino Linotype" w:cs="Palatino Linotype"/>
        </w:rPr>
        <w:t xml:space="preserve">, was funded under the California Energy Commission’s EPIC program and implemented by the Schatz Energy Research Center in partnership with PG&amp;E, the Redwood Coast Energy Authority, and Humboldt County. The project developed and deployed the microgrid control system that enables renewable generation, battery storage, and bidirectional </w:t>
      </w:r>
      <w:r w:rsidR="00C33B0A">
        <w:rPr>
          <w:rFonts w:ascii="Palatino Linotype" w:eastAsia="Palatino Linotype" w:hAnsi="Palatino Linotype" w:cs="Palatino Linotype"/>
        </w:rPr>
        <w:t>EV</w:t>
      </w:r>
      <w:r w:rsidRPr="78369BE0">
        <w:rPr>
          <w:rFonts w:ascii="Palatino Linotype" w:eastAsia="Palatino Linotype" w:hAnsi="Palatino Linotype" w:cs="Palatino Linotype"/>
        </w:rPr>
        <w:t xml:space="preserve"> charging to operate in both grid-connected and islanded modes at the RCAM.</w:t>
      </w:r>
    </w:p>
  </w:footnote>
  <w:footnote w:id="5">
    <w:p w14:paraId="4926615F" w14:textId="77777777" w:rsidR="0087065C" w:rsidRDefault="0087065C">
      <w:pPr>
        <w:pStyle w:val="FootnoteText"/>
      </w:pPr>
      <w:r>
        <w:rPr>
          <w:rStyle w:val="FootnoteReference"/>
        </w:rPr>
        <w:footnoteRef/>
      </w:r>
      <w:r>
        <w:t xml:space="preserve"> </w:t>
      </w:r>
      <w:r w:rsidRPr="0087065C">
        <w:rPr>
          <w:rFonts w:ascii="Palatino Linotype" w:eastAsia="Palatino Linotype" w:hAnsi="Palatino Linotype" w:cs="Palatino Linotype"/>
        </w:rPr>
        <w:t>The Community Microgrid Enablement Program (CMEP) supports the development of multi-customer community microgrids by providing technical assistance and enabling infrastructure. As noted in PG&amp;E’s filings, RCAM is currently the only operational CMEP microgrid in PG&amp;E’s service territory, and CMEP projects typically require two to four years from application to 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BBE2" w14:textId="3C35F7E1" w:rsidR="0028582A" w:rsidRDefault="0028582A" w:rsidP="0028582A">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Pr="78369BE0">
      <w:rPr>
        <w:rFonts w:ascii="Palatino Linotype" w:eastAsia="Times New Roman" w:hAnsi="Palatino Linotype" w:cs="Times New Roman"/>
      </w:rPr>
      <w:t>E-5434</w:t>
    </w:r>
    <w:r w:rsidRPr="001942D0">
      <w:rPr>
        <w:rFonts w:ascii="Palatino Linotype" w:eastAsia="Times New Roman" w:hAnsi="Palatino Linotype" w:cs="Times New Roman"/>
        <w:kern w:val="0"/>
        <w14:ligatures w14:val="none"/>
      </w:rPr>
      <w:t xml:space="preserve"> </w:t>
    </w:r>
    <w:r>
      <w:tab/>
    </w:r>
    <w:r>
      <w:tab/>
    </w:r>
    <w:r>
      <w:rPr>
        <w:rFonts w:ascii="Palatino Linotype" w:hAnsi="Palatino Linotype"/>
      </w:rPr>
      <w:t>02/26/202</w:t>
    </w:r>
    <w:r w:rsidRPr="579EAE0C">
      <w:rPr>
        <w:rFonts w:ascii="Palatino Linotype" w:hAnsi="Palatino Linotype"/>
      </w:rPr>
      <w:t>6</w:t>
    </w:r>
  </w:p>
  <w:p w14:paraId="74E1AA16" w14:textId="77777777" w:rsidR="0028582A" w:rsidRDefault="0028582A" w:rsidP="0028582A">
    <w:pPr>
      <w:pStyle w:val="Header"/>
      <w:rPr>
        <w:rFonts w:ascii="Palatino Linotype" w:eastAsia="Times New Roman" w:hAnsi="Palatino Linotype" w:cs="Times New Roman"/>
      </w:rPr>
    </w:pPr>
    <w:r>
      <w:rPr>
        <w:rFonts w:ascii="Palatino Linotype" w:hAnsi="Palatino Linotype"/>
      </w:rPr>
      <w:t xml:space="preserve">PG&amp;E AL </w:t>
    </w:r>
    <w:r w:rsidRPr="78369BE0">
      <w:rPr>
        <w:rFonts w:ascii="Palatino Linotype" w:eastAsia="Times New Roman" w:hAnsi="Palatino Linotype" w:cs="Times New Roman"/>
      </w:rPr>
      <w:t>7378-E</w:t>
    </w:r>
    <w:r>
      <w:rPr>
        <w:rFonts w:ascii="Palatino Linotype" w:eastAsia="Times New Roman" w:hAnsi="Palatino Linotype" w:cs="Times New Roman"/>
      </w:rPr>
      <w:t>/SO2</w:t>
    </w:r>
  </w:p>
  <w:p w14:paraId="1046F7CB" w14:textId="77777777" w:rsidR="008213BB" w:rsidRPr="0028582A" w:rsidRDefault="008213BB" w:rsidP="00285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8000" w14:textId="77777777" w:rsidR="00743ACB" w:rsidRPr="00743ACB" w:rsidRDefault="00743ACB" w:rsidP="00743ACB">
    <w:pPr>
      <w:widowControl w:val="0"/>
      <w:tabs>
        <w:tab w:val="center" w:pos="4320"/>
        <w:tab w:val="right" w:pos="8640"/>
      </w:tabs>
      <w:spacing w:after="0" w:line="240" w:lineRule="auto"/>
      <w:rPr>
        <w:rFonts w:ascii="Palatino Linotype" w:eastAsia="Aptos" w:hAnsi="Palatino Linotype" w:cs="Palatino"/>
        <w:kern w:val="0"/>
        <w14:ligatures w14:val="none"/>
      </w:rPr>
    </w:pPr>
    <w:r w:rsidRPr="00743ACB">
      <w:rPr>
        <w:rFonts w:ascii="Palatino Linotype" w:eastAsia="Aptos" w:hAnsi="Palatino Linotype" w:cs="Palatino"/>
        <w:kern w:val="0"/>
        <w14:ligatures w14:val="none"/>
      </w:rPr>
      <w:tab/>
    </w:r>
    <w:r w:rsidRPr="00743ACB">
      <w:rPr>
        <w:rFonts w:ascii="Palatino Linotype" w:eastAsia="Aptos" w:hAnsi="Palatino Linotype" w:cs="Palatino"/>
        <w:kern w:val="0"/>
        <w14:ligatures w14:val="none"/>
      </w:rPr>
      <w:tab/>
      <w:t>Date of Issuance: February 27, 2026</w:t>
    </w:r>
  </w:p>
  <w:p w14:paraId="52717830" w14:textId="2C88987B" w:rsidR="00750E92" w:rsidRPr="00743ACB" w:rsidRDefault="00750E92" w:rsidP="00743AC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hP9LuOd" int2:invalidationBookmarkName="" int2:hashCode="QYsDyRIVzJGbBB" int2:id="c9tADvJ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4D5"/>
    <w:multiLevelType w:val="hybridMultilevel"/>
    <w:tmpl w:val="B65C744A"/>
    <w:lvl w:ilvl="0" w:tplc="C212CCDE">
      <w:start w:val="1"/>
      <w:numFmt w:val="decimal"/>
      <w:lvlText w:val="%1."/>
      <w:lvlJc w:val="left"/>
      <w:pPr>
        <w:ind w:left="720" w:hanging="360"/>
      </w:pPr>
    </w:lvl>
    <w:lvl w:ilvl="1" w:tplc="F616486A">
      <w:start w:val="1"/>
      <w:numFmt w:val="lowerLetter"/>
      <w:lvlText w:val="%2."/>
      <w:lvlJc w:val="left"/>
      <w:pPr>
        <w:ind w:left="1440" w:hanging="360"/>
      </w:pPr>
    </w:lvl>
    <w:lvl w:ilvl="2" w:tplc="7F8805DC">
      <w:start w:val="1"/>
      <w:numFmt w:val="lowerRoman"/>
      <w:lvlText w:val="%3."/>
      <w:lvlJc w:val="right"/>
      <w:pPr>
        <w:ind w:left="2160" w:hanging="180"/>
      </w:pPr>
    </w:lvl>
    <w:lvl w:ilvl="3" w:tplc="12520FF2">
      <w:start w:val="1"/>
      <w:numFmt w:val="decimal"/>
      <w:lvlText w:val="%4."/>
      <w:lvlJc w:val="left"/>
      <w:pPr>
        <w:ind w:left="2880" w:hanging="360"/>
      </w:pPr>
    </w:lvl>
    <w:lvl w:ilvl="4" w:tplc="14C428DE">
      <w:start w:val="1"/>
      <w:numFmt w:val="lowerLetter"/>
      <w:lvlText w:val="%5."/>
      <w:lvlJc w:val="left"/>
      <w:pPr>
        <w:ind w:left="3600" w:hanging="360"/>
      </w:pPr>
    </w:lvl>
    <w:lvl w:ilvl="5" w:tplc="13F8953C">
      <w:start w:val="1"/>
      <w:numFmt w:val="lowerRoman"/>
      <w:lvlText w:val="%6."/>
      <w:lvlJc w:val="right"/>
      <w:pPr>
        <w:ind w:left="4320" w:hanging="180"/>
      </w:pPr>
    </w:lvl>
    <w:lvl w:ilvl="6" w:tplc="9A44B0D8">
      <w:start w:val="1"/>
      <w:numFmt w:val="decimal"/>
      <w:lvlText w:val="%7."/>
      <w:lvlJc w:val="left"/>
      <w:pPr>
        <w:ind w:left="5040" w:hanging="360"/>
      </w:pPr>
    </w:lvl>
    <w:lvl w:ilvl="7" w:tplc="CE008670">
      <w:start w:val="1"/>
      <w:numFmt w:val="lowerLetter"/>
      <w:lvlText w:val="%8."/>
      <w:lvlJc w:val="left"/>
      <w:pPr>
        <w:ind w:left="5760" w:hanging="360"/>
      </w:pPr>
    </w:lvl>
    <w:lvl w:ilvl="8" w:tplc="0B36867E">
      <w:start w:val="1"/>
      <w:numFmt w:val="lowerRoman"/>
      <w:lvlText w:val="%9."/>
      <w:lvlJc w:val="right"/>
      <w:pPr>
        <w:ind w:left="6480" w:hanging="180"/>
      </w:p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5DD059"/>
    <w:multiLevelType w:val="hybridMultilevel"/>
    <w:tmpl w:val="007CD1AE"/>
    <w:lvl w:ilvl="0" w:tplc="B60ED174">
      <w:start w:val="1"/>
      <w:numFmt w:val="bullet"/>
      <w:lvlText w:val=""/>
      <w:lvlJc w:val="left"/>
      <w:pPr>
        <w:ind w:left="720" w:hanging="360"/>
      </w:pPr>
      <w:rPr>
        <w:rFonts w:ascii="Symbol" w:hAnsi="Symbol" w:hint="default"/>
      </w:rPr>
    </w:lvl>
    <w:lvl w:ilvl="1" w:tplc="0E7E48D6">
      <w:start w:val="1"/>
      <w:numFmt w:val="bullet"/>
      <w:lvlText w:val="o"/>
      <w:lvlJc w:val="left"/>
      <w:pPr>
        <w:ind w:left="1440" w:hanging="360"/>
      </w:pPr>
      <w:rPr>
        <w:rFonts w:ascii="Courier New" w:hAnsi="Courier New" w:hint="default"/>
      </w:rPr>
    </w:lvl>
    <w:lvl w:ilvl="2" w:tplc="9D88FAA8">
      <w:start w:val="1"/>
      <w:numFmt w:val="bullet"/>
      <w:lvlText w:val=""/>
      <w:lvlJc w:val="left"/>
      <w:pPr>
        <w:ind w:left="2160" w:hanging="360"/>
      </w:pPr>
      <w:rPr>
        <w:rFonts w:ascii="Wingdings" w:hAnsi="Wingdings" w:hint="default"/>
      </w:rPr>
    </w:lvl>
    <w:lvl w:ilvl="3" w:tplc="AF0CFDD0">
      <w:start w:val="1"/>
      <w:numFmt w:val="bullet"/>
      <w:lvlText w:val=""/>
      <w:lvlJc w:val="left"/>
      <w:pPr>
        <w:ind w:left="2880" w:hanging="360"/>
      </w:pPr>
      <w:rPr>
        <w:rFonts w:ascii="Symbol" w:hAnsi="Symbol" w:hint="default"/>
      </w:rPr>
    </w:lvl>
    <w:lvl w:ilvl="4" w:tplc="BC769EEE">
      <w:start w:val="1"/>
      <w:numFmt w:val="bullet"/>
      <w:lvlText w:val="o"/>
      <w:lvlJc w:val="left"/>
      <w:pPr>
        <w:ind w:left="3600" w:hanging="360"/>
      </w:pPr>
      <w:rPr>
        <w:rFonts w:ascii="Courier New" w:hAnsi="Courier New" w:hint="default"/>
      </w:rPr>
    </w:lvl>
    <w:lvl w:ilvl="5" w:tplc="B344A9E6">
      <w:start w:val="1"/>
      <w:numFmt w:val="bullet"/>
      <w:lvlText w:val=""/>
      <w:lvlJc w:val="left"/>
      <w:pPr>
        <w:ind w:left="4320" w:hanging="360"/>
      </w:pPr>
      <w:rPr>
        <w:rFonts w:ascii="Wingdings" w:hAnsi="Wingdings" w:hint="default"/>
      </w:rPr>
    </w:lvl>
    <w:lvl w:ilvl="6" w:tplc="7D1280AA">
      <w:start w:val="1"/>
      <w:numFmt w:val="bullet"/>
      <w:lvlText w:val=""/>
      <w:lvlJc w:val="left"/>
      <w:pPr>
        <w:ind w:left="5040" w:hanging="360"/>
      </w:pPr>
      <w:rPr>
        <w:rFonts w:ascii="Symbol" w:hAnsi="Symbol" w:hint="default"/>
      </w:rPr>
    </w:lvl>
    <w:lvl w:ilvl="7" w:tplc="87E86E32">
      <w:start w:val="1"/>
      <w:numFmt w:val="bullet"/>
      <w:lvlText w:val="o"/>
      <w:lvlJc w:val="left"/>
      <w:pPr>
        <w:ind w:left="5760" w:hanging="360"/>
      </w:pPr>
      <w:rPr>
        <w:rFonts w:ascii="Courier New" w:hAnsi="Courier New" w:hint="default"/>
      </w:rPr>
    </w:lvl>
    <w:lvl w:ilvl="8" w:tplc="16A63894">
      <w:start w:val="1"/>
      <w:numFmt w:val="bullet"/>
      <w:lvlText w:val=""/>
      <w:lvlJc w:val="left"/>
      <w:pPr>
        <w:ind w:left="6480" w:hanging="360"/>
      </w:pPr>
      <w:rPr>
        <w:rFonts w:ascii="Wingdings" w:hAnsi="Wingdings" w:hint="default"/>
      </w:rPr>
    </w:lvl>
  </w:abstractNum>
  <w:abstractNum w:abstractNumId="3" w15:restartNumberingAfterBreak="0">
    <w:nsid w:val="228D33E9"/>
    <w:multiLevelType w:val="hybridMultilevel"/>
    <w:tmpl w:val="51EE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88EB"/>
    <w:multiLevelType w:val="hybridMultilevel"/>
    <w:tmpl w:val="F12EFD2A"/>
    <w:lvl w:ilvl="0" w:tplc="CBE6D998">
      <w:start w:val="1"/>
      <w:numFmt w:val="decimal"/>
      <w:lvlText w:val="%1."/>
      <w:lvlJc w:val="left"/>
      <w:pPr>
        <w:ind w:left="720" w:hanging="360"/>
      </w:pPr>
    </w:lvl>
    <w:lvl w:ilvl="1" w:tplc="278CA24C">
      <w:start w:val="1"/>
      <w:numFmt w:val="lowerLetter"/>
      <w:lvlText w:val="%2."/>
      <w:lvlJc w:val="left"/>
      <w:pPr>
        <w:ind w:left="1440" w:hanging="360"/>
      </w:pPr>
    </w:lvl>
    <w:lvl w:ilvl="2" w:tplc="D562A8E0">
      <w:start w:val="1"/>
      <w:numFmt w:val="lowerRoman"/>
      <w:lvlText w:val="%3."/>
      <w:lvlJc w:val="right"/>
      <w:pPr>
        <w:ind w:left="2160" w:hanging="180"/>
      </w:pPr>
    </w:lvl>
    <w:lvl w:ilvl="3" w:tplc="4CFA7D46">
      <w:start w:val="1"/>
      <w:numFmt w:val="decimal"/>
      <w:lvlText w:val="%4."/>
      <w:lvlJc w:val="left"/>
      <w:pPr>
        <w:ind w:left="2880" w:hanging="360"/>
      </w:pPr>
    </w:lvl>
    <w:lvl w:ilvl="4" w:tplc="899216DA">
      <w:start w:val="1"/>
      <w:numFmt w:val="lowerLetter"/>
      <w:lvlText w:val="%5."/>
      <w:lvlJc w:val="left"/>
      <w:pPr>
        <w:ind w:left="3600" w:hanging="360"/>
      </w:pPr>
    </w:lvl>
    <w:lvl w:ilvl="5" w:tplc="15084752">
      <w:start w:val="1"/>
      <w:numFmt w:val="lowerRoman"/>
      <w:lvlText w:val="%6."/>
      <w:lvlJc w:val="right"/>
      <w:pPr>
        <w:ind w:left="4320" w:hanging="180"/>
      </w:pPr>
    </w:lvl>
    <w:lvl w:ilvl="6" w:tplc="81922F54">
      <w:start w:val="1"/>
      <w:numFmt w:val="decimal"/>
      <w:lvlText w:val="%7."/>
      <w:lvlJc w:val="left"/>
      <w:pPr>
        <w:ind w:left="5040" w:hanging="360"/>
      </w:pPr>
    </w:lvl>
    <w:lvl w:ilvl="7" w:tplc="12A6A61C">
      <w:start w:val="1"/>
      <w:numFmt w:val="lowerLetter"/>
      <w:lvlText w:val="%8."/>
      <w:lvlJc w:val="left"/>
      <w:pPr>
        <w:ind w:left="5760" w:hanging="360"/>
      </w:pPr>
    </w:lvl>
    <w:lvl w:ilvl="8" w:tplc="E8C2DD54">
      <w:start w:val="1"/>
      <w:numFmt w:val="lowerRoman"/>
      <w:lvlText w:val="%9."/>
      <w:lvlJc w:val="right"/>
      <w:pPr>
        <w:ind w:left="6480" w:hanging="18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73327"/>
    <w:multiLevelType w:val="hybridMultilevel"/>
    <w:tmpl w:val="4C4EC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5103EC"/>
    <w:multiLevelType w:val="hybridMultilevel"/>
    <w:tmpl w:val="79C01B16"/>
    <w:lvl w:ilvl="0" w:tplc="60D6505A">
      <w:start w:val="1"/>
      <w:numFmt w:val="bullet"/>
      <w:lvlText w:val=""/>
      <w:lvlJc w:val="left"/>
      <w:pPr>
        <w:ind w:left="720" w:hanging="360"/>
      </w:pPr>
      <w:rPr>
        <w:rFonts w:ascii="Symbol" w:hAnsi="Symbol" w:hint="default"/>
      </w:rPr>
    </w:lvl>
    <w:lvl w:ilvl="1" w:tplc="E5021822">
      <w:start w:val="1"/>
      <w:numFmt w:val="bullet"/>
      <w:lvlText w:val="o"/>
      <w:lvlJc w:val="left"/>
      <w:pPr>
        <w:ind w:left="1440" w:hanging="360"/>
      </w:pPr>
      <w:rPr>
        <w:rFonts w:ascii="Courier New" w:hAnsi="Courier New" w:hint="default"/>
      </w:rPr>
    </w:lvl>
    <w:lvl w:ilvl="2" w:tplc="3452B2B4">
      <w:start w:val="1"/>
      <w:numFmt w:val="bullet"/>
      <w:lvlText w:val=""/>
      <w:lvlJc w:val="left"/>
      <w:pPr>
        <w:ind w:left="2160" w:hanging="360"/>
      </w:pPr>
      <w:rPr>
        <w:rFonts w:ascii="Wingdings" w:hAnsi="Wingdings" w:hint="default"/>
      </w:rPr>
    </w:lvl>
    <w:lvl w:ilvl="3" w:tplc="4E34922E">
      <w:start w:val="1"/>
      <w:numFmt w:val="bullet"/>
      <w:lvlText w:val=""/>
      <w:lvlJc w:val="left"/>
      <w:pPr>
        <w:ind w:left="2880" w:hanging="360"/>
      </w:pPr>
      <w:rPr>
        <w:rFonts w:ascii="Symbol" w:hAnsi="Symbol" w:hint="default"/>
      </w:rPr>
    </w:lvl>
    <w:lvl w:ilvl="4" w:tplc="8F3C9662">
      <w:start w:val="1"/>
      <w:numFmt w:val="bullet"/>
      <w:lvlText w:val="o"/>
      <w:lvlJc w:val="left"/>
      <w:pPr>
        <w:ind w:left="3600" w:hanging="360"/>
      </w:pPr>
      <w:rPr>
        <w:rFonts w:ascii="Courier New" w:hAnsi="Courier New" w:hint="default"/>
      </w:rPr>
    </w:lvl>
    <w:lvl w:ilvl="5" w:tplc="B7D60748">
      <w:start w:val="1"/>
      <w:numFmt w:val="bullet"/>
      <w:lvlText w:val=""/>
      <w:lvlJc w:val="left"/>
      <w:pPr>
        <w:ind w:left="4320" w:hanging="360"/>
      </w:pPr>
      <w:rPr>
        <w:rFonts w:ascii="Wingdings" w:hAnsi="Wingdings" w:hint="default"/>
      </w:rPr>
    </w:lvl>
    <w:lvl w:ilvl="6" w:tplc="91607666">
      <w:start w:val="1"/>
      <w:numFmt w:val="bullet"/>
      <w:lvlText w:val=""/>
      <w:lvlJc w:val="left"/>
      <w:pPr>
        <w:ind w:left="5040" w:hanging="360"/>
      </w:pPr>
      <w:rPr>
        <w:rFonts w:ascii="Symbol" w:hAnsi="Symbol" w:hint="default"/>
      </w:rPr>
    </w:lvl>
    <w:lvl w:ilvl="7" w:tplc="AF2CE17E">
      <w:start w:val="1"/>
      <w:numFmt w:val="bullet"/>
      <w:lvlText w:val="o"/>
      <w:lvlJc w:val="left"/>
      <w:pPr>
        <w:ind w:left="5760" w:hanging="360"/>
      </w:pPr>
      <w:rPr>
        <w:rFonts w:ascii="Courier New" w:hAnsi="Courier New" w:hint="default"/>
      </w:rPr>
    </w:lvl>
    <w:lvl w:ilvl="8" w:tplc="1FB4B35A">
      <w:start w:val="1"/>
      <w:numFmt w:val="bullet"/>
      <w:lvlText w:val=""/>
      <w:lvlJc w:val="left"/>
      <w:pPr>
        <w:ind w:left="6480" w:hanging="360"/>
      </w:pPr>
      <w:rPr>
        <w:rFonts w:ascii="Wingdings" w:hAnsi="Wingdings" w:hint="default"/>
      </w:rPr>
    </w:lvl>
  </w:abstractNum>
  <w:abstractNum w:abstractNumId="1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2" w15:restartNumberingAfterBreak="0">
    <w:nsid w:val="76FE4E62"/>
    <w:multiLevelType w:val="hybridMultilevel"/>
    <w:tmpl w:val="43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172223">
    <w:abstractNumId w:val="2"/>
  </w:num>
  <w:num w:numId="2" w16cid:durableId="991517991">
    <w:abstractNumId w:val="4"/>
  </w:num>
  <w:num w:numId="3" w16cid:durableId="240019329">
    <w:abstractNumId w:val="10"/>
  </w:num>
  <w:num w:numId="4" w16cid:durableId="1944801584">
    <w:abstractNumId w:val="0"/>
  </w:num>
  <w:num w:numId="5" w16cid:durableId="944842790">
    <w:abstractNumId w:val="6"/>
  </w:num>
  <w:num w:numId="6" w16cid:durableId="1991593136">
    <w:abstractNumId w:val="1"/>
  </w:num>
  <w:num w:numId="7" w16cid:durableId="1754620235">
    <w:abstractNumId w:val="5"/>
  </w:num>
  <w:num w:numId="8" w16cid:durableId="969365539">
    <w:abstractNumId w:val="9"/>
  </w:num>
  <w:num w:numId="9" w16cid:durableId="468133998">
    <w:abstractNumId w:val="7"/>
  </w:num>
  <w:num w:numId="10" w16cid:durableId="426273653">
    <w:abstractNumId w:val="11"/>
  </w:num>
  <w:num w:numId="11" w16cid:durableId="53160342">
    <w:abstractNumId w:val="3"/>
  </w:num>
  <w:num w:numId="12" w16cid:durableId="1680038761">
    <w:abstractNumId w:val="12"/>
  </w:num>
  <w:num w:numId="13" w16cid:durableId="1982879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2A9"/>
    <w:rsid w:val="000003F5"/>
    <w:rsid w:val="00000490"/>
    <w:rsid w:val="00002059"/>
    <w:rsid w:val="00003B88"/>
    <w:rsid w:val="0000792B"/>
    <w:rsid w:val="00012485"/>
    <w:rsid w:val="000163F6"/>
    <w:rsid w:val="000175C0"/>
    <w:rsid w:val="0002585A"/>
    <w:rsid w:val="000279B3"/>
    <w:rsid w:val="00036C26"/>
    <w:rsid w:val="000372F7"/>
    <w:rsid w:val="000445D4"/>
    <w:rsid w:val="00046162"/>
    <w:rsid w:val="00051AAB"/>
    <w:rsid w:val="000523B4"/>
    <w:rsid w:val="00052926"/>
    <w:rsid w:val="00054D11"/>
    <w:rsid w:val="0005626C"/>
    <w:rsid w:val="00057068"/>
    <w:rsid w:val="00065D64"/>
    <w:rsid w:val="00071325"/>
    <w:rsid w:val="00071EA9"/>
    <w:rsid w:val="0007307B"/>
    <w:rsid w:val="00075AB9"/>
    <w:rsid w:val="0007672B"/>
    <w:rsid w:val="000831B2"/>
    <w:rsid w:val="00083F53"/>
    <w:rsid w:val="000856E3"/>
    <w:rsid w:val="00085FC0"/>
    <w:rsid w:val="00086CA9"/>
    <w:rsid w:val="00090389"/>
    <w:rsid w:val="00090B7C"/>
    <w:rsid w:val="000919E5"/>
    <w:rsid w:val="00092930"/>
    <w:rsid w:val="00095E76"/>
    <w:rsid w:val="000A07DF"/>
    <w:rsid w:val="000A586C"/>
    <w:rsid w:val="000B146E"/>
    <w:rsid w:val="000B1F56"/>
    <w:rsid w:val="000B4F32"/>
    <w:rsid w:val="000B53EF"/>
    <w:rsid w:val="000B5449"/>
    <w:rsid w:val="000B75C4"/>
    <w:rsid w:val="000C26BC"/>
    <w:rsid w:val="000C5B76"/>
    <w:rsid w:val="000C7BEB"/>
    <w:rsid w:val="000E2683"/>
    <w:rsid w:val="000E2822"/>
    <w:rsid w:val="000E35AB"/>
    <w:rsid w:val="000E53F4"/>
    <w:rsid w:val="000E68D2"/>
    <w:rsid w:val="000F11A0"/>
    <w:rsid w:val="000F45AA"/>
    <w:rsid w:val="000F5056"/>
    <w:rsid w:val="000F699B"/>
    <w:rsid w:val="0010040D"/>
    <w:rsid w:val="00100AB8"/>
    <w:rsid w:val="00110F7A"/>
    <w:rsid w:val="00120C1A"/>
    <w:rsid w:val="0012ACE7"/>
    <w:rsid w:val="001317EC"/>
    <w:rsid w:val="00143046"/>
    <w:rsid w:val="00153BA8"/>
    <w:rsid w:val="00154DEF"/>
    <w:rsid w:val="00155361"/>
    <w:rsid w:val="001632E9"/>
    <w:rsid w:val="00165ACE"/>
    <w:rsid w:val="00166DF7"/>
    <w:rsid w:val="0017159A"/>
    <w:rsid w:val="00186401"/>
    <w:rsid w:val="0018778F"/>
    <w:rsid w:val="00187C9C"/>
    <w:rsid w:val="00187E86"/>
    <w:rsid w:val="0019617B"/>
    <w:rsid w:val="00197EC2"/>
    <w:rsid w:val="001A182B"/>
    <w:rsid w:val="001A68B8"/>
    <w:rsid w:val="001A6CEC"/>
    <w:rsid w:val="001A798E"/>
    <w:rsid w:val="001B2BB1"/>
    <w:rsid w:val="001C1E90"/>
    <w:rsid w:val="001C3671"/>
    <w:rsid w:val="001C435E"/>
    <w:rsid w:val="001C5D12"/>
    <w:rsid w:val="001D1703"/>
    <w:rsid w:val="001D2F48"/>
    <w:rsid w:val="001D5C5D"/>
    <w:rsid w:val="001D61B3"/>
    <w:rsid w:val="001D748C"/>
    <w:rsid w:val="001E237F"/>
    <w:rsid w:val="001E4ABD"/>
    <w:rsid w:val="001E5F8A"/>
    <w:rsid w:val="001E782B"/>
    <w:rsid w:val="001F15C0"/>
    <w:rsid w:val="001F2A17"/>
    <w:rsid w:val="001F2D87"/>
    <w:rsid w:val="001F2F1A"/>
    <w:rsid w:val="001F766E"/>
    <w:rsid w:val="00204B1B"/>
    <w:rsid w:val="002050A3"/>
    <w:rsid w:val="00205B6D"/>
    <w:rsid w:val="00206DCF"/>
    <w:rsid w:val="00210113"/>
    <w:rsid w:val="00211E90"/>
    <w:rsid w:val="002121EC"/>
    <w:rsid w:val="00212FB5"/>
    <w:rsid w:val="00217698"/>
    <w:rsid w:val="00220745"/>
    <w:rsid w:val="00220CF7"/>
    <w:rsid w:val="002219D1"/>
    <w:rsid w:val="002232AD"/>
    <w:rsid w:val="00230963"/>
    <w:rsid w:val="002403A0"/>
    <w:rsid w:val="0024510C"/>
    <w:rsid w:val="002514A5"/>
    <w:rsid w:val="00253185"/>
    <w:rsid w:val="00264214"/>
    <w:rsid w:val="00264DD9"/>
    <w:rsid w:val="00265514"/>
    <w:rsid w:val="002722D9"/>
    <w:rsid w:val="00272D68"/>
    <w:rsid w:val="00273EC4"/>
    <w:rsid w:val="00275158"/>
    <w:rsid w:val="00275B38"/>
    <w:rsid w:val="002769AB"/>
    <w:rsid w:val="00277273"/>
    <w:rsid w:val="00281A42"/>
    <w:rsid w:val="00282553"/>
    <w:rsid w:val="002846C3"/>
    <w:rsid w:val="002849D4"/>
    <w:rsid w:val="002851FC"/>
    <w:rsid w:val="0028582A"/>
    <w:rsid w:val="002860CA"/>
    <w:rsid w:val="0028742E"/>
    <w:rsid w:val="002907DE"/>
    <w:rsid w:val="00295E07"/>
    <w:rsid w:val="002976FA"/>
    <w:rsid w:val="00297DED"/>
    <w:rsid w:val="002A2444"/>
    <w:rsid w:val="002B07A4"/>
    <w:rsid w:val="002B3358"/>
    <w:rsid w:val="002B3990"/>
    <w:rsid w:val="002B7C1E"/>
    <w:rsid w:val="002C2250"/>
    <w:rsid w:val="002C764D"/>
    <w:rsid w:val="002D2258"/>
    <w:rsid w:val="002D607C"/>
    <w:rsid w:val="002E1149"/>
    <w:rsid w:val="002E1CFE"/>
    <w:rsid w:val="002E35A6"/>
    <w:rsid w:val="002E5C9C"/>
    <w:rsid w:val="002E5EE2"/>
    <w:rsid w:val="002E6B8F"/>
    <w:rsid w:val="002E773D"/>
    <w:rsid w:val="002E7C5B"/>
    <w:rsid w:val="002F22BE"/>
    <w:rsid w:val="002F5A6A"/>
    <w:rsid w:val="003002BD"/>
    <w:rsid w:val="00301CB3"/>
    <w:rsid w:val="0030232D"/>
    <w:rsid w:val="00303493"/>
    <w:rsid w:val="0030464C"/>
    <w:rsid w:val="00304BC9"/>
    <w:rsid w:val="00304BEA"/>
    <w:rsid w:val="00311CE0"/>
    <w:rsid w:val="00313725"/>
    <w:rsid w:val="00313AF6"/>
    <w:rsid w:val="00331642"/>
    <w:rsid w:val="003344C3"/>
    <w:rsid w:val="00337AC5"/>
    <w:rsid w:val="0034009F"/>
    <w:rsid w:val="00341126"/>
    <w:rsid w:val="003427E9"/>
    <w:rsid w:val="00343590"/>
    <w:rsid w:val="00346CD5"/>
    <w:rsid w:val="0034799B"/>
    <w:rsid w:val="00347AB3"/>
    <w:rsid w:val="00347B05"/>
    <w:rsid w:val="00350E65"/>
    <w:rsid w:val="00351447"/>
    <w:rsid w:val="00352823"/>
    <w:rsid w:val="00352F99"/>
    <w:rsid w:val="0036057D"/>
    <w:rsid w:val="003606DD"/>
    <w:rsid w:val="00363C39"/>
    <w:rsid w:val="00363F29"/>
    <w:rsid w:val="0037100A"/>
    <w:rsid w:val="00373CC1"/>
    <w:rsid w:val="00381FD2"/>
    <w:rsid w:val="0038374B"/>
    <w:rsid w:val="003843E9"/>
    <w:rsid w:val="003846CF"/>
    <w:rsid w:val="0038573B"/>
    <w:rsid w:val="00385B71"/>
    <w:rsid w:val="00387887"/>
    <w:rsid w:val="003914A8"/>
    <w:rsid w:val="003930B7"/>
    <w:rsid w:val="003944D0"/>
    <w:rsid w:val="00394835"/>
    <w:rsid w:val="003A1023"/>
    <w:rsid w:val="003B0AE4"/>
    <w:rsid w:val="003B1E7D"/>
    <w:rsid w:val="003B5AB0"/>
    <w:rsid w:val="003B5CCB"/>
    <w:rsid w:val="003B69BE"/>
    <w:rsid w:val="003B7310"/>
    <w:rsid w:val="003B7BF5"/>
    <w:rsid w:val="003C090B"/>
    <w:rsid w:val="003C6E30"/>
    <w:rsid w:val="003D082A"/>
    <w:rsid w:val="003D76B3"/>
    <w:rsid w:val="003F4D72"/>
    <w:rsid w:val="00403204"/>
    <w:rsid w:val="00403CDF"/>
    <w:rsid w:val="00404061"/>
    <w:rsid w:val="004046E8"/>
    <w:rsid w:val="004132D1"/>
    <w:rsid w:val="00413A69"/>
    <w:rsid w:val="0041725B"/>
    <w:rsid w:val="00417EA5"/>
    <w:rsid w:val="00422201"/>
    <w:rsid w:val="0042425D"/>
    <w:rsid w:val="004255F8"/>
    <w:rsid w:val="004271DA"/>
    <w:rsid w:val="004274BB"/>
    <w:rsid w:val="004409EC"/>
    <w:rsid w:val="00442AD4"/>
    <w:rsid w:val="00442C20"/>
    <w:rsid w:val="00442E78"/>
    <w:rsid w:val="00443F4C"/>
    <w:rsid w:val="004530D1"/>
    <w:rsid w:val="004536E7"/>
    <w:rsid w:val="004601F2"/>
    <w:rsid w:val="00461A0F"/>
    <w:rsid w:val="0046284A"/>
    <w:rsid w:val="0046427A"/>
    <w:rsid w:val="00464A25"/>
    <w:rsid w:val="00464E6D"/>
    <w:rsid w:val="00467879"/>
    <w:rsid w:val="00473945"/>
    <w:rsid w:val="0047462E"/>
    <w:rsid w:val="00474E32"/>
    <w:rsid w:val="0047626D"/>
    <w:rsid w:val="004817DE"/>
    <w:rsid w:val="00482942"/>
    <w:rsid w:val="00482E90"/>
    <w:rsid w:val="004906B2"/>
    <w:rsid w:val="00490E97"/>
    <w:rsid w:val="00492E9D"/>
    <w:rsid w:val="00496DBE"/>
    <w:rsid w:val="00497622"/>
    <w:rsid w:val="004A0FF9"/>
    <w:rsid w:val="004A1F0F"/>
    <w:rsid w:val="004A2295"/>
    <w:rsid w:val="004A2D03"/>
    <w:rsid w:val="004A6A3E"/>
    <w:rsid w:val="004A7449"/>
    <w:rsid w:val="004A7A4C"/>
    <w:rsid w:val="004B098F"/>
    <w:rsid w:val="004B0F50"/>
    <w:rsid w:val="004B1B2A"/>
    <w:rsid w:val="004B5DAB"/>
    <w:rsid w:val="004B6854"/>
    <w:rsid w:val="004C02EA"/>
    <w:rsid w:val="004C31CA"/>
    <w:rsid w:val="004E2309"/>
    <w:rsid w:val="004E28F8"/>
    <w:rsid w:val="004E426A"/>
    <w:rsid w:val="004E47F8"/>
    <w:rsid w:val="004E54E0"/>
    <w:rsid w:val="004E6392"/>
    <w:rsid w:val="004F2D17"/>
    <w:rsid w:val="004F35C1"/>
    <w:rsid w:val="004F41BB"/>
    <w:rsid w:val="004F4C57"/>
    <w:rsid w:val="0050229B"/>
    <w:rsid w:val="005038D5"/>
    <w:rsid w:val="005039EE"/>
    <w:rsid w:val="00504FDA"/>
    <w:rsid w:val="00505B00"/>
    <w:rsid w:val="00507134"/>
    <w:rsid w:val="00510FBE"/>
    <w:rsid w:val="005131CD"/>
    <w:rsid w:val="005149A2"/>
    <w:rsid w:val="00523615"/>
    <w:rsid w:val="00526384"/>
    <w:rsid w:val="00532BDE"/>
    <w:rsid w:val="005410AE"/>
    <w:rsid w:val="0054202C"/>
    <w:rsid w:val="00543624"/>
    <w:rsid w:val="005528DC"/>
    <w:rsid w:val="00552F7B"/>
    <w:rsid w:val="0055379D"/>
    <w:rsid w:val="005554A6"/>
    <w:rsid w:val="00557CAD"/>
    <w:rsid w:val="00564DEB"/>
    <w:rsid w:val="00565F65"/>
    <w:rsid w:val="005700E4"/>
    <w:rsid w:val="00573C80"/>
    <w:rsid w:val="0057667B"/>
    <w:rsid w:val="0058273E"/>
    <w:rsid w:val="0058560B"/>
    <w:rsid w:val="0058657A"/>
    <w:rsid w:val="00587C50"/>
    <w:rsid w:val="00591339"/>
    <w:rsid w:val="00594E08"/>
    <w:rsid w:val="00596C52"/>
    <w:rsid w:val="005A28FB"/>
    <w:rsid w:val="005A2945"/>
    <w:rsid w:val="005A63B0"/>
    <w:rsid w:val="005B3785"/>
    <w:rsid w:val="005B53F1"/>
    <w:rsid w:val="005C33BE"/>
    <w:rsid w:val="005C4A11"/>
    <w:rsid w:val="005C4DB4"/>
    <w:rsid w:val="005D4248"/>
    <w:rsid w:val="005D55B9"/>
    <w:rsid w:val="005D5C5D"/>
    <w:rsid w:val="005D682A"/>
    <w:rsid w:val="005E223D"/>
    <w:rsid w:val="005E397F"/>
    <w:rsid w:val="005E6AEB"/>
    <w:rsid w:val="005E7FE3"/>
    <w:rsid w:val="005E7FF3"/>
    <w:rsid w:val="005F07F9"/>
    <w:rsid w:val="005F23E4"/>
    <w:rsid w:val="00613127"/>
    <w:rsid w:val="0061539B"/>
    <w:rsid w:val="0061567B"/>
    <w:rsid w:val="00622003"/>
    <w:rsid w:val="00623F5F"/>
    <w:rsid w:val="0062651A"/>
    <w:rsid w:val="00630281"/>
    <w:rsid w:val="00633114"/>
    <w:rsid w:val="0063773E"/>
    <w:rsid w:val="006377E9"/>
    <w:rsid w:val="0064197B"/>
    <w:rsid w:val="006547DB"/>
    <w:rsid w:val="006561D5"/>
    <w:rsid w:val="00660AEE"/>
    <w:rsid w:val="006653EC"/>
    <w:rsid w:val="006703ED"/>
    <w:rsid w:val="00671FAE"/>
    <w:rsid w:val="00676204"/>
    <w:rsid w:val="00676BB1"/>
    <w:rsid w:val="006777E7"/>
    <w:rsid w:val="006833B0"/>
    <w:rsid w:val="00684278"/>
    <w:rsid w:val="00685138"/>
    <w:rsid w:val="0069142A"/>
    <w:rsid w:val="00691FFE"/>
    <w:rsid w:val="0069436D"/>
    <w:rsid w:val="0069744D"/>
    <w:rsid w:val="00697D27"/>
    <w:rsid w:val="006A212D"/>
    <w:rsid w:val="006A598C"/>
    <w:rsid w:val="006C4D8F"/>
    <w:rsid w:val="006C4E91"/>
    <w:rsid w:val="006D3413"/>
    <w:rsid w:val="006D41AD"/>
    <w:rsid w:val="006D47CF"/>
    <w:rsid w:val="006D6FCA"/>
    <w:rsid w:val="006E69BA"/>
    <w:rsid w:val="006F0E90"/>
    <w:rsid w:val="006F3729"/>
    <w:rsid w:val="006F6A66"/>
    <w:rsid w:val="006F6CC9"/>
    <w:rsid w:val="006F6E04"/>
    <w:rsid w:val="007020EB"/>
    <w:rsid w:val="0070776B"/>
    <w:rsid w:val="00713914"/>
    <w:rsid w:val="00716712"/>
    <w:rsid w:val="00722B81"/>
    <w:rsid w:val="00723C7B"/>
    <w:rsid w:val="0072458B"/>
    <w:rsid w:val="0072479F"/>
    <w:rsid w:val="00724F40"/>
    <w:rsid w:val="007272DD"/>
    <w:rsid w:val="0073089A"/>
    <w:rsid w:val="00732EE2"/>
    <w:rsid w:val="007404FC"/>
    <w:rsid w:val="007438D3"/>
    <w:rsid w:val="00743ACB"/>
    <w:rsid w:val="00744E0E"/>
    <w:rsid w:val="00746C4D"/>
    <w:rsid w:val="00750E92"/>
    <w:rsid w:val="007529AA"/>
    <w:rsid w:val="00753293"/>
    <w:rsid w:val="00757EEE"/>
    <w:rsid w:val="00760277"/>
    <w:rsid w:val="00760E36"/>
    <w:rsid w:val="00760E9A"/>
    <w:rsid w:val="00762ACE"/>
    <w:rsid w:val="00762EE5"/>
    <w:rsid w:val="0076309E"/>
    <w:rsid w:val="0076428D"/>
    <w:rsid w:val="007647F6"/>
    <w:rsid w:val="00764AC1"/>
    <w:rsid w:val="0076666F"/>
    <w:rsid w:val="007700EA"/>
    <w:rsid w:val="007708B1"/>
    <w:rsid w:val="007720F6"/>
    <w:rsid w:val="0077335E"/>
    <w:rsid w:val="007747D6"/>
    <w:rsid w:val="00780FF5"/>
    <w:rsid w:val="00784511"/>
    <w:rsid w:val="0078558F"/>
    <w:rsid w:val="007905F2"/>
    <w:rsid w:val="00790CC8"/>
    <w:rsid w:val="00793A67"/>
    <w:rsid w:val="0079409A"/>
    <w:rsid w:val="00795517"/>
    <w:rsid w:val="00797AC1"/>
    <w:rsid w:val="007A05D5"/>
    <w:rsid w:val="007A4380"/>
    <w:rsid w:val="007A4C52"/>
    <w:rsid w:val="007A7758"/>
    <w:rsid w:val="007B08B3"/>
    <w:rsid w:val="007B72EF"/>
    <w:rsid w:val="007C1723"/>
    <w:rsid w:val="007C3EA3"/>
    <w:rsid w:val="007C483D"/>
    <w:rsid w:val="007C51AC"/>
    <w:rsid w:val="007C58A8"/>
    <w:rsid w:val="007C6E08"/>
    <w:rsid w:val="007C7F55"/>
    <w:rsid w:val="007C93D5"/>
    <w:rsid w:val="007D0049"/>
    <w:rsid w:val="007D0D74"/>
    <w:rsid w:val="007D3D3F"/>
    <w:rsid w:val="007D6641"/>
    <w:rsid w:val="007E42A0"/>
    <w:rsid w:val="007E67BE"/>
    <w:rsid w:val="007E7384"/>
    <w:rsid w:val="00802705"/>
    <w:rsid w:val="00804A60"/>
    <w:rsid w:val="008074F9"/>
    <w:rsid w:val="00807CD2"/>
    <w:rsid w:val="008132AA"/>
    <w:rsid w:val="00815B39"/>
    <w:rsid w:val="00816B62"/>
    <w:rsid w:val="008213BB"/>
    <w:rsid w:val="00821FCB"/>
    <w:rsid w:val="00823411"/>
    <w:rsid w:val="008239B3"/>
    <w:rsid w:val="008266A9"/>
    <w:rsid w:val="00826AA9"/>
    <w:rsid w:val="00830DC0"/>
    <w:rsid w:val="00833D50"/>
    <w:rsid w:val="00840E0D"/>
    <w:rsid w:val="008465AB"/>
    <w:rsid w:val="0084699F"/>
    <w:rsid w:val="00846EE2"/>
    <w:rsid w:val="00852CA0"/>
    <w:rsid w:val="008557F0"/>
    <w:rsid w:val="0085DE8E"/>
    <w:rsid w:val="008606EB"/>
    <w:rsid w:val="00863181"/>
    <w:rsid w:val="00864F7E"/>
    <w:rsid w:val="00866341"/>
    <w:rsid w:val="0086660A"/>
    <w:rsid w:val="0087065C"/>
    <w:rsid w:val="00872D92"/>
    <w:rsid w:val="00884336"/>
    <w:rsid w:val="00887710"/>
    <w:rsid w:val="00891BBB"/>
    <w:rsid w:val="008932C0"/>
    <w:rsid w:val="00893AF4"/>
    <w:rsid w:val="008A4F71"/>
    <w:rsid w:val="008A788A"/>
    <w:rsid w:val="008B0764"/>
    <w:rsid w:val="008B0BBA"/>
    <w:rsid w:val="008C19EC"/>
    <w:rsid w:val="008C2D0D"/>
    <w:rsid w:val="008C496F"/>
    <w:rsid w:val="008C7600"/>
    <w:rsid w:val="008D5952"/>
    <w:rsid w:val="008E2CD7"/>
    <w:rsid w:val="008E4823"/>
    <w:rsid w:val="008E60A2"/>
    <w:rsid w:val="008F16CB"/>
    <w:rsid w:val="008F1CBC"/>
    <w:rsid w:val="008F208D"/>
    <w:rsid w:val="008F20C0"/>
    <w:rsid w:val="008F22F5"/>
    <w:rsid w:val="00900385"/>
    <w:rsid w:val="00900A54"/>
    <w:rsid w:val="00903772"/>
    <w:rsid w:val="00905AB8"/>
    <w:rsid w:val="00916869"/>
    <w:rsid w:val="00916C2F"/>
    <w:rsid w:val="00920C2D"/>
    <w:rsid w:val="00922D0C"/>
    <w:rsid w:val="00924A3B"/>
    <w:rsid w:val="009251B3"/>
    <w:rsid w:val="009262D0"/>
    <w:rsid w:val="00931EC7"/>
    <w:rsid w:val="00936E56"/>
    <w:rsid w:val="009441DB"/>
    <w:rsid w:val="009447BD"/>
    <w:rsid w:val="00954044"/>
    <w:rsid w:val="00954F07"/>
    <w:rsid w:val="00956D3A"/>
    <w:rsid w:val="0095707E"/>
    <w:rsid w:val="00964C22"/>
    <w:rsid w:val="00970971"/>
    <w:rsid w:val="00970E89"/>
    <w:rsid w:val="009712AF"/>
    <w:rsid w:val="009765E6"/>
    <w:rsid w:val="009858F2"/>
    <w:rsid w:val="00985D35"/>
    <w:rsid w:val="009904D3"/>
    <w:rsid w:val="00993D4F"/>
    <w:rsid w:val="009A089B"/>
    <w:rsid w:val="009A1DC7"/>
    <w:rsid w:val="009A292E"/>
    <w:rsid w:val="009A4B5D"/>
    <w:rsid w:val="009A4C6C"/>
    <w:rsid w:val="009B19DD"/>
    <w:rsid w:val="009B24EC"/>
    <w:rsid w:val="009B752A"/>
    <w:rsid w:val="009C1870"/>
    <w:rsid w:val="009C7992"/>
    <w:rsid w:val="009D67CB"/>
    <w:rsid w:val="009D703B"/>
    <w:rsid w:val="009D7CEC"/>
    <w:rsid w:val="009E2BEC"/>
    <w:rsid w:val="009E377D"/>
    <w:rsid w:val="009E4FCE"/>
    <w:rsid w:val="009E66F7"/>
    <w:rsid w:val="009E6BB7"/>
    <w:rsid w:val="009F000A"/>
    <w:rsid w:val="00A03BE9"/>
    <w:rsid w:val="00A10DCC"/>
    <w:rsid w:val="00A223D9"/>
    <w:rsid w:val="00A25F2D"/>
    <w:rsid w:val="00A35387"/>
    <w:rsid w:val="00A36474"/>
    <w:rsid w:val="00A41B2F"/>
    <w:rsid w:val="00A429A5"/>
    <w:rsid w:val="00A46D68"/>
    <w:rsid w:val="00A534CC"/>
    <w:rsid w:val="00A543E1"/>
    <w:rsid w:val="00A55C1B"/>
    <w:rsid w:val="00A60C6E"/>
    <w:rsid w:val="00A64D77"/>
    <w:rsid w:val="00A66D78"/>
    <w:rsid w:val="00A72654"/>
    <w:rsid w:val="00A76F4A"/>
    <w:rsid w:val="00A76FDB"/>
    <w:rsid w:val="00A77B7B"/>
    <w:rsid w:val="00A80032"/>
    <w:rsid w:val="00A84F6B"/>
    <w:rsid w:val="00A87B74"/>
    <w:rsid w:val="00A87ECE"/>
    <w:rsid w:val="00A929D4"/>
    <w:rsid w:val="00A933EA"/>
    <w:rsid w:val="00A95C2B"/>
    <w:rsid w:val="00A96114"/>
    <w:rsid w:val="00A961CB"/>
    <w:rsid w:val="00A968CD"/>
    <w:rsid w:val="00AA1DE7"/>
    <w:rsid w:val="00AA5EA1"/>
    <w:rsid w:val="00AB2760"/>
    <w:rsid w:val="00AB4E3A"/>
    <w:rsid w:val="00AC03D5"/>
    <w:rsid w:val="00AC0D8E"/>
    <w:rsid w:val="00AC2DCB"/>
    <w:rsid w:val="00AC6F6A"/>
    <w:rsid w:val="00AD5555"/>
    <w:rsid w:val="00AD66E6"/>
    <w:rsid w:val="00AE25DD"/>
    <w:rsid w:val="00AE2EB5"/>
    <w:rsid w:val="00AE4E7F"/>
    <w:rsid w:val="00AE5C2B"/>
    <w:rsid w:val="00AE6553"/>
    <w:rsid w:val="00AF5860"/>
    <w:rsid w:val="00B0014A"/>
    <w:rsid w:val="00B01A26"/>
    <w:rsid w:val="00B05190"/>
    <w:rsid w:val="00B05EDA"/>
    <w:rsid w:val="00B10ABF"/>
    <w:rsid w:val="00B10F78"/>
    <w:rsid w:val="00B1131F"/>
    <w:rsid w:val="00B16A48"/>
    <w:rsid w:val="00B22C44"/>
    <w:rsid w:val="00B2435E"/>
    <w:rsid w:val="00B3026D"/>
    <w:rsid w:val="00B3269F"/>
    <w:rsid w:val="00B340C0"/>
    <w:rsid w:val="00B36948"/>
    <w:rsid w:val="00B371D0"/>
    <w:rsid w:val="00B37A99"/>
    <w:rsid w:val="00B422D7"/>
    <w:rsid w:val="00B439DB"/>
    <w:rsid w:val="00B53E8E"/>
    <w:rsid w:val="00B55C17"/>
    <w:rsid w:val="00B56E8E"/>
    <w:rsid w:val="00B61F5E"/>
    <w:rsid w:val="00B640A5"/>
    <w:rsid w:val="00B671BF"/>
    <w:rsid w:val="00B67228"/>
    <w:rsid w:val="00B70278"/>
    <w:rsid w:val="00B70D1A"/>
    <w:rsid w:val="00B7486A"/>
    <w:rsid w:val="00B80B4C"/>
    <w:rsid w:val="00B862C3"/>
    <w:rsid w:val="00B91566"/>
    <w:rsid w:val="00B92E54"/>
    <w:rsid w:val="00B93DB2"/>
    <w:rsid w:val="00BA1C37"/>
    <w:rsid w:val="00BA4A20"/>
    <w:rsid w:val="00BA6D63"/>
    <w:rsid w:val="00BA7125"/>
    <w:rsid w:val="00BB1AA4"/>
    <w:rsid w:val="00BB1F4A"/>
    <w:rsid w:val="00BB79F4"/>
    <w:rsid w:val="00BC286A"/>
    <w:rsid w:val="00BC7A47"/>
    <w:rsid w:val="00BC7DAB"/>
    <w:rsid w:val="00BD15CC"/>
    <w:rsid w:val="00BD1C4E"/>
    <w:rsid w:val="00BD2355"/>
    <w:rsid w:val="00BD565D"/>
    <w:rsid w:val="00BD5F2F"/>
    <w:rsid w:val="00BD6B50"/>
    <w:rsid w:val="00BE0F44"/>
    <w:rsid w:val="00BE0F58"/>
    <w:rsid w:val="00BE55C8"/>
    <w:rsid w:val="00BE6EA7"/>
    <w:rsid w:val="00BF274E"/>
    <w:rsid w:val="00BF7D0E"/>
    <w:rsid w:val="00C00C5A"/>
    <w:rsid w:val="00C056AD"/>
    <w:rsid w:val="00C100FD"/>
    <w:rsid w:val="00C15256"/>
    <w:rsid w:val="00C155E2"/>
    <w:rsid w:val="00C16F2E"/>
    <w:rsid w:val="00C21ACC"/>
    <w:rsid w:val="00C22239"/>
    <w:rsid w:val="00C2424B"/>
    <w:rsid w:val="00C251AC"/>
    <w:rsid w:val="00C2646E"/>
    <w:rsid w:val="00C33B0A"/>
    <w:rsid w:val="00C36E43"/>
    <w:rsid w:val="00C3723D"/>
    <w:rsid w:val="00C402E6"/>
    <w:rsid w:val="00C44D29"/>
    <w:rsid w:val="00C45D39"/>
    <w:rsid w:val="00C50B25"/>
    <w:rsid w:val="00C53D88"/>
    <w:rsid w:val="00C53FB2"/>
    <w:rsid w:val="00C5488A"/>
    <w:rsid w:val="00C5547C"/>
    <w:rsid w:val="00C64863"/>
    <w:rsid w:val="00C705C7"/>
    <w:rsid w:val="00C70DC6"/>
    <w:rsid w:val="00C72CC9"/>
    <w:rsid w:val="00C73BDD"/>
    <w:rsid w:val="00C80317"/>
    <w:rsid w:val="00C8116B"/>
    <w:rsid w:val="00C94158"/>
    <w:rsid w:val="00C96157"/>
    <w:rsid w:val="00CA19CD"/>
    <w:rsid w:val="00CA19DE"/>
    <w:rsid w:val="00CA35C4"/>
    <w:rsid w:val="00CA3A4C"/>
    <w:rsid w:val="00CA3D13"/>
    <w:rsid w:val="00CA43DE"/>
    <w:rsid w:val="00CB71D0"/>
    <w:rsid w:val="00CC1DCE"/>
    <w:rsid w:val="00CC25D0"/>
    <w:rsid w:val="00CD0349"/>
    <w:rsid w:val="00CE557C"/>
    <w:rsid w:val="00CF2D70"/>
    <w:rsid w:val="00CF3791"/>
    <w:rsid w:val="00CF4F1E"/>
    <w:rsid w:val="00CF5EA6"/>
    <w:rsid w:val="00D039D3"/>
    <w:rsid w:val="00D065AF"/>
    <w:rsid w:val="00D1287E"/>
    <w:rsid w:val="00D2075F"/>
    <w:rsid w:val="00D305EE"/>
    <w:rsid w:val="00D34102"/>
    <w:rsid w:val="00D4333A"/>
    <w:rsid w:val="00D45BFB"/>
    <w:rsid w:val="00D45D8D"/>
    <w:rsid w:val="00D5235D"/>
    <w:rsid w:val="00D52C8D"/>
    <w:rsid w:val="00D60D23"/>
    <w:rsid w:val="00D64EB4"/>
    <w:rsid w:val="00D657EA"/>
    <w:rsid w:val="00D6594F"/>
    <w:rsid w:val="00D84357"/>
    <w:rsid w:val="00D847CD"/>
    <w:rsid w:val="00D84B28"/>
    <w:rsid w:val="00D853EF"/>
    <w:rsid w:val="00D92C72"/>
    <w:rsid w:val="00DA0A00"/>
    <w:rsid w:val="00DA24B0"/>
    <w:rsid w:val="00DA7D96"/>
    <w:rsid w:val="00DB0B02"/>
    <w:rsid w:val="00DB191C"/>
    <w:rsid w:val="00DB3E22"/>
    <w:rsid w:val="00DB57BF"/>
    <w:rsid w:val="00DC0A37"/>
    <w:rsid w:val="00DC1C94"/>
    <w:rsid w:val="00DC224A"/>
    <w:rsid w:val="00DC3406"/>
    <w:rsid w:val="00DC4735"/>
    <w:rsid w:val="00DD1750"/>
    <w:rsid w:val="00DD1FB5"/>
    <w:rsid w:val="00DD44B5"/>
    <w:rsid w:val="00DD6D35"/>
    <w:rsid w:val="00DF1648"/>
    <w:rsid w:val="00DF53CD"/>
    <w:rsid w:val="00DF60C3"/>
    <w:rsid w:val="00DF7386"/>
    <w:rsid w:val="00E02F72"/>
    <w:rsid w:val="00E0426C"/>
    <w:rsid w:val="00E0438B"/>
    <w:rsid w:val="00E0461F"/>
    <w:rsid w:val="00E06064"/>
    <w:rsid w:val="00E100B8"/>
    <w:rsid w:val="00E113E6"/>
    <w:rsid w:val="00E14866"/>
    <w:rsid w:val="00E17EB7"/>
    <w:rsid w:val="00E23C11"/>
    <w:rsid w:val="00E26849"/>
    <w:rsid w:val="00E31439"/>
    <w:rsid w:val="00E31576"/>
    <w:rsid w:val="00E33A72"/>
    <w:rsid w:val="00E379DF"/>
    <w:rsid w:val="00E4007F"/>
    <w:rsid w:val="00E42F6C"/>
    <w:rsid w:val="00E435CA"/>
    <w:rsid w:val="00E60942"/>
    <w:rsid w:val="00E621DE"/>
    <w:rsid w:val="00E63860"/>
    <w:rsid w:val="00E7028C"/>
    <w:rsid w:val="00E70DF3"/>
    <w:rsid w:val="00E7134B"/>
    <w:rsid w:val="00E75067"/>
    <w:rsid w:val="00E851DF"/>
    <w:rsid w:val="00E862A7"/>
    <w:rsid w:val="00E92B67"/>
    <w:rsid w:val="00E937B5"/>
    <w:rsid w:val="00E93DB4"/>
    <w:rsid w:val="00E94656"/>
    <w:rsid w:val="00EA0D38"/>
    <w:rsid w:val="00EA253C"/>
    <w:rsid w:val="00EA4682"/>
    <w:rsid w:val="00EA49F6"/>
    <w:rsid w:val="00EA6FCE"/>
    <w:rsid w:val="00EB2398"/>
    <w:rsid w:val="00EB28A5"/>
    <w:rsid w:val="00EB479A"/>
    <w:rsid w:val="00EC09AE"/>
    <w:rsid w:val="00EC0E17"/>
    <w:rsid w:val="00EC1FE3"/>
    <w:rsid w:val="00EC44AA"/>
    <w:rsid w:val="00EC4B55"/>
    <w:rsid w:val="00EC5515"/>
    <w:rsid w:val="00EC605B"/>
    <w:rsid w:val="00EC7DF0"/>
    <w:rsid w:val="00ED5063"/>
    <w:rsid w:val="00ED5732"/>
    <w:rsid w:val="00ED583A"/>
    <w:rsid w:val="00ED79F0"/>
    <w:rsid w:val="00EE2EDE"/>
    <w:rsid w:val="00EE310A"/>
    <w:rsid w:val="00EE3C26"/>
    <w:rsid w:val="00EE501D"/>
    <w:rsid w:val="00EF1CE0"/>
    <w:rsid w:val="00EF1E71"/>
    <w:rsid w:val="00EF2752"/>
    <w:rsid w:val="00F02560"/>
    <w:rsid w:val="00F052C7"/>
    <w:rsid w:val="00F0674E"/>
    <w:rsid w:val="00F10449"/>
    <w:rsid w:val="00F12F33"/>
    <w:rsid w:val="00F21D85"/>
    <w:rsid w:val="00F22039"/>
    <w:rsid w:val="00F319F5"/>
    <w:rsid w:val="00F348D6"/>
    <w:rsid w:val="00F369D5"/>
    <w:rsid w:val="00F374E6"/>
    <w:rsid w:val="00F42B51"/>
    <w:rsid w:val="00F50F19"/>
    <w:rsid w:val="00F51BDE"/>
    <w:rsid w:val="00F538BA"/>
    <w:rsid w:val="00F56EF4"/>
    <w:rsid w:val="00F62B84"/>
    <w:rsid w:val="00F64076"/>
    <w:rsid w:val="00F64FB0"/>
    <w:rsid w:val="00F65504"/>
    <w:rsid w:val="00F65797"/>
    <w:rsid w:val="00F6680E"/>
    <w:rsid w:val="00F67C77"/>
    <w:rsid w:val="00F72059"/>
    <w:rsid w:val="00F73FC2"/>
    <w:rsid w:val="00F80DD7"/>
    <w:rsid w:val="00F826C0"/>
    <w:rsid w:val="00F86C3B"/>
    <w:rsid w:val="00F90E2A"/>
    <w:rsid w:val="00F94526"/>
    <w:rsid w:val="00F94E91"/>
    <w:rsid w:val="00F9621E"/>
    <w:rsid w:val="00F96D01"/>
    <w:rsid w:val="00F97178"/>
    <w:rsid w:val="00FA04D9"/>
    <w:rsid w:val="00FA2C1E"/>
    <w:rsid w:val="00FB1765"/>
    <w:rsid w:val="00FB3F1F"/>
    <w:rsid w:val="00FB6A87"/>
    <w:rsid w:val="00FB70D5"/>
    <w:rsid w:val="00FB7C7C"/>
    <w:rsid w:val="00FC4B95"/>
    <w:rsid w:val="00FC6162"/>
    <w:rsid w:val="00FD16D5"/>
    <w:rsid w:val="00FD28FC"/>
    <w:rsid w:val="00FD5CD7"/>
    <w:rsid w:val="00FD64BE"/>
    <w:rsid w:val="00FE258D"/>
    <w:rsid w:val="00FE543A"/>
    <w:rsid w:val="00FE6B48"/>
    <w:rsid w:val="00FF5227"/>
    <w:rsid w:val="01920949"/>
    <w:rsid w:val="01A1EEB4"/>
    <w:rsid w:val="01B6D73B"/>
    <w:rsid w:val="01CA3FDE"/>
    <w:rsid w:val="0206D7B4"/>
    <w:rsid w:val="020CD728"/>
    <w:rsid w:val="025076F5"/>
    <w:rsid w:val="0291AC45"/>
    <w:rsid w:val="02BF5639"/>
    <w:rsid w:val="02F66927"/>
    <w:rsid w:val="03316F59"/>
    <w:rsid w:val="0336CC4F"/>
    <w:rsid w:val="0349F93B"/>
    <w:rsid w:val="0401C498"/>
    <w:rsid w:val="04519EAB"/>
    <w:rsid w:val="049AD179"/>
    <w:rsid w:val="04AFF425"/>
    <w:rsid w:val="04D60349"/>
    <w:rsid w:val="0533FE23"/>
    <w:rsid w:val="05D9ABE3"/>
    <w:rsid w:val="05F049B7"/>
    <w:rsid w:val="060F28C7"/>
    <w:rsid w:val="06386B57"/>
    <w:rsid w:val="065C704A"/>
    <w:rsid w:val="066C080F"/>
    <w:rsid w:val="06988B44"/>
    <w:rsid w:val="069B5C7E"/>
    <w:rsid w:val="06BC950B"/>
    <w:rsid w:val="07821F66"/>
    <w:rsid w:val="07C188CD"/>
    <w:rsid w:val="082C14AE"/>
    <w:rsid w:val="085DF5DC"/>
    <w:rsid w:val="086C1086"/>
    <w:rsid w:val="08A31973"/>
    <w:rsid w:val="093CF01F"/>
    <w:rsid w:val="0947234F"/>
    <w:rsid w:val="09EC3754"/>
    <w:rsid w:val="0A271E50"/>
    <w:rsid w:val="0A373A74"/>
    <w:rsid w:val="0A52CA90"/>
    <w:rsid w:val="0A5B7430"/>
    <w:rsid w:val="0ACDE16A"/>
    <w:rsid w:val="0AE5D0AF"/>
    <w:rsid w:val="0AFC8697"/>
    <w:rsid w:val="0B1B09FA"/>
    <w:rsid w:val="0B5EA84F"/>
    <w:rsid w:val="0B62416C"/>
    <w:rsid w:val="0B756A26"/>
    <w:rsid w:val="0BE02002"/>
    <w:rsid w:val="0C0D57F8"/>
    <w:rsid w:val="0C1030A9"/>
    <w:rsid w:val="0CF16B8B"/>
    <w:rsid w:val="0D53AB9D"/>
    <w:rsid w:val="0D5D2E84"/>
    <w:rsid w:val="0D609BCE"/>
    <w:rsid w:val="0DB2DD07"/>
    <w:rsid w:val="0DF3FFFB"/>
    <w:rsid w:val="0E2639A7"/>
    <w:rsid w:val="0E2DD8A1"/>
    <w:rsid w:val="0E822C40"/>
    <w:rsid w:val="0FDA1D7F"/>
    <w:rsid w:val="0FE47AB6"/>
    <w:rsid w:val="0FF69427"/>
    <w:rsid w:val="10035FDB"/>
    <w:rsid w:val="101E22FA"/>
    <w:rsid w:val="1061A915"/>
    <w:rsid w:val="1069E0BD"/>
    <w:rsid w:val="10DEFB46"/>
    <w:rsid w:val="10E16097"/>
    <w:rsid w:val="11CB1FE8"/>
    <w:rsid w:val="11D38771"/>
    <w:rsid w:val="120B73A3"/>
    <w:rsid w:val="12173368"/>
    <w:rsid w:val="1222E96F"/>
    <w:rsid w:val="1238698F"/>
    <w:rsid w:val="12543F3B"/>
    <w:rsid w:val="12D25F36"/>
    <w:rsid w:val="1357EF9E"/>
    <w:rsid w:val="13BED977"/>
    <w:rsid w:val="1427B1CA"/>
    <w:rsid w:val="1483760D"/>
    <w:rsid w:val="14953330"/>
    <w:rsid w:val="149C2C9D"/>
    <w:rsid w:val="14B28C86"/>
    <w:rsid w:val="14BB68A4"/>
    <w:rsid w:val="150A6030"/>
    <w:rsid w:val="158EB34E"/>
    <w:rsid w:val="15D3210C"/>
    <w:rsid w:val="1684CFF9"/>
    <w:rsid w:val="16E254CF"/>
    <w:rsid w:val="170D89F3"/>
    <w:rsid w:val="171C0E1F"/>
    <w:rsid w:val="1740C88B"/>
    <w:rsid w:val="174C4F01"/>
    <w:rsid w:val="175B57B8"/>
    <w:rsid w:val="176157B1"/>
    <w:rsid w:val="179E342C"/>
    <w:rsid w:val="17E11505"/>
    <w:rsid w:val="183130B3"/>
    <w:rsid w:val="18AA0EAE"/>
    <w:rsid w:val="18DE5DAC"/>
    <w:rsid w:val="18EBC86A"/>
    <w:rsid w:val="1953FEF5"/>
    <w:rsid w:val="1974BB64"/>
    <w:rsid w:val="19DD9F08"/>
    <w:rsid w:val="1A01C3C2"/>
    <w:rsid w:val="1A16E6D1"/>
    <w:rsid w:val="1A55BF2A"/>
    <w:rsid w:val="1AB752F9"/>
    <w:rsid w:val="1AFC01EB"/>
    <w:rsid w:val="1B61EB07"/>
    <w:rsid w:val="1B7C87FE"/>
    <w:rsid w:val="1B8590FD"/>
    <w:rsid w:val="1BB1ED74"/>
    <w:rsid w:val="1BCDB34A"/>
    <w:rsid w:val="1BD02BA8"/>
    <w:rsid w:val="1C0D4AB0"/>
    <w:rsid w:val="1C78CD4B"/>
    <w:rsid w:val="1CA9E58D"/>
    <w:rsid w:val="1D4BE049"/>
    <w:rsid w:val="1DA63166"/>
    <w:rsid w:val="1DAEDDFE"/>
    <w:rsid w:val="1E96E112"/>
    <w:rsid w:val="200084E2"/>
    <w:rsid w:val="200C7D54"/>
    <w:rsid w:val="206C8741"/>
    <w:rsid w:val="20710CFF"/>
    <w:rsid w:val="2142E462"/>
    <w:rsid w:val="2173CCFA"/>
    <w:rsid w:val="219387BA"/>
    <w:rsid w:val="228A08EC"/>
    <w:rsid w:val="22E75154"/>
    <w:rsid w:val="2307D66C"/>
    <w:rsid w:val="23187F76"/>
    <w:rsid w:val="2346CCCB"/>
    <w:rsid w:val="238AD286"/>
    <w:rsid w:val="238C87E3"/>
    <w:rsid w:val="23FDCF81"/>
    <w:rsid w:val="240D893C"/>
    <w:rsid w:val="2416EE0F"/>
    <w:rsid w:val="2422912E"/>
    <w:rsid w:val="250423E3"/>
    <w:rsid w:val="251370F6"/>
    <w:rsid w:val="253291AF"/>
    <w:rsid w:val="2563B781"/>
    <w:rsid w:val="25C122A8"/>
    <w:rsid w:val="2603BC5E"/>
    <w:rsid w:val="2606CB3F"/>
    <w:rsid w:val="26880C4B"/>
    <w:rsid w:val="26A0B1AD"/>
    <w:rsid w:val="26AD5670"/>
    <w:rsid w:val="26DD300A"/>
    <w:rsid w:val="270824B3"/>
    <w:rsid w:val="270A6FF9"/>
    <w:rsid w:val="27374F35"/>
    <w:rsid w:val="27956A37"/>
    <w:rsid w:val="27B181C1"/>
    <w:rsid w:val="2805A5D4"/>
    <w:rsid w:val="28C9B6F1"/>
    <w:rsid w:val="28DF55A1"/>
    <w:rsid w:val="2975333D"/>
    <w:rsid w:val="29FF417B"/>
    <w:rsid w:val="2A0CF816"/>
    <w:rsid w:val="2A1DC799"/>
    <w:rsid w:val="2AAA9322"/>
    <w:rsid w:val="2AB77287"/>
    <w:rsid w:val="2B085BF3"/>
    <w:rsid w:val="2B510F4A"/>
    <w:rsid w:val="2B806F03"/>
    <w:rsid w:val="2BA2EEBD"/>
    <w:rsid w:val="2D58CF6B"/>
    <w:rsid w:val="2D774805"/>
    <w:rsid w:val="2E2410E0"/>
    <w:rsid w:val="2E306B77"/>
    <w:rsid w:val="2E426FB7"/>
    <w:rsid w:val="2E653D4C"/>
    <w:rsid w:val="2E7C6C00"/>
    <w:rsid w:val="2E7DD3C0"/>
    <w:rsid w:val="2E86E1C9"/>
    <w:rsid w:val="2E9078A6"/>
    <w:rsid w:val="2EE8AE0D"/>
    <w:rsid w:val="2F4FAE2B"/>
    <w:rsid w:val="2F68209E"/>
    <w:rsid w:val="2F9AD102"/>
    <w:rsid w:val="2FF289E7"/>
    <w:rsid w:val="30056E46"/>
    <w:rsid w:val="30231F87"/>
    <w:rsid w:val="305F2365"/>
    <w:rsid w:val="306FEAF9"/>
    <w:rsid w:val="308F4586"/>
    <w:rsid w:val="3174B0F4"/>
    <w:rsid w:val="31B49A99"/>
    <w:rsid w:val="326E8968"/>
    <w:rsid w:val="32DB02B0"/>
    <w:rsid w:val="330AB7E4"/>
    <w:rsid w:val="334F0463"/>
    <w:rsid w:val="336A2346"/>
    <w:rsid w:val="3396AE62"/>
    <w:rsid w:val="33EB2ABB"/>
    <w:rsid w:val="33FC37CA"/>
    <w:rsid w:val="340530F0"/>
    <w:rsid w:val="340EB41B"/>
    <w:rsid w:val="341AF4C4"/>
    <w:rsid w:val="34B609CB"/>
    <w:rsid w:val="34D0AE4B"/>
    <w:rsid w:val="34E8384E"/>
    <w:rsid w:val="34F94A82"/>
    <w:rsid w:val="358FFAEC"/>
    <w:rsid w:val="361859C9"/>
    <w:rsid w:val="362DC799"/>
    <w:rsid w:val="364ECE7B"/>
    <w:rsid w:val="369342FC"/>
    <w:rsid w:val="369D5E98"/>
    <w:rsid w:val="36C05C80"/>
    <w:rsid w:val="378B8CD3"/>
    <w:rsid w:val="378C5617"/>
    <w:rsid w:val="380FB413"/>
    <w:rsid w:val="3846282A"/>
    <w:rsid w:val="384F962E"/>
    <w:rsid w:val="387161F9"/>
    <w:rsid w:val="387E8487"/>
    <w:rsid w:val="389DDD83"/>
    <w:rsid w:val="38CCA0D7"/>
    <w:rsid w:val="38D7C9CA"/>
    <w:rsid w:val="3949A2B7"/>
    <w:rsid w:val="39F3FDF2"/>
    <w:rsid w:val="39FE6B16"/>
    <w:rsid w:val="3AA8589C"/>
    <w:rsid w:val="3AAAFE60"/>
    <w:rsid w:val="3AE22541"/>
    <w:rsid w:val="3AF08CE7"/>
    <w:rsid w:val="3B433BAA"/>
    <w:rsid w:val="3B7F41FA"/>
    <w:rsid w:val="3BE1A84F"/>
    <w:rsid w:val="3BEBE789"/>
    <w:rsid w:val="3BF716AE"/>
    <w:rsid w:val="3C37BEC4"/>
    <w:rsid w:val="3C6E0E4F"/>
    <w:rsid w:val="3C8FFDE0"/>
    <w:rsid w:val="3CECBFA2"/>
    <w:rsid w:val="3D2124E6"/>
    <w:rsid w:val="3D284C09"/>
    <w:rsid w:val="3E6F158D"/>
    <w:rsid w:val="3E98E334"/>
    <w:rsid w:val="3EF5BE5D"/>
    <w:rsid w:val="3F17AFFE"/>
    <w:rsid w:val="3F25E42D"/>
    <w:rsid w:val="3F5A628A"/>
    <w:rsid w:val="3FA086D7"/>
    <w:rsid w:val="4064D8A7"/>
    <w:rsid w:val="40809F34"/>
    <w:rsid w:val="4080A092"/>
    <w:rsid w:val="408A28AB"/>
    <w:rsid w:val="40CAB5ED"/>
    <w:rsid w:val="410B00A2"/>
    <w:rsid w:val="4132E8B8"/>
    <w:rsid w:val="4141B980"/>
    <w:rsid w:val="4142A386"/>
    <w:rsid w:val="41827C2C"/>
    <w:rsid w:val="4188F22D"/>
    <w:rsid w:val="419DE3C1"/>
    <w:rsid w:val="422E84A8"/>
    <w:rsid w:val="42622C35"/>
    <w:rsid w:val="42CFB3BA"/>
    <w:rsid w:val="430DA100"/>
    <w:rsid w:val="4318D50C"/>
    <w:rsid w:val="439C2057"/>
    <w:rsid w:val="43B0A0D0"/>
    <w:rsid w:val="43F1CD64"/>
    <w:rsid w:val="444DFE2B"/>
    <w:rsid w:val="444E12C9"/>
    <w:rsid w:val="447A15C7"/>
    <w:rsid w:val="44DABF71"/>
    <w:rsid w:val="4503B15A"/>
    <w:rsid w:val="456674F7"/>
    <w:rsid w:val="4587CDA9"/>
    <w:rsid w:val="45BC87FC"/>
    <w:rsid w:val="4662F88F"/>
    <w:rsid w:val="46727A00"/>
    <w:rsid w:val="46E7367E"/>
    <w:rsid w:val="46F4A3A3"/>
    <w:rsid w:val="4702644B"/>
    <w:rsid w:val="4770F097"/>
    <w:rsid w:val="478F2040"/>
    <w:rsid w:val="47A07F3E"/>
    <w:rsid w:val="47CEBB8E"/>
    <w:rsid w:val="4828409D"/>
    <w:rsid w:val="4858EBF2"/>
    <w:rsid w:val="487DDF10"/>
    <w:rsid w:val="48A0A412"/>
    <w:rsid w:val="48D2B415"/>
    <w:rsid w:val="495280DA"/>
    <w:rsid w:val="498BA600"/>
    <w:rsid w:val="49944ED7"/>
    <w:rsid w:val="49A7AEC5"/>
    <w:rsid w:val="49F0C801"/>
    <w:rsid w:val="4A339CEC"/>
    <w:rsid w:val="4A59563B"/>
    <w:rsid w:val="4A5F6386"/>
    <w:rsid w:val="4A8B51F9"/>
    <w:rsid w:val="4AA8E9F4"/>
    <w:rsid w:val="4B8EF7B2"/>
    <w:rsid w:val="4C06E0D2"/>
    <w:rsid w:val="4C0B46DE"/>
    <w:rsid w:val="4CA5F00D"/>
    <w:rsid w:val="4CBD6C38"/>
    <w:rsid w:val="4D51C712"/>
    <w:rsid w:val="4D636484"/>
    <w:rsid w:val="4D94981E"/>
    <w:rsid w:val="4DA06BEA"/>
    <w:rsid w:val="4DBB3B84"/>
    <w:rsid w:val="4DF3A4C1"/>
    <w:rsid w:val="4E1431F5"/>
    <w:rsid w:val="4E720A58"/>
    <w:rsid w:val="4E7C283A"/>
    <w:rsid w:val="4EBADFF6"/>
    <w:rsid w:val="4EBAE479"/>
    <w:rsid w:val="4EC0AB26"/>
    <w:rsid w:val="4ECBD263"/>
    <w:rsid w:val="4F027024"/>
    <w:rsid w:val="4F2AD4DB"/>
    <w:rsid w:val="4F439820"/>
    <w:rsid w:val="4F5592F1"/>
    <w:rsid w:val="4F773502"/>
    <w:rsid w:val="4F9035FD"/>
    <w:rsid w:val="4FC74FDB"/>
    <w:rsid w:val="4FDC1BF6"/>
    <w:rsid w:val="504CA694"/>
    <w:rsid w:val="5096C226"/>
    <w:rsid w:val="50E5D3E5"/>
    <w:rsid w:val="51184D3B"/>
    <w:rsid w:val="51693991"/>
    <w:rsid w:val="5188A029"/>
    <w:rsid w:val="51BA64DB"/>
    <w:rsid w:val="520BB12A"/>
    <w:rsid w:val="524B0240"/>
    <w:rsid w:val="525EE8AA"/>
    <w:rsid w:val="5280221D"/>
    <w:rsid w:val="528BCA7E"/>
    <w:rsid w:val="528D35B2"/>
    <w:rsid w:val="52C90685"/>
    <w:rsid w:val="532A924F"/>
    <w:rsid w:val="53D56627"/>
    <w:rsid w:val="53F0F9A6"/>
    <w:rsid w:val="542AC687"/>
    <w:rsid w:val="5430C473"/>
    <w:rsid w:val="54AE047A"/>
    <w:rsid w:val="55121269"/>
    <w:rsid w:val="5521D794"/>
    <w:rsid w:val="552F1B01"/>
    <w:rsid w:val="5561229A"/>
    <w:rsid w:val="55C2F887"/>
    <w:rsid w:val="55C5654F"/>
    <w:rsid w:val="55C88FC8"/>
    <w:rsid w:val="55E04155"/>
    <w:rsid w:val="55E7678E"/>
    <w:rsid w:val="5601873E"/>
    <w:rsid w:val="560E2092"/>
    <w:rsid w:val="561EEFA3"/>
    <w:rsid w:val="565A45CF"/>
    <w:rsid w:val="566D0DF8"/>
    <w:rsid w:val="56A54446"/>
    <w:rsid w:val="56BF1F8A"/>
    <w:rsid w:val="56DF6A51"/>
    <w:rsid w:val="56FBE4B6"/>
    <w:rsid w:val="571797CB"/>
    <w:rsid w:val="572CBCA7"/>
    <w:rsid w:val="574E5DFD"/>
    <w:rsid w:val="5792D175"/>
    <w:rsid w:val="5794BF2B"/>
    <w:rsid w:val="579AAD02"/>
    <w:rsid w:val="579EAE0C"/>
    <w:rsid w:val="57FF32FF"/>
    <w:rsid w:val="582CF588"/>
    <w:rsid w:val="582D19E8"/>
    <w:rsid w:val="58771C45"/>
    <w:rsid w:val="590F9E12"/>
    <w:rsid w:val="593B8DB9"/>
    <w:rsid w:val="59589CC3"/>
    <w:rsid w:val="5961E46D"/>
    <w:rsid w:val="597108EC"/>
    <w:rsid w:val="598B6DBC"/>
    <w:rsid w:val="59E94391"/>
    <w:rsid w:val="5A200B7C"/>
    <w:rsid w:val="5A8700E1"/>
    <w:rsid w:val="5B072E49"/>
    <w:rsid w:val="5B85C990"/>
    <w:rsid w:val="5C0C88FD"/>
    <w:rsid w:val="5C121070"/>
    <w:rsid w:val="5CB72359"/>
    <w:rsid w:val="5D274387"/>
    <w:rsid w:val="5D6A70DE"/>
    <w:rsid w:val="5D79860A"/>
    <w:rsid w:val="5D7BE2D8"/>
    <w:rsid w:val="5D9E7676"/>
    <w:rsid w:val="5EBBDD59"/>
    <w:rsid w:val="5F31A0A5"/>
    <w:rsid w:val="5F921C9C"/>
    <w:rsid w:val="5FC838F1"/>
    <w:rsid w:val="5FE7C287"/>
    <w:rsid w:val="60CDA83D"/>
    <w:rsid w:val="60D0E33C"/>
    <w:rsid w:val="60D64612"/>
    <w:rsid w:val="60EAA1BF"/>
    <w:rsid w:val="6129A579"/>
    <w:rsid w:val="616D15B1"/>
    <w:rsid w:val="61AA4C56"/>
    <w:rsid w:val="61DCF351"/>
    <w:rsid w:val="620910E8"/>
    <w:rsid w:val="62505460"/>
    <w:rsid w:val="62927082"/>
    <w:rsid w:val="629BE80F"/>
    <w:rsid w:val="62AB70D6"/>
    <w:rsid w:val="632908A6"/>
    <w:rsid w:val="63A96ABD"/>
    <w:rsid w:val="63CF78B1"/>
    <w:rsid w:val="641BE6F4"/>
    <w:rsid w:val="64926FFE"/>
    <w:rsid w:val="6554A83D"/>
    <w:rsid w:val="6563CD19"/>
    <w:rsid w:val="658D5A7E"/>
    <w:rsid w:val="659B738F"/>
    <w:rsid w:val="65C3A185"/>
    <w:rsid w:val="65D36978"/>
    <w:rsid w:val="65F5CFC7"/>
    <w:rsid w:val="667B0AB7"/>
    <w:rsid w:val="668272B5"/>
    <w:rsid w:val="66A2CB24"/>
    <w:rsid w:val="66A79409"/>
    <w:rsid w:val="66AABF6C"/>
    <w:rsid w:val="66E43921"/>
    <w:rsid w:val="675FD798"/>
    <w:rsid w:val="67965930"/>
    <w:rsid w:val="67D9D321"/>
    <w:rsid w:val="67FCA5AD"/>
    <w:rsid w:val="68296347"/>
    <w:rsid w:val="685F3D4F"/>
    <w:rsid w:val="68767844"/>
    <w:rsid w:val="6898B258"/>
    <w:rsid w:val="68B7B414"/>
    <w:rsid w:val="68D4B6EB"/>
    <w:rsid w:val="696765B3"/>
    <w:rsid w:val="69810B28"/>
    <w:rsid w:val="699D605C"/>
    <w:rsid w:val="69BBB7A6"/>
    <w:rsid w:val="69CAA8BF"/>
    <w:rsid w:val="6AB57D3B"/>
    <w:rsid w:val="6AC1CDE6"/>
    <w:rsid w:val="6B4A1644"/>
    <w:rsid w:val="6B5B9CDD"/>
    <w:rsid w:val="6B8B1476"/>
    <w:rsid w:val="6B8DEE80"/>
    <w:rsid w:val="6BBD6E4C"/>
    <w:rsid w:val="6BBF71D7"/>
    <w:rsid w:val="6BD4D3A3"/>
    <w:rsid w:val="6BF9BA84"/>
    <w:rsid w:val="6C017445"/>
    <w:rsid w:val="6C0ADE60"/>
    <w:rsid w:val="6C417D84"/>
    <w:rsid w:val="6C42EC6F"/>
    <w:rsid w:val="6C4CA591"/>
    <w:rsid w:val="6C4F2F51"/>
    <w:rsid w:val="6C64BD10"/>
    <w:rsid w:val="6CAC6DF9"/>
    <w:rsid w:val="6CCFE31E"/>
    <w:rsid w:val="6D44CC7F"/>
    <w:rsid w:val="6E1653DF"/>
    <w:rsid w:val="6E7FDC74"/>
    <w:rsid w:val="6EC18B08"/>
    <w:rsid w:val="6ED8229D"/>
    <w:rsid w:val="6F654F55"/>
    <w:rsid w:val="6F8BD7B4"/>
    <w:rsid w:val="6F9544DA"/>
    <w:rsid w:val="6FC4F833"/>
    <w:rsid w:val="6FD16C34"/>
    <w:rsid w:val="7010F2AC"/>
    <w:rsid w:val="7090DCAA"/>
    <w:rsid w:val="70A7EB0D"/>
    <w:rsid w:val="70B452E7"/>
    <w:rsid w:val="710AE784"/>
    <w:rsid w:val="71283022"/>
    <w:rsid w:val="712A9FBC"/>
    <w:rsid w:val="715C1071"/>
    <w:rsid w:val="71D72DF0"/>
    <w:rsid w:val="72125AF3"/>
    <w:rsid w:val="72A820B4"/>
    <w:rsid w:val="72CA9867"/>
    <w:rsid w:val="72F1ECE2"/>
    <w:rsid w:val="72F52493"/>
    <w:rsid w:val="73041420"/>
    <w:rsid w:val="737A4FEC"/>
    <w:rsid w:val="73A13B48"/>
    <w:rsid w:val="73D19981"/>
    <w:rsid w:val="73DB1BC5"/>
    <w:rsid w:val="7400B776"/>
    <w:rsid w:val="74944668"/>
    <w:rsid w:val="756534E9"/>
    <w:rsid w:val="756FBEEA"/>
    <w:rsid w:val="759F202A"/>
    <w:rsid w:val="75A3D4D5"/>
    <w:rsid w:val="75C43F2A"/>
    <w:rsid w:val="75D40D40"/>
    <w:rsid w:val="75E27400"/>
    <w:rsid w:val="764076CD"/>
    <w:rsid w:val="764B7DF4"/>
    <w:rsid w:val="7674F0E4"/>
    <w:rsid w:val="76A90CE0"/>
    <w:rsid w:val="77A5E43B"/>
    <w:rsid w:val="781F43F2"/>
    <w:rsid w:val="7829BF03"/>
    <w:rsid w:val="78369BE0"/>
    <w:rsid w:val="7872DD1E"/>
    <w:rsid w:val="78950716"/>
    <w:rsid w:val="78FB21E6"/>
    <w:rsid w:val="7906F450"/>
    <w:rsid w:val="79184293"/>
    <w:rsid w:val="79526933"/>
    <w:rsid w:val="798AA049"/>
    <w:rsid w:val="79A66484"/>
    <w:rsid w:val="7A1D3831"/>
    <w:rsid w:val="7A2FD2B0"/>
    <w:rsid w:val="7A4A00AE"/>
    <w:rsid w:val="7A6F38BD"/>
    <w:rsid w:val="7A91ECC3"/>
    <w:rsid w:val="7B01EFDB"/>
    <w:rsid w:val="7B71F530"/>
    <w:rsid w:val="7BABAF4F"/>
    <w:rsid w:val="7BB139A1"/>
    <w:rsid w:val="7C32B948"/>
    <w:rsid w:val="7C3ACFB2"/>
    <w:rsid w:val="7C592C29"/>
    <w:rsid w:val="7C705B82"/>
    <w:rsid w:val="7CCC764D"/>
    <w:rsid w:val="7CEF24BC"/>
    <w:rsid w:val="7CFD71B4"/>
    <w:rsid w:val="7D1E5554"/>
    <w:rsid w:val="7D287BDB"/>
    <w:rsid w:val="7DF8D1A9"/>
    <w:rsid w:val="7E64DC70"/>
    <w:rsid w:val="7E9BD7C4"/>
    <w:rsid w:val="7EA27518"/>
    <w:rsid w:val="7F263116"/>
    <w:rsid w:val="7F711BB6"/>
    <w:rsid w:val="7F74A8C5"/>
    <w:rsid w:val="7FA1E217"/>
    <w:rsid w:val="7FCF34DC"/>
    <w:rsid w:val="7FD94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80D9E"/>
  <w15:chartTrackingRefBased/>
  <w15:docId w15:val="{A2E9F6B8-B840-4E70-B816-A78C9CD5178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10"/>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Revision">
    <w:name w:val="Revision"/>
    <w:hidden/>
    <w:uiPriority w:val="99"/>
    <w:semiHidden/>
    <w:rsid w:val="000523B4"/>
    <w:pPr>
      <w:spacing w:after="0" w:line="240" w:lineRule="auto"/>
    </w:pPr>
  </w:style>
  <w:style w:type="paragraph" w:styleId="EndnoteText">
    <w:name w:val="endnote text"/>
    <w:basedOn w:val="Normal"/>
    <w:uiPriority w:val="99"/>
    <w:semiHidden/>
    <w:unhideWhenUsed/>
    <w:rsid w:val="78369BE0"/>
    <w:pPr>
      <w:spacing w:after="0" w:line="240" w:lineRule="auto"/>
    </w:pPr>
    <w:rPr>
      <w:sz w:val="20"/>
      <w:szCs w:val="20"/>
    </w:rPr>
  </w:style>
  <w:style w:type="paragraph" w:styleId="FootnoteText">
    <w:name w:val="footnote text"/>
    <w:basedOn w:val="Normal"/>
    <w:uiPriority w:val="99"/>
    <w:semiHidden/>
    <w:unhideWhenUsed/>
    <w:rsid w:val="78369BE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1299B-1CA0-44B6-80BD-1484E15E662E}">
  <ds:schemaRefs>
    <ds:schemaRef ds:uri="http://schemas.openxmlformats.org/officeDocument/2006/bibliography"/>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5025</ap:Words>
  <ap:Characters>28646</ap:Characters>
  <ap:Application>Microsoft Office Word</ap:Application>
  <ap:DocSecurity>0</ap:DocSecurity>
  <ap:Lines>238</ap:Lines>
  <ap:Paragraphs>67</ap:Paragraphs>
  <ap:ScaleCrop>false</ap:ScaleCrop>
  <ap:Company/>
  <ap:LinksUpToDate>false</ap:LinksUpToDate>
  <ap:CharactersWithSpaces>33604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2026-02-27T13:52:26Z</dcterms:created>
  <dcterms:modified xsi:type="dcterms:W3CDTF">2026-02-27T13:52:26Z</dcterms:modified>
</cp:coreProperties>
</file>