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1D85" w:rsidP="00151EF9" w:rsidRDefault="00151EF9" w14:paraId="3267AC23" w14:textId="21C517FA">
      <w:pPr>
        <w:tabs>
          <w:tab w:val="right" w:pos="9360"/>
        </w:tabs>
        <w:spacing w:line="240" w:lineRule="auto"/>
        <w:ind w:firstLine="0"/>
        <w:jc w:val="right"/>
        <w:rPr>
          <w:b/>
          <w:bCs/>
        </w:rPr>
      </w:pPr>
      <w:r w:rsidRPr="00151EF9">
        <w:rPr>
          <w:bCs/>
        </w:rPr>
        <w:t>ALJ/MOD-POD-</w:t>
      </w:r>
      <w:r>
        <w:rPr>
          <w:bCs/>
        </w:rPr>
        <w:t>JYL</w:t>
      </w:r>
      <w:r w:rsidRPr="00151EF9">
        <w:rPr>
          <w:bCs/>
        </w:rPr>
        <w:t>/</w:t>
      </w:r>
      <w:r>
        <w:rPr>
          <w:bCs/>
        </w:rPr>
        <w:t xml:space="preserve">asf                    </w:t>
      </w:r>
      <w:r>
        <w:rPr>
          <w:b/>
          <w:bCs/>
        </w:rPr>
        <w:tab/>
        <w:t>Agenda ID#</w:t>
      </w:r>
      <w:r w:rsidR="00774E40">
        <w:rPr>
          <w:b/>
          <w:bCs/>
        </w:rPr>
        <w:t>24093</w:t>
      </w:r>
    </w:p>
    <w:p w:rsidR="00151EF9" w:rsidP="00151EF9" w:rsidRDefault="00151EF9" w14:paraId="20E5EB47" w14:textId="5545F04F">
      <w:pPr>
        <w:tabs>
          <w:tab w:val="right" w:pos="9360"/>
        </w:tabs>
        <w:spacing w:line="240" w:lineRule="auto"/>
        <w:ind w:firstLine="0"/>
        <w:jc w:val="right"/>
        <w:rPr>
          <w:b/>
        </w:rPr>
      </w:pPr>
      <w:r>
        <w:rPr>
          <w:b/>
          <w:bCs/>
        </w:rPr>
        <w:t>Adjudicatory</w:t>
      </w:r>
    </w:p>
    <w:p w:rsidR="0050093B" w:rsidP="0050093B" w:rsidRDefault="0050093B" w14:paraId="576DC894" w14:textId="77777777">
      <w:pPr>
        <w:tabs>
          <w:tab w:val="center" w:pos="4680"/>
        </w:tabs>
        <w:spacing w:line="240" w:lineRule="auto"/>
        <w:ind w:firstLine="0"/>
        <w:rPr>
          <w:b/>
        </w:rPr>
      </w:pPr>
    </w:p>
    <w:p w:rsidRPr="0050093B" w:rsidR="00C846C2" w:rsidP="0050093B" w:rsidRDefault="00C846C2" w14:paraId="014CB2A0" w14:textId="77777777">
      <w:pPr>
        <w:tabs>
          <w:tab w:val="center" w:pos="4680"/>
        </w:tabs>
        <w:spacing w:line="240" w:lineRule="auto"/>
        <w:ind w:firstLine="0"/>
        <w:rPr>
          <w:b/>
        </w:rPr>
      </w:pPr>
    </w:p>
    <w:p w:rsidRPr="00151EF9" w:rsidR="00B71D85" w:rsidP="00151EF9" w:rsidRDefault="00B71D85" w14:paraId="4E4387BE" w14:textId="32DC4BAC">
      <w:pPr>
        <w:spacing w:line="240" w:lineRule="auto"/>
        <w:ind w:left="1080" w:hanging="1080"/>
      </w:pPr>
      <w:r>
        <w:t xml:space="preserve">Decision </w:t>
      </w:r>
      <w:r w:rsidR="00151EF9">
        <w:rPr>
          <w:u w:val="single"/>
        </w:rPr>
        <w:tab/>
      </w:r>
      <w:r w:rsidR="00151EF9">
        <w:rPr>
          <w:u w:val="single"/>
        </w:rPr>
        <w:tab/>
      </w:r>
      <w:r w:rsidR="00151EF9">
        <w:rPr>
          <w:u w:val="single"/>
        </w:rPr>
        <w:tab/>
      </w:r>
      <w:r w:rsidR="00151EF9">
        <w:rPr>
          <w:u w:val="single"/>
        </w:rPr>
        <w:tab/>
      </w:r>
      <w:r w:rsidR="00151EF9">
        <w:rPr>
          <w:u w:val="single"/>
        </w:rPr>
        <w:tab/>
      </w:r>
    </w:p>
    <w:p w:rsidR="00B71D85" w:rsidP="00A45651" w:rsidRDefault="00B71D85" w14:paraId="0FBB5360" w14:textId="77777777">
      <w:pPr>
        <w:jc w:val="center"/>
        <w:rPr>
          <w:u w:val="single"/>
        </w:rPr>
      </w:pPr>
    </w:p>
    <w:p w:rsidR="00B71D85" w:rsidP="00B71D85" w:rsidRDefault="00B71D85" w14:paraId="207A4B11"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B71D85" w:rsidP="00B71D85" w:rsidRDefault="00B71D85" w14:paraId="0E9E7FB4"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5490"/>
        <w:gridCol w:w="3870"/>
      </w:tblGrid>
      <w:tr w:rsidR="00B71D85" w:rsidTr="005F1BA1" w14:paraId="7F66E8EB" w14:textId="77777777">
        <w:trPr>
          <w:jc w:val="center"/>
        </w:trPr>
        <w:tc>
          <w:tcPr>
            <w:tcW w:w="5490" w:type="dxa"/>
            <w:tcBorders>
              <w:top w:val="nil"/>
              <w:left w:val="nil"/>
              <w:bottom w:val="single" w:color="auto" w:sz="4" w:space="0"/>
              <w:right w:val="single" w:color="auto" w:sz="4" w:space="0"/>
            </w:tcBorders>
          </w:tcPr>
          <w:p w:rsidR="00D9161C" w:rsidP="00D9161C" w:rsidRDefault="00D9161C" w14:paraId="68028C3A" w14:textId="77777777">
            <w:pPr>
              <w:spacing w:line="240" w:lineRule="auto"/>
              <w:ind w:firstLine="0"/>
            </w:pPr>
            <w:r w:rsidRPr="000E48B2">
              <w:t>Jim Irizarry</w:t>
            </w:r>
            <w:r>
              <w:t>,</w:t>
            </w:r>
          </w:p>
          <w:p w:rsidR="00D9161C" w:rsidP="00D9161C" w:rsidRDefault="00D9161C" w14:paraId="44CA86AE" w14:textId="77777777">
            <w:pPr>
              <w:spacing w:line="240" w:lineRule="auto"/>
              <w:ind w:firstLine="0"/>
            </w:pPr>
          </w:p>
          <w:p w:rsidR="00D9161C" w:rsidP="00D9161C" w:rsidRDefault="00D9161C" w14:paraId="289D937C" w14:textId="77777777">
            <w:pPr>
              <w:spacing w:line="240" w:lineRule="auto"/>
              <w:ind w:firstLine="0"/>
              <w:jc w:val="right"/>
            </w:pPr>
            <w:r>
              <w:t>Complainant,</w:t>
            </w:r>
          </w:p>
          <w:p w:rsidR="00D9161C" w:rsidP="00D9161C" w:rsidRDefault="00D9161C" w14:paraId="402FC075" w14:textId="77777777">
            <w:pPr>
              <w:spacing w:line="240" w:lineRule="auto"/>
              <w:ind w:firstLine="0"/>
            </w:pPr>
          </w:p>
          <w:p w:rsidR="00D9161C" w:rsidP="00D9161C" w:rsidRDefault="00D9161C" w14:paraId="02F71C21" w14:textId="2060F3AB">
            <w:pPr>
              <w:spacing w:line="240" w:lineRule="auto"/>
              <w:ind w:firstLine="0"/>
              <w:jc w:val="center"/>
              <w:rPr>
                <w:rFonts w:cs="Arial"/>
                <w:szCs w:val="26"/>
              </w:rPr>
            </w:pPr>
            <w:r>
              <w:rPr>
                <w:rFonts w:cs="Arial"/>
                <w:szCs w:val="26"/>
              </w:rPr>
              <w:t>v</w:t>
            </w:r>
            <w:r w:rsidR="00C846C2">
              <w:rPr>
                <w:rFonts w:cs="Arial"/>
                <w:szCs w:val="26"/>
              </w:rPr>
              <w:t>s</w:t>
            </w:r>
            <w:r>
              <w:rPr>
                <w:rFonts w:cs="Arial"/>
                <w:szCs w:val="26"/>
              </w:rPr>
              <w:t>.</w:t>
            </w:r>
          </w:p>
          <w:p w:rsidR="00D9161C" w:rsidP="00D9161C" w:rsidRDefault="00D9161C" w14:paraId="5CFEC660" w14:textId="77777777">
            <w:pPr>
              <w:spacing w:line="240" w:lineRule="auto"/>
              <w:ind w:firstLine="0"/>
              <w:rPr>
                <w:rFonts w:cs="Arial"/>
                <w:szCs w:val="26"/>
              </w:rPr>
            </w:pPr>
          </w:p>
          <w:p w:rsidR="00D9161C" w:rsidP="00D9161C" w:rsidRDefault="00D9161C" w14:paraId="350D270C" w14:textId="77777777">
            <w:pPr>
              <w:spacing w:line="240" w:lineRule="auto"/>
              <w:ind w:firstLine="0"/>
            </w:pPr>
            <w:r w:rsidRPr="000E48B2">
              <w:t>Pacific Gas and Electric Company (U39E</w:t>
            </w:r>
            <w:r>
              <w:t>),</w:t>
            </w:r>
          </w:p>
          <w:p w:rsidR="00D9161C" w:rsidP="00D9161C" w:rsidRDefault="00D9161C" w14:paraId="549FBD7E" w14:textId="77777777">
            <w:pPr>
              <w:spacing w:line="240" w:lineRule="auto"/>
              <w:ind w:firstLine="0"/>
            </w:pPr>
          </w:p>
          <w:p w:rsidR="00B71D85" w:rsidP="00D02E9D" w:rsidRDefault="00D9161C" w14:paraId="7195DC87" w14:textId="0F356537">
            <w:pPr>
              <w:spacing w:line="240" w:lineRule="auto"/>
              <w:ind w:left="3941" w:firstLine="0"/>
              <w:rPr>
                <w:rFonts w:cs="Arial"/>
                <w:szCs w:val="26"/>
              </w:rPr>
            </w:pPr>
            <w:r>
              <w:t>Defendant.</w:t>
            </w:r>
          </w:p>
          <w:p w:rsidRPr="00DA7B5D" w:rsidR="00B71D85" w:rsidP="005F1BA1" w:rsidRDefault="00B71D85" w14:paraId="58098FC6" w14:textId="77777777">
            <w:pPr>
              <w:spacing w:line="240" w:lineRule="auto"/>
              <w:ind w:firstLine="0"/>
              <w:rPr>
                <w:rFonts w:cs="Arial"/>
                <w:szCs w:val="26"/>
              </w:rPr>
            </w:pPr>
          </w:p>
        </w:tc>
        <w:tc>
          <w:tcPr>
            <w:tcW w:w="3870" w:type="dxa"/>
            <w:tcBorders>
              <w:top w:val="nil"/>
              <w:left w:val="single" w:color="auto" w:sz="4" w:space="0"/>
              <w:bottom w:val="nil"/>
              <w:right w:val="nil"/>
            </w:tcBorders>
            <w:vAlign w:val="center"/>
          </w:tcPr>
          <w:p w:rsidR="00B71D85" w:rsidP="005F1BA1" w:rsidRDefault="00A0760A" w14:paraId="01DD8D14" w14:textId="3D1B5A86">
            <w:pPr>
              <w:spacing w:line="240" w:lineRule="auto"/>
              <w:ind w:firstLine="0"/>
              <w:jc w:val="center"/>
              <w:rPr>
                <w:rFonts w:cs="Arial"/>
                <w:szCs w:val="26"/>
              </w:rPr>
            </w:pPr>
            <w:r>
              <w:t>Case 23-02-003</w:t>
            </w:r>
          </w:p>
          <w:p w:rsidRPr="00DA7B5D" w:rsidR="00B71D85" w:rsidP="005F1BA1" w:rsidRDefault="00B71D85" w14:paraId="2B79EC31" w14:textId="77777777">
            <w:pPr>
              <w:spacing w:line="240" w:lineRule="auto"/>
              <w:ind w:firstLine="0"/>
              <w:jc w:val="center"/>
              <w:rPr>
                <w:rFonts w:cs="Arial"/>
                <w:szCs w:val="26"/>
              </w:rPr>
            </w:pPr>
          </w:p>
        </w:tc>
      </w:tr>
    </w:tbl>
    <w:p w:rsidR="00DA7B5D" w:rsidP="008F0116" w:rsidRDefault="00DA7B5D" w14:paraId="2A027D67" w14:textId="77777777">
      <w:pPr>
        <w:spacing w:line="240" w:lineRule="auto"/>
        <w:ind w:firstLine="0"/>
        <w:rPr>
          <w:rFonts w:ascii="Arial" w:hAnsi="Arial" w:cs="Arial"/>
          <w:sz w:val="24"/>
          <w:szCs w:val="24"/>
        </w:rPr>
      </w:pPr>
    </w:p>
    <w:p w:rsidR="00DA7B5D" w:rsidP="008F0116" w:rsidRDefault="00DA7B5D" w14:paraId="3C919FFA" w14:textId="77777777">
      <w:pPr>
        <w:spacing w:line="240" w:lineRule="auto"/>
        <w:ind w:firstLine="0"/>
        <w:rPr>
          <w:rFonts w:ascii="Arial" w:hAnsi="Arial" w:cs="Arial"/>
          <w:sz w:val="24"/>
          <w:szCs w:val="24"/>
        </w:rPr>
      </w:pPr>
    </w:p>
    <w:p w:rsidRPr="00B71D85" w:rsidR="00B71D85" w:rsidP="001F4C0D" w:rsidRDefault="00B71D85" w14:paraId="39B2FF34" w14:textId="5FC5871F">
      <w:pPr>
        <w:pStyle w:val="Dummy"/>
        <w:jc w:val="center"/>
        <w:sectPr w:rsidRPr="00B71D85" w:rsidR="00B71D85" w:rsidSect="006578A1">
          <w:headerReference w:type="first" r:id="rId11"/>
          <w:footerReference w:type="first" r:id="rId12"/>
          <w:pgSz w:w="12240" w:h="15840"/>
          <w:pgMar w:top="1440" w:right="1440" w:bottom="1440" w:left="1440" w:header="720" w:footer="720" w:gutter="0"/>
          <w:pgNumType w:start="1"/>
          <w:cols w:space="720"/>
          <w:titlePg/>
          <w:docGrid w:linePitch="360"/>
        </w:sectPr>
      </w:pPr>
      <w:bookmarkStart w:name="_Toc227882764" w:id="0"/>
      <w:r w:rsidRPr="006B301A">
        <w:t>PRESIDING OFFICER’S DECISION</w:t>
      </w:r>
      <w:r w:rsidR="00FA06AE">
        <w:t xml:space="preserve"> GRANTING</w:t>
      </w:r>
      <w:r w:rsidR="00A0760A">
        <w:t xml:space="preserve"> MOTION TO </w:t>
      </w:r>
      <w:r w:rsidR="00FA06AE">
        <w:t>DISMISS</w:t>
      </w:r>
      <w:bookmarkEnd w:id="0"/>
      <w:r>
        <w:t xml:space="preserve"> </w:t>
      </w:r>
    </w:p>
    <w:p w:rsidRPr="001E2A62" w:rsidR="00D50119" w:rsidP="00F76650" w:rsidRDefault="00D50119" w14:paraId="22F54F60"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37F2D56A"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DC52BD" w:rsidRDefault="008C7413" w14:paraId="2D96FDDE" w14:textId="3AEE2DE4">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27882764">
            <w:r w:rsidRPr="0016715E" w:rsidR="00DC52BD">
              <w:rPr>
                <w:rStyle w:val="Hyperlink"/>
                <w:noProof/>
              </w:rPr>
              <w:t>PRESIDING OFFICER’S DECISION GRANTING MOTION TO DISMISS</w:t>
            </w:r>
            <w:r w:rsidR="00DC52BD">
              <w:rPr>
                <w:noProof/>
                <w:webHidden/>
              </w:rPr>
              <w:tab/>
            </w:r>
            <w:r w:rsidR="00DC52BD">
              <w:rPr>
                <w:noProof/>
                <w:webHidden/>
              </w:rPr>
              <w:fldChar w:fldCharType="begin"/>
            </w:r>
            <w:r w:rsidR="00DC52BD">
              <w:rPr>
                <w:noProof/>
                <w:webHidden/>
              </w:rPr>
              <w:instrText xml:space="preserve"> PAGEREF _Toc227882764 \h </w:instrText>
            </w:r>
            <w:r w:rsidR="00DC52BD">
              <w:rPr>
                <w:noProof/>
                <w:webHidden/>
              </w:rPr>
            </w:r>
            <w:r w:rsidR="00DC52BD">
              <w:rPr>
                <w:noProof/>
                <w:webHidden/>
              </w:rPr>
              <w:fldChar w:fldCharType="separate"/>
            </w:r>
            <w:r w:rsidR="00731ACB">
              <w:rPr>
                <w:noProof/>
                <w:webHidden/>
              </w:rPr>
              <w:t>1</w:t>
            </w:r>
            <w:r w:rsidR="00DC52BD">
              <w:rPr>
                <w:noProof/>
                <w:webHidden/>
              </w:rPr>
              <w:fldChar w:fldCharType="end"/>
            </w:r>
          </w:hyperlink>
        </w:p>
        <w:p w:rsidR="00DC52BD" w:rsidRDefault="00DC52BD" w14:paraId="1495F6C8" w14:textId="0F15B82A">
          <w:pPr>
            <w:pStyle w:val="TOC1"/>
            <w:tabs>
              <w:tab w:val="right" w:leader="dot" w:pos="9350"/>
            </w:tabs>
            <w:rPr>
              <w:rFonts w:asciiTheme="minorHAnsi" w:hAnsiTheme="minorHAnsi" w:cstheme="minorBidi"/>
              <w:noProof/>
              <w:kern w:val="2"/>
              <w:sz w:val="24"/>
              <w:szCs w:val="24"/>
              <w14:ligatures w14:val="standardContextual"/>
            </w:rPr>
          </w:pPr>
          <w:hyperlink w:history="1" w:anchor="_Toc227882765">
            <w:r w:rsidRPr="0016715E">
              <w:rPr>
                <w:rStyle w:val="Hyperlink"/>
                <w:noProof/>
              </w:rPr>
              <w:t>Summary</w:t>
            </w:r>
            <w:r>
              <w:rPr>
                <w:noProof/>
                <w:webHidden/>
              </w:rPr>
              <w:tab/>
            </w:r>
            <w:r>
              <w:rPr>
                <w:noProof/>
                <w:webHidden/>
              </w:rPr>
              <w:fldChar w:fldCharType="begin"/>
            </w:r>
            <w:r>
              <w:rPr>
                <w:noProof/>
                <w:webHidden/>
              </w:rPr>
              <w:instrText xml:space="preserve"> PAGEREF _Toc227882765 \h </w:instrText>
            </w:r>
            <w:r>
              <w:rPr>
                <w:noProof/>
                <w:webHidden/>
              </w:rPr>
            </w:r>
            <w:r>
              <w:rPr>
                <w:noProof/>
                <w:webHidden/>
              </w:rPr>
              <w:fldChar w:fldCharType="separate"/>
            </w:r>
            <w:r w:rsidR="00731ACB">
              <w:rPr>
                <w:noProof/>
                <w:webHidden/>
              </w:rPr>
              <w:t>2</w:t>
            </w:r>
            <w:r>
              <w:rPr>
                <w:noProof/>
                <w:webHidden/>
              </w:rPr>
              <w:fldChar w:fldCharType="end"/>
            </w:r>
          </w:hyperlink>
        </w:p>
        <w:p w:rsidR="00DC52BD" w:rsidRDefault="00DC52BD" w14:paraId="582914EC" w14:textId="6F64AB5B">
          <w:pPr>
            <w:pStyle w:val="TOC1"/>
            <w:tabs>
              <w:tab w:val="right" w:leader="dot" w:pos="9350"/>
            </w:tabs>
            <w:rPr>
              <w:rFonts w:asciiTheme="minorHAnsi" w:hAnsiTheme="minorHAnsi" w:cstheme="minorBidi"/>
              <w:noProof/>
              <w:kern w:val="2"/>
              <w:sz w:val="24"/>
              <w:szCs w:val="24"/>
              <w14:ligatures w14:val="standardContextual"/>
            </w:rPr>
          </w:pPr>
          <w:hyperlink w:history="1" w:anchor="_Toc227882766">
            <w:r w:rsidRPr="0016715E">
              <w:rPr>
                <w:rStyle w:val="Hyperlink"/>
                <w:noProof/>
              </w:rPr>
              <w:t>1.</w:t>
            </w:r>
            <w:r>
              <w:rPr>
                <w:rFonts w:asciiTheme="minorHAnsi" w:hAnsiTheme="minorHAnsi" w:cstheme="minorBidi"/>
                <w:noProof/>
                <w:kern w:val="2"/>
                <w:sz w:val="24"/>
                <w:szCs w:val="24"/>
                <w14:ligatures w14:val="standardContextual"/>
              </w:rPr>
              <w:tab/>
            </w:r>
            <w:r w:rsidRPr="0016715E">
              <w:rPr>
                <w:rStyle w:val="Hyperlink"/>
                <w:noProof/>
              </w:rPr>
              <w:t>Background</w:t>
            </w:r>
            <w:r>
              <w:rPr>
                <w:noProof/>
                <w:webHidden/>
              </w:rPr>
              <w:tab/>
            </w:r>
            <w:r>
              <w:rPr>
                <w:noProof/>
                <w:webHidden/>
              </w:rPr>
              <w:fldChar w:fldCharType="begin"/>
            </w:r>
            <w:r>
              <w:rPr>
                <w:noProof/>
                <w:webHidden/>
              </w:rPr>
              <w:instrText xml:space="preserve"> PAGEREF _Toc227882766 \h </w:instrText>
            </w:r>
            <w:r>
              <w:rPr>
                <w:noProof/>
                <w:webHidden/>
              </w:rPr>
            </w:r>
            <w:r>
              <w:rPr>
                <w:noProof/>
                <w:webHidden/>
              </w:rPr>
              <w:fldChar w:fldCharType="separate"/>
            </w:r>
            <w:r w:rsidR="00731ACB">
              <w:rPr>
                <w:noProof/>
                <w:webHidden/>
              </w:rPr>
              <w:t>2</w:t>
            </w:r>
            <w:r>
              <w:rPr>
                <w:noProof/>
                <w:webHidden/>
              </w:rPr>
              <w:fldChar w:fldCharType="end"/>
            </w:r>
          </w:hyperlink>
        </w:p>
        <w:p w:rsidR="00DC52BD" w:rsidRDefault="00DC52BD" w14:paraId="3B147967" w14:textId="1CB49ED2">
          <w:pPr>
            <w:pStyle w:val="TOC2"/>
            <w:tabs>
              <w:tab w:val="right" w:leader="dot" w:pos="9350"/>
            </w:tabs>
            <w:rPr>
              <w:rFonts w:asciiTheme="minorHAnsi" w:hAnsiTheme="minorHAnsi" w:cstheme="minorBidi"/>
              <w:noProof/>
              <w:kern w:val="2"/>
              <w:sz w:val="24"/>
              <w:szCs w:val="24"/>
              <w14:ligatures w14:val="standardContextual"/>
            </w:rPr>
          </w:pPr>
          <w:hyperlink w:history="1" w:anchor="_Toc227882767">
            <w:r w:rsidRPr="0016715E">
              <w:rPr>
                <w:rStyle w:val="Hyperlink"/>
                <w:noProof/>
              </w:rPr>
              <w:t>1.1.</w:t>
            </w:r>
            <w:r>
              <w:rPr>
                <w:rFonts w:asciiTheme="minorHAnsi" w:hAnsiTheme="minorHAnsi" w:cstheme="minorBidi"/>
                <w:noProof/>
                <w:kern w:val="2"/>
                <w:sz w:val="24"/>
                <w:szCs w:val="24"/>
                <w14:ligatures w14:val="standardContextual"/>
              </w:rPr>
              <w:tab/>
            </w:r>
            <w:r w:rsidRPr="0016715E">
              <w:rPr>
                <w:rStyle w:val="Hyperlink"/>
                <w:noProof/>
              </w:rPr>
              <w:t>The Complaint and Answer</w:t>
            </w:r>
            <w:r>
              <w:rPr>
                <w:noProof/>
                <w:webHidden/>
              </w:rPr>
              <w:tab/>
            </w:r>
            <w:r>
              <w:rPr>
                <w:noProof/>
                <w:webHidden/>
              </w:rPr>
              <w:fldChar w:fldCharType="begin"/>
            </w:r>
            <w:r>
              <w:rPr>
                <w:noProof/>
                <w:webHidden/>
              </w:rPr>
              <w:instrText xml:space="preserve"> PAGEREF _Toc227882767 \h </w:instrText>
            </w:r>
            <w:r>
              <w:rPr>
                <w:noProof/>
                <w:webHidden/>
              </w:rPr>
            </w:r>
            <w:r>
              <w:rPr>
                <w:noProof/>
                <w:webHidden/>
              </w:rPr>
              <w:fldChar w:fldCharType="separate"/>
            </w:r>
            <w:r w:rsidR="00731ACB">
              <w:rPr>
                <w:noProof/>
                <w:webHidden/>
              </w:rPr>
              <w:t>2</w:t>
            </w:r>
            <w:r>
              <w:rPr>
                <w:noProof/>
                <w:webHidden/>
              </w:rPr>
              <w:fldChar w:fldCharType="end"/>
            </w:r>
          </w:hyperlink>
        </w:p>
        <w:p w:rsidR="00DC52BD" w:rsidRDefault="00DC52BD" w14:paraId="1B822BD4" w14:textId="06D9F5B7">
          <w:pPr>
            <w:pStyle w:val="TOC2"/>
            <w:tabs>
              <w:tab w:val="right" w:leader="dot" w:pos="9350"/>
            </w:tabs>
            <w:rPr>
              <w:rFonts w:asciiTheme="minorHAnsi" w:hAnsiTheme="minorHAnsi" w:cstheme="minorBidi"/>
              <w:noProof/>
              <w:kern w:val="2"/>
              <w:sz w:val="24"/>
              <w:szCs w:val="24"/>
              <w14:ligatures w14:val="standardContextual"/>
            </w:rPr>
          </w:pPr>
          <w:hyperlink w:history="1" w:anchor="_Toc227882768">
            <w:r w:rsidRPr="0016715E">
              <w:rPr>
                <w:rStyle w:val="Hyperlink"/>
                <w:noProof/>
              </w:rPr>
              <w:t>1.2.</w:t>
            </w:r>
            <w:r>
              <w:rPr>
                <w:rFonts w:asciiTheme="minorHAnsi" w:hAnsiTheme="minorHAnsi" w:cstheme="minorBidi"/>
                <w:noProof/>
                <w:kern w:val="2"/>
                <w:sz w:val="24"/>
                <w:szCs w:val="24"/>
                <w14:ligatures w14:val="standardContextual"/>
              </w:rPr>
              <w:tab/>
            </w:r>
            <w:r w:rsidRPr="0016715E">
              <w:rPr>
                <w:rStyle w:val="Hyperlink"/>
                <w:noProof/>
              </w:rPr>
              <w:t>Scoped Issues</w:t>
            </w:r>
            <w:r>
              <w:rPr>
                <w:noProof/>
                <w:webHidden/>
              </w:rPr>
              <w:tab/>
            </w:r>
            <w:r>
              <w:rPr>
                <w:noProof/>
                <w:webHidden/>
              </w:rPr>
              <w:fldChar w:fldCharType="begin"/>
            </w:r>
            <w:r>
              <w:rPr>
                <w:noProof/>
                <w:webHidden/>
              </w:rPr>
              <w:instrText xml:space="preserve"> PAGEREF _Toc227882768 \h </w:instrText>
            </w:r>
            <w:r>
              <w:rPr>
                <w:noProof/>
                <w:webHidden/>
              </w:rPr>
            </w:r>
            <w:r>
              <w:rPr>
                <w:noProof/>
                <w:webHidden/>
              </w:rPr>
              <w:fldChar w:fldCharType="separate"/>
            </w:r>
            <w:r w:rsidR="00731ACB">
              <w:rPr>
                <w:noProof/>
                <w:webHidden/>
              </w:rPr>
              <w:t>4</w:t>
            </w:r>
            <w:r>
              <w:rPr>
                <w:noProof/>
                <w:webHidden/>
              </w:rPr>
              <w:fldChar w:fldCharType="end"/>
            </w:r>
          </w:hyperlink>
        </w:p>
        <w:p w:rsidR="00DC52BD" w:rsidRDefault="00DC52BD" w14:paraId="6BD81B76" w14:textId="5682A6E0">
          <w:pPr>
            <w:pStyle w:val="TOC2"/>
            <w:tabs>
              <w:tab w:val="right" w:leader="dot" w:pos="9350"/>
            </w:tabs>
            <w:rPr>
              <w:rFonts w:asciiTheme="minorHAnsi" w:hAnsiTheme="minorHAnsi" w:cstheme="minorBidi"/>
              <w:noProof/>
              <w:kern w:val="2"/>
              <w:sz w:val="24"/>
              <w:szCs w:val="24"/>
              <w14:ligatures w14:val="standardContextual"/>
            </w:rPr>
          </w:pPr>
          <w:hyperlink w:history="1" w:anchor="_Toc227882769">
            <w:r w:rsidRPr="0016715E">
              <w:rPr>
                <w:rStyle w:val="Hyperlink"/>
                <w:noProof/>
              </w:rPr>
              <w:t>1.3.</w:t>
            </w:r>
            <w:r>
              <w:rPr>
                <w:rFonts w:asciiTheme="minorHAnsi" w:hAnsiTheme="minorHAnsi" w:cstheme="minorBidi"/>
                <w:noProof/>
                <w:kern w:val="2"/>
                <w:sz w:val="24"/>
                <w:szCs w:val="24"/>
                <w14:ligatures w14:val="standardContextual"/>
              </w:rPr>
              <w:tab/>
            </w:r>
            <w:r w:rsidRPr="0016715E">
              <w:rPr>
                <w:rStyle w:val="Hyperlink"/>
                <w:noProof/>
              </w:rPr>
              <w:t>Parties’ Resolution of Scoped Issue Nos. 1 and 3</w:t>
            </w:r>
            <w:r>
              <w:rPr>
                <w:noProof/>
                <w:webHidden/>
              </w:rPr>
              <w:tab/>
            </w:r>
            <w:r>
              <w:rPr>
                <w:noProof/>
                <w:webHidden/>
              </w:rPr>
              <w:fldChar w:fldCharType="begin"/>
            </w:r>
            <w:r>
              <w:rPr>
                <w:noProof/>
                <w:webHidden/>
              </w:rPr>
              <w:instrText xml:space="preserve"> PAGEREF _Toc227882769 \h </w:instrText>
            </w:r>
            <w:r>
              <w:rPr>
                <w:noProof/>
                <w:webHidden/>
              </w:rPr>
            </w:r>
            <w:r>
              <w:rPr>
                <w:noProof/>
                <w:webHidden/>
              </w:rPr>
              <w:fldChar w:fldCharType="separate"/>
            </w:r>
            <w:r w:rsidR="00731ACB">
              <w:rPr>
                <w:noProof/>
                <w:webHidden/>
              </w:rPr>
              <w:t>5</w:t>
            </w:r>
            <w:r>
              <w:rPr>
                <w:noProof/>
                <w:webHidden/>
              </w:rPr>
              <w:fldChar w:fldCharType="end"/>
            </w:r>
          </w:hyperlink>
        </w:p>
        <w:p w:rsidR="00DC52BD" w:rsidRDefault="00DC52BD" w14:paraId="5CA26797" w14:textId="7C8986FE">
          <w:pPr>
            <w:pStyle w:val="TOC2"/>
            <w:tabs>
              <w:tab w:val="right" w:leader="dot" w:pos="9350"/>
            </w:tabs>
            <w:rPr>
              <w:rFonts w:asciiTheme="minorHAnsi" w:hAnsiTheme="minorHAnsi" w:cstheme="minorBidi"/>
              <w:noProof/>
              <w:kern w:val="2"/>
              <w:sz w:val="24"/>
              <w:szCs w:val="24"/>
              <w14:ligatures w14:val="standardContextual"/>
            </w:rPr>
          </w:pPr>
          <w:hyperlink w:history="1" w:anchor="_Toc227882770">
            <w:r w:rsidRPr="0016715E">
              <w:rPr>
                <w:rStyle w:val="Hyperlink"/>
                <w:noProof/>
              </w:rPr>
              <w:t>1.4.</w:t>
            </w:r>
            <w:r>
              <w:rPr>
                <w:rFonts w:asciiTheme="minorHAnsi" w:hAnsiTheme="minorHAnsi" w:cstheme="minorBidi"/>
                <w:noProof/>
                <w:kern w:val="2"/>
                <w:sz w:val="24"/>
                <w:szCs w:val="24"/>
                <w14:ligatures w14:val="standardContextual"/>
              </w:rPr>
              <w:tab/>
            </w:r>
            <w:r w:rsidRPr="0016715E">
              <w:rPr>
                <w:rStyle w:val="Hyperlink"/>
                <w:noProof/>
              </w:rPr>
              <w:t>Motion to Dismiss</w:t>
            </w:r>
            <w:r>
              <w:rPr>
                <w:noProof/>
                <w:webHidden/>
              </w:rPr>
              <w:tab/>
            </w:r>
            <w:r>
              <w:rPr>
                <w:noProof/>
                <w:webHidden/>
              </w:rPr>
              <w:fldChar w:fldCharType="begin"/>
            </w:r>
            <w:r>
              <w:rPr>
                <w:noProof/>
                <w:webHidden/>
              </w:rPr>
              <w:instrText xml:space="preserve"> PAGEREF _Toc227882770 \h </w:instrText>
            </w:r>
            <w:r>
              <w:rPr>
                <w:noProof/>
                <w:webHidden/>
              </w:rPr>
            </w:r>
            <w:r>
              <w:rPr>
                <w:noProof/>
                <w:webHidden/>
              </w:rPr>
              <w:fldChar w:fldCharType="separate"/>
            </w:r>
            <w:r w:rsidR="00731ACB">
              <w:rPr>
                <w:noProof/>
                <w:webHidden/>
              </w:rPr>
              <w:t>8</w:t>
            </w:r>
            <w:r>
              <w:rPr>
                <w:noProof/>
                <w:webHidden/>
              </w:rPr>
              <w:fldChar w:fldCharType="end"/>
            </w:r>
          </w:hyperlink>
        </w:p>
        <w:p w:rsidR="00DC52BD" w:rsidRDefault="00DC52BD" w14:paraId="5D6CF115" w14:textId="6FBDF057">
          <w:pPr>
            <w:pStyle w:val="TOC2"/>
            <w:tabs>
              <w:tab w:val="right" w:leader="dot" w:pos="9350"/>
            </w:tabs>
            <w:rPr>
              <w:rFonts w:asciiTheme="minorHAnsi" w:hAnsiTheme="minorHAnsi" w:cstheme="minorBidi"/>
              <w:noProof/>
              <w:kern w:val="2"/>
              <w:sz w:val="24"/>
              <w:szCs w:val="24"/>
              <w14:ligatures w14:val="standardContextual"/>
            </w:rPr>
          </w:pPr>
          <w:hyperlink w:history="1" w:anchor="_Toc227882771">
            <w:r w:rsidRPr="0016715E">
              <w:rPr>
                <w:rStyle w:val="Hyperlink"/>
                <w:noProof/>
              </w:rPr>
              <w:t>1.5.</w:t>
            </w:r>
            <w:r>
              <w:rPr>
                <w:rFonts w:asciiTheme="minorHAnsi" w:hAnsiTheme="minorHAnsi" w:cstheme="minorBidi"/>
                <w:noProof/>
                <w:kern w:val="2"/>
                <w:sz w:val="24"/>
                <w:szCs w:val="24"/>
                <w14:ligatures w14:val="standardContextual"/>
              </w:rPr>
              <w:tab/>
            </w:r>
            <w:r w:rsidRPr="0016715E">
              <w:rPr>
                <w:rStyle w:val="Hyperlink"/>
                <w:noProof/>
              </w:rPr>
              <w:t>Scoped Issue No. 2 Settlement Impasse</w:t>
            </w:r>
            <w:r>
              <w:rPr>
                <w:noProof/>
                <w:webHidden/>
              </w:rPr>
              <w:tab/>
            </w:r>
            <w:r>
              <w:rPr>
                <w:noProof/>
                <w:webHidden/>
              </w:rPr>
              <w:fldChar w:fldCharType="begin"/>
            </w:r>
            <w:r>
              <w:rPr>
                <w:noProof/>
                <w:webHidden/>
              </w:rPr>
              <w:instrText xml:space="preserve"> PAGEREF _Toc227882771 \h </w:instrText>
            </w:r>
            <w:r>
              <w:rPr>
                <w:noProof/>
                <w:webHidden/>
              </w:rPr>
            </w:r>
            <w:r>
              <w:rPr>
                <w:noProof/>
                <w:webHidden/>
              </w:rPr>
              <w:fldChar w:fldCharType="separate"/>
            </w:r>
            <w:r w:rsidR="00731ACB">
              <w:rPr>
                <w:noProof/>
                <w:webHidden/>
              </w:rPr>
              <w:t>8</w:t>
            </w:r>
            <w:r>
              <w:rPr>
                <w:noProof/>
                <w:webHidden/>
              </w:rPr>
              <w:fldChar w:fldCharType="end"/>
            </w:r>
          </w:hyperlink>
        </w:p>
        <w:p w:rsidR="00DC52BD" w:rsidRDefault="00DC52BD" w14:paraId="37699BAE" w14:textId="3FCDDC47">
          <w:pPr>
            <w:pStyle w:val="TOC2"/>
            <w:tabs>
              <w:tab w:val="right" w:leader="dot" w:pos="9350"/>
            </w:tabs>
            <w:rPr>
              <w:rFonts w:asciiTheme="minorHAnsi" w:hAnsiTheme="minorHAnsi" w:cstheme="minorBidi"/>
              <w:noProof/>
              <w:kern w:val="2"/>
              <w:sz w:val="24"/>
              <w:szCs w:val="24"/>
              <w14:ligatures w14:val="standardContextual"/>
            </w:rPr>
          </w:pPr>
          <w:hyperlink w:history="1" w:anchor="_Toc227882772">
            <w:r w:rsidRPr="0016715E">
              <w:rPr>
                <w:rStyle w:val="Hyperlink"/>
                <w:noProof/>
              </w:rPr>
              <w:t>1.6.</w:t>
            </w:r>
            <w:r>
              <w:rPr>
                <w:rFonts w:asciiTheme="minorHAnsi" w:hAnsiTheme="minorHAnsi" w:cstheme="minorBidi"/>
                <w:noProof/>
                <w:kern w:val="2"/>
                <w:sz w:val="24"/>
                <w:szCs w:val="24"/>
                <w14:ligatures w14:val="standardContextual"/>
              </w:rPr>
              <w:tab/>
            </w:r>
            <w:r w:rsidRPr="0016715E">
              <w:rPr>
                <w:rStyle w:val="Hyperlink"/>
                <w:noProof/>
              </w:rPr>
              <w:t>Submission Date</w:t>
            </w:r>
            <w:r>
              <w:rPr>
                <w:noProof/>
                <w:webHidden/>
              </w:rPr>
              <w:tab/>
            </w:r>
            <w:r>
              <w:rPr>
                <w:noProof/>
                <w:webHidden/>
              </w:rPr>
              <w:fldChar w:fldCharType="begin"/>
            </w:r>
            <w:r>
              <w:rPr>
                <w:noProof/>
                <w:webHidden/>
              </w:rPr>
              <w:instrText xml:space="preserve"> PAGEREF _Toc227882772 \h </w:instrText>
            </w:r>
            <w:r>
              <w:rPr>
                <w:noProof/>
                <w:webHidden/>
              </w:rPr>
            </w:r>
            <w:r>
              <w:rPr>
                <w:noProof/>
                <w:webHidden/>
              </w:rPr>
              <w:fldChar w:fldCharType="separate"/>
            </w:r>
            <w:r w:rsidR="00731ACB">
              <w:rPr>
                <w:noProof/>
                <w:webHidden/>
              </w:rPr>
              <w:t>8</w:t>
            </w:r>
            <w:r>
              <w:rPr>
                <w:noProof/>
                <w:webHidden/>
              </w:rPr>
              <w:fldChar w:fldCharType="end"/>
            </w:r>
          </w:hyperlink>
        </w:p>
        <w:p w:rsidR="00DC52BD" w:rsidRDefault="00DC52BD" w14:paraId="69862F03" w14:textId="2BE1223C">
          <w:pPr>
            <w:pStyle w:val="TOC1"/>
            <w:tabs>
              <w:tab w:val="right" w:leader="dot" w:pos="9350"/>
            </w:tabs>
            <w:rPr>
              <w:rFonts w:asciiTheme="minorHAnsi" w:hAnsiTheme="minorHAnsi" w:cstheme="minorBidi"/>
              <w:noProof/>
              <w:kern w:val="2"/>
              <w:sz w:val="24"/>
              <w:szCs w:val="24"/>
              <w14:ligatures w14:val="standardContextual"/>
            </w:rPr>
          </w:pPr>
          <w:hyperlink w:history="1" w:anchor="_Toc227882773">
            <w:r w:rsidRPr="0016715E">
              <w:rPr>
                <w:rStyle w:val="Hyperlink"/>
                <w:noProof/>
              </w:rPr>
              <w:t>2.</w:t>
            </w:r>
            <w:r>
              <w:rPr>
                <w:rFonts w:asciiTheme="minorHAnsi" w:hAnsiTheme="minorHAnsi" w:cstheme="minorBidi"/>
                <w:noProof/>
                <w:kern w:val="2"/>
                <w:sz w:val="24"/>
                <w:szCs w:val="24"/>
                <w14:ligatures w14:val="standardContextual"/>
              </w:rPr>
              <w:tab/>
            </w:r>
            <w:r w:rsidRPr="0016715E">
              <w:rPr>
                <w:rStyle w:val="Hyperlink"/>
                <w:noProof/>
              </w:rPr>
              <w:t>Jurisdiction and Burden of Proof</w:t>
            </w:r>
            <w:r>
              <w:rPr>
                <w:noProof/>
                <w:webHidden/>
              </w:rPr>
              <w:tab/>
            </w:r>
            <w:r>
              <w:rPr>
                <w:noProof/>
                <w:webHidden/>
              </w:rPr>
              <w:fldChar w:fldCharType="begin"/>
            </w:r>
            <w:r>
              <w:rPr>
                <w:noProof/>
                <w:webHidden/>
              </w:rPr>
              <w:instrText xml:space="preserve"> PAGEREF _Toc227882773 \h </w:instrText>
            </w:r>
            <w:r>
              <w:rPr>
                <w:noProof/>
                <w:webHidden/>
              </w:rPr>
            </w:r>
            <w:r>
              <w:rPr>
                <w:noProof/>
                <w:webHidden/>
              </w:rPr>
              <w:fldChar w:fldCharType="separate"/>
            </w:r>
            <w:r w:rsidR="00731ACB">
              <w:rPr>
                <w:noProof/>
                <w:webHidden/>
              </w:rPr>
              <w:t>9</w:t>
            </w:r>
            <w:r>
              <w:rPr>
                <w:noProof/>
                <w:webHidden/>
              </w:rPr>
              <w:fldChar w:fldCharType="end"/>
            </w:r>
          </w:hyperlink>
        </w:p>
        <w:p w:rsidR="00DC52BD" w:rsidRDefault="00DC52BD" w14:paraId="5BC666E5" w14:textId="3B15E455">
          <w:pPr>
            <w:pStyle w:val="TOC1"/>
            <w:tabs>
              <w:tab w:val="right" w:leader="dot" w:pos="9350"/>
            </w:tabs>
            <w:rPr>
              <w:rFonts w:asciiTheme="minorHAnsi" w:hAnsiTheme="minorHAnsi" w:cstheme="minorBidi"/>
              <w:noProof/>
              <w:kern w:val="2"/>
              <w:sz w:val="24"/>
              <w:szCs w:val="24"/>
              <w14:ligatures w14:val="standardContextual"/>
            </w:rPr>
          </w:pPr>
          <w:hyperlink w:history="1" w:anchor="_Toc227882774">
            <w:r w:rsidRPr="0016715E">
              <w:rPr>
                <w:rStyle w:val="Hyperlink"/>
                <w:noProof/>
              </w:rPr>
              <w:t>3.</w:t>
            </w:r>
            <w:r>
              <w:rPr>
                <w:rFonts w:asciiTheme="minorHAnsi" w:hAnsiTheme="minorHAnsi" w:cstheme="minorBidi"/>
                <w:noProof/>
                <w:kern w:val="2"/>
                <w:sz w:val="24"/>
                <w:szCs w:val="24"/>
                <w14:ligatures w14:val="standardContextual"/>
              </w:rPr>
              <w:tab/>
            </w:r>
            <w:r w:rsidRPr="0016715E">
              <w:rPr>
                <w:rStyle w:val="Hyperlink"/>
                <w:noProof/>
              </w:rPr>
              <w:t>Issues Before the Commission</w:t>
            </w:r>
            <w:r>
              <w:rPr>
                <w:noProof/>
                <w:webHidden/>
              </w:rPr>
              <w:tab/>
            </w:r>
            <w:r>
              <w:rPr>
                <w:noProof/>
                <w:webHidden/>
              </w:rPr>
              <w:fldChar w:fldCharType="begin"/>
            </w:r>
            <w:r>
              <w:rPr>
                <w:noProof/>
                <w:webHidden/>
              </w:rPr>
              <w:instrText xml:space="preserve"> PAGEREF _Toc227882774 \h </w:instrText>
            </w:r>
            <w:r>
              <w:rPr>
                <w:noProof/>
                <w:webHidden/>
              </w:rPr>
            </w:r>
            <w:r>
              <w:rPr>
                <w:noProof/>
                <w:webHidden/>
              </w:rPr>
              <w:fldChar w:fldCharType="separate"/>
            </w:r>
            <w:r w:rsidR="00731ACB">
              <w:rPr>
                <w:noProof/>
                <w:webHidden/>
              </w:rPr>
              <w:t>9</w:t>
            </w:r>
            <w:r>
              <w:rPr>
                <w:noProof/>
                <w:webHidden/>
              </w:rPr>
              <w:fldChar w:fldCharType="end"/>
            </w:r>
          </w:hyperlink>
        </w:p>
        <w:p w:rsidR="00DC52BD" w:rsidRDefault="00DC52BD" w14:paraId="6566531A" w14:textId="71888C53">
          <w:pPr>
            <w:pStyle w:val="TOC1"/>
            <w:tabs>
              <w:tab w:val="right" w:leader="dot" w:pos="9350"/>
            </w:tabs>
            <w:rPr>
              <w:rFonts w:asciiTheme="minorHAnsi" w:hAnsiTheme="minorHAnsi" w:cstheme="minorBidi"/>
              <w:noProof/>
              <w:kern w:val="2"/>
              <w:sz w:val="24"/>
              <w:szCs w:val="24"/>
              <w14:ligatures w14:val="standardContextual"/>
            </w:rPr>
          </w:pPr>
          <w:hyperlink w:history="1" w:anchor="_Toc227882775">
            <w:r w:rsidRPr="0016715E">
              <w:rPr>
                <w:rStyle w:val="Hyperlink"/>
                <w:noProof/>
              </w:rPr>
              <w:t>4.</w:t>
            </w:r>
            <w:r>
              <w:rPr>
                <w:rFonts w:asciiTheme="minorHAnsi" w:hAnsiTheme="minorHAnsi" w:cstheme="minorBidi"/>
                <w:noProof/>
                <w:kern w:val="2"/>
                <w:sz w:val="24"/>
                <w:szCs w:val="24"/>
                <w14:ligatures w14:val="standardContextual"/>
              </w:rPr>
              <w:tab/>
            </w:r>
            <w:r w:rsidRPr="0016715E">
              <w:rPr>
                <w:rStyle w:val="Hyperlink"/>
                <w:noProof/>
              </w:rPr>
              <w:t>Discussion</w:t>
            </w:r>
            <w:r>
              <w:rPr>
                <w:noProof/>
                <w:webHidden/>
              </w:rPr>
              <w:tab/>
            </w:r>
            <w:r>
              <w:rPr>
                <w:noProof/>
                <w:webHidden/>
              </w:rPr>
              <w:fldChar w:fldCharType="begin"/>
            </w:r>
            <w:r>
              <w:rPr>
                <w:noProof/>
                <w:webHidden/>
              </w:rPr>
              <w:instrText xml:space="preserve"> PAGEREF _Toc227882775 \h </w:instrText>
            </w:r>
            <w:r>
              <w:rPr>
                <w:noProof/>
                <w:webHidden/>
              </w:rPr>
            </w:r>
            <w:r>
              <w:rPr>
                <w:noProof/>
                <w:webHidden/>
              </w:rPr>
              <w:fldChar w:fldCharType="separate"/>
            </w:r>
            <w:r w:rsidR="00731ACB">
              <w:rPr>
                <w:noProof/>
                <w:webHidden/>
              </w:rPr>
              <w:t>10</w:t>
            </w:r>
            <w:r>
              <w:rPr>
                <w:noProof/>
                <w:webHidden/>
              </w:rPr>
              <w:fldChar w:fldCharType="end"/>
            </w:r>
          </w:hyperlink>
        </w:p>
        <w:p w:rsidR="00DC52BD" w:rsidRDefault="00DC52BD" w14:paraId="218F0C93" w14:textId="167EEA3D">
          <w:pPr>
            <w:pStyle w:val="TOC2"/>
            <w:tabs>
              <w:tab w:val="right" w:leader="dot" w:pos="9350"/>
            </w:tabs>
            <w:rPr>
              <w:rFonts w:asciiTheme="minorHAnsi" w:hAnsiTheme="minorHAnsi" w:cstheme="minorBidi"/>
              <w:noProof/>
              <w:kern w:val="2"/>
              <w:sz w:val="24"/>
              <w:szCs w:val="24"/>
              <w14:ligatures w14:val="standardContextual"/>
            </w:rPr>
          </w:pPr>
          <w:hyperlink w:history="1" w:anchor="_Toc227882776">
            <w:r w:rsidRPr="0016715E">
              <w:rPr>
                <w:rStyle w:val="Hyperlink"/>
                <w:noProof/>
              </w:rPr>
              <w:t>4.1.</w:t>
            </w:r>
            <w:r>
              <w:rPr>
                <w:rFonts w:asciiTheme="minorHAnsi" w:hAnsiTheme="minorHAnsi" w:cstheme="minorBidi"/>
                <w:noProof/>
                <w:kern w:val="2"/>
                <w:sz w:val="24"/>
                <w:szCs w:val="24"/>
                <w14:ligatures w14:val="standardContextual"/>
              </w:rPr>
              <w:tab/>
            </w:r>
            <w:r w:rsidRPr="0016715E">
              <w:rPr>
                <w:rStyle w:val="Hyperlink"/>
                <w:noProof/>
              </w:rPr>
              <w:t>Parties’ Positions</w:t>
            </w:r>
            <w:r>
              <w:rPr>
                <w:noProof/>
                <w:webHidden/>
              </w:rPr>
              <w:tab/>
            </w:r>
            <w:r>
              <w:rPr>
                <w:noProof/>
                <w:webHidden/>
              </w:rPr>
              <w:fldChar w:fldCharType="begin"/>
            </w:r>
            <w:r>
              <w:rPr>
                <w:noProof/>
                <w:webHidden/>
              </w:rPr>
              <w:instrText xml:space="preserve"> PAGEREF _Toc227882776 \h </w:instrText>
            </w:r>
            <w:r>
              <w:rPr>
                <w:noProof/>
                <w:webHidden/>
              </w:rPr>
            </w:r>
            <w:r>
              <w:rPr>
                <w:noProof/>
                <w:webHidden/>
              </w:rPr>
              <w:fldChar w:fldCharType="separate"/>
            </w:r>
            <w:r w:rsidR="00731ACB">
              <w:rPr>
                <w:noProof/>
                <w:webHidden/>
              </w:rPr>
              <w:t>11</w:t>
            </w:r>
            <w:r>
              <w:rPr>
                <w:noProof/>
                <w:webHidden/>
              </w:rPr>
              <w:fldChar w:fldCharType="end"/>
            </w:r>
          </w:hyperlink>
        </w:p>
        <w:p w:rsidR="00DC52BD" w:rsidRDefault="00DC52BD" w14:paraId="07E22E1C" w14:textId="5022887C">
          <w:pPr>
            <w:pStyle w:val="TOC2"/>
            <w:tabs>
              <w:tab w:val="right" w:leader="dot" w:pos="9350"/>
            </w:tabs>
            <w:rPr>
              <w:rFonts w:asciiTheme="minorHAnsi" w:hAnsiTheme="minorHAnsi" w:cstheme="minorBidi"/>
              <w:noProof/>
              <w:kern w:val="2"/>
              <w:sz w:val="24"/>
              <w:szCs w:val="24"/>
              <w14:ligatures w14:val="standardContextual"/>
            </w:rPr>
          </w:pPr>
          <w:hyperlink w:history="1" w:anchor="_Toc227882777">
            <w:r w:rsidRPr="0016715E">
              <w:rPr>
                <w:rStyle w:val="Hyperlink"/>
                <w:noProof/>
              </w:rPr>
              <w:t>4.2.</w:t>
            </w:r>
            <w:r>
              <w:rPr>
                <w:rFonts w:asciiTheme="minorHAnsi" w:hAnsiTheme="minorHAnsi" w:cstheme="minorBidi"/>
                <w:noProof/>
                <w:kern w:val="2"/>
                <w:sz w:val="24"/>
                <w:szCs w:val="24"/>
                <w14:ligatures w14:val="standardContextual"/>
              </w:rPr>
              <w:tab/>
            </w:r>
            <w:r w:rsidRPr="0016715E">
              <w:rPr>
                <w:rStyle w:val="Hyperlink"/>
                <w:noProof/>
              </w:rPr>
              <w:t>Convenience Relocations and Electric Rule 15.I.1</w:t>
            </w:r>
            <w:r>
              <w:rPr>
                <w:noProof/>
                <w:webHidden/>
              </w:rPr>
              <w:tab/>
            </w:r>
            <w:r>
              <w:rPr>
                <w:noProof/>
                <w:webHidden/>
              </w:rPr>
              <w:fldChar w:fldCharType="begin"/>
            </w:r>
            <w:r>
              <w:rPr>
                <w:noProof/>
                <w:webHidden/>
              </w:rPr>
              <w:instrText xml:space="preserve"> PAGEREF _Toc227882777 \h </w:instrText>
            </w:r>
            <w:r>
              <w:rPr>
                <w:noProof/>
                <w:webHidden/>
              </w:rPr>
            </w:r>
            <w:r>
              <w:rPr>
                <w:noProof/>
                <w:webHidden/>
              </w:rPr>
              <w:fldChar w:fldCharType="separate"/>
            </w:r>
            <w:r w:rsidR="00731ACB">
              <w:rPr>
                <w:noProof/>
                <w:webHidden/>
              </w:rPr>
              <w:t>13</w:t>
            </w:r>
            <w:r>
              <w:rPr>
                <w:noProof/>
                <w:webHidden/>
              </w:rPr>
              <w:fldChar w:fldCharType="end"/>
            </w:r>
          </w:hyperlink>
        </w:p>
        <w:p w:rsidR="00DC52BD" w:rsidRDefault="00DC52BD" w14:paraId="0B0F9F53" w14:textId="641C97D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7882778">
            <w:r w:rsidRPr="0016715E">
              <w:rPr>
                <w:rStyle w:val="Hyperlink"/>
                <w:iCs/>
                <w:noProof/>
              </w:rPr>
              <w:t>4.2.1.</w:t>
            </w:r>
            <w:r>
              <w:rPr>
                <w:rFonts w:asciiTheme="minorHAnsi" w:hAnsiTheme="minorHAnsi" w:cstheme="minorBidi"/>
                <w:noProof/>
                <w:kern w:val="2"/>
                <w:sz w:val="24"/>
                <w:szCs w:val="24"/>
                <w14:ligatures w14:val="standardContextual"/>
              </w:rPr>
              <w:tab/>
            </w:r>
            <w:r w:rsidRPr="0016715E">
              <w:rPr>
                <w:rStyle w:val="Hyperlink"/>
                <w:noProof/>
              </w:rPr>
              <w:t>14 C.C.R. Sections 1257 and 1258</w:t>
            </w:r>
            <w:r>
              <w:rPr>
                <w:noProof/>
                <w:webHidden/>
              </w:rPr>
              <w:tab/>
            </w:r>
            <w:r>
              <w:rPr>
                <w:noProof/>
                <w:webHidden/>
              </w:rPr>
              <w:fldChar w:fldCharType="begin"/>
            </w:r>
            <w:r>
              <w:rPr>
                <w:noProof/>
                <w:webHidden/>
              </w:rPr>
              <w:instrText xml:space="preserve"> PAGEREF _Toc227882778 \h </w:instrText>
            </w:r>
            <w:r>
              <w:rPr>
                <w:noProof/>
                <w:webHidden/>
              </w:rPr>
            </w:r>
            <w:r>
              <w:rPr>
                <w:noProof/>
                <w:webHidden/>
              </w:rPr>
              <w:fldChar w:fldCharType="separate"/>
            </w:r>
            <w:r w:rsidR="00731ACB">
              <w:rPr>
                <w:noProof/>
                <w:webHidden/>
              </w:rPr>
              <w:t>14</w:t>
            </w:r>
            <w:r>
              <w:rPr>
                <w:noProof/>
                <w:webHidden/>
              </w:rPr>
              <w:fldChar w:fldCharType="end"/>
            </w:r>
          </w:hyperlink>
        </w:p>
        <w:p w:rsidR="00DC52BD" w:rsidRDefault="00DC52BD" w14:paraId="715FDAA3" w14:textId="7BC4428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7882779">
            <w:r w:rsidRPr="0016715E">
              <w:rPr>
                <w:rStyle w:val="Hyperlink"/>
                <w:iCs/>
                <w:noProof/>
              </w:rPr>
              <w:t>4.2.2.</w:t>
            </w:r>
            <w:r>
              <w:rPr>
                <w:rFonts w:asciiTheme="minorHAnsi" w:hAnsiTheme="minorHAnsi" w:cstheme="minorBidi"/>
                <w:noProof/>
                <w:kern w:val="2"/>
                <w:sz w:val="24"/>
                <w:szCs w:val="24"/>
                <w14:ligatures w14:val="standardContextual"/>
              </w:rPr>
              <w:tab/>
            </w:r>
            <w:r w:rsidRPr="0016715E">
              <w:rPr>
                <w:rStyle w:val="Hyperlink"/>
                <w:noProof/>
              </w:rPr>
              <w:t>Senate Bill 901 (2018) and Assembly Bill 111 (2019)</w:t>
            </w:r>
            <w:r>
              <w:rPr>
                <w:noProof/>
                <w:webHidden/>
              </w:rPr>
              <w:tab/>
            </w:r>
            <w:r>
              <w:rPr>
                <w:noProof/>
                <w:webHidden/>
              </w:rPr>
              <w:fldChar w:fldCharType="begin"/>
            </w:r>
            <w:r>
              <w:rPr>
                <w:noProof/>
                <w:webHidden/>
              </w:rPr>
              <w:instrText xml:space="preserve"> PAGEREF _Toc227882779 \h </w:instrText>
            </w:r>
            <w:r>
              <w:rPr>
                <w:noProof/>
                <w:webHidden/>
              </w:rPr>
            </w:r>
            <w:r>
              <w:rPr>
                <w:noProof/>
                <w:webHidden/>
              </w:rPr>
              <w:fldChar w:fldCharType="separate"/>
            </w:r>
            <w:r w:rsidR="00731ACB">
              <w:rPr>
                <w:noProof/>
                <w:webHidden/>
              </w:rPr>
              <w:t>15</w:t>
            </w:r>
            <w:r>
              <w:rPr>
                <w:noProof/>
                <w:webHidden/>
              </w:rPr>
              <w:fldChar w:fldCharType="end"/>
            </w:r>
          </w:hyperlink>
        </w:p>
        <w:p w:rsidR="00DC52BD" w:rsidRDefault="00DC52BD" w14:paraId="055394DB" w14:textId="5AA3BE4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7882780">
            <w:r w:rsidRPr="0016715E">
              <w:rPr>
                <w:rStyle w:val="Hyperlink"/>
                <w:iCs/>
                <w:noProof/>
              </w:rPr>
              <w:t>4.2.3.</w:t>
            </w:r>
            <w:r>
              <w:rPr>
                <w:rFonts w:asciiTheme="minorHAnsi" w:hAnsiTheme="minorHAnsi" w:cstheme="minorBidi"/>
                <w:noProof/>
                <w:kern w:val="2"/>
                <w:sz w:val="24"/>
                <w:szCs w:val="24"/>
                <w14:ligatures w14:val="standardContextual"/>
              </w:rPr>
              <w:tab/>
            </w:r>
            <w:r w:rsidRPr="0016715E">
              <w:rPr>
                <w:rStyle w:val="Hyperlink"/>
                <w:noProof/>
              </w:rPr>
              <w:t>Public Health or Safety Issues</w:t>
            </w:r>
            <w:r>
              <w:rPr>
                <w:noProof/>
                <w:webHidden/>
              </w:rPr>
              <w:tab/>
            </w:r>
            <w:r>
              <w:rPr>
                <w:noProof/>
                <w:webHidden/>
              </w:rPr>
              <w:fldChar w:fldCharType="begin"/>
            </w:r>
            <w:r>
              <w:rPr>
                <w:noProof/>
                <w:webHidden/>
              </w:rPr>
              <w:instrText xml:space="preserve"> PAGEREF _Toc227882780 \h </w:instrText>
            </w:r>
            <w:r>
              <w:rPr>
                <w:noProof/>
                <w:webHidden/>
              </w:rPr>
            </w:r>
            <w:r>
              <w:rPr>
                <w:noProof/>
                <w:webHidden/>
              </w:rPr>
              <w:fldChar w:fldCharType="separate"/>
            </w:r>
            <w:r w:rsidR="00731ACB">
              <w:rPr>
                <w:noProof/>
                <w:webHidden/>
              </w:rPr>
              <w:t>17</w:t>
            </w:r>
            <w:r>
              <w:rPr>
                <w:noProof/>
                <w:webHidden/>
              </w:rPr>
              <w:fldChar w:fldCharType="end"/>
            </w:r>
          </w:hyperlink>
        </w:p>
        <w:p w:rsidR="00DC52BD" w:rsidRDefault="00DC52BD" w14:paraId="72824FED" w14:textId="00E6E6A2">
          <w:pPr>
            <w:pStyle w:val="TOC1"/>
            <w:tabs>
              <w:tab w:val="right" w:leader="dot" w:pos="9350"/>
            </w:tabs>
            <w:rPr>
              <w:rFonts w:asciiTheme="minorHAnsi" w:hAnsiTheme="minorHAnsi" w:cstheme="minorBidi"/>
              <w:noProof/>
              <w:kern w:val="2"/>
              <w:sz w:val="24"/>
              <w:szCs w:val="24"/>
              <w14:ligatures w14:val="standardContextual"/>
            </w:rPr>
          </w:pPr>
          <w:hyperlink w:history="1" w:anchor="_Toc227882781">
            <w:r w:rsidRPr="0016715E">
              <w:rPr>
                <w:rStyle w:val="Hyperlink"/>
                <w:noProof/>
              </w:rPr>
              <w:t>5.</w:t>
            </w:r>
            <w:r>
              <w:rPr>
                <w:rFonts w:asciiTheme="minorHAnsi" w:hAnsiTheme="minorHAnsi" w:cstheme="minorBidi"/>
                <w:noProof/>
                <w:kern w:val="2"/>
                <w:sz w:val="24"/>
                <w:szCs w:val="24"/>
                <w14:ligatures w14:val="standardContextual"/>
              </w:rPr>
              <w:tab/>
            </w:r>
            <w:r w:rsidRPr="0016715E">
              <w:rPr>
                <w:rStyle w:val="Hyperlink"/>
                <w:noProof/>
              </w:rPr>
              <w:t>Conclusion</w:t>
            </w:r>
            <w:r>
              <w:rPr>
                <w:noProof/>
                <w:webHidden/>
              </w:rPr>
              <w:tab/>
            </w:r>
            <w:r>
              <w:rPr>
                <w:noProof/>
                <w:webHidden/>
              </w:rPr>
              <w:fldChar w:fldCharType="begin"/>
            </w:r>
            <w:r>
              <w:rPr>
                <w:noProof/>
                <w:webHidden/>
              </w:rPr>
              <w:instrText xml:space="preserve"> PAGEREF _Toc227882781 \h </w:instrText>
            </w:r>
            <w:r>
              <w:rPr>
                <w:noProof/>
                <w:webHidden/>
              </w:rPr>
            </w:r>
            <w:r>
              <w:rPr>
                <w:noProof/>
                <w:webHidden/>
              </w:rPr>
              <w:fldChar w:fldCharType="separate"/>
            </w:r>
            <w:r w:rsidR="00731ACB">
              <w:rPr>
                <w:noProof/>
                <w:webHidden/>
              </w:rPr>
              <w:t>18</w:t>
            </w:r>
            <w:r>
              <w:rPr>
                <w:noProof/>
                <w:webHidden/>
              </w:rPr>
              <w:fldChar w:fldCharType="end"/>
            </w:r>
          </w:hyperlink>
        </w:p>
        <w:p w:rsidR="00DC52BD" w:rsidRDefault="00DC52BD" w14:paraId="0C41240C" w14:textId="51E19F7E">
          <w:pPr>
            <w:pStyle w:val="TOC1"/>
            <w:tabs>
              <w:tab w:val="right" w:leader="dot" w:pos="9350"/>
            </w:tabs>
            <w:rPr>
              <w:rFonts w:asciiTheme="minorHAnsi" w:hAnsiTheme="minorHAnsi" w:cstheme="minorBidi"/>
              <w:noProof/>
              <w:kern w:val="2"/>
              <w:sz w:val="24"/>
              <w:szCs w:val="24"/>
              <w14:ligatures w14:val="standardContextual"/>
            </w:rPr>
          </w:pPr>
          <w:hyperlink w:history="1" w:anchor="_Toc227882782">
            <w:r w:rsidRPr="0016715E">
              <w:rPr>
                <w:rStyle w:val="Hyperlink"/>
                <w:noProof/>
              </w:rPr>
              <w:t>6.</w:t>
            </w:r>
            <w:r>
              <w:rPr>
                <w:rFonts w:asciiTheme="minorHAnsi" w:hAnsiTheme="minorHAnsi" w:cstheme="minorBidi"/>
                <w:noProof/>
                <w:kern w:val="2"/>
                <w:sz w:val="24"/>
                <w:szCs w:val="24"/>
                <w14:ligatures w14:val="standardContextual"/>
              </w:rPr>
              <w:tab/>
            </w:r>
            <w:r w:rsidRPr="0016715E">
              <w:rPr>
                <w:rStyle w:val="Hyperlink"/>
                <w:noProof/>
              </w:rPr>
              <w:t>Category of Proceeding</w:t>
            </w:r>
            <w:r>
              <w:rPr>
                <w:noProof/>
                <w:webHidden/>
              </w:rPr>
              <w:tab/>
            </w:r>
            <w:r>
              <w:rPr>
                <w:noProof/>
                <w:webHidden/>
              </w:rPr>
              <w:fldChar w:fldCharType="begin"/>
            </w:r>
            <w:r>
              <w:rPr>
                <w:noProof/>
                <w:webHidden/>
              </w:rPr>
              <w:instrText xml:space="preserve"> PAGEREF _Toc227882782 \h </w:instrText>
            </w:r>
            <w:r>
              <w:rPr>
                <w:noProof/>
                <w:webHidden/>
              </w:rPr>
            </w:r>
            <w:r>
              <w:rPr>
                <w:noProof/>
                <w:webHidden/>
              </w:rPr>
              <w:fldChar w:fldCharType="separate"/>
            </w:r>
            <w:r w:rsidR="00731ACB">
              <w:rPr>
                <w:noProof/>
                <w:webHidden/>
              </w:rPr>
              <w:t>19</w:t>
            </w:r>
            <w:r>
              <w:rPr>
                <w:noProof/>
                <w:webHidden/>
              </w:rPr>
              <w:fldChar w:fldCharType="end"/>
            </w:r>
          </w:hyperlink>
        </w:p>
        <w:p w:rsidR="00DC52BD" w:rsidRDefault="00DC52BD" w14:paraId="3A109808" w14:textId="74AD390D">
          <w:pPr>
            <w:pStyle w:val="TOC1"/>
            <w:tabs>
              <w:tab w:val="right" w:leader="dot" w:pos="9350"/>
            </w:tabs>
            <w:rPr>
              <w:rFonts w:asciiTheme="minorHAnsi" w:hAnsiTheme="minorHAnsi" w:cstheme="minorBidi"/>
              <w:noProof/>
              <w:kern w:val="2"/>
              <w:sz w:val="24"/>
              <w:szCs w:val="24"/>
              <w14:ligatures w14:val="standardContextual"/>
            </w:rPr>
          </w:pPr>
          <w:hyperlink w:history="1" w:anchor="_Toc227882783">
            <w:r w:rsidRPr="0016715E">
              <w:rPr>
                <w:rStyle w:val="Hyperlink"/>
                <w:noProof/>
              </w:rPr>
              <w:t>7.</w:t>
            </w:r>
            <w:r>
              <w:rPr>
                <w:rFonts w:asciiTheme="minorHAnsi" w:hAnsiTheme="minorHAnsi" w:cstheme="minorBidi"/>
                <w:noProof/>
                <w:kern w:val="2"/>
                <w:sz w:val="24"/>
                <w:szCs w:val="24"/>
                <w14:ligatures w14:val="standardContextual"/>
              </w:rPr>
              <w:tab/>
            </w:r>
            <w:r w:rsidRPr="0016715E">
              <w:rPr>
                <w:rStyle w:val="Hyperlink"/>
                <w:noProof/>
              </w:rPr>
              <w:t>Appeal or Review of Presiding Officer’s Decision</w:t>
            </w:r>
            <w:r>
              <w:rPr>
                <w:noProof/>
                <w:webHidden/>
              </w:rPr>
              <w:tab/>
            </w:r>
            <w:r>
              <w:rPr>
                <w:noProof/>
                <w:webHidden/>
              </w:rPr>
              <w:fldChar w:fldCharType="begin"/>
            </w:r>
            <w:r>
              <w:rPr>
                <w:noProof/>
                <w:webHidden/>
              </w:rPr>
              <w:instrText xml:space="preserve"> PAGEREF _Toc227882783 \h </w:instrText>
            </w:r>
            <w:r>
              <w:rPr>
                <w:noProof/>
                <w:webHidden/>
              </w:rPr>
            </w:r>
            <w:r>
              <w:rPr>
                <w:noProof/>
                <w:webHidden/>
              </w:rPr>
              <w:fldChar w:fldCharType="separate"/>
            </w:r>
            <w:r w:rsidR="00731ACB">
              <w:rPr>
                <w:noProof/>
                <w:webHidden/>
              </w:rPr>
              <w:t>19</w:t>
            </w:r>
            <w:r>
              <w:rPr>
                <w:noProof/>
                <w:webHidden/>
              </w:rPr>
              <w:fldChar w:fldCharType="end"/>
            </w:r>
          </w:hyperlink>
        </w:p>
        <w:p w:rsidR="00DC52BD" w:rsidRDefault="00DC52BD" w14:paraId="29A5432C" w14:textId="70D5FE68">
          <w:pPr>
            <w:pStyle w:val="TOC1"/>
            <w:tabs>
              <w:tab w:val="right" w:leader="dot" w:pos="9350"/>
            </w:tabs>
            <w:rPr>
              <w:rFonts w:asciiTheme="minorHAnsi" w:hAnsiTheme="minorHAnsi" w:cstheme="minorBidi"/>
              <w:noProof/>
              <w:kern w:val="2"/>
              <w:sz w:val="24"/>
              <w:szCs w:val="24"/>
              <w14:ligatures w14:val="standardContextual"/>
            </w:rPr>
          </w:pPr>
          <w:hyperlink w:history="1" w:anchor="_Toc227882784">
            <w:r w:rsidRPr="0016715E">
              <w:rPr>
                <w:rStyle w:val="Hyperlink"/>
                <w:noProof/>
              </w:rPr>
              <w:t>8.</w:t>
            </w:r>
            <w:r>
              <w:rPr>
                <w:rFonts w:asciiTheme="minorHAnsi" w:hAnsiTheme="minorHAnsi" w:cstheme="minorBidi"/>
                <w:noProof/>
                <w:kern w:val="2"/>
                <w:sz w:val="24"/>
                <w:szCs w:val="24"/>
                <w14:ligatures w14:val="standardContextual"/>
              </w:rPr>
              <w:tab/>
            </w:r>
            <w:r w:rsidRPr="0016715E">
              <w:rPr>
                <w:rStyle w:val="Hyperlink"/>
                <w:noProof/>
              </w:rPr>
              <w:t>Assignment of Proceeding</w:t>
            </w:r>
            <w:r>
              <w:rPr>
                <w:noProof/>
                <w:webHidden/>
              </w:rPr>
              <w:tab/>
            </w:r>
            <w:r>
              <w:rPr>
                <w:noProof/>
                <w:webHidden/>
              </w:rPr>
              <w:fldChar w:fldCharType="begin"/>
            </w:r>
            <w:r>
              <w:rPr>
                <w:noProof/>
                <w:webHidden/>
              </w:rPr>
              <w:instrText xml:space="preserve"> PAGEREF _Toc227882784 \h </w:instrText>
            </w:r>
            <w:r>
              <w:rPr>
                <w:noProof/>
                <w:webHidden/>
              </w:rPr>
            </w:r>
            <w:r>
              <w:rPr>
                <w:noProof/>
                <w:webHidden/>
              </w:rPr>
              <w:fldChar w:fldCharType="separate"/>
            </w:r>
            <w:r w:rsidR="00731ACB">
              <w:rPr>
                <w:noProof/>
                <w:webHidden/>
              </w:rPr>
              <w:t>28</w:t>
            </w:r>
            <w:r>
              <w:rPr>
                <w:noProof/>
                <w:webHidden/>
              </w:rPr>
              <w:fldChar w:fldCharType="end"/>
            </w:r>
          </w:hyperlink>
        </w:p>
        <w:p w:rsidR="00DC52BD" w:rsidRDefault="00DC52BD" w14:paraId="440EC7C6" w14:textId="18E32F9E">
          <w:pPr>
            <w:pStyle w:val="TOC1"/>
            <w:tabs>
              <w:tab w:val="right" w:leader="dot" w:pos="9350"/>
            </w:tabs>
            <w:rPr>
              <w:rFonts w:asciiTheme="minorHAnsi" w:hAnsiTheme="minorHAnsi" w:cstheme="minorBidi"/>
              <w:noProof/>
              <w:kern w:val="2"/>
              <w:sz w:val="24"/>
              <w:szCs w:val="24"/>
              <w14:ligatures w14:val="standardContextual"/>
            </w:rPr>
          </w:pPr>
          <w:hyperlink w:history="1" w:anchor="_Toc227882785">
            <w:r w:rsidRPr="0016715E">
              <w:rPr>
                <w:rStyle w:val="Hyperlink"/>
                <w:noProof/>
              </w:rPr>
              <w:t>Findings of Fact</w:t>
            </w:r>
            <w:r>
              <w:rPr>
                <w:noProof/>
                <w:webHidden/>
              </w:rPr>
              <w:tab/>
            </w:r>
            <w:r>
              <w:rPr>
                <w:noProof/>
                <w:webHidden/>
              </w:rPr>
              <w:fldChar w:fldCharType="begin"/>
            </w:r>
            <w:r>
              <w:rPr>
                <w:noProof/>
                <w:webHidden/>
              </w:rPr>
              <w:instrText xml:space="preserve"> PAGEREF _Toc227882785 \h </w:instrText>
            </w:r>
            <w:r>
              <w:rPr>
                <w:noProof/>
                <w:webHidden/>
              </w:rPr>
            </w:r>
            <w:r>
              <w:rPr>
                <w:noProof/>
                <w:webHidden/>
              </w:rPr>
              <w:fldChar w:fldCharType="separate"/>
            </w:r>
            <w:r w:rsidR="00731ACB">
              <w:rPr>
                <w:noProof/>
                <w:webHidden/>
              </w:rPr>
              <w:t>29</w:t>
            </w:r>
            <w:r>
              <w:rPr>
                <w:noProof/>
                <w:webHidden/>
              </w:rPr>
              <w:fldChar w:fldCharType="end"/>
            </w:r>
          </w:hyperlink>
        </w:p>
        <w:p w:rsidR="00DC52BD" w:rsidRDefault="00DC52BD" w14:paraId="0612DA23" w14:textId="265EF548">
          <w:pPr>
            <w:pStyle w:val="TOC1"/>
            <w:tabs>
              <w:tab w:val="right" w:leader="dot" w:pos="9350"/>
            </w:tabs>
            <w:rPr>
              <w:rFonts w:asciiTheme="minorHAnsi" w:hAnsiTheme="minorHAnsi" w:cstheme="minorBidi"/>
              <w:noProof/>
              <w:kern w:val="2"/>
              <w:sz w:val="24"/>
              <w:szCs w:val="24"/>
              <w14:ligatures w14:val="standardContextual"/>
            </w:rPr>
          </w:pPr>
          <w:hyperlink w:history="1" w:anchor="_Toc227882786">
            <w:r w:rsidRPr="0016715E">
              <w:rPr>
                <w:rStyle w:val="Hyperlink"/>
                <w:noProof/>
              </w:rPr>
              <w:t>Conclusions of Law</w:t>
            </w:r>
            <w:r>
              <w:rPr>
                <w:noProof/>
                <w:webHidden/>
              </w:rPr>
              <w:tab/>
            </w:r>
            <w:r>
              <w:rPr>
                <w:noProof/>
                <w:webHidden/>
              </w:rPr>
              <w:fldChar w:fldCharType="begin"/>
            </w:r>
            <w:r>
              <w:rPr>
                <w:noProof/>
                <w:webHidden/>
              </w:rPr>
              <w:instrText xml:space="preserve"> PAGEREF _Toc227882786 \h </w:instrText>
            </w:r>
            <w:r>
              <w:rPr>
                <w:noProof/>
                <w:webHidden/>
              </w:rPr>
            </w:r>
            <w:r>
              <w:rPr>
                <w:noProof/>
                <w:webHidden/>
              </w:rPr>
              <w:fldChar w:fldCharType="separate"/>
            </w:r>
            <w:r w:rsidR="00731ACB">
              <w:rPr>
                <w:noProof/>
                <w:webHidden/>
              </w:rPr>
              <w:t>29</w:t>
            </w:r>
            <w:r>
              <w:rPr>
                <w:noProof/>
                <w:webHidden/>
              </w:rPr>
              <w:fldChar w:fldCharType="end"/>
            </w:r>
          </w:hyperlink>
        </w:p>
        <w:p w:rsidR="00DC52BD" w:rsidRDefault="00DC52BD" w14:paraId="1C473713" w14:textId="0C161C67">
          <w:pPr>
            <w:pStyle w:val="TOC1"/>
            <w:tabs>
              <w:tab w:val="right" w:leader="dot" w:pos="9350"/>
            </w:tabs>
            <w:rPr>
              <w:rFonts w:asciiTheme="minorHAnsi" w:hAnsiTheme="minorHAnsi" w:cstheme="minorBidi"/>
              <w:noProof/>
              <w:kern w:val="2"/>
              <w:sz w:val="24"/>
              <w:szCs w:val="24"/>
              <w14:ligatures w14:val="standardContextual"/>
            </w:rPr>
          </w:pPr>
          <w:hyperlink w:history="1" w:anchor="_Toc227882787">
            <w:r w:rsidRPr="0016715E">
              <w:rPr>
                <w:rStyle w:val="Hyperlink"/>
                <w:noProof/>
              </w:rPr>
              <w:t>ORDER</w:t>
            </w:r>
            <w:r>
              <w:rPr>
                <w:noProof/>
                <w:webHidden/>
              </w:rPr>
              <w:tab/>
            </w:r>
            <w:r>
              <w:rPr>
                <w:noProof/>
                <w:webHidden/>
              </w:rPr>
              <w:fldChar w:fldCharType="begin"/>
            </w:r>
            <w:r>
              <w:rPr>
                <w:noProof/>
                <w:webHidden/>
              </w:rPr>
              <w:instrText xml:space="preserve"> PAGEREF _Toc227882787 \h </w:instrText>
            </w:r>
            <w:r>
              <w:rPr>
                <w:noProof/>
                <w:webHidden/>
              </w:rPr>
            </w:r>
            <w:r>
              <w:rPr>
                <w:noProof/>
                <w:webHidden/>
              </w:rPr>
              <w:fldChar w:fldCharType="separate"/>
            </w:r>
            <w:r w:rsidR="00731ACB">
              <w:rPr>
                <w:noProof/>
                <w:webHidden/>
              </w:rPr>
              <w:t>30</w:t>
            </w:r>
            <w:r>
              <w:rPr>
                <w:noProof/>
                <w:webHidden/>
              </w:rPr>
              <w:fldChar w:fldCharType="end"/>
            </w:r>
          </w:hyperlink>
        </w:p>
        <w:p w:rsidR="00D82A43" w:rsidP="008C7413" w:rsidRDefault="008C7413" w14:paraId="754E237C" w14:textId="73189CE1">
          <w:pPr>
            <w:pStyle w:val="TOC1"/>
            <w:tabs>
              <w:tab w:val="right" w:leader="dot" w:pos="9350"/>
            </w:tabs>
          </w:pPr>
          <w:r>
            <w:rPr>
              <w:rFonts w:asciiTheme="minorHAnsi" w:hAnsiTheme="minorHAnsi"/>
              <w:sz w:val="22"/>
            </w:rPr>
            <w:fldChar w:fldCharType="end"/>
          </w:r>
        </w:p>
      </w:sdtContent>
    </w:sdt>
    <w:p w:rsidR="00D44DB6" w:rsidP="00D44DB6" w:rsidRDefault="00D44DB6" w14:paraId="0D63055B" w14:textId="77777777">
      <w:pPr>
        <w:spacing w:line="240" w:lineRule="auto"/>
        <w:ind w:firstLine="0"/>
        <w:rPr>
          <w:rFonts w:cs="Arial"/>
          <w:szCs w:val="26"/>
        </w:rPr>
      </w:pPr>
    </w:p>
    <w:p w:rsidR="0018345F" w:rsidP="00D44DB6" w:rsidRDefault="0018345F" w14:paraId="388F7025" w14:textId="77777777">
      <w:pPr>
        <w:spacing w:line="240" w:lineRule="auto"/>
        <w:ind w:firstLine="0"/>
        <w:rPr>
          <w:rFonts w:cs="Arial"/>
          <w:i/>
          <w:szCs w:val="26"/>
        </w:rPr>
        <w:sectPr w:rsidR="0018345F" w:rsidSect="00D44DB6">
          <w:headerReference w:type="default" r:id="rId13"/>
          <w:footerReference w:type="default" r:id="rId14"/>
          <w:pgSz w:w="12240" w:h="15840"/>
          <w:pgMar w:top="1728" w:right="1440" w:bottom="1440" w:left="1440" w:header="720" w:footer="720" w:gutter="0"/>
          <w:pgNumType w:fmt="lowerRoman" w:start="1"/>
          <w:cols w:space="720"/>
          <w:docGrid w:linePitch="360"/>
        </w:sectPr>
      </w:pPr>
    </w:p>
    <w:p w:rsidR="0098655A" w:rsidP="006578A1" w:rsidRDefault="00CF0200" w14:paraId="333477F8" w14:textId="5E749302">
      <w:pPr>
        <w:spacing w:line="240" w:lineRule="auto"/>
        <w:ind w:firstLine="0"/>
        <w:jc w:val="center"/>
        <w:rPr>
          <w:rFonts w:ascii="Arial" w:hAnsi="Arial" w:cs="Arial"/>
          <w:b/>
          <w:bCs/>
        </w:rPr>
      </w:pPr>
      <w:r w:rsidRPr="0018345F">
        <w:rPr>
          <w:rFonts w:ascii="Arial" w:hAnsi="Arial" w:cs="Arial"/>
          <w:b/>
          <w:bCs/>
        </w:rPr>
        <w:lastRenderedPageBreak/>
        <w:t>PRESIDING OFFICER’S DECISION GRANTING MOTION TO DISMISS</w:t>
      </w:r>
    </w:p>
    <w:p w:rsidR="0018345F" w:rsidP="0018345F" w:rsidRDefault="0018345F" w14:paraId="791CBC66" w14:textId="77777777">
      <w:pPr>
        <w:spacing w:line="240" w:lineRule="auto"/>
        <w:ind w:firstLine="0"/>
      </w:pPr>
    </w:p>
    <w:p w:rsidR="005A148C" w:rsidP="005A148C" w:rsidRDefault="005A148C" w14:paraId="7EEB46F2" w14:textId="77777777">
      <w:pPr>
        <w:pStyle w:val="Dummy"/>
      </w:pPr>
      <w:bookmarkStart w:name="_Toc8123714" w:id="1"/>
      <w:bookmarkStart w:name="_Toc227882765" w:id="2"/>
      <w:r>
        <w:t>Summary</w:t>
      </w:r>
      <w:bookmarkEnd w:id="1"/>
      <w:bookmarkEnd w:id="2"/>
    </w:p>
    <w:p w:rsidR="00D63A38" w:rsidP="006E6574" w:rsidRDefault="002A5D32" w14:paraId="34D3B20A" w14:textId="77777777">
      <w:pPr>
        <w:pStyle w:val="Standard"/>
        <w:rPr>
          <w:szCs w:val="26"/>
        </w:rPr>
      </w:pPr>
      <w:r>
        <w:rPr>
          <w:szCs w:val="26"/>
        </w:rPr>
        <w:t>This decision grants</w:t>
      </w:r>
      <w:r w:rsidRPr="0014387D">
        <w:rPr>
          <w:szCs w:val="26"/>
        </w:rPr>
        <w:t xml:space="preserve"> </w:t>
      </w:r>
      <w:r>
        <w:rPr>
          <w:szCs w:val="26"/>
        </w:rPr>
        <w:t>the motion</w:t>
      </w:r>
      <w:r w:rsidRPr="0014387D">
        <w:rPr>
          <w:szCs w:val="26"/>
        </w:rPr>
        <w:t xml:space="preserve"> </w:t>
      </w:r>
      <w:r w:rsidRPr="005F3826">
        <w:rPr>
          <w:szCs w:val="26"/>
        </w:rPr>
        <w:t xml:space="preserve">filed by defendant </w:t>
      </w:r>
      <w:r w:rsidR="007D5239">
        <w:rPr>
          <w:rFonts w:cs="Arial"/>
          <w:szCs w:val="26"/>
        </w:rPr>
        <w:t>Pacific Gas and Electric</w:t>
      </w:r>
      <w:r>
        <w:rPr>
          <w:rFonts w:cs="Arial"/>
          <w:szCs w:val="26"/>
        </w:rPr>
        <w:t xml:space="preserve"> Co</w:t>
      </w:r>
      <w:r w:rsidR="007D5239">
        <w:rPr>
          <w:rFonts w:cs="Arial"/>
          <w:szCs w:val="26"/>
        </w:rPr>
        <w:t>mpany</w:t>
      </w:r>
      <w:r w:rsidRPr="005F3826">
        <w:rPr>
          <w:szCs w:val="26"/>
        </w:rPr>
        <w:t xml:space="preserve"> </w:t>
      </w:r>
      <w:r w:rsidRPr="0014387D">
        <w:rPr>
          <w:szCs w:val="26"/>
        </w:rPr>
        <w:t xml:space="preserve">to dismiss </w:t>
      </w:r>
      <w:r w:rsidR="008F7C29">
        <w:t>Case 23-02-003</w:t>
      </w:r>
      <w:r>
        <w:rPr>
          <w:szCs w:val="26"/>
        </w:rPr>
        <w:t xml:space="preserve">. </w:t>
      </w:r>
    </w:p>
    <w:p w:rsidR="00D63A38" w:rsidP="006E6574" w:rsidRDefault="008F7C29" w14:paraId="2D8809BF" w14:textId="77777777">
      <w:pPr>
        <w:pStyle w:val="Standard"/>
      </w:pPr>
      <w:r>
        <w:t>Case</w:t>
      </w:r>
      <w:r w:rsidR="00C846C2">
        <w:t> </w:t>
      </w:r>
      <w:r>
        <w:t xml:space="preserve">23-02-003 </w:t>
      </w:r>
      <w:r w:rsidR="002A5D32">
        <w:t>is dismissed</w:t>
      </w:r>
      <w:r w:rsidR="00D63A38">
        <w:t>.</w:t>
      </w:r>
    </w:p>
    <w:p w:rsidR="002C7FE9" w:rsidP="006E6574" w:rsidRDefault="00D63A38" w14:paraId="60BEABE6" w14:textId="045E083E">
      <w:pPr>
        <w:pStyle w:val="Standard"/>
      </w:pPr>
      <w:r>
        <w:t>This proceeding is closed</w:t>
      </w:r>
      <w:r w:rsidR="002C7FE9">
        <w:t>.</w:t>
      </w:r>
    </w:p>
    <w:p w:rsidRPr="00121089" w:rsidR="005A148C" w:rsidP="008B57C8" w:rsidRDefault="002C7FE9" w14:paraId="0DD593D7" w14:textId="77777777">
      <w:pPr>
        <w:pStyle w:val="Heading1"/>
      </w:pPr>
      <w:bookmarkStart w:name="_Toc8123715" w:id="3"/>
      <w:bookmarkStart w:name="_Toc227882766" w:id="4"/>
      <w:r w:rsidRPr="008B57C8">
        <w:t>Background</w:t>
      </w:r>
      <w:bookmarkEnd w:id="3"/>
      <w:bookmarkEnd w:id="4"/>
    </w:p>
    <w:p w:rsidR="007721A1" w:rsidP="008B57C8" w:rsidRDefault="007721A1" w14:paraId="20B567CC" w14:textId="3DEFE21A">
      <w:pPr>
        <w:pStyle w:val="Heading2"/>
      </w:pPr>
      <w:bookmarkStart w:name="_Toc227882767" w:id="5"/>
      <w:bookmarkStart w:name="_Hlk148601650" w:id="6"/>
      <w:r>
        <w:t xml:space="preserve">The </w:t>
      </w:r>
      <w:r w:rsidRPr="008B57C8">
        <w:t>Complaint</w:t>
      </w:r>
      <w:r w:rsidR="002D5CB3">
        <w:t xml:space="preserve"> </w:t>
      </w:r>
      <w:r w:rsidR="0038257F">
        <w:t>and Answer</w:t>
      </w:r>
      <w:bookmarkEnd w:id="5"/>
    </w:p>
    <w:p w:rsidR="00561C56" w:rsidP="00561C56" w:rsidRDefault="00E14C7C" w14:paraId="69B9E8EE" w14:textId="2591D4AD">
      <w:pPr>
        <w:pStyle w:val="Standard"/>
        <w:rPr>
          <w:rFonts w:eastAsia="MS Mincho"/>
        </w:rPr>
      </w:pPr>
      <w:r w:rsidRPr="00307F4A">
        <w:t>On February</w:t>
      </w:r>
      <w:r>
        <w:t xml:space="preserve"> </w:t>
      </w:r>
      <w:r w:rsidRPr="00307F4A">
        <w:t>10,</w:t>
      </w:r>
      <w:r>
        <w:t xml:space="preserve"> </w:t>
      </w:r>
      <w:r w:rsidRPr="00307F4A">
        <w:t>2023, Complainant Jim Irizarry (Complainant) filed Complaint</w:t>
      </w:r>
      <w:r>
        <w:t xml:space="preserve"> </w:t>
      </w:r>
      <w:r w:rsidRPr="00307F4A">
        <w:t>(C.)</w:t>
      </w:r>
      <w:r w:rsidR="00C846C2">
        <w:t> </w:t>
      </w:r>
      <w:r w:rsidRPr="00307F4A">
        <w:t>23</w:t>
      </w:r>
      <w:r w:rsidRPr="00307F4A">
        <w:noBreakHyphen/>
        <w:t>02</w:t>
      </w:r>
      <w:r w:rsidRPr="00307F4A">
        <w:noBreakHyphen/>
        <w:t>003 against Defendant Pacific Gas and Electric Company (Defendant</w:t>
      </w:r>
      <w:r w:rsidR="009450D8">
        <w:t xml:space="preserve"> or PG&amp;E</w:t>
      </w:r>
      <w:r w:rsidRPr="00307F4A">
        <w:t xml:space="preserve">) (collectively, the Parties). </w:t>
      </w:r>
      <w:r w:rsidR="000949B0">
        <w:t xml:space="preserve">The Complaint </w:t>
      </w:r>
      <w:r w:rsidR="003F4914">
        <w:t xml:space="preserve">was appended with various </w:t>
      </w:r>
      <w:r w:rsidR="00D96FE7">
        <w:t xml:space="preserve">supplemental </w:t>
      </w:r>
      <w:r w:rsidR="003F4914">
        <w:t>documents</w:t>
      </w:r>
      <w:r w:rsidR="00C7414C">
        <w:t xml:space="preserve"> purportedly </w:t>
      </w:r>
      <w:r w:rsidR="001014D4">
        <w:t>showing the scope and history of the Parties’ disputes</w:t>
      </w:r>
      <w:r w:rsidR="003F4914">
        <w:t xml:space="preserve">. </w:t>
      </w:r>
      <w:r w:rsidRPr="00307F4A" w:rsidR="00561C56">
        <w:rPr>
          <w:rFonts w:eastAsia="MS Mincho"/>
        </w:rPr>
        <w:t>The California Public Utilities Commission (Commission) preliminarily categorized this as an adjudicatory proceeding.</w:t>
      </w:r>
      <w:r w:rsidR="00A46A0C">
        <w:rPr>
          <w:rStyle w:val="FootnoteReference"/>
          <w:rFonts w:eastAsia="MS Mincho"/>
        </w:rPr>
        <w:footnoteReference w:id="2"/>
      </w:r>
      <w:r w:rsidR="00561C56">
        <w:t xml:space="preserve"> </w:t>
      </w:r>
    </w:p>
    <w:p w:rsidR="002914C0" w:rsidP="00E14C7C" w:rsidRDefault="00B019A2" w14:paraId="372E3C4A" w14:textId="6ACDBAB7">
      <w:pPr>
        <w:pStyle w:val="Standard"/>
      </w:pPr>
      <w:r>
        <w:t xml:space="preserve">In </w:t>
      </w:r>
      <w:r w:rsidR="00282FEF">
        <w:t>his</w:t>
      </w:r>
      <w:r>
        <w:t xml:space="preserve"> Complaint, </w:t>
      </w:r>
      <w:r w:rsidR="00D63A38">
        <w:t xml:space="preserve">Mr. </w:t>
      </w:r>
      <w:r>
        <w:t>Irizarry</w:t>
      </w:r>
      <w:r w:rsidRPr="00307F4A" w:rsidR="00E14C7C">
        <w:t xml:space="preserve"> sought </w:t>
      </w:r>
      <w:r w:rsidR="00326F9F">
        <w:t xml:space="preserve">urgent </w:t>
      </w:r>
      <w:r w:rsidRPr="00307F4A" w:rsidR="00E14C7C">
        <w:t xml:space="preserve">relocation of Defendant’s </w:t>
      </w:r>
      <w:r w:rsidR="00DE1B7B">
        <w:t xml:space="preserve">electric </w:t>
      </w:r>
      <w:r w:rsidRPr="00307F4A" w:rsidR="00E14C7C">
        <w:t>power lines from tree connections to one or more power poles located on Defendant’s public utility easement</w:t>
      </w:r>
      <w:r w:rsidR="0011157E">
        <w:t>.</w:t>
      </w:r>
      <w:r w:rsidR="00417C21">
        <w:t xml:space="preserve"> He claimed that the tree connections </w:t>
      </w:r>
      <w:r w:rsidR="00B11EE2">
        <w:t xml:space="preserve">created hazards that required immediate </w:t>
      </w:r>
      <w:r w:rsidR="00AC2A2C">
        <w:t>relocation.</w:t>
      </w:r>
      <w:r w:rsidR="0081395E">
        <w:rPr>
          <w:rStyle w:val="FootnoteReference"/>
        </w:rPr>
        <w:footnoteReference w:id="3"/>
      </w:r>
      <w:r w:rsidR="0011157E">
        <w:t xml:space="preserve">  </w:t>
      </w:r>
    </w:p>
    <w:p w:rsidR="00B75E7E" w:rsidP="00E14C7C" w:rsidRDefault="00C421BE" w14:paraId="1F60C461" w14:textId="06A84CF2">
      <w:pPr>
        <w:pStyle w:val="Standard"/>
      </w:pPr>
      <w:r>
        <w:lastRenderedPageBreak/>
        <w:t xml:space="preserve">Separately, </w:t>
      </w:r>
      <w:r w:rsidRPr="00307F4A" w:rsidR="00E14C7C">
        <w:t>Complainant s</w:t>
      </w:r>
      <w:r w:rsidR="00343ECD">
        <w:t>oug</w:t>
      </w:r>
      <w:r w:rsidR="00B75E7E">
        <w:t>ht</w:t>
      </w:r>
      <w:r w:rsidRPr="00307F4A" w:rsidR="00E14C7C">
        <w:t xml:space="preserve"> </w:t>
      </w:r>
      <w:r w:rsidR="006B6324">
        <w:t xml:space="preserve">a relocation of </w:t>
      </w:r>
      <w:r w:rsidRPr="00307F4A" w:rsidR="00E14C7C">
        <w:t xml:space="preserve">one or more power poles located on or adjacent to Complainant’s property </w:t>
      </w:r>
      <w:r w:rsidR="00416098">
        <w:t xml:space="preserve">at 1200 Bear Gulch Road, </w:t>
      </w:r>
      <w:r w:rsidR="000224B2">
        <w:t xml:space="preserve">Woodside, California, </w:t>
      </w:r>
      <w:r w:rsidR="00EB616A">
        <w:t xml:space="preserve">to </w:t>
      </w:r>
      <w:r w:rsidR="00383A08">
        <w:t xml:space="preserve">a location 20 feet </w:t>
      </w:r>
      <w:r w:rsidR="00ED21B9">
        <w:t>away on a PG&amp;E utility easement road</w:t>
      </w:r>
      <w:r w:rsidRPr="00307F4A" w:rsidR="00E14C7C">
        <w:t>.</w:t>
      </w:r>
      <w:r w:rsidR="00440AFB">
        <w:rPr>
          <w:rStyle w:val="FootnoteReference"/>
        </w:rPr>
        <w:footnoteReference w:id="4"/>
      </w:r>
      <w:r w:rsidR="00E14C7C">
        <w:t xml:space="preserve"> </w:t>
      </w:r>
      <w:r w:rsidR="00824C6D">
        <w:t xml:space="preserve">Significantly, </w:t>
      </w:r>
      <w:r w:rsidR="00E0211F">
        <w:t>Complainant demands that</w:t>
      </w:r>
      <w:r w:rsidRPr="00307F4A" w:rsidR="00E0211F">
        <w:t xml:space="preserve"> Defendant bear all costs</w:t>
      </w:r>
      <w:r w:rsidR="00E0211F">
        <w:t xml:space="preserve"> for that relocation.</w:t>
      </w:r>
      <w:r w:rsidR="00222E76">
        <w:t xml:space="preserve"> This issue remains as the only disputed issue to be adjudicated and is addressed below.</w:t>
      </w:r>
    </w:p>
    <w:p w:rsidR="0040460B" w:rsidP="00E14C7C" w:rsidRDefault="007560FE" w14:paraId="16FB15AB" w14:textId="10AE530E">
      <w:pPr>
        <w:pStyle w:val="Standard"/>
      </w:pPr>
      <w:r>
        <w:t xml:space="preserve">In addition, </w:t>
      </w:r>
      <w:r w:rsidR="0030711A">
        <w:t xml:space="preserve">the </w:t>
      </w:r>
      <w:r w:rsidR="00AA7B32">
        <w:t xml:space="preserve">Complaint </w:t>
      </w:r>
      <w:r w:rsidR="00876778">
        <w:t xml:space="preserve">sought to compel </w:t>
      </w:r>
      <w:r w:rsidR="00E602FC">
        <w:t xml:space="preserve">PG&amp;E to connect a </w:t>
      </w:r>
      <w:r w:rsidR="00876778">
        <w:t xml:space="preserve">power line </w:t>
      </w:r>
      <w:r w:rsidR="00E602FC">
        <w:t>from</w:t>
      </w:r>
      <w:r w:rsidR="00876778">
        <w:t xml:space="preserve"> Bear Gulch Road to a </w:t>
      </w:r>
      <w:r w:rsidR="00FC4965">
        <w:t>preexisting power pole</w:t>
      </w:r>
      <w:r w:rsidR="00E602FC">
        <w:t>.</w:t>
      </w:r>
      <w:r w:rsidR="005D048E">
        <w:rPr>
          <w:rStyle w:val="FootnoteReference"/>
        </w:rPr>
        <w:footnoteReference w:id="5"/>
      </w:r>
      <w:r w:rsidR="00E602FC">
        <w:t xml:space="preserve"> </w:t>
      </w:r>
    </w:p>
    <w:p w:rsidR="001C300D" w:rsidP="00E14C7C" w:rsidRDefault="0030711A" w14:paraId="51BCA88A" w14:textId="77777777">
      <w:pPr>
        <w:pStyle w:val="Standard"/>
      </w:pPr>
      <w:r>
        <w:t xml:space="preserve">Finally, the Complaint </w:t>
      </w:r>
      <w:r w:rsidR="00B93884">
        <w:t xml:space="preserve">demanded that PG&amp;E </w:t>
      </w:r>
      <w:r w:rsidR="00D8646F">
        <w:t xml:space="preserve">include </w:t>
      </w:r>
      <w:r w:rsidR="00977AFF">
        <w:t>his</w:t>
      </w:r>
      <w:r w:rsidR="00F5794C">
        <w:t xml:space="preserve"> </w:t>
      </w:r>
      <w:r w:rsidR="008A545F">
        <w:t xml:space="preserve">power pole </w:t>
      </w:r>
      <w:r w:rsidR="00F5794C">
        <w:t xml:space="preserve">relocation and power line connection </w:t>
      </w:r>
      <w:r w:rsidR="00977AFF">
        <w:t>demands</w:t>
      </w:r>
      <w:r w:rsidR="008A545F">
        <w:t xml:space="preserve"> </w:t>
      </w:r>
      <w:r w:rsidR="00F5794C">
        <w:t xml:space="preserve">in </w:t>
      </w:r>
      <w:r w:rsidR="005F61C9">
        <w:t xml:space="preserve">the public utility’s </w:t>
      </w:r>
      <w:r w:rsidR="009E04FB">
        <w:t xml:space="preserve">alleged </w:t>
      </w:r>
      <w:r w:rsidR="00977AFF">
        <w:t xml:space="preserve">preexisting </w:t>
      </w:r>
      <w:r w:rsidR="000569F4">
        <w:t>project</w:t>
      </w:r>
      <w:r w:rsidR="005F61C9">
        <w:t xml:space="preserve"> plan </w:t>
      </w:r>
      <w:r w:rsidR="008E3316">
        <w:t>for the tree connection</w:t>
      </w:r>
      <w:r w:rsidR="000E4A05">
        <w:t xml:space="preserve"> work.</w:t>
      </w:r>
      <w:r w:rsidR="00C34EAD">
        <w:rPr>
          <w:rStyle w:val="FootnoteReference"/>
        </w:rPr>
        <w:footnoteReference w:id="6"/>
      </w:r>
      <w:r w:rsidR="000E4A05">
        <w:t xml:space="preserve">  </w:t>
      </w:r>
      <w:r w:rsidR="00B248F5">
        <w:t>Complain</w:t>
      </w:r>
      <w:r w:rsidR="00151479">
        <w:t>an</w:t>
      </w:r>
      <w:r w:rsidR="00B248F5">
        <w:t>t claim</w:t>
      </w:r>
      <w:r w:rsidR="00A67AC8">
        <w:t xml:space="preserve">ed </w:t>
      </w:r>
      <w:r w:rsidR="00204B9E">
        <w:t>Defendant should perform and coordinate its workp</w:t>
      </w:r>
      <w:r w:rsidR="00AD71E0">
        <w:t xml:space="preserve">lans according to Irizarry’s preferences to </w:t>
      </w:r>
      <w:r w:rsidR="008B4B14">
        <w:t>address unspecified “public safety hazards.”</w:t>
      </w:r>
      <w:r w:rsidR="008B4B14">
        <w:rPr>
          <w:rStyle w:val="FootnoteReference"/>
        </w:rPr>
        <w:footnoteReference w:id="7"/>
      </w:r>
      <w:r w:rsidR="008E3316">
        <w:t xml:space="preserve"> </w:t>
      </w:r>
    </w:p>
    <w:p w:rsidR="00332E74" w:rsidP="00E14C7C" w:rsidRDefault="00790DC9" w14:paraId="7F611537" w14:textId="14F515CE">
      <w:pPr>
        <w:pStyle w:val="Standard"/>
      </w:pPr>
      <w:r>
        <w:t xml:space="preserve">The </w:t>
      </w:r>
      <w:r w:rsidRPr="004849DE" w:rsidR="004849DE">
        <w:t>Complain</w:t>
      </w:r>
      <w:r>
        <w:t>t</w:t>
      </w:r>
      <w:r w:rsidRPr="004849DE" w:rsidR="004849DE">
        <w:t xml:space="preserve"> </w:t>
      </w:r>
      <w:r w:rsidR="00651C63">
        <w:t>claims in general</w:t>
      </w:r>
      <w:r w:rsidR="000A684F">
        <w:t>, conclusory</w:t>
      </w:r>
      <w:r w:rsidR="00651C63">
        <w:t xml:space="preserve"> terms that </w:t>
      </w:r>
      <w:r w:rsidRPr="004849DE" w:rsidR="004849DE">
        <w:t xml:space="preserve">PG&amp;E </w:t>
      </w:r>
      <w:r w:rsidR="00651C63">
        <w:t>has been</w:t>
      </w:r>
      <w:r w:rsidRPr="004849DE" w:rsidR="004849DE">
        <w:t xml:space="preserve"> negligen</w:t>
      </w:r>
      <w:r w:rsidR="00651C63">
        <w:t>t</w:t>
      </w:r>
      <w:r w:rsidRPr="004849DE" w:rsidR="004849DE">
        <w:t xml:space="preserve">, reckless, and </w:t>
      </w:r>
      <w:r w:rsidR="003A79F5">
        <w:t>engaged in a</w:t>
      </w:r>
      <w:r w:rsidR="00C15D86">
        <w:t xml:space="preserve">n unspecified </w:t>
      </w:r>
      <w:r w:rsidR="006426B8">
        <w:t>“</w:t>
      </w:r>
      <w:r w:rsidRPr="004849DE" w:rsidR="004849DE">
        <w:t>cover up</w:t>
      </w:r>
      <w:r w:rsidR="00033926">
        <w:t>,</w:t>
      </w:r>
      <w:r w:rsidRPr="004849DE" w:rsidR="004849DE">
        <w:t>”</w:t>
      </w:r>
      <w:r w:rsidR="00AC3589">
        <w:t xml:space="preserve"> </w:t>
      </w:r>
      <w:r w:rsidR="00332E74">
        <w:t xml:space="preserve">and </w:t>
      </w:r>
      <w:r w:rsidR="003F0203">
        <w:t>has created a</w:t>
      </w:r>
      <w:r w:rsidRPr="004849DE" w:rsidR="004849DE">
        <w:t xml:space="preserve"> “wildland fire hazard” and </w:t>
      </w:r>
      <w:r w:rsidR="00E741D9">
        <w:t xml:space="preserve">an </w:t>
      </w:r>
      <w:r w:rsidRPr="004849DE" w:rsidR="004849DE">
        <w:t>“imminent danger to life and property</w:t>
      </w:r>
      <w:r w:rsidR="003F0203">
        <w:t>.</w:t>
      </w:r>
      <w:r w:rsidRPr="004849DE" w:rsidR="004849DE">
        <w:t>”</w:t>
      </w:r>
      <w:r w:rsidR="003F0203">
        <w:rPr>
          <w:rStyle w:val="FootnoteReference"/>
        </w:rPr>
        <w:footnoteReference w:id="8"/>
      </w:r>
      <w:r w:rsidR="00332E74">
        <w:t xml:space="preserve"> </w:t>
      </w:r>
    </w:p>
    <w:p w:rsidR="00E602FC" w:rsidP="00E14C7C" w:rsidRDefault="00F93FA3" w14:paraId="1E7EF5D1" w14:textId="4D9B4F63">
      <w:pPr>
        <w:pStyle w:val="Standard"/>
      </w:pPr>
      <w:r>
        <w:lastRenderedPageBreak/>
        <w:t xml:space="preserve">The Complaint also claims </w:t>
      </w:r>
      <w:r w:rsidR="00CB24AF">
        <w:t xml:space="preserve">conclusorily </w:t>
      </w:r>
      <w:r w:rsidR="00332E74">
        <w:t xml:space="preserve">that </w:t>
      </w:r>
      <w:r>
        <w:t>PG&amp;E violated</w:t>
      </w:r>
      <w:r w:rsidRPr="004849DE" w:rsidR="004849DE">
        <w:t xml:space="preserve"> “California state law and Wildland fire codes</w:t>
      </w:r>
      <w:r w:rsidR="00604FD4">
        <w:t>.</w:t>
      </w:r>
      <w:r w:rsidRPr="004849DE" w:rsidR="004849DE">
        <w:t>”</w:t>
      </w:r>
      <w:r w:rsidR="00EB2A9E">
        <w:rPr>
          <w:rStyle w:val="FootnoteReference"/>
        </w:rPr>
        <w:footnoteReference w:id="9"/>
      </w:r>
      <w:r w:rsidR="00604FD4">
        <w:t xml:space="preserve"> </w:t>
      </w:r>
    </w:p>
    <w:p w:rsidR="00E71ABD" w:rsidP="00E14C7C" w:rsidRDefault="001C6658" w14:paraId="1537C4F5" w14:textId="77777777">
      <w:pPr>
        <w:pStyle w:val="Standard"/>
        <w:rPr>
          <w:rFonts w:eastAsia="MS Mincho"/>
        </w:rPr>
      </w:pPr>
      <w:r>
        <w:rPr>
          <w:rFonts w:eastAsia="MS Mincho"/>
        </w:rPr>
        <w:t xml:space="preserve">Defendant filed its </w:t>
      </w:r>
      <w:r w:rsidR="007E75A7">
        <w:rPr>
          <w:rFonts w:eastAsia="MS Mincho"/>
        </w:rPr>
        <w:t>A</w:t>
      </w:r>
      <w:r>
        <w:rPr>
          <w:rFonts w:eastAsia="MS Mincho"/>
        </w:rPr>
        <w:t xml:space="preserve">nswer to the </w:t>
      </w:r>
      <w:r w:rsidR="00343ECD">
        <w:rPr>
          <w:rFonts w:eastAsia="MS Mincho"/>
        </w:rPr>
        <w:t>C</w:t>
      </w:r>
      <w:r>
        <w:rPr>
          <w:rFonts w:eastAsia="MS Mincho"/>
        </w:rPr>
        <w:t xml:space="preserve">omplaint (Answer) on </w:t>
      </w:r>
      <w:r w:rsidRPr="00307F4A" w:rsidR="00B75E7E">
        <w:rPr>
          <w:rFonts w:eastAsia="MS Mincho"/>
        </w:rPr>
        <w:t>April</w:t>
      </w:r>
      <w:r w:rsidR="00B75E7E">
        <w:rPr>
          <w:rFonts w:eastAsia="MS Mincho"/>
        </w:rPr>
        <w:t xml:space="preserve"> </w:t>
      </w:r>
      <w:r w:rsidRPr="00307F4A" w:rsidR="00B75E7E">
        <w:rPr>
          <w:rFonts w:eastAsia="MS Mincho"/>
        </w:rPr>
        <w:t>10,</w:t>
      </w:r>
      <w:r w:rsidR="00B75E7E">
        <w:rPr>
          <w:rFonts w:eastAsia="MS Mincho"/>
        </w:rPr>
        <w:t xml:space="preserve"> </w:t>
      </w:r>
      <w:r w:rsidRPr="00307F4A" w:rsidR="00B75E7E">
        <w:rPr>
          <w:rFonts w:eastAsia="MS Mincho"/>
        </w:rPr>
        <w:t>2023</w:t>
      </w:r>
      <w:r>
        <w:rPr>
          <w:rFonts w:eastAsia="MS Mincho"/>
        </w:rPr>
        <w:t xml:space="preserve">. </w:t>
      </w:r>
      <w:r w:rsidR="00CC2781">
        <w:rPr>
          <w:rFonts w:eastAsia="MS Mincho"/>
        </w:rPr>
        <w:t xml:space="preserve">PG&amp;E </w:t>
      </w:r>
      <w:r w:rsidR="001D6C38">
        <w:rPr>
          <w:rFonts w:eastAsia="MS Mincho"/>
        </w:rPr>
        <w:t>stated that it</w:t>
      </w:r>
      <w:r w:rsidRPr="001D6C38" w:rsidR="001D6C38">
        <w:rPr>
          <w:rFonts w:eastAsia="MS Mincho"/>
        </w:rPr>
        <w:t xml:space="preserve"> </w:t>
      </w:r>
      <w:r w:rsidR="002A0679">
        <w:rPr>
          <w:rFonts w:eastAsia="MS Mincho"/>
        </w:rPr>
        <w:t xml:space="preserve">cannot </w:t>
      </w:r>
      <w:r w:rsidR="00E71ABD">
        <w:rPr>
          <w:rFonts w:eastAsia="MS Mincho"/>
        </w:rPr>
        <w:t>divine</w:t>
      </w:r>
      <w:r w:rsidRPr="001D6C38" w:rsidR="001D6C38">
        <w:rPr>
          <w:rFonts w:eastAsia="MS Mincho"/>
        </w:rPr>
        <w:t xml:space="preserve"> </w:t>
      </w:r>
      <w:r w:rsidR="007D7943">
        <w:rPr>
          <w:rFonts w:eastAsia="MS Mincho"/>
        </w:rPr>
        <w:t>the meaning of</w:t>
      </w:r>
      <w:r w:rsidRPr="001D6C38" w:rsidR="001D6C38">
        <w:rPr>
          <w:rFonts w:eastAsia="MS Mincho"/>
        </w:rPr>
        <w:t xml:space="preserve"> </w:t>
      </w:r>
      <w:r w:rsidR="00614697">
        <w:rPr>
          <w:rFonts w:eastAsia="MS Mincho"/>
        </w:rPr>
        <w:t>various</w:t>
      </w:r>
      <w:r w:rsidRPr="001D6C38" w:rsidR="001D6C38">
        <w:rPr>
          <w:rFonts w:eastAsia="MS Mincho"/>
        </w:rPr>
        <w:t xml:space="preserve"> conclusory allegations </w:t>
      </w:r>
      <w:r w:rsidR="007D7943">
        <w:rPr>
          <w:rFonts w:eastAsia="MS Mincho"/>
        </w:rPr>
        <w:t xml:space="preserve">found </w:t>
      </w:r>
      <w:r w:rsidRPr="001D6C38" w:rsidR="001D6C38">
        <w:rPr>
          <w:rFonts w:eastAsia="MS Mincho"/>
        </w:rPr>
        <w:t>in the Complaint.</w:t>
      </w:r>
      <w:r w:rsidR="007D7943">
        <w:rPr>
          <w:rStyle w:val="FootnoteReference"/>
          <w:rFonts w:eastAsia="MS Mincho"/>
        </w:rPr>
        <w:footnoteReference w:id="10"/>
      </w:r>
      <w:r w:rsidR="00910400">
        <w:rPr>
          <w:rFonts w:eastAsia="MS Mincho"/>
        </w:rPr>
        <w:t xml:space="preserve"> </w:t>
      </w:r>
    </w:p>
    <w:p w:rsidR="001C6658" w:rsidP="00E14C7C" w:rsidRDefault="00CF1079" w14:paraId="6FA4729E" w14:textId="27B01901">
      <w:pPr>
        <w:pStyle w:val="Standard"/>
        <w:rPr>
          <w:rFonts w:eastAsia="MS Mincho"/>
        </w:rPr>
      </w:pPr>
      <w:r>
        <w:rPr>
          <w:rFonts w:eastAsia="MS Mincho"/>
        </w:rPr>
        <w:t>R</w:t>
      </w:r>
      <w:r w:rsidR="00440699">
        <w:rPr>
          <w:rFonts w:eastAsia="MS Mincho"/>
        </w:rPr>
        <w:t>egard</w:t>
      </w:r>
      <w:r w:rsidR="00A24631">
        <w:rPr>
          <w:rFonts w:eastAsia="MS Mincho"/>
        </w:rPr>
        <w:t>ing</w:t>
      </w:r>
      <w:r w:rsidR="00440699">
        <w:rPr>
          <w:rFonts w:eastAsia="MS Mincho"/>
        </w:rPr>
        <w:t xml:space="preserve"> the dispute</w:t>
      </w:r>
      <w:r w:rsidR="00E71ABD">
        <w:rPr>
          <w:rFonts w:eastAsia="MS Mincho"/>
        </w:rPr>
        <w:t xml:space="preserve"> regarding </w:t>
      </w:r>
      <w:r w:rsidR="00582707">
        <w:rPr>
          <w:rFonts w:eastAsia="MS Mincho"/>
        </w:rPr>
        <w:t xml:space="preserve">PG&amp;E’s </w:t>
      </w:r>
      <w:r w:rsidR="00D821EF">
        <w:rPr>
          <w:rFonts w:eastAsia="MS Mincho"/>
        </w:rPr>
        <w:t xml:space="preserve">responsibility to </w:t>
      </w:r>
      <w:r w:rsidR="00582707">
        <w:rPr>
          <w:rFonts w:eastAsia="MS Mincho"/>
        </w:rPr>
        <w:t xml:space="preserve">relocate </w:t>
      </w:r>
      <w:r w:rsidR="00A24631">
        <w:rPr>
          <w:rFonts w:eastAsia="MS Mincho"/>
        </w:rPr>
        <w:t>power pole</w:t>
      </w:r>
      <w:r w:rsidR="006D70BD">
        <w:rPr>
          <w:rFonts w:eastAsia="MS Mincho"/>
        </w:rPr>
        <w:t>(s)</w:t>
      </w:r>
      <w:r w:rsidR="00440699">
        <w:rPr>
          <w:rFonts w:eastAsia="MS Mincho"/>
        </w:rPr>
        <w:t xml:space="preserve">, Defendant </w:t>
      </w:r>
      <w:r w:rsidR="00511CBC">
        <w:rPr>
          <w:rFonts w:eastAsia="MS Mincho"/>
        </w:rPr>
        <w:t xml:space="preserve">answered </w:t>
      </w:r>
      <w:r w:rsidR="005540E9">
        <w:rPr>
          <w:rFonts w:eastAsia="MS Mincho"/>
        </w:rPr>
        <w:t xml:space="preserve">that </w:t>
      </w:r>
      <w:r w:rsidR="004F1E63">
        <w:rPr>
          <w:rFonts w:eastAsia="MS Mincho"/>
        </w:rPr>
        <w:t xml:space="preserve">it would relocate the pole(s) </w:t>
      </w:r>
      <w:r w:rsidR="00823408">
        <w:rPr>
          <w:rFonts w:eastAsia="MS Mincho"/>
        </w:rPr>
        <w:t xml:space="preserve">if Irizarry </w:t>
      </w:r>
      <w:r w:rsidR="00BD24FD">
        <w:rPr>
          <w:rFonts w:eastAsia="MS Mincho"/>
        </w:rPr>
        <w:t>applied under</w:t>
      </w:r>
      <w:r w:rsidR="009E228E">
        <w:rPr>
          <w:rFonts w:eastAsia="MS Mincho"/>
        </w:rPr>
        <w:t xml:space="preserve"> </w:t>
      </w:r>
      <w:r w:rsidRPr="009E228E" w:rsidR="009E228E">
        <w:t>Electric Rule 15.I.1</w:t>
      </w:r>
      <w:r w:rsidR="00511CBC">
        <w:rPr>
          <w:rFonts w:eastAsia="MS Mincho"/>
        </w:rPr>
        <w:t>:</w:t>
      </w:r>
    </w:p>
    <w:p w:rsidRPr="00837A1F" w:rsidR="00511CBC" w:rsidP="00837A1F" w:rsidRDefault="00511CBC" w14:paraId="78F73D22" w14:textId="35245AF3">
      <w:pPr>
        <w:pStyle w:val="BlockQuote"/>
      </w:pPr>
      <w:r w:rsidRPr="00511CBC">
        <w:t xml:space="preserve">PG&amp;E lacks sufficient information to understand the exact pole to which Complainant refers. PG&amp;E admits that it refuses to relocate two existing poles near Complainant’s residence (which are unrelated to the “tree connect” work) </w:t>
      </w:r>
      <w:r w:rsidRPr="000E6459">
        <w:rPr>
          <w:b/>
          <w:bCs/>
          <w:i/>
          <w:iCs/>
        </w:rPr>
        <w:t>at PG&amp;E’s expense</w:t>
      </w:r>
      <w:r w:rsidRPr="00511CBC">
        <w:t xml:space="preserve">. PG&amp;E denies that it is refusing to relocate the poles; </w:t>
      </w:r>
      <w:r w:rsidRPr="009415C7">
        <w:rPr>
          <w:b/>
          <w:bCs/>
          <w:i/>
          <w:iCs/>
        </w:rPr>
        <w:t xml:space="preserve">PG&amp;E has expressed to Complainant that it may relocate the poles should Complainant apply for relocation and be willing to pay the cost under Electric Rule </w:t>
      </w:r>
      <w:proofErr w:type="gramStart"/>
      <w:r w:rsidRPr="009415C7">
        <w:rPr>
          <w:b/>
          <w:bCs/>
          <w:i/>
          <w:iCs/>
        </w:rPr>
        <w:t>15.I.</w:t>
      </w:r>
      <w:proofErr w:type="gramEnd"/>
      <w:r w:rsidRPr="009415C7">
        <w:rPr>
          <w:b/>
          <w:bCs/>
          <w:i/>
          <w:iCs/>
        </w:rPr>
        <w:t>1</w:t>
      </w:r>
      <w:r w:rsidRPr="00511CBC">
        <w:t>.</w:t>
      </w:r>
      <w:r w:rsidR="00B601DA">
        <w:rPr>
          <w:rStyle w:val="FootnoteReference"/>
          <w:rFonts w:eastAsia="MS Mincho"/>
        </w:rPr>
        <w:footnoteReference w:id="11"/>
      </w:r>
      <w:r w:rsidRPr="00511CBC">
        <w:t xml:space="preserve"> </w:t>
      </w:r>
    </w:p>
    <w:p w:rsidRPr="00307F4A" w:rsidR="00BA1A16" w:rsidP="008B57C8" w:rsidRDefault="007721A1" w14:paraId="3E54E4D2" w14:textId="6B2FA3C1">
      <w:pPr>
        <w:pStyle w:val="Heading2"/>
      </w:pPr>
      <w:bookmarkStart w:name="_Toc227882768" w:id="7"/>
      <w:r w:rsidRPr="008B57C8">
        <w:t>Scoped</w:t>
      </w:r>
      <w:r>
        <w:t xml:space="preserve"> </w:t>
      </w:r>
      <w:r w:rsidRPr="00837A1F">
        <w:t>Issues</w:t>
      </w:r>
      <w:bookmarkEnd w:id="7"/>
    </w:p>
    <w:p w:rsidRPr="00307F4A" w:rsidR="00E14C7C" w:rsidP="00E14C7C" w:rsidRDefault="00E14C7C" w14:paraId="4DBBC418" w14:textId="77777777">
      <w:pPr>
        <w:pStyle w:val="Standard"/>
        <w:rPr>
          <w:rFonts w:eastAsia="MS Mincho"/>
        </w:rPr>
      </w:pPr>
      <w:r w:rsidRPr="00307F4A">
        <w:rPr>
          <w:rFonts w:eastAsia="MS Mincho"/>
        </w:rPr>
        <w:t xml:space="preserve">The assigned Administrative Law Judge (ALJ) issued a ruling setting </w:t>
      </w:r>
      <w:proofErr w:type="gramStart"/>
      <w:r>
        <w:rPr>
          <w:rFonts w:eastAsia="MS Mincho"/>
        </w:rPr>
        <w:t>a</w:t>
      </w:r>
      <w:r w:rsidRPr="00307F4A">
        <w:rPr>
          <w:rFonts w:eastAsia="MS Mincho"/>
        </w:rPr>
        <w:t xml:space="preserve"> June</w:t>
      </w:r>
      <w:proofErr w:type="gramEnd"/>
      <w:r>
        <w:rPr>
          <w:rFonts w:eastAsia="MS Mincho"/>
        </w:rPr>
        <w:t xml:space="preserve"> </w:t>
      </w:r>
      <w:r w:rsidRPr="00307F4A">
        <w:rPr>
          <w:rFonts w:eastAsia="MS Mincho"/>
        </w:rPr>
        <w:t>23,</w:t>
      </w:r>
      <w:r>
        <w:rPr>
          <w:rFonts w:eastAsia="MS Mincho"/>
        </w:rPr>
        <w:t xml:space="preserve"> </w:t>
      </w:r>
      <w:r w:rsidRPr="00307F4A">
        <w:rPr>
          <w:rFonts w:eastAsia="MS Mincho"/>
        </w:rPr>
        <w:t xml:space="preserve">2023, prehearing conference (PHC) </w:t>
      </w:r>
      <w:r w:rsidRPr="00307F4A">
        <w:t>to address the issues of law and fact, determine the need for hearing, set the schedule for resolving the matter, and address other matters as necessary</w:t>
      </w:r>
      <w:r w:rsidRPr="00307F4A">
        <w:rPr>
          <w:rFonts w:eastAsia="MS Mincho"/>
        </w:rPr>
        <w:t>.</w:t>
      </w:r>
      <w:r>
        <w:rPr>
          <w:rFonts w:eastAsia="MS Mincho"/>
        </w:rPr>
        <w:t xml:space="preserve"> </w:t>
      </w:r>
      <w:r w:rsidRPr="00307F4A">
        <w:rPr>
          <w:rFonts w:eastAsia="MS Mincho"/>
        </w:rPr>
        <w:t xml:space="preserve">That ALJ ruling also required the Parties to file a </w:t>
      </w:r>
      <w:r w:rsidRPr="00307F4A">
        <w:t>Joint PHC Statement, including</w:t>
      </w:r>
      <w:r>
        <w:t xml:space="preserve"> </w:t>
      </w:r>
      <w:r w:rsidRPr="00307F4A">
        <w:t xml:space="preserve">the </w:t>
      </w:r>
      <w:proofErr w:type="gramStart"/>
      <w:r w:rsidRPr="00307F4A">
        <w:t>Parties’</w:t>
      </w:r>
      <w:proofErr w:type="gramEnd"/>
      <w:r w:rsidRPr="00307F4A">
        <w:t xml:space="preserve"> requested proceeding schedule.</w:t>
      </w:r>
    </w:p>
    <w:p w:rsidRPr="00307F4A" w:rsidR="00E14C7C" w:rsidP="00E14C7C" w:rsidRDefault="00E14C7C" w14:paraId="375E9D91" w14:textId="74FFE539">
      <w:pPr>
        <w:pStyle w:val="Standard"/>
      </w:pPr>
      <w:r w:rsidRPr="00307F4A">
        <w:t>The PHC was held on June</w:t>
      </w:r>
      <w:r>
        <w:t xml:space="preserve"> </w:t>
      </w:r>
      <w:r w:rsidRPr="00307F4A">
        <w:t>23,</w:t>
      </w:r>
      <w:r>
        <w:t xml:space="preserve"> </w:t>
      </w:r>
      <w:r w:rsidRPr="00307F4A">
        <w:t>2023.</w:t>
      </w:r>
      <w:r>
        <w:t xml:space="preserve"> </w:t>
      </w:r>
      <w:r w:rsidRPr="00307F4A">
        <w:t xml:space="preserve">After considering the Complaint, Answer, Joint PHC Statement, and discussion at the PHC, Commissioner </w:t>
      </w:r>
      <w:r w:rsidRPr="00307F4A">
        <w:lastRenderedPageBreak/>
        <w:t xml:space="preserve">John Reynolds determined the issues and initial schedule of the </w:t>
      </w:r>
      <w:proofErr w:type="gramStart"/>
      <w:r w:rsidRPr="00307F4A">
        <w:t>proceeding</w:t>
      </w:r>
      <w:proofErr w:type="gramEnd"/>
      <w:r w:rsidRPr="00307F4A">
        <w:t xml:space="preserve"> as set forth in </w:t>
      </w:r>
      <w:proofErr w:type="gramStart"/>
      <w:r w:rsidRPr="00307F4A">
        <w:t>an August</w:t>
      </w:r>
      <w:proofErr w:type="gramEnd"/>
      <w:r>
        <w:t xml:space="preserve"> </w:t>
      </w:r>
      <w:r w:rsidRPr="00307F4A">
        <w:t>17,</w:t>
      </w:r>
      <w:r>
        <w:t xml:space="preserve"> </w:t>
      </w:r>
      <w:r w:rsidRPr="00307F4A">
        <w:t>2023, Scoping Memo and Ruling</w:t>
      </w:r>
      <w:r w:rsidR="001D5AE0">
        <w:t xml:space="preserve"> (Scoping Memo)</w:t>
      </w:r>
      <w:r w:rsidRPr="00307F4A">
        <w:t>.</w:t>
      </w:r>
      <w:r>
        <w:t xml:space="preserve"> </w:t>
      </w:r>
    </w:p>
    <w:p w:rsidRPr="00307F4A" w:rsidR="00E14C7C" w:rsidP="00E14C7C" w:rsidRDefault="00E14C7C" w14:paraId="43CF9D24" w14:textId="1809B279">
      <w:pPr>
        <w:pStyle w:val="Standard"/>
      </w:pPr>
      <w:r w:rsidRPr="00307F4A">
        <w:t>The Scoping Memo identified three issues to be determined through this proceeding:</w:t>
      </w:r>
    </w:p>
    <w:p w:rsidRPr="00307F4A" w:rsidR="00E14C7C" w:rsidP="00E14C7C" w:rsidRDefault="00E14C7C" w14:paraId="0ECC4346" w14:textId="77777777">
      <w:pPr>
        <w:pStyle w:val="Standard"/>
        <w:numPr>
          <w:ilvl w:val="0"/>
          <w:numId w:val="19"/>
        </w:numPr>
        <w:spacing w:after="120" w:line="240" w:lineRule="auto"/>
        <w:ind w:left="1080" w:right="1440"/>
      </w:pPr>
      <w:r w:rsidRPr="00307F4A">
        <w:rPr>
          <w:b/>
          <w:bCs/>
        </w:rPr>
        <w:t>Scoped Issue No. 1</w:t>
      </w:r>
      <w:r w:rsidRPr="00307F4A">
        <w:t>:</w:t>
      </w:r>
      <w:r>
        <w:t xml:space="preserve"> </w:t>
      </w:r>
      <w:proofErr w:type="gramStart"/>
      <w:r w:rsidRPr="00307F4A">
        <w:t>Whether or not</w:t>
      </w:r>
      <w:proofErr w:type="gramEnd"/>
      <w:r w:rsidRPr="00307F4A">
        <w:t xml:space="preserve"> Defendant must relocate Defendant’s power lines from current tree connections to one or more power poles located on Defendant’s public utility </w:t>
      </w:r>
      <w:proofErr w:type="gramStart"/>
      <w:r w:rsidRPr="00307F4A">
        <w:t>easement;</w:t>
      </w:r>
      <w:proofErr w:type="gramEnd"/>
    </w:p>
    <w:p w:rsidRPr="00307F4A" w:rsidR="00E14C7C" w:rsidP="00E14C7C" w:rsidRDefault="00E14C7C" w14:paraId="4D3D9C10" w14:textId="77777777">
      <w:pPr>
        <w:pStyle w:val="Standard"/>
        <w:numPr>
          <w:ilvl w:val="0"/>
          <w:numId w:val="19"/>
        </w:numPr>
        <w:spacing w:after="120" w:line="240" w:lineRule="auto"/>
        <w:ind w:left="1080" w:right="1440"/>
      </w:pPr>
      <w:r w:rsidRPr="00307F4A">
        <w:rPr>
          <w:b/>
          <w:bCs/>
        </w:rPr>
        <w:t>Scoped Issue No. 2</w:t>
      </w:r>
      <w:r w:rsidRPr="00307F4A">
        <w:t>:</w:t>
      </w:r>
      <w:r>
        <w:t xml:space="preserve"> </w:t>
      </w:r>
      <w:r w:rsidRPr="00307F4A">
        <w:t>Whether Defendant must bear all costs of removing one or more power poles located on or adjacent to Complainant’s property at Complainant’s request; and</w:t>
      </w:r>
    </w:p>
    <w:p w:rsidR="00E14C7C" w:rsidP="00E14C7C" w:rsidRDefault="00E14C7C" w14:paraId="4F98DE2A" w14:textId="77777777">
      <w:pPr>
        <w:pStyle w:val="Standard"/>
        <w:numPr>
          <w:ilvl w:val="0"/>
          <w:numId w:val="19"/>
        </w:numPr>
        <w:spacing w:after="240" w:line="240" w:lineRule="auto"/>
        <w:ind w:left="1080" w:right="1440"/>
      </w:pPr>
      <w:r w:rsidRPr="00307F4A">
        <w:rPr>
          <w:b/>
          <w:bCs/>
        </w:rPr>
        <w:t>Scoped Issue No. 3</w:t>
      </w:r>
      <w:r w:rsidRPr="00307F4A">
        <w:t>:</w:t>
      </w:r>
      <w:r>
        <w:t xml:space="preserve"> </w:t>
      </w:r>
      <w:r w:rsidRPr="00307F4A">
        <w:t>Whether there exist any unresolved public health or safety issues related to this proceeding.</w:t>
      </w:r>
    </w:p>
    <w:p w:rsidR="002D5CB3" w:rsidP="00837A1F" w:rsidRDefault="00466F3D" w14:paraId="35D2669C" w14:textId="7DF94DAC">
      <w:pPr>
        <w:pStyle w:val="Heading2"/>
      </w:pPr>
      <w:bookmarkStart w:name="_Toc227882769" w:id="8"/>
      <w:r>
        <w:t xml:space="preserve">Parties’ </w:t>
      </w:r>
      <w:r w:rsidR="00E714A0">
        <w:t xml:space="preserve">Resolution of </w:t>
      </w:r>
      <w:r w:rsidR="00283217">
        <w:t>Scoped</w:t>
      </w:r>
      <w:r w:rsidR="00BD44D0">
        <w:t xml:space="preserve"> </w:t>
      </w:r>
      <w:r w:rsidRPr="00837A1F" w:rsidR="00BD44D0">
        <w:t>Issue</w:t>
      </w:r>
      <w:r w:rsidR="00283217">
        <w:t xml:space="preserve"> Nos. </w:t>
      </w:r>
      <w:r w:rsidR="008B0AC1">
        <w:t>1 and 3</w:t>
      </w:r>
      <w:bookmarkEnd w:id="8"/>
    </w:p>
    <w:p w:rsidR="00B30002" w:rsidP="00B30002" w:rsidRDefault="00B30002" w14:paraId="1C403FC9" w14:textId="08B72CFD">
      <w:pPr>
        <w:pStyle w:val="Standard"/>
        <w:rPr>
          <w:rFonts w:eastAsia="Calibri"/>
        </w:rPr>
      </w:pPr>
      <w:r w:rsidRPr="00822517">
        <w:rPr>
          <w:rFonts w:eastAsia="Calibri"/>
        </w:rPr>
        <w:t xml:space="preserve">Throughout this proceeding, the </w:t>
      </w:r>
      <w:r w:rsidRPr="00822517" w:rsidR="00CF4F60">
        <w:rPr>
          <w:rFonts w:eastAsia="Calibri"/>
        </w:rPr>
        <w:t>P</w:t>
      </w:r>
      <w:r w:rsidRPr="00822517">
        <w:rPr>
          <w:rFonts w:eastAsia="Calibri"/>
        </w:rPr>
        <w:t xml:space="preserve">arties have engaged in settlement discussions to resolve the issues identified in the August 17, </w:t>
      </w:r>
      <w:proofErr w:type="gramStart"/>
      <w:r w:rsidRPr="00822517">
        <w:rPr>
          <w:rFonts w:eastAsia="Calibri"/>
        </w:rPr>
        <w:t>2023</w:t>
      </w:r>
      <w:proofErr w:type="gramEnd"/>
      <w:r w:rsidRPr="00822517">
        <w:rPr>
          <w:rFonts w:eastAsia="Calibri"/>
        </w:rPr>
        <w:t xml:space="preserve"> Scoping Memo. They have filed </w:t>
      </w:r>
      <w:r w:rsidRPr="00822517" w:rsidR="00D81F3A">
        <w:rPr>
          <w:rFonts w:eastAsia="Calibri"/>
        </w:rPr>
        <w:t>periodic</w:t>
      </w:r>
      <w:r w:rsidRPr="00822517">
        <w:rPr>
          <w:rFonts w:eastAsia="Calibri"/>
        </w:rPr>
        <w:t xml:space="preserve"> joint status reports regarding their progress toward a complete settlement</w:t>
      </w:r>
      <w:r w:rsidRPr="00822517" w:rsidR="00E24FBC">
        <w:rPr>
          <w:rFonts w:eastAsia="Calibri"/>
        </w:rPr>
        <w:t xml:space="preserve"> of </w:t>
      </w:r>
      <w:r w:rsidRPr="00822517" w:rsidR="00822517">
        <w:rPr>
          <w:rFonts w:eastAsia="Calibri"/>
        </w:rPr>
        <w:t>the</w:t>
      </w:r>
      <w:r w:rsidRPr="00822517" w:rsidR="00E24FBC">
        <w:rPr>
          <w:rFonts w:eastAsia="Calibri"/>
        </w:rPr>
        <w:t xml:space="preserve"> </w:t>
      </w:r>
      <w:r w:rsidRPr="00822517" w:rsidR="002152EF">
        <w:rPr>
          <w:rFonts w:eastAsia="Calibri"/>
        </w:rPr>
        <w:t xml:space="preserve">three </w:t>
      </w:r>
      <w:r w:rsidRPr="00822517" w:rsidR="00E24FBC">
        <w:rPr>
          <w:rFonts w:eastAsia="Calibri"/>
        </w:rPr>
        <w:t>Scoped Issues</w:t>
      </w:r>
      <w:r w:rsidRPr="00822517">
        <w:rPr>
          <w:rFonts w:eastAsia="Calibri"/>
        </w:rPr>
        <w:t>.</w:t>
      </w:r>
      <w:r w:rsidRPr="00EA5D4D">
        <w:rPr>
          <w:rFonts w:eastAsia="Calibri"/>
        </w:rPr>
        <w:t xml:space="preserve">  </w:t>
      </w:r>
    </w:p>
    <w:p w:rsidR="005076F7" w:rsidP="005076F7" w:rsidRDefault="005076F7" w14:paraId="5901DF5E" w14:textId="77777777">
      <w:pPr>
        <w:pStyle w:val="Standard"/>
      </w:pPr>
      <w:r w:rsidRPr="00307F4A">
        <w:t>As requested by the Parties, the initial proceeding schedule provided through September</w:t>
      </w:r>
      <w:r>
        <w:t xml:space="preserve"> </w:t>
      </w:r>
      <w:r w:rsidRPr="00307F4A">
        <w:t>22,</w:t>
      </w:r>
      <w:r>
        <w:t xml:space="preserve"> </w:t>
      </w:r>
      <w:r w:rsidRPr="00307F4A">
        <w:t xml:space="preserve">2023, to </w:t>
      </w:r>
      <w:r>
        <w:t xml:space="preserve">(1) </w:t>
      </w:r>
      <w:r w:rsidRPr="00307F4A">
        <w:t>engage in settlement discussions</w:t>
      </w:r>
      <w:r>
        <w:t xml:space="preserve">; (2) </w:t>
      </w:r>
      <w:r w:rsidRPr="00307F4A">
        <w:t>file a Joint</w:t>
      </w:r>
      <w:r>
        <w:t xml:space="preserve"> </w:t>
      </w:r>
      <w:r w:rsidRPr="00307F4A">
        <w:t>Status Report addressing</w:t>
      </w:r>
      <w:r>
        <w:t xml:space="preserve"> </w:t>
      </w:r>
      <w:r w:rsidRPr="00307F4A">
        <w:t xml:space="preserve">the progress of settlement negotiations; and </w:t>
      </w:r>
      <w:r>
        <w:t xml:space="preserve">(3) provide </w:t>
      </w:r>
      <w:proofErr w:type="gramStart"/>
      <w:r w:rsidRPr="00307F4A">
        <w:t>any and all</w:t>
      </w:r>
      <w:proofErr w:type="gramEnd"/>
      <w:r w:rsidRPr="00307F4A">
        <w:t xml:space="preserve"> updates to the previously filed Joint PHC Statement.</w:t>
      </w:r>
      <w:r>
        <w:t xml:space="preserve"> </w:t>
      </w:r>
    </w:p>
    <w:p w:rsidRPr="00307F4A" w:rsidR="00E14C7C" w:rsidP="00E14C7C" w:rsidRDefault="00E14C7C" w14:paraId="45F669AD" w14:textId="0561AE8A">
      <w:pPr>
        <w:pStyle w:val="Standard"/>
      </w:pPr>
      <w:r w:rsidRPr="00307F4A">
        <w:t xml:space="preserve">In the Parties’ </w:t>
      </w:r>
      <w:r w:rsidRPr="00307F4A" w:rsidR="00CD57E4">
        <w:t>September</w:t>
      </w:r>
      <w:r w:rsidR="00CD57E4">
        <w:t xml:space="preserve"> </w:t>
      </w:r>
      <w:r w:rsidRPr="00307F4A" w:rsidR="00CD57E4">
        <w:t>22,</w:t>
      </w:r>
      <w:r w:rsidR="00CD57E4">
        <w:t xml:space="preserve"> </w:t>
      </w:r>
      <w:r w:rsidRPr="00307F4A" w:rsidR="00CD57E4">
        <w:t xml:space="preserve">2023 </w:t>
      </w:r>
      <w:r w:rsidRPr="00307F4A">
        <w:t xml:space="preserve">[First] Joint Status Report, Complainant requested modification of the proceeding schedule to engage counsel and </w:t>
      </w:r>
      <w:r w:rsidR="00057ACF">
        <w:t>for a</w:t>
      </w:r>
      <w:r w:rsidRPr="00307F4A">
        <w:t xml:space="preserve"> period </w:t>
      </w:r>
      <w:r w:rsidR="00057ACF">
        <w:t>of</w:t>
      </w:r>
      <w:r w:rsidRPr="00307F4A">
        <w:t xml:space="preserve"> discovery.</w:t>
      </w:r>
      <w:r>
        <w:t xml:space="preserve"> </w:t>
      </w:r>
      <w:r w:rsidRPr="00307F4A">
        <w:t>He proposed a 60</w:t>
      </w:r>
      <w:r w:rsidRPr="00307F4A">
        <w:noBreakHyphen/>
        <w:t xml:space="preserve">day continuation of all </w:t>
      </w:r>
      <w:proofErr w:type="gramStart"/>
      <w:r w:rsidRPr="00307F4A">
        <w:t>existing proceeding</w:t>
      </w:r>
      <w:proofErr w:type="gramEnd"/>
      <w:r w:rsidRPr="00307F4A">
        <w:t xml:space="preserve"> deadlines and an additional 60</w:t>
      </w:r>
      <w:r>
        <w:t xml:space="preserve"> </w:t>
      </w:r>
      <w:r w:rsidRPr="00307F4A">
        <w:t>days for discovery.</w:t>
      </w:r>
      <w:r>
        <w:t xml:space="preserve"> </w:t>
      </w:r>
      <w:r w:rsidRPr="00307F4A">
        <w:t xml:space="preserve">Defendant did not oppose the Complainant’s engagement of counsel and a period to educate that </w:t>
      </w:r>
      <w:r w:rsidRPr="00307F4A">
        <w:lastRenderedPageBreak/>
        <w:t>counsel on the case.</w:t>
      </w:r>
      <w:r>
        <w:t xml:space="preserve"> </w:t>
      </w:r>
      <w:r w:rsidR="00057ACF">
        <w:t>Moreover</w:t>
      </w:r>
      <w:r w:rsidRPr="00307F4A">
        <w:t xml:space="preserve">, Defendant </w:t>
      </w:r>
      <w:r w:rsidR="00222214">
        <w:t>proposed</w:t>
      </w:r>
      <w:r w:rsidR="00157A97">
        <w:t xml:space="preserve"> to resolve Scoped Issue No.</w:t>
      </w:r>
      <w:r w:rsidR="00C846C2">
        <w:t> </w:t>
      </w:r>
      <w:r w:rsidR="00157A97">
        <w:t xml:space="preserve">1 </w:t>
      </w:r>
      <w:r w:rsidR="00057ACF">
        <w:t>immediately</w:t>
      </w:r>
      <w:r w:rsidR="00C309AB">
        <w:t xml:space="preserve"> by r</w:t>
      </w:r>
      <w:r w:rsidRPr="00307F4A">
        <w:t>elocati</w:t>
      </w:r>
      <w:r w:rsidR="00C309AB">
        <w:t>ng</w:t>
      </w:r>
      <w:r w:rsidRPr="00307F4A">
        <w:t xml:space="preserve"> Defendant’s power lines from tree connections to one or more power poles located on Defendant’s public utility easement.</w:t>
      </w:r>
      <w:r w:rsidR="00505BB8">
        <w:rPr>
          <w:rStyle w:val="FootnoteReference"/>
        </w:rPr>
        <w:footnoteReference w:id="12"/>
      </w:r>
      <w:r>
        <w:t xml:space="preserve"> </w:t>
      </w:r>
      <w:r w:rsidRPr="00307F4A">
        <w:t xml:space="preserve">The </w:t>
      </w:r>
      <w:r w:rsidR="00D63A38">
        <w:t xml:space="preserve">assigned </w:t>
      </w:r>
      <w:r w:rsidRPr="00307F4A">
        <w:t>ALJ issued an October</w:t>
      </w:r>
      <w:r>
        <w:t xml:space="preserve"> </w:t>
      </w:r>
      <w:r w:rsidRPr="00307F4A">
        <w:t>20,</w:t>
      </w:r>
      <w:r>
        <w:t xml:space="preserve"> </w:t>
      </w:r>
      <w:r w:rsidRPr="00307F4A">
        <w:t>2023, ruling adopting an updated proceeding schedule and ordering a Second Joint</w:t>
      </w:r>
      <w:r>
        <w:t xml:space="preserve"> </w:t>
      </w:r>
      <w:r w:rsidRPr="00307F4A">
        <w:t>Status Report by November</w:t>
      </w:r>
      <w:r>
        <w:t xml:space="preserve"> </w:t>
      </w:r>
      <w:r w:rsidRPr="00307F4A">
        <w:t>20,</w:t>
      </w:r>
      <w:r>
        <w:t xml:space="preserve"> </w:t>
      </w:r>
      <w:r w:rsidRPr="00307F4A">
        <w:t xml:space="preserve">2023. </w:t>
      </w:r>
    </w:p>
    <w:p w:rsidRPr="00307F4A" w:rsidR="00E14C7C" w:rsidP="00E14C7C" w:rsidRDefault="00E14C7C" w14:paraId="1940E95E" w14:textId="63388EEB">
      <w:pPr>
        <w:pStyle w:val="Standard"/>
      </w:pPr>
      <w:r w:rsidRPr="00307F4A">
        <w:t>In Decision (D.)</w:t>
      </w:r>
      <w:r w:rsidR="00C846C2">
        <w:t> </w:t>
      </w:r>
      <w:r w:rsidRPr="00307F4A">
        <w:t>23-11-101, issued December</w:t>
      </w:r>
      <w:r>
        <w:t xml:space="preserve"> </w:t>
      </w:r>
      <w:r w:rsidRPr="00307F4A">
        <w:t>6,</w:t>
      </w:r>
      <w:r>
        <w:t xml:space="preserve"> </w:t>
      </w:r>
      <w:r w:rsidRPr="00307F4A">
        <w:t xml:space="preserve">2023, the Commission extended the 12-month statutory deadline to resolve this proceeding under </w:t>
      </w:r>
      <w:r w:rsidR="00C846C2">
        <w:t>Public Utilities (</w:t>
      </w:r>
      <w:r w:rsidRPr="00307F4A">
        <w:t>Pub.</w:t>
      </w:r>
      <w:r>
        <w:t xml:space="preserve"> </w:t>
      </w:r>
      <w:r w:rsidRPr="00307F4A">
        <w:t>Util.</w:t>
      </w:r>
      <w:r w:rsidR="00C846C2">
        <w:t>)</w:t>
      </w:r>
      <w:r>
        <w:t xml:space="preserve"> </w:t>
      </w:r>
      <w:r w:rsidRPr="00307F4A">
        <w:t>Code</w:t>
      </w:r>
      <w:r>
        <w:t xml:space="preserve"> </w:t>
      </w:r>
      <w:r w:rsidRPr="00307F4A">
        <w:t>§1701.2(i), from February</w:t>
      </w:r>
      <w:r>
        <w:t xml:space="preserve"> </w:t>
      </w:r>
      <w:r w:rsidRPr="00307F4A">
        <w:t>10,</w:t>
      </w:r>
      <w:r>
        <w:t xml:space="preserve"> </w:t>
      </w:r>
      <w:r w:rsidRPr="00307F4A">
        <w:t>2024, to September</w:t>
      </w:r>
      <w:r w:rsidR="00C846C2">
        <w:t> </w:t>
      </w:r>
      <w:r w:rsidRPr="00307F4A">
        <w:t>30,</w:t>
      </w:r>
      <w:r>
        <w:t xml:space="preserve"> </w:t>
      </w:r>
      <w:r w:rsidRPr="00307F4A">
        <w:t>2024.</w:t>
      </w:r>
    </w:p>
    <w:p w:rsidRPr="00307F4A" w:rsidR="00E14C7C" w:rsidP="00E14C7C" w:rsidRDefault="008E29E2" w14:paraId="5DAE74F2" w14:textId="47005D8C">
      <w:pPr>
        <w:pStyle w:val="Standard"/>
      </w:pPr>
      <w:r>
        <w:t xml:space="preserve">The </w:t>
      </w:r>
      <w:r w:rsidR="00A34A27">
        <w:t>P</w:t>
      </w:r>
      <w:r>
        <w:t xml:space="preserve">arties reported in </w:t>
      </w:r>
      <w:r w:rsidR="002A377B">
        <w:t xml:space="preserve">four </w:t>
      </w:r>
      <w:r w:rsidR="00C40444">
        <w:t xml:space="preserve">subsequent </w:t>
      </w:r>
      <w:r w:rsidRPr="00307F4A">
        <w:t>Joint Status Report</w:t>
      </w:r>
      <w:r>
        <w:t xml:space="preserve">s from </w:t>
      </w:r>
      <w:r w:rsidRPr="00307F4A" w:rsidR="00EF75BE">
        <w:t>November</w:t>
      </w:r>
      <w:r w:rsidR="00EF75BE">
        <w:t xml:space="preserve"> </w:t>
      </w:r>
      <w:r w:rsidRPr="00307F4A" w:rsidR="00EF75BE">
        <w:t>20,</w:t>
      </w:r>
      <w:r w:rsidR="00EF75BE">
        <w:t xml:space="preserve"> </w:t>
      </w:r>
      <w:proofErr w:type="gramStart"/>
      <w:r w:rsidRPr="00307F4A" w:rsidR="00EF75BE">
        <w:t>202</w:t>
      </w:r>
      <w:r w:rsidR="00EF75BE">
        <w:t>3</w:t>
      </w:r>
      <w:proofErr w:type="gramEnd"/>
      <w:r w:rsidR="00EF75BE">
        <w:t xml:space="preserve"> </w:t>
      </w:r>
      <w:r>
        <w:t>through</w:t>
      </w:r>
      <w:r w:rsidR="0092721E">
        <w:t xml:space="preserve"> </w:t>
      </w:r>
      <w:r w:rsidRPr="00307F4A" w:rsidR="00466D49">
        <w:t>April</w:t>
      </w:r>
      <w:r w:rsidR="00466D49">
        <w:t xml:space="preserve"> </w:t>
      </w:r>
      <w:r w:rsidRPr="00307F4A" w:rsidR="00466D49">
        <w:t>12,</w:t>
      </w:r>
      <w:r w:rsidR="00466D49">
        <w:t xml:space="preserve"> </w:t>
      </w:r>
      <w:proofErr w:type="gramStart"/>
      <w:r w:rsidRPr="00307F4A" w:rsidR="00466D49">
        <w:t>2024</w:t>
      </w:r>
      <w:proofErr w:type="gramEnd"/>
      <w:r w:rsidR="00466D49">
        <w:t xml:space="preserve"> </w:t>
      </w:r>
      <w:r w:rsidR="0092721E">
        <w:t xml:space="preserve">that settlement discussion </w:t>
      </w:r>
      <w:proofErr w:type="gramStart"/>
      <w:r w:rsidR="0092721E">
        <w:t>were</w:t>
      </w:r>
      <w:proofErr w:type="gramEnd"/>
      <w:r w:rsidR="0092721E">
        <w:t xml:space="preserve"> productive and </w:t>
      </w:r>
      <w:r w:rsidRPr="00307F4A" w:rsidR="00E14C7C">
        <w:t>requested additional time to continue.</w:t>
      </w:r>
      <w:r w:rsidR="00D63D8B">
        <w:t xml:space="preserve"> The </w:t>
      </w:r>
      <w:r w:rsidR="00D63A38">
        <w:t xml:space="preserve">assigned </w:t>
      </w:r>
      <w:r w:rsidR="00D63D8B">
        <w:t xml:space="preserve">ALJ modified the proceeding schedule accordingly to accommodate the </w:t>
      </w:r>
      <w:r w:rsidR="00A34A27">
        <w:t>P</w:t>
      </w:r>
      <w:r w:rsidR="00D63D8B">
        <w:t>arties in each instance.</w:t>
      </w:r>
    </w:p>
    <w:p w:rsidRPr="00307F4A" w:rsidR="00E14C7C" w:rsidP="00E14C7C" w:rsidRDefault="00E14C7C" w14:paraId="2D95C7A5" w14:textId="7F939691">
      <w:pPr>
        <w:pStyle w:val="Standard"/>
      </w:pPr>
      <w:r w:rsidRPr="00C53325">
        <w:t xml:space="preserve">In their </w:t>
      </w:r>
      <w:r w:rsidRPr="00C53325" w:rsidR="00805AA7">
        <w:t xml:space="preserve">May 10, </w:t>
      </w:r>
      <w:proofErr w:type="gramStart"/>
      <w:r w:rsidRPr="00C53325" w:rsidR="00805AA7">
        <w:t>2024</w:t>
      </w:r>
      <w:proofErr w:type="gramEnd"/>
      <w:r w:rsidRPr="00C53325" w:rsidR="00805AA7">
        <w:t xml:space="preserve"> </w:t>
      </w:r>
      <w:r w:rsidRPr="00C53325">
        <w:t xml:space="preserve">Sixth Joint Status Report, the Parties reported that Scoped Issue No. 1 was resolved. The Parties agreed that Defendant would relocate Defendant’s power lines from current tree connections at issue to one or more power poles on Defendant’s public utility easement as soon as practicable for Defendant to mobilize its work crews. </w:t>
      </w:r>
      <w:r w:rsidRPr="00C53325" w:rsidR="0081419E">
        <w:t>T</w:t>
      </w:r>
      <w:r w:rsidRPr="00C53325">
        <w:t xml:space="preserve">he Parties </w:t>
      </w:r>
      <w:r w:rsidRPr="00C53325" w:rsidR="0081419E">
        <w:t xml:space="preserve">also </w:t>
      </w:r>
      <w:r w:rsidRPr="00C53325">
        <w:t>reported that relocating the tree</w:t>
      </w:r>
      <w:r w:rsidRPr="00C53325">
        <w:noBreakHyphen/>
        <w:t>connected power lines to power poles would address public safety and wildfire risks</w:t>
      </w:r>
      <w:r w:rsidRPr="00C53325" w:rsidR="00124BBF">
        <w:t xml:space="preserve">, thereby </w:t>
      </w:r>
      <w:proofErr w:type="gramStart"/>
      <w:r w:rsidRPr="00C53325" w:rsidR="00124BBF">
        <w:t>resolving  Scoped</w:t>
      </w:r>
      <w:proofErr w:type="gramEnd"/>
      <w:r w:rsidRPr="00C53325" w:rsidR="00124BBF">
        <w:t xml:space="preserve"> Issue No. 3</w:t>
      </w:r>
      <w:r w:rsidRPr="00C53325">
        <w:t>.</w:t>
      </w:r>
    </w:p>
    <w:p w:rsidR="00E14C7C" w:rsidP="00E14C7C" w:rsidRDefault="00E14C7C" w14:paraId="6618E23A" w14:textId="3A472860">
      <w:pPr>
        <w:pStyle w:val="Standard"/>
      </w:pPr>
      <w:r w:rsidRPr="00307F4A">
        <w:t>Regarding Scoped Issue No.</w:t>
      </w:r>
      <w:r>
        <w:t xml:space="preserve"> </w:t>
      </w:r>
      <w:r w:rsidRPr="00307F4A">
        <w:t xml:space="preserve">2, the Parties reported that they </w:t>
      </w:r>
      <w:r>
        <w:t>achieved</w:t>
      </w:r>
      <w:r w:rsidRPr="00307F4A">
        <w:t xml:space="preserve"> an agreement </w:t>
      </w:r>
      <w:r>
        <w:t xml:space="preserve">in principle </w:t>
      </w:r>
      <w:r w:rsidRPr="00307F4A">
        <w:t xml:space="preserve">and again requested that the </w:t>
      </w:r>
      <w:r w:rsidR="00D63A38">
        <w:t xml:space="preserve">assigned </w:t>
      </w:r>
      <w:r w:rsidRPr="00307F4A">
        <w:t xml:space="preserve">ALJ provide them additional time to await a </w:t>
      </w:r>
      <w:r w:rsidRPr="00307F4A" w:rsidR="00EF091F">
        <w:t>County of San</w:t>
      </w:r>
      <w:r w:rsidR="00EF091F">
        <w:t xml:space="preserve"> </w:t>
      </w:r>
      <w:r w:rsidRPr="00307F4A" w:rsidR="00EF091F">
        <w:t>Mateo (County)</w:t>
      </w:r>
      <w:r w:rsidR="00EF091F">
        <w:t xml:space="preserve"> </w:t>
      </w:r>
      <w:r w:rsidRPr="00307F4A">
        <w:t xml:space="preserve">decision regarding </w:t>
      </w:r>
      <w:r w:rsidR="000314E0">
        <w:t>a</w:t>
      </w:r>
      <w:r w:rsidRPr="00307F4A">
        <w:t xml:space="preserve"> </w:t>
      </w:r>
      <w:r w:rsidR="00BE3995">
        <w:lastRenderedPageBreak/>
        <w:t>public</w:t>
      </w:r>
      <w:r>
        <w:t xml:space="preserve"> easement</w:t>
      </w:r>
      <w:r w:rsidRPr="00307F4A">
        <w:t xml:space="preserve"> </w:t>
      </w:r>
      <w:r>
        <w:t xml:space="preserve">needed </w:t>
      </w:r>
      <w:r w:rsidR="00BE3995">
        <w:t>for</w:t>
      </w:r>
      <w:r w:rsidRPr="00307F4A">
        <w:t xml:space="preserve"> their </w:t>
      </w:r>
      <w:r>
        <w:t xml:space="preserve">prospective </w:t>
      </w:r>
      <w:r w:rsidRPr="00307F4A">
        <w:t>settlement.</w:t>
      </w:r>
      <w:r>
        <w:t xml:space="preserve"> </w:t>
      </w:r>
      <w:r w:rsidRPr="00307F4A">
        <w:t>They identified no date by which the County would act</w:t>
      </w:r>
      <w:r w:rsidR="00BE3995">
        <w:t xml:space="preserve"> and </w:t>
      </w:r>
      <w:r w:rsidRPr="00307F4A">
        <w:t>requested that the proceeding schedule be vacated.</w:t>
      </w:r>
      <w:r>
        <w:t xml:space="preserve"> </w:t>
      </w:r>
      <w:r w:rsidRPr="00307F4A">
        <w:t xml:space="preserve">The </w:t>
      </w:r>
      <w:r w:rsidR="00D63A38">
        <w:t xml:space="preserve">assigned </w:t>
      </w:r>
      <w:r w:rsidRPr="00307F4A">
        <w:t>ALJ issued a sixth ruling on May</w:t>
      </w:r>
      <w:r>
        <w:t xml:space="preserve"> </w:t>
      </w:r>
      <w:r w:rsidRPr="00307F4A">
        <w:t>28,</w:t>
      </w:r>
      <w:r>
        <w:t xml:space="preserve"> </w:t>
      </w:r>
      <w:r w:rsidRPr="00307F4A">
        <w:t xml:space="preserve">2024, adopting an updated proceeding schedule and ordering the </w:t>
      </w:r>
      <w:r w:rsidR="00CF4F60">
        <w:t>P</w:t>
      </w:r>
      <w:r w:rsidRPr="00307F4A">
        <w:t>arties to file a Seventh Joint Status Report by June</w:t>
      </w:r>
      <w:r>
        <w:t xml:space="preserve"> </w:t>
      </w:r>
      <w:r w:rsidRPr="00307F4A">
        <w:t>17,</w:t>
      </w:r>
      <w:r>
        <w:t xml:space="preserve"> </w:t>
      </w:r>
      <w:r w:rsidRPr="00307F4A">
        <w:t>2024.</w:t>
      </w:r>
    </w:p>
    <w:p w:rsidRPr="00307F4A" w:rsidR="00E14C7C" w:rsidP="00E14C7C" w:rsidRDefault="00E14C7C" w14:paraId="63ABAA61" w14:textId="27A70A7C">
      <w:pPr>
        <w:pStyle w:val="Standard"/>
      </w:pPr>
      <w:r w:rsidRPr="00307F4A">
        <w:t xml:space="preserve">In their </w:t>
      </w:r>
      <w:r w:rsidRPr="00307F4A" w:rsidR="00774BB8">
        <w:t>June</w:t>
      </w:r>
      <w:r w:rsidR="00774BB8">
        <w:t xml:space="preserve"> </w:t>
      </w:r>
      <w:r w:rsidRPr="00307F4A" w:rsidR="00774BB8">
        <w:t>17,</w:t>
      </w:r>
      <w:r w:rsidR="00774BB8">
        <w:t xml:space="preserve"> </w:t>
      </w:r>
      <w:proofErr w:type="gramStart"/>
      <w:r w:rsidRPr="00307F4A" w:rsidR="00774BB8">
        <w:t>2024</w:t>
      </w:r>
      <w:proofErr w:type="gramEnd"/>
      <w:r w:rsidR="00774BB8">
        <w:t xml:space="preserve"> </w:t>
      </w:r>
      <w:r w:rsidRPr="00307F4A">
        <w:t>Seventh Joint</w:t>
      </w:r>
      <w:r>
        <w:t xml:space="preserve"> </w:t>
      </w:r>
      <w:r w:rsidRPr="00307F4A">
        <w:t>Status Report, the Parties reported first that Scop</w:t>
      </w:r>
      <w:r w:rsidR="000410DF">
        <w:t>ed</w:t>
      </w:r>
      <w:r w:rsidRPr="00307F4A">
        <w:t xml:space="preserve"> Issue No.</w:t>
      </w:r>
      <w:r>
        <w:t xml:space="preserve"> </w:t>
      </w:r>
      <w:r w:rsidRPr="00307F4A">
        <w:t xml:space="preserve">1 </w:t>
      </w:r>
      <w:r>
        <w:t>did</w:t>
      </w:r>
      <w:r w:rsidRPr="00307F4A">
        <w:t xml:space="preserve"> not require adjudication and the </w:t>
      </w:r>
      <w:r w:rsidR="00342669">
        <w:t xml:space="preserve">tree </w:t>
      </w:r>
      <w:r w:rsidR="001C32CA">
        <w:t xml:space="preserve">line relocation </w:t>
      </w:r>
      <w:r w:rsidRPr="00307F4A">
        <w:t xml:space="preserve">work </w:t>
      </w:r>
      <w:r>
        <w:t>was</w:t>
      </w:r>
      <w:r w:rsidRPr="00307F4A">
        <w:t xml:space="preserve"> scheduled to be performed July</w:t>
      </w:r>
      <w:r>
        <w:t xml:space="preserve"> </w:t>
      </w:r>
      <w:r w:rsidRPr="00307F4A">
        <w:t>17</w:t>
      </w:r>
      <w:r>
        <w:t>,</w:t>
      </w:r>
      <w:r w:rsidRPr="00307F4A">
        <w:t xml:space="preserve"> and July</w:t>
      </w:r>
      <w:r>
        <w:t xml:space="preserve"> </w:t>
      </w:r>
      <w:r w:rsidRPr="00307F4A">
        <w:t>19,</w:t>
      </w:r>
      <w:r>
        <w:t xml:space="preserve"> </w:t>
      </w:r>
      <w:r w:rsidRPr="00307F4A">
        <w:t>2024.</w:t>
      </w:r>
      <w:r>
        <w:t xml:space="preserve"> </w:t>
      </w:r>
      <w:r w:rsidRPr="00307F4A">
        <w:t>Second, the</w:t>
      </w:r>
      <w:r w:rsidR="00C7687A">
        <w:t xml:space="preserve"> Parties</w:t>
      </w:r>
      <w:r w:rsidRPr="00307F4A">
        <w:t xml:space="preserve"> reported that a settlement of Scop</w:t>
      </w:r>
      <w:r w:rsidR="0067344E">
        <w:t>ed</w:t>
      </w:r>
      <w:r w:rsidRPr="00307F4A">
        <w:t xml:space="preserve"> Issue No.</w:t>
      </w:r>
      <w:r>
        <w:t xml:space="preserve"> </w:t>
      </w:r>
      <w:r w:rsidRPr="00307F4A">
        <w:t>2 remain</w:t>
      </w:r>
      <w:r>
        <w:t>ed</w:t>
      </w:r>
      <w:r w:rsidRPr="00307F4A">
        <w:t xml:space="preserve"> contingent on a </w:t>
      </w:r>
      <w:proofErr w:type="gramStart"/>
      <w:r w:rsidRPr="00307F4A">
        <w:t>County</w:t>
      </w:r>
      <w:proofErr w:type="gramEnd"/>
      <w:r w:rsidRPr="00307F4A">
        <w:t xml:space="preserve"> </w:t>
      </w:r>
      <w:r w:rsidR="001C32CA">
        <w:t xml:space="preserve">easement </w:t>
      </w:r>
      <w:r w:rsidRPr="00307F4A">
        <w:t xml:space="preserve">decision to effectuate Complainant’s </w:t>
      </w:r>
      <w:r w:rsidR="001C32CA">
        <w:t>requested</w:t>
      </w:r>
      <w:r w:rsidRPr="00307F4A">
        <w:t xml:space="preserve"> </w:t>
      </w:r>
      <w:r w:rsidR="00C7687A">
        <w:t xml:space="preserve">power </w:t>
      </w:r>
      <w:r w:rsidRPr="00307F4A">
        <w:t>pole relocation.</w:t>
      </w:r>
      <w:r>
        <w:t xml:space="preserve"> </w:t>
      </w:r>
      <w:r w:rsidRPr="00307F4A">
        <w:t>The</w:t>
      </w:r>
      <w:r w:rsidR="00C7687A">
        <w:t>y</w:t>
      </w:r>
      <w:r w:rsidRPr="00307F4A">
        <w:t xml:space="preserve"> requested that the Commission stay the </w:t>
      </w:r>
      <w:proofErr w:type="gramStart"/>
      <w:r w:rsidRPr="00307F4A">
        <w:t>proceeding</w:t>
      </w:r>
      <w:proofErr w:type="gramEnd"/>
      <w:r w:rsidRPr="00307F4A">
        <w:t xml:space="preserve"> for three months </w:t>
      </w:r>
      <w:r w:rsidR="00EC2020">
        <w:t>to</w:t>
      </w:r>
      <w:r w:rsidRPr="00307F4A">
        <w:t xml:space="preserve"> await a decision from the County.</w:t>
      </w:r>
      <w:r>
        <w:t xml:space="preserve"> </w:t>
      </w:r>
      <w:r w:rsidRPr="00307F4A">
        <w:t xml:space="preserve">Third, the Parties </w:t>
      </w:r>
      <w:r w:rsidR="00CE4A41">
        <w:t>reiterated</w:t>
      </w:r>
      <w:r w:rsidRPr="00307F4A">
        <w:t xml:space="preserve"> that because no unaddressed public health or safety issues remain in this proceeding, Scop</w:t>
      </w:r>
      <w:r w:rsidR="0067344E">
        <w:t>ed</w:t>
      </w:r>
      <w:r w:rsidRPr="00307F4A">
        <w:t xml:space="preserve"> Issue No.</w:t>
      </w:r>
      <w:r>
        <w:t xml:space="preserve"> </w:t>
      </w:r>
      <w:r w:rsidRPr="00307F4A">
        <w:t xml:space="preserve">3 </w:t>
      </w:r>
      <w:r>
        <w:t>did</w:t>
      </w:r>
      <w:r w:rsidRPr="00307F4A">
        <w:t xml:space="preserve"> not require adjudication and decision by the Commission.</w:t>
      </w:r>
      <w:r>
        <w:t xml:space="preserve"> </w:t>
      </w:r>
    </w:p>
    <w:p w:rsidR="00E14C7C" w:rsidP="00E14C7C" w:rsidRDefault="00E14C7C" w14:paraId="4BB426E0" w14:textId="435FE879">
      <w:pPr>
        <w:pStyle w:val="Standard"/>
      </w:pPr>
      <w:r w:rsidRPr="00307F4A">
        <w:t xml:space="preserve">The ALJ issued </w:t>
      </w:r>
      <w:r>
        <w:t xml:space="preserve">rulings on </w:t>
      </w:r>
      <w:r w:rsidRPr="00D45B3E">
        <w:t>July 8,</w:t>
      </w:r>
      <w:r>
        <w:t xml:space="preserve"> </w:t>
      </w:r>
      <w:r w:rsidRPr="00D45B3E">
        <w:t>2024</w:t>
      </w:r>
      <w:r>
        <w:t>, and</w:t>
      </w:r>
      <w:r w:rsidRPr="00307F4A">
        <w:t xml:space="preserve"> </w:t>
      </w:r>
      <w:r>
        <w:t xml:space="preserve">September 20, 2024, </w:t>
      </w:r>
      <w:r w:rsidRPr="00307F4A">
        <w:t xml:space="preserve">adopting an updated proceeding schedule and ordering the </w:t>
      </w:r>
      <w:r w:rsidR="008F0AF4">
        <w:t>P</w:t>
      </w:r>
      <w:r w:rsidRPr="00307F4A">
        <w:t xml:space="preserve">arties to </w:t>
      </w:r>
      <w:r>
        <w:t xml:space="preserve">file additional </w:t>
      </w:r>
      <w:r w:rsidRPr="00307F4A">
        <w:t>Joint Status Report</w:t>
      </w:r>
      <w:r>
        <w:t>s on September 13, 2024, November 15, 2024, and then on the first Friday of each month thereafter</w:t>
      </w:r>
      <w:r w:rsidRPr="00307F4A">
        <w:t>.</w:t>
      </w:r>
    </w:p>
    <w:p w:rsidR="00E14C7C" w:rsidP="00E14C7C" w:rsidRDefault="00E14C7C" w14:paraId="59443ED5" w14:textId="77777777">
      <w:pPr>
        <w:pStyle w:val="Standard"/>
      </w:pPr>
      <w:r w:rsidRPr="00307F4A">
        <w:t>In their September</w:t>
      </w:r>
      <w:r>
        <w:t xml:space="preserve"> </w:t>
      </w:r>
      <w:r w:rsidRPr="00307F4A">
        <w:t>13,</w:t>
      </w:r>
      <w:r>
        <w:t xml:space="preserve"> </w:t>
      </w:r>
      <w:r w:rsidRPr="00307F4A">
        <w:t>2024</w:t>
      </w:r>
      <w:r>
        <w:t xml:space="preserve">, </w:t>
      </w:r>
      <w:r w:rsidRPr="00307F4A">
        <w:t>Eighth Joint</w:t>
      </w:r>
      <w:r>
        <w:t xml:space="preserve"> </w:t>
      </w:r>
      <w:r w:rsidRPr="00307F4A">
        <w:t>Status Report, the Parties reported</w:t>
      </w:r>
      <w:r>
        <w:t xml:space="preserve"> Mr. Irizarry was working with County representatives to facilitate acquisition of the easement sought from the County. Moreover, the Parties reported evaluating alternatives to effectuate their settlement without a need for that County easement.</w:t>
      </w:r>
    </w:p>
    <w:p w:rsidRPr="00307F4A" w:rsidR="00E14C7C" w:rsidP="00E14C7C" w:rsidRDefault="00E14C7C" w14:paraId="2A2B5AF4" w14:textId="77777777">
      <w:pPr>
        <w:pStyle w:val="Standard"/>
      </w:pPr>
      <w:r w:rsidRPr="00307F4A">
        <w:t>In D.2</w:t>
      </w:r>
      <w:r>
        <w:t>4</w:t>
      </w:r>
      <w:r w:rsidRPr="00307F4A">
        <w:t>-</w:t>
      </w:r>
      <w:r>
        <w:t>09</w:t>
      </w:r>
      <w:r w:rsidRPr="00307F4A">
        <w:t>-</w:t>
      </w:r>
      <w:r>
        <w:t>042</w:t>
      </w:r>
      <w:r w:rsidRPr="00307F4A">
        <w:t xml:space="preserve">, issued </w:t>
      </w:r>
      <w:r>
        <w:t>September 2</w:t>
      </w:r>
      <w:r w:rsidRPr="00307F4A">
        <w:t>6,202</w:t>
      </w:r>
      <w:r>
        <w:t>4</w:t>
      </w:r>
      <w:r w:rsidRPr="00307F4A">
        <w:t>, the Commission extended the 12-month statutory deadline to resolve this proceeding under Pub.</w:t>
      </w:r>
      <w:r>
        <w:t xml:space="preserve"> </w:t>
      </w:r>
      <w:r w:rsidRPr="00307F4A">
        <w:t>Util.</w:t>
      </w:r>
      <w:r>
        <w:t xml:space="preserve"> </w:t>
      </w:r>
      <w:r w:rsidRPr="00307F4A">
        <w:t>Code</w:t>
      </w:r>
      <w:r>
        <w:t xml:space="preserve"> </w:t>
      </w:r>
      <w:r w:rsidRPr="00307F4A">
        <w:t>§1701.2(i)</w:t>
      </w:r>
      <w:r>
        <w:t xml:space="preserve"> a second time</w:t>
      </w:r>
      <w:r w:rsidRPr="00307F4A">
        <w:t>, from September</w:t>
      </w:r>
      <w:r>
        <w:t xml:space="preserve"> </w:t>
      </w:r>
      <w:r w:rsidRPr="00307F4A">
        <w:t>30,</w:t>
      </w:r>
      <w:r>
        <w:t xml:space="preserve"> </w:t>
      </w:r>
      <w:r w:rsidRPr="00307F4A">
        <w:t>2024</w:t>
      </w:r>
      <w:r>
        <w:t>, to June 30, 2025</w:t>
      </w:r>
      <w:r w:rsidRPr="00307F4A">
        <w:t>.</w:t>
      </w:r>
    </w:p>
    <w:p w:rsidR="008868FD" w:rsidP="00E14C7C" w:rsidRDefault="00E14C7C" w14:paraId="30CD99DF" w14:textId="26403FEE">
      <w:pPr>
        <w:pStyle w:val="Standard"/>
      </w:pPr>
      <w:r w:rsidRPr="00307F4A">
        <w:lastRenderedPageBreak/>
        <w:t>The Parties fil</w:t>
      </w:r>
      <w:r>
        <w:t>ed</w:t>
      </w:r>
      <w:r w:rsidRPr="00307F4A">
        <w:t xml:space="preserve"> </w:t>
      </w:r>
      <w:r>
        <w:t>additional J</w:t>
      </w:r>
      <w:r w:rsidRPr="00307F4A">
        <w:t>oint</w:t>
      </w:r>
      <w:r>
        <w:t xml:space="preserve"> S</w:t>
      </w:r>
      <w:r w:rsidRPr="00307F4A">
        <w:t xml:space="preserve">tatus </w:t>
      </w:r>
      <w:r>
        <w:t>R</w:t>
      </w:r>
      <w:r w:rsidRPr="00307F4A">
        <w:t>eport</w:t>
      </w:r>
      <w:r>
        <w:t>s</w:t>
      </w:r>
      <w:r w:rsidRPr="00307F4A">
        <w:t xml:space="preserve"> on </w:t>
      </w:r>
      <w:r>
        <w:t xml:space="preserve">November 15, 2024, December 6, 2024, and January 3, 2025, </w:t>
      </w:r>
      <w:r w:rsidRPr="00307F4A">
        <w:t xml:space="preserve">to update the </w:t>
      </w:r>
      <w:r w:rsidR="00D63A38">
        <w:t xml:space="preserve">assigned </w:t>
      </w:r>
      <w:r w:rsidRPr="00307F4A">
        <w:t>ALJ on the status of settlement.</w:t>
      </w:r>
      <w:r>
        <w:t xml:space="preserve"> By their February 7, 2025, J</w:t>
      </w:r>
      <w:r w:rsidRPr="00307F4A">
        <w:t>oint</w:t>
      </w:r>
      <w:r>
        <w:t xml:space="preserve"> S</w:t>
      </w:r>
      <w:r w:rsidRPr="00307F4A">
        <w:t xml:space="preserve">tatus </w:t>
      </w:r>
      <w:r>
        <w:t>R</w:t>
      </w:r>
      <w:r w:rsidRPr="00307F4A">
        <w:t>eport</w:t>
      </w:r>
      <w:r>
        <w:t>, t</w:t>
      </w:r>
      <w:r w:rsidRPr="00307F4A">
        <w:t xml:space="preserve">he Parties </w:t>
      </w:r>
      <w:r>
        <w:t xml:space="preserve">reported that they had not yet resolved Issue No. 2. However, they continued to </w:t>
      </w:r>
      <w:r w:rsidRPr="00307F4A">
        <w:t xml:space="preserve">anticipate </w:t>
      </w:r>
      <w:r w:rsidR="00354305">
        <w:t>a</w:t>
      </w:r>
      <w:r w:rsidR="00BF3328">
        <w:t xml:space="preserve"> </w:t>
      </w:r>
      <w:r w:rsidRPr="00307F4A">
        <w:t>resolution.</w:t>
      </w:r>
      <w:r w:rsidRPr="00E8594C" w:rsidR="008868FD">
        <w:t xml:space="preserve"> </w:t>
      </w:r>
    </w:p>
    <w:p w:rsidR="00F34456" w:rsidP="003209B2" w:rsidRDefault="00D13F18" w14:paraId="02921E6B" w14:textId="68348702">
      <w:pPr>
        <w:pStyle w:val="Heading2"/>
      </w:pPr>
      <w:bookmarkStart w:name="_Toc227882770" w:id="9"/>
      <w:r>
        <w:t>Motion to Dismiss</w:t>
      </w:r>
      <w:bookmarkEnd w:id="9"/>
    </w:p>
    <w:p w:rsidR="00C22B2C" w:rsidP="00C22B2C" w:rsidRDefault="00C22B2C" w14:paraId="00588136" w14:textId="260F1BE5">
      <w:pPr>
        <w:pStyle w:val="Standard"/>
      </w:pPr>
      <w:r>
        <w:t xml:space="preserve">On March 14, 2025, Defendant filed </w:t>
      </w:r>
      <w:r w:rsidR="00F332D4">
        <w:t>the present</w:t>
      </w:r>
      <w:r>
        <w:t xml:space="preserve"> motion to dismiss (Motion) pursuant to a</w:t>
      </w:r>
      <w:r w:rsidR="00D743B4">
        <w:t xml:space="preserve"> March 3, </w:t>
      </w:r>
      <w:proofErr w:type="gramStart"/>
      <w:r w:rsidR="00D743B4">
        <w:t>2025</w:t>
      </w:r>
      <w:proofErr w:type="gramEnd"/>
      <w:r>
        <w:t xml:space="preserve"> </w:t>
      </w:r>
      <w:r w:rsidR="00D63A38">
        <w:t xml:space="preserve">assigned </w:t>
      </w:r>
      <w:r>
        <w:t xml:space="preserve">ALJ ruling establishing a briefing schedule. Complainant opposed the Motion </w:t>
      </w:r>
      <w:r w:rsidR="005E568F">
        <w:t>(Opp</w:t>
      </w:r>
      <w:r w:rsidR="003C0F06">
        <w:t>osition</w:t>
      </w:r>
      <w:r w:rsidR="005E568F">
        <w:t xml:space="preserve">) </w:t>
      </w:r>
      <w:r w:rsidR="003C0F06">
        <w:t xml:space="preserve">on </w:t>
      </w:r>
      <w:r w:rsidR="00D17BE3">
        <w:t xml:space="preserve">April 1, </w:t>
      </w:r>
      <w:proofErr w:type="gramStart"/>
      <w:r w:rsidR="00D17BE3">
        <w:t>2025</w:t>
      </w:r>
      <w:proofErr w:type="gramEnd"/>
      <w:r w:rsidR="00D17BE3">
        <w:t xml:space="preserve"> </w:t>
      </w:r>
      <w:r>
        <w:t xml:space="preserve">and Defendant filed a reply </w:t>
      </w:r>
      <w:r w:rsidR="00296F65">
        <w:t xml:space="preserve">in support of the Motion </w:t>
      </w:r>
      <w:r>
        <w:t>on April 11, 2025</w:t>
      </w:r>
      <w:r w:rsidR="005E568F">
        <w:t xml:space="preserve"> (Reply)</w:t>
      </w:r>
      <w:r>
        <w:t>.</w:t>
      </w:r>
      <w:r w:rsidR="00686163">
        <w:t xml:space="preserve"> </w:t>
      </w:r>
    </w:p>
    <w:p w:rsidRPr="005905A9" w:rsidR="00D13F18" w:rsidP="003209B2" w:rsidRDefault="006D66AE" w14:paraId="3A641510" w14:textId="529FAB1F">
      <w:pPr>
        <w:pStyle w:val="Heading2"/>
      </w:pPr>
      <w:bookmarkStart w:name="_Toc227882771" w:id="10"/>
      <w:r>
        <w:t xml:space="preserve">Scoped </w:t>
      </w:r>
      <w:r w:rsidRPr="00837A1F">
        <w:t>Issue</w:t>
      </w:r>
      <w:r>
        <w:t xml:space="preserve"> No. 2 </w:t>
      </w:r>
      <w:r w:rsidR="00414C1B">
        <w:t>Settlement Impasse</w:t>
      </w:r>
      <w:bookmarkEnd w:id="10"/>
      <w:r w:rsidR="00414C1B">
        <w:t xml:space="preserve"> </w:t>
      </w:r>
    </w:p>
    <w:p w:rsidR="00475668" w:rsidP="008868FD" w:rsidRDefault="008868FD" w14:paraId="700A2FCD" w14:textId="266EE780">
      <w:pPr>
        <w:pStyle w:val="Standard"/>
        <w:rPr>
          <w:rFonts w:eastAsia="Calibri"/>
        </w:rPr>
      </w:pPr>
      <w:r w:rsidRPr="00EA5D4D">
        <w:rPr>
          <w:rFonts w:eastAsia="Calibri"/>
        </w:rPr>
        <w:t xml:space="preserve">On August 1, 2025, the </w:t>
      </w:r>
      <w:r w:rsidR="00F37958">
        <w:rPr>
          <w:rFonts w:eastAsia="Calibri"/>
        </w:rPr>
        <w:t>P</w:t>
      </w:r>
      <w:r w:rsidRPr="00EA5D4D">
        <w:rPr>
          <w:rFonts w:eastAsia="Calibri"/>
        </w:rPr>
        <w:t xml:space="preserve">arties reported </w:t>
      </w:r>
      <w:r w:rsidR="00F37958">
        <w:rPr>
          <w:rFonts w:eastAsia="Calibri"/>
        </w:rPr>
        <w:t>in their</w:t>
      </w:r>
      <w:r w:rsidR="00FB0952">
        <w:rPr>
          <w:rFonts w:eastAsia="Calibri"/>
        </w:rPr>
        <w:t xml:space="preserve"> </w:t>
      </w:r>
      <w:r w:rsidR="00C51C1F">
        <w:rPr>
          <w:rFonts w:eastAsia="Calibri"/>
        </w:rPr>
        <w:t>Eighteenth</w:t>
      </w:r>
      <w:r w:rsidR="00FB0952">
        <w:rPr>
          <w:rFonts w:eastAsia="Calibri"/>
        </w:rPr>
        <w:t xml:space="preserve"> Joint Status Report</w:t>
      </w:r>
      <w:r w:rsidR="00F37958">
        <w:rPr>
          <w:rFonts w:eastAsia="Calibri"/>
        </w:rPr>
        <w:t xml:space="preserve"> </w:t>
      </w:r>
      <w:r w:rsidRPr="00EA5D4D">
        <w:rPr>
          <w:rFonts w:eastAsia="Calibri"/>
        </w:rPr>
        <w:t>they ha</w:t>
      </w:r>
      <w:r w:rsidR="00C36895">
        <w:rPr>
          <w:rFonts w:eastAsia="Calibri"/>
        </w:rPr>
        <w:t>d</w:t>
      </w:r>
      <w:r w:rsidRPr="00EA5D4D">
        <w:rPr>
          <w:rFonts w:eastAsia="Calibri"/>
        </w:rPr>
        <w:t xml:space="preserve"> reached an impasse on </w:t>
      </w:r>
      <w:r w:rsidRPr="00307F4A" w:rsidR="00F12EFF">
        <w:t>Scop</w:t>
      </w:r>
      <w:r w:rsidR="00A23F68">
        <w:t>ed</w:t>
      </w:r>
      <w:r w:rsidRPr="00307F4A" w:rsidR="00F12EFF">
        <w:t xml:space="preserve"> </w:t>
      </w:r>
      <w:r w:rsidR="006166ED">
        <w:t xml:space="preserve">Issue No. 2, </w:t>
      </w:r>
      <w:r w:rsidRPr="00EA5D4D">
        <w:rPr>
          <w:rFonts w:eastAsia="Calibri"/>
        </w:rPr>
        <w:t xml:space="preserve">the sole remaining issue </w:t>
      </w:r>
      <w:r w:rsidR="00147695">
        <w:rPr>
          <w:rFonts w:eastAsia="Calibri"/>
        </w:rPr>
        <w:t>in dispute</w:t>
      </w:r>
      <w:r w:rsidRPr="00EA5D4D">
        <w:rPr>
          <w:rFonts w:eastAsia="Calibri"/>
        </w:rPr>
        <w:t xml:space="preserve">. The </w:t>
      </w:r>
      <w:r w:rsidR="00C816C6">
        <w:rPr>
          <w:rFonts w:eastAsia="Calibri"/>
        </w:rPr>
        <w:t>P</w:t>
      </w:r>
      <w:r w:rsidRPr="00EA5D4D">
        <w:rPr>
          <w:rFonts w:eastAsia="Calibri"/>
        </w:rPr>
        <w:t xml:space="preserve">arties requested that the </w:t>
      </w:r>
      <w:r w:rsidR="00D63A38">
        <w:rPr>
          <w:rFonts w:eastAsia="Calibri"/>
        </w:rPr>
        <w:t xml:space="preserve">assigned </w:t>
      </w:r>
      <w:r>
        <w:rPr>
          <w:rFonts w:eastAsia="Calibri"/>
        </w:rPr>
        <w:t>ALJ</w:t>
      </w:r>
      <w:r w:rsidRPr="00EA5D4D">
        <w:rPr>
          <w:rFonts w:eastAsia="Calibri"/>
        </w:rPr>
        <w:t xml:space="preserve"> decide </w:t>
      </w:r>
      <w:r w:rsidR="00C816C6">
        <w:rPr>
          <w:rFonts w:eastAsia="Calibri"/>
        </w:rPr>
        <w:t>D</w:t>
      </w:r>
      <w:r w:rsidRPr="00EA5D4D">
        <w:rPr>
          <w:rFonts w:eastAsia="Calibri"/>
        </w:rPr>
        <w:t xml:space="preserve">efendant’s </w:t>
      </w:r>
      <w:r w:rsidR="004615D9">
        <w:rPr>
          <w:rFonts w:eastAsia="Calibri"/>
        </w:rPr>
        <w:t>M</w:t>
      </w:r>
      <w:r w:rsidRPr="00EA5D4D">
        <w:rPr>
          <w:rFonts w:eastAsia="Calibri"/>
        </w:rPr>
        <w:t xml:space="preserve">otion and, if denied, set a new proceeding schedule to adjudicate </w:t>
      </w:r>
      <w:r w:rsidRPr="00307F4A" w:rsidR="00A23F68">
        <w:t>Scop</w:t>
      </w:r>
      <w:r w:rsidR="00A23F68">
        <w:t>ed</w:t>
      </w:r>
      <w:r w:rsidRPr="00307F4A" w:rsidR="00A23F68">
        <w:t xml:space="preserve"> </w:t>
      </w:r>
      <w:r w:rsidR="00A23F68">
        <w:t>Issue No. 2</w:t>
      </w:r>
      <w:r w:rsidRPr="00EA5D4D">
        <w:rPr>
          <w:rFonts w:eastAsia="Calibri"/>
        </w:rPr>
        <w:t xml:space="preserve">. </w:t>
      </w:r>
      <w:r w:rsidR="007730B1">
        <w:rPr>
          <w:rFonts w:eastAsia="Calibri"/>
        </w:rPr>
        <w:t xml:space="preserve">In their </w:t>
      </w:r>
      <w:r w:rsidR="00323164">
        <w:rPr>
          <w:rFonts w:eastAsia="Calibri"/>
        </w:rPr>
        <w:t xml:space="preserve">September 5, </w:t>
      </w:r>
      <w:proofErr w:type="gramStart"/>
      <w:r w:rsidR="00323164">
        <w:rPr>
          <w:rFonts w:eastAsia="Calibri"/>
        </w:rPr>
        <w:t>2025</w:t>
      </w:r>
      <w:proofErr w:type="gramEnd"/>
      <w:r w:rsidR="00323164">
        <w:rPr>
          <w:rFonts w:eastAsia="Calibri"/>
        </w:rPr>
        <w:t xml:space="preserve"> </w:t>
      </w:r>
      <w:r w:rsidR="00C80EB6">
        <w:rPr>
          <w:rFonts w:eastAsia="Calibri"/>
        </w:rPr>
        <w:t xml:space="preserve">Nineteenth </w:t>
      </w:r>
      <w:r w:rsidR="00C976E6">
        <w:rPr>
          <w:rFonts w:eastAsia="Calibri"/>
        </w:rPr>
        <w:t>Joint Status Report</w:t>
      </w:r>
      <w:r w:rsidR="003926BC">
        <w:rPr>
          <w:rFonts w:eastAsia="Calibri"/>
        </w:rPr>
        <w:t>,</w:t>
      </w:r>
      <w:r w:rsidR="00C976E6">
        <w:rPr>
          <w:rFonts w:eastAsia="Calibri"/>
        </w:rPr>
        <w:t xml:space="preserve"> </w:t>
      </w:r>
      <w:r w:rsidR="00E50B2F">
        <w:rPr>
          <w:rFonts w:eastAsia="Calibri"/>
        </w:rPr>
        <w:t xml:space="preserve">October 3, </w:t>
      </w:r>
      <w:proofErr w:type="gramStart"/>
      <w:r w:rsidR="00E50B2F">
        <w:rPr>
          <w:rFonts w:eastAsia="Calibri"/>
        </w:rPr>
        <w:t>2025</w:t>
      </w:r>
      <w:proofErr w:type="gramEnd"/>
      <w:r w:rsidR="00E50B2F">
        <w:rPr>
          <w:rFonts w:eastAsia="Calibri"/>
        </w:rPr>
        <w:t xml:space="preserve"> Twentieth Joint Status Report</w:t>
      </w:r>
      <w:r w:rsidR="003926BC">
        <w:rPr>
          <w:rFonts w:eastAsia="Calibri"/>
        </w:rPr>
        <w:t xml:space="preserve">, and November 7, </w:t>
      </w:r>
      <w:proofErr w:type="gramStart"/>
      <w:r w:rsidR="003926BC">
        <w:rPr>
          <w:rFonts w:eastAsia="Calibri"/>
        </w:rPr>
        <w:t>2025</w:t>
      </w:r>
      <w:proofErr w:type="gramEnd"/>
      <w:r w:rsidR="003926BC">
        <w:rPr>
          <w:rFonts w:eastAsia="Calibri"/>
        </w:rPr>
        <w:t xml:space="preserve"> Twenty-First Joint Status Report</w:t>
      </w:r>
      <w:r w:rsidR="00E50B2F">
        <w:rPr>
          <w:rFonts w:eastAsia="Calibri"/>
        </w:rPr>
        <w:t xml:space="preserve"> </w:t>
      </w:r>
      <w:r w:rsidR="00C976E6">
        <w:rPr>
          <w:rFonts w:eastAsia="Calibri"/>
        </w:rPr>
        <w:t xml:space="preserve">the Parties </w:t>
      </w:r>
      <w:r w:rsidR="00C80EB6">
        <w:rPr>
          <w:rFonts w:eastAsia="Calibri"/>
        </w:rPr>
        <w:t xml:space="preserve">reiterated that </w:t>
      </w:r>
      <w:r w:rsidR="00D85E68">
        <w:rPr>
          <w:rFonts w:eastAsia="Calibri"/>
        </w:rPr>
        <w:t xml:space="preserve">they are at </w:t>
      </w:r>
      <w:r w:rsidR="00C80EB6">
        <w:rPr>
          <w:rFonts w:eastAsia="Calibri"/>
        </w:rPr>
        <w:t>a settlement impasse.</w:t>
      </w:r>
    </w:p>
    <w:bookmarkEnd w:id="6"/>
    <w:p w:rsidR="00964791" w:rsidP="00964791" w:rsidRDefault="00964791" w14:paraId="0B0567F7" w14:textId="1169BB18">
      <w:pPr>
        <w:pStyle w:val="Standard"/>
      </w:pPr>
      <w:r w:rsidRPr="00C53325">
        <w:t xml:space="preserve">In </w:t>
      </w:r>
      <w:r w:rsidR="00D44889">
        <w:t>D.</w:t>
      </w:r>
      <w:r w:rsidR="00C91017">
        <w:t>25-10-021</w:t>
      </w:r>
      <w:r w:rsidRPr="00C53325">
        <w:t xml:space="preserve">, issued </w:t>
      </w:r>
      <w:r w:rsidRPr="00C53325" w:rsidR="00597A85">
        <w:rPr>
          <w:rFonts w:eastAsia="Calibri"/>
        </w:rPr>
        <w:t xml:space="preserve">October </w:t>
      </w:r>
      <w:r w:rsidRPr="00DB5645" w:rsidR="00C91017">
        <w:rPr>
          <w:rFonts w:eastAsia="Calibri"/>
        </w:rPr>
        <w:t>17</w:t>
      </w:r>
      <w:r w:rsidRPr="00C53325" w:rsidR="00597A85">
        <w:rPr>
          <w:rFonts w:eastAsia="Calibri"/>
        </w:rPr>
        <w:t>, 2025</w:t>
      </w:r>
      <w:r w:rsidRPr="00C53325">
        <w:t xml:space="preserve">, the Commission extended the 12-month statutory deadline to resolve this proceeding under Pub. Util. Code §1701.2(i), from </w:t>
      </w:r>
      <w:r w:rsidRPr="00C53325" w:rsidR="009F1362">
        <w:t xml:space="preserve">October 31, </w:t>
      </w:r>
      <w:proofErr w:type="gramStart"/>
      <w:r w:rsidRPr="00C53325" w:rsidR="009F1362">
        <w:t>2025</w:t>
      </w:r>
      <w:proofErr w:type="gramEnd"/>
      <w:r w:rsidRPr="00C53325">
        <w:t xml:space="preserve"> to </w:t>
      </w:r>
      <w:r w:rsidRPr="00C53325" w:rsidR="00597A85">
        <w:t>April 3, 2026</w:t>
      </w:r>
      <w:r w:rsidR="00030267">
        <w:t>.</w:t>
      </w:r>
      <w:r w:rsidR="00087EAD">
        <w:rPr>
          <w:rStyle w:val="FootnoteReference"/>
        </w:rPr>
        <w:footnoteReference w:id="13"/>
      </w:r>
      <w:r w:rsidR="0041762F">
        <w:t xml:space="preserve"> </w:t>
      </w:r>
    </w:p>
    <w:p w:rsidR="00683B2C" w:rsidP="003209B2" w:rsidRDefault="00683B2C" w14:paraId="7FB5B72A" w14:textId="77777777">
      <w:pPr>
        <w:pStyle w:val="Heading2"/>
      </w:pPr>
      <w:bookmarkStart w:name="_Toc227882772" w:id="11"/>
      <w:r w:rsidRPr="003209B2">
        <w:t>Submission</w:t>
      </w:r>
      <w:r>
        <w:t xml:space="preserve"> Date</w:t>
      </w:r>
      <w:bookmarkEnd w:id="11"/>
    </w:p>
    <w:p w:rsidR="00683B2C" w:rsidP="001B7F8B" w:rsidRDefault="00683B2C" w14:paraId="7940C003" w14:textId="5FEE831D">
      <w:pPr>
        <w:pStyle w:val="Standard"/>
      </w:pPr>
      <w:r w:rsidRPr="00FF0265">
        <w:t>Th</w:t>
      </w:r>
      <w:r w:rsidR="00C37169">
        <w:t>e</w:t>
      </w:r>
      <w:r w:rsidRPr="00FF0265">
        <w:t xml:space="preserve"> </w:t>
      </w:r>
      <w:r w:rsidR="002A1619">
        <w:t xml:space="preserve">present </w:t>
      </w:r>
      <w:r w:rsidR="00C37169">
        <w:t>Motion</w:t>
      </w:r>
      <w:r w:rsidRPr="00FF0265">
        <w:t xml:space="preserve"> was submitted on </w:t>
      </w:r>
      <w:r w:rsidR="00E25626">
        <w:t xml:space="preserve">April 11, </w:t>
      </w:r>
      <w:proofErr w:type="gramStart"/>
      <w:r w:rsidR="00E25626">
        <w:t>2025</w:t>
      </w:r>
      <w:proofErr w:type="gramEnd"/>
      <w:r w:rsidR="00E25626">
        <w:t xml:space="preserve"> </w:t>
      </w:r>
      <w:r w:rsidRPr="00FF0265">
        <w:t xml:space="preserve">upon </w:t>
      </w:r>
      <w:r w:rsidR="00287080">
        <w:t xml:space="preserve">Defendant’s filing of its </w:t>
      </w:r>
      <w:r w:rsidR="00296F65">
        <w:t>R</w:t>
      </w:r>
      <w:r w:rsidRPr="00FF0265">
        <w:t xml:space="preserve">eply </w:t>
      </w:r>
      <w:r w:rsidR="00863131">
        <w:t xml:space="preserve">in support of its </w:t>
      </w:r>
      <w:r w:rsidR="004615D9">
        <w:t>M</w:t>
      </w:r>
      <w:r w:rsidR="00863131">
        <w:t>otion</w:t>
      </w:r>
      <w:r w:rsidRPr="00FF0265">
        <w:t>.</w:t>
      </w:r>
    </w:p>
    <w:p w:rsidR="005A148C" w:rsidP="003209B2" w:rsidRDefault="0063491C" w14:paraId="441339BC" w14:textId="77777777">
      <w:pPr>
        <w:pStyle w:val="Heading1"/>
      </w:pPr>
      <w:bookmarkStart w:name="_Toc8123718" w:id="12"/>
      <w:bookmarkStart w:name="_Toc227882773" w:id="13"/>
      <w:r>
        <w:lastRenderedPageBreak/>
        <w:t>Jurisdiction</w:t>
      </w:r>
      <w:r w:rsidR="00B71D85">
        <w:t xml:space="preserve"> </w:t>
      </w:r>
      <w:r w:rsidRPr="003209B2" w:rsidR="00B71D85">
        <w:t>and</w:t>
      </w:r>
      <w:r w:rsidR="00B71D85">
        <w:t xml:space="preserve"> Burden of Proof</w:t>
      </w:r>
      <w:bookmarkEnd w:id="12"/>
      <w:bookmarkEnd w:id="13"/>
    </w:p>
    <w:p w:rsidR="001147C7" w:rsidP="001147C7" w:rsidRDefault="00B71D85" w14:paraId="309ACADF" w14:textId="1F31EEE1">
      <w:pPr>
        <w:pStyle w:val="Standard"/>
      </w:pPr>
      <w:r>
        <w:t>The Commission has jurisdiction over the activities of public utilities</w:t>
      </w:r>
      <w:r w:rsidR="00CE31BA">
        <w:t>.</w:t>
      </w:r>
      <w:r>
        <w:rPr>
          <w:rStyle w:val="FootnoteReference"/>
        </w:rPr>
        <w:footnoteReference w:id="14"/>
      </w:r>
      <w:r>
        <w:t xml:space="preserve"> </w:t>
      </w:r>
      <w:r w:rsidR="00B0038D">
        <w:t xml:space="preserve">Defendant </w:t>
      </w:r>
      <w:r w:rsidR="00FB51DB">
        <w:t>PG&amp;E</w:t>
      </w:r>
      <w:r w:rsidR="00CE31BA">
        <w:t xml:space="preserve"> </w:t>
      </w:r>
      <w:r>
        <w:t>provid</w:t>
      </w:r>
      <w:r w:rsidR="00BF02DA">
        <w:t>es</w:t>
      </w:r>
      <w:r>
        <w:t xml:space="preserve"> </w:t>
      </w:r>
      <w:r w:rsidR="00AF23DD">
        <w:t>electric and gas services</w:t>
      </w:r>
      <w:r w:rsidR="002C5A3A">
        <w:t xml:space="preserve"> to the public</w:t>
      </w:r>
      <w:r>
        <w:t xml:space="preserve">.  </w:t>
      </w:r>
      <w:r w:rsidR="00B0038D">
        <w:t>Therefore, PG&amp;E</w:t>
      </w:r>
      <w:r w:rsidR="00CE31BA">
        <w:t xml:space="preserve"> is</w:t>
      </w:r>
      <w:r>
        <w:t xml:space="preserve"> a</w:t>
      </w:r>
      <w:r w:rsidR="00CE31BA">
        <w:t xml:space="preserve"> utility </w:t>
      </w:r>
      <w:r>
        <w:t xml:space="preserve">subject to </w:t>
      </w:r>
      <w:r w:rsidR="0090655E">
        <w:t xml:space="preserve">the Commission’s </w:t>
      </w:r>
      <w:r>
        <w:t xml:space="preserve">jurisdiction, control and regulation. </w:t>
      </w:r>
    </w:p>
    <w:p w:rsidR="00EA5004" w:rsidP="001147C7" w:rsidRDefault="001147C7" w14:paraId="64C6D479" w14:textId="66EFDDAF">
      <w:pPr>
        <w:pStyle w:val="Standard"/>
      </w:pPr>
      <w:r>
        <w:t>Complainant</w:t>
      </w:r>
      <w:r w:rsidR="00D63A38">
        <w:t xml:space="preserve">, Mr. </w:t>
      </w:r>
      <w:r w:rsidR="00B0038D">
        <w:t xml:space="preserve">Irizarry </w:t>
      </w:r>
      <w:r w:rsidR="00CE31BA">
        <w:t>is a</w:t>
      </w:r>
      <w:r w:rsidR="003C0D49">
        <w:t xml:space="preserve">n individual </w:t>
      </w:r>
      <w:r w:rsidRPr="00CE31BA" w:rsidR="00CE31BA">
        <w:t>person</w:t>
      </w:r>
      <w:r w:rsidR="003C0D49">
        <w:t xml:space="preserve">. </w:t>
      </w:r>
    </w:p>
    <w:p w:rsidR="00B71D85" w:rsidP="001147C7" w:rsidRDefault="00883CA5" w14:paraId="3D65A43B" w14:textId="56472782">
      <w:pPr>
        <w:pStyle w:val="Standard"/>
      </w:pPr>
      <w:r>
        <w:t>Complainant filed the Complaint pursuant to Commission’s Rule of Practice and Procedure (Rule) 4.1(a)</w:t>
      </w:r>
      <w:r w:rsidRPr="00E008B6">
        <w:t>.</w:t>
      </w:r>
      <w:r>
        <w:rPr>
          <w:rStyle w:val="FootnoteReference"/>
          <w:rFonts w:cs="Times New Roman"/>
        </w:rPr>
        <w:footnoteReference w:id="15"/>
      </w:r>
      <w:r w:rsidR="00A65B8E">
        <w:t xml:space="preserve"> </w:t>
      </w:r>
      <w:r w:rsidR="00E77324">
        <w:t>Th</w:t>
      </w:r>
      <w:r w:rsidR="0031476C">
        <w:t>e</w:t>
      </w:r>
      <w:r w:rsidR="00E77324">
        <w:t xml:space="preserve"> </w:t>
      </w:r>
      <w:r w:rsidR="00BF02DA">
        <w:t xml:space="preserve">Complaint </w:t>
      </w:r>
      <w:r w:rsidR="00DF2FE6">
        <w:t>alleges,</w:t>
      </w:r>
      <w:r w:rsidRPr="00CE31BA" w:rsidR="00DF2FE6">
        <w:t xml:space="preserve"> </w:t>
      </w:r>
      <w:r w:rsidRPr="003C0D49" w:rsidR="00DF2FE6">
        <w:rPr>
          <w:i/>
          <w:iCs/>
        </w:rPr>
        <w:t>inter alia</w:t>
      </w:r>
      <w:r w:rsidR="00DF2FE6">
        <w:t xml:space="preserve">, that PG&amp;E is required to bear all costs to relocate </w:t>
      </w:r>
      <w:r w:rsidR="006F44C8">
        <w:t>a</w:t>
      </w:r>
      <w:r w:rsidR="00DF2FE6">
        <w:t xml:space="preserve"> power pole located on his property</w:t>
      </w:r>
      <w:r w:rsidR="00E0326F">
        <w:t xml:space="preserve"> to</w:t>
      </w:r>
      <w:r w:rsidR="00280FB6">
        <w:t xml:space="preserve"> Defendant’s public utility easement road</w:t>
      </w:r>
      <w:r w:rsidRPr="00E008B6" w:rsidR="00BF02DA">
        <w:t xml:space="preserve">. </w:t>
      </w:r>
    </w:p>
    <w:p w:rsidRPr="0063491C" w:rsidR="0063491C" w:rsidP="00B71D85" w:rsidRDefault="002D7DDA" w14:paraId="7F5A2F64" w14:textId="08595D48">
      <w:pPr>
        <w:pStyle w:val="Standard"/>
      </w:pPr>
      <w:r>
        <w:t xml:space="preserve">Complainant </w:t>
      </w:r>
      <w:r w:rsidR="00D76FA9">
        <w:t xml:space="preserve">Irizarry </w:t>
      </w:r>
      <w:r>
        <w:t xml:space="preserve">bears the burden of proof to show by a preponderance of evidence that </w:t>
      </w:r>
      <w:r w:rsidR="00F83641">
        <w:t>D</w:t>
      </w:r>
      <w:r>
        <w:t>efendant violated a rule, order, law, or tariff approved by the Commission</w:t>
      </w:r>
      <w:r w:rsidR="00B71D85">
        <w:t>.</w:t>
      </w:r>
      <w:r w:rsidR="00BF02DA">
        <w:rPr>
          <w:rStyle w:val="FootnoteReference"/>
        </w:rPr>
        <w:footnoteReference w:id="16"/>
      </w:r>
      <w:r w:rsidR="00B71D85">
        <w:t xml:space="preserve"> </w:t>
      </w:r>
    </w:p>
    <w:p w:rsidR="005A148C" w:rsidP="003209B2" w:rsidRDefault="005939A5" w14:paraId="41D905DD" w14:textId="77777777">
      <w:pPr>
        <w:pStyle w:val="Heading1"/>
      </w:pPr>
      <w:bookmarkStart w:name="_Toc8123719" w:id="14"/>
      <w:bookmarkStart w:name="_Toc227882774" w:id="15"/>
      <w:r>
        <w:t xml:space="preserve">Issues </w:t>
      </w:r>
      <w:r w:rsidRPr="003209B2">
        <w:t>Before</w:t>
      </w:r>
      <w:r>
        <w:t xml:space="preserve"> the </w:t>
      </w:r>
      <w:bookmarkEnd w:id="14"/>
      <w:r w:rsidR="008A08BF">
        <w:t>Commission</w:t>
      </w:r>
      <w:bookmarkEnd w:id="15"/>
    </w:p>
    <w:p w:rsidR="0018162C" w:rsidP="0060110A" w:rsidRDefault="00E94E25" w14:paraId="455AA053" w14:textId="45F41DA2">
      <w:pPr>
        <w:pStyle w:val="Standard"/>
      </w:pPr>
      <w:r>
        <w:t>T</w:t>
      </w:r>
      <w:r w:rsidR="004A4A74">
        <w:t xml:space="preserve">he Parties </w:t>
      </w:r>
      <w:r w:rsidR="009A1AFF">
        <w:t xml:space="preserve">reported that they </w:t>
      </w:r>
      <w:r w:rsidR="004A4A74">
        <w:t xml:space="preserve">resolved two </w:t>
      </w:r>
      <w:r w:rsidR="00C327C6">
        <w:t xml:space="preserve">of </w:t>
      </w:r>
      <w:r>
        <w:t xml:space="preserve">the three </w:t>
      </w:r>
      <w:r w:rsidR="00C327C6">
        <w:t xml:space="preserve">issues </w:t>
      </w:r>
      <w:r w:rsidR="00870348">
        <w:t>that t</w:t>
      </w:r>
      <w:r w:rsidRPr="00307F4A" w:rsidR="00870348">
        <w:t xml:space="preserve">he Scoping Memo identified to be </w:t>
      </w:r>
      <w:r w:rsidR="00870348">
        <w:t>resolved</w:t>
      </w:r>
      <w:r w:rsidRPr="00307F4A" w:rsidR="00870348">
        <w:t xml:space="preserve"> through this proceeding</w:t>
      </w:r>
      <w:r w:rsidR="009A1AFF">
        <w:t>.</w:t>
      </w:r>
      <w:r w:rsidR="00A23268">
        <w:t xml:space="preserve"> </w:t>
      </w:r>
      <w:r w:rsidR="00966A47">
        <w:t xml:space="preserve">Based on the Parties’ </w:t>
      </w:r>
      <w:r w:rsidR="00F80973">
        <w:t xml:space="preserve">May 10, </w:t>
      </w:r>
      <w:proofErr w:type="gramStart"/>
      <w:r w:rsidR="00F80973">
        <w:t>2024</w:t>
      </w:r>
      <w:proofErr w:type="gramEnd"/>
      <w:r w:rsidR="00F80973">
        <w:t xml:space="preserve"> and June 17, </w:t>
      </w:r>
      <w:proofErr w:type="gramStart"/>
      <w:r w:rsidR="00F80973">
        <w:t>2024</w:t>
      </w:r>
      <w:proofErr w:type="gramEnd"/>
      <w:r w:rsidR="00F80973">
        <w:t xml:space="preserve"> </w:t>
      </w:r>
      <w:r w:rsidR="00966A47">
        <w:t>Joint Status Reports</w:t>
      </w:r>
      <w:r w:rsidR="00F80973">
        <w:t xml:space="preserve">, </w:t>
      </w:r>
      <w:r w:rsidR="0098798D">
        <w:t xml:space="preserve">and the </w:t>
      </w:r>
      <w:r w:rsidR="00FA0133">
        <w:t xml:space="preserve">Motion, Opposition, and Reply briefs, </w:t>
      </w:r>
      <w:r w:rsidR="00F80973">
        <w:t>Scop</w:t>
      </w:r>
      <w:r w:rsidR="0067344E">
        <w:t>ed</w:t>
      </w:r>
      <w:r w:rsidR="00F80973">
        <w:t xml:space="preserve"> Issue Nos. 1 and 3 are </w:t>
      </w:r>
      <w:r w:rsidR="009A5C07">
        <w:t>settled</w:t>
      </w:r>
      <w:r w:rsidR="00F273F5">
        <w:t xml:space="preserve"> and</w:t>
      </w:r>
      <w:r w:rsidR="009A5C07">
        <w:t xml:space="preserve"> </w:t>
      </w:r>
      <w:r w:rsidR="00F273F5">
        <w:t xml:space="preserve">no longer in </w:t>
      </w:r>
      <w:r w:rsidR="009A5C07">
        <w:t>dispute.  Accordingly, Scop</w:t>
      </w:r>
      <w:r w:rsidR="0067344E">
        <w:t>ed</w:t>
      </w:r>
      <w:r w:rsidR="009A5C07">
        <w:t xml:space="preserve"> Issue No</w:t>
      </w:r>
      <w:r w:rsidR="0018162C">
        <w:t xml:space="preserve">s. 1 and 3 </w:t>
      </w:r>
      <w:r w:rsidR="00F273F5">
        <w:t xml:space="preserve">are </w:t>
      </w:r>
      <w:r w:rsidR="00F80973">
        <w:t>now moot</w:t>
      </w:r>
      <w:r w:rsidR="0026793C">
        <w:t xml:space="preserve">, </w:t>
      </w:r>
      <w:r w:rsidR="00433E88">
        <w:t>presenting</w:t>
      </w:r>
      <w:r w:rsidR="0026793C">
        <w:t xml:space="preserve"> no </w:t>
      </w:r>
      <w:r w:rsidR="00433E88">
        <w:t xml:space="preserve">case or controversy to be </w:t>
      </w:r>
      <w:r w:rsidR="0026793C">
        <w:t>adjudicat</w:t>
      </w:r>
      <w:r w:rsidR="00D04CDB">
        <w:t>ed</w:t>
      </w:r>
      <w:r w:rsidR="0026793C">
        <w:t xml:space="preserve"> </w:t>
      </w:r>
      <w:r w:rsidR="00433E88">
        <w:t>before</w:t>
      </w:r>
      <w:r w:rsidR="0026793C">
        <w:t xml:space="preserve"> the Commission.</w:t>
      </w:r>
      <w:r w:rsidR="00F80973">
        <w:t xml:space="preserve"> </w:t>
      </w:r>
      <w:r w:rsidR="00966A47">
        <w:t xml:space="preserve"> </w:t>
      </w:r>
    </w:p>
    <w:p w:rsidRPr="00307F4A" w:rsidR="0060110A" w:rsidP="00116C00" w:rsidRDefault="00116C00" w14:paraId="08B7B40C" w14:textId="2CC27021">
      <w:pPr>
        <w:pStyle w:val="Standard"/>
      </w:pPr>
      <w:r>
        <w:lastRenderedPageBreak/>
        <w:t>The o</w:t>
      </w:r>
      <w:r w:rsidR="004639AA">
        <w:t xml:space="preserve">nly </w:t>
      </w:r>
      <w:r w:rsidR="007223CA">
        <w:t>i</w:t>
      </w:r>
      <w:r w:rsidR="004566CE">
        <w:t xml:space="preserve">ssue </w:t>
      </w:r>
      <w:r w:rsidR="004639AA">
        <w:t>to be decided</w:t>
      </w:r>
      <w:r>
        <w:t xml:space="preserve"> is </w:t>
      </w:r>
      <w:r w:rsidRPr="00116C00" w:rsidR="0060110A">
        <w:t>Scoped Issue No. 2:</w:t>
      </w:r>
      <w:r w:rsidR="0060110A">
        <w:t xml:space="preserve"> </w:t>
      </w:r>
      <w:r w:rsidRPr="00307F4A" w:rsidR="0060110A">
        <w:t>Whether Defendant must bear all costs of removing one or more power poles located on or adjacent to Complainant’s property at Complainant’s request</w:t>
      </w:r>
      <w:r w:rsidR="00733F83">
        <w:t>.</w:t>
      </w:r>
    </w:p>
    <w:p w:rsidR="005939A5" w:rsidP="003209B2" w:rsidRDefault="005939A5" w14:paraId="76BB8A7F" w14:textId="5197E770">
      <w:pPr>
        <w:pStyle w:val="Heading1"/>
      </w:pPr>
      <w:bookmarkStart w:name="_Toc8123720" w:id="16"/>
      <w:bookmarkStart w:name="_Toc227882775" w:id="17"/>
      <w:r w:rsidRPr="003209B2">
        <w:t>Discussion</w:t>
      </w:r>
      <w:bookmarkEnd w:id="16"/>
      <w:bookmarkEnd w:id="17"/>
    </w:p>
    <w:p w:rsidR="00E7109B" w:rsidP="00E7109B" w:rsidRDefault="00E7109B" w14:paraId="68E58CD7" w14:textId="0C886FD9">
      <w:pPr>
        <w:rPr>
          <w:rFonts w:cs="Times New Roman"/>
        </w:rPr>
      </w:pPr>
      <w:r w:rsidRPr="00C53325">
        <w:rPr>
          <w:rFonts w:cs="Times New Roman"/>
        </w:rPr>
        <w:t>As discussed below, Defendant’s Motion is granted.  The Complaint is dismissed.</w:t>
      </w:r>
      <w:r>
        <w:rPr>
          <w:rFonts w:cs="Times New Roman"/>
        </w:rPr>
        <w:t xml:space="preserve"> </w:t>
      </w:r>
    </w:p>
    <w:p w:rsidR="007D6506" w:rsidP="00E7109B" w:rsidRDefault="00430AF3" w14:paraId="18B34107" w14:textId="21A1A436">
      <w:pPr>
        <w:rPr>
          <w:rFonts w:cs="Times New Roman"/>
        </w:rPr>
      </w:pPr>
      <w:r>
        <w:rPr>
          <w:rFonts w:cs="Times New Roman"/>
        </w:rPr>
        <w:t xml:space="preserve">Rule 4.1(a) </w:t>
      </w:r>
      <w:r w:rsidR="00C07B84">
        <w:rPr>
          <w:rFonts w:cs="Times New Roman"/>
        </w:rPr>
        <w:t xml:space="preserve">requires a </w:t>
      </w:r>
      <w:r w:rsidR="00435BC2">
        <w:rPr>
          <w:rFonts w:cs="Times New Roman"/>
        </w:rPr>
        <w:t>c</w:t>
      </w:r>
      <w:r w:rsidR="00C07B84">
        <w:rPr>
          <w:rFonts w:cs="Times New Roman"/>
        </w:rPr>
        <w:t xml:space="preserve">omplaint </w:t>
      </w:r>
      <w:r w:rsidR="00435BC2">
        <w:rPr>
          <w:rFonts w:cs="Times New Roman"/>
        </w:rPr>
        <w:t xml:space="preserve">to </w:t>
      </w:r>
      <w:r w:rsidR="007327E9">
        <w:rPr>
          <w:rFonts w:cs="Times New Roman"/>
        </w:rPr>
        <w:t>state its claim</w:t>
      </w:r>
      <w:r w:rsidR="008A609C">
        <w:rPr>
          <w:rFonts w:cs="Times New Roman"/>
        </w:rPr>
        <w:t>(s)</w:t>
      </w:r>
      <w:r w:rsidR="007327E9">
        <w:rPr>
          <w:rFonts w:cs="Times New Roman"/>
        </w:rPr>
        <w:t xml:space="preserve"> by </w:t>
      </w:r>
      <w:r w:rsidR="00435BC2">
        <w:rPr>
          <w:rFonts w:cs="Times New Roman"/>
        </w:rPr>
        <w:t>“</w:t>
      </w:r>
      <w:r w:rsidRPr="00435BC2" w:rsidR="00435BC2">
        <w:rPr>
          <w:rFonts w:cs="Times New Roman"/>
        </w:rPr>
        <w:t>set</w:t>
      </w:r>
      <w:r w:rsidR="006819CE">
        <w:rPr>
          <w:rFonts w:cs="Times New Roman"/>
        </w:rPr>
        <w:t>ting</w:t>
      </w:r>
      <w:r w:rsidRPr="00435BC2" w:rsidR="00435BC2">
        <w:rPr>
          <w:rFonts w:cs="Times New Roman"/>
        </w:rPr>
        <w:t xml:space="preserve"> forth any act or thing done or omitted to be done by any public utility including any rule or charge heretofore established or fixed by or for any public utility, </w:t>
      </w:r>
      <w:r w:rsidRPr="007223D0" w:rsidR="00435BC2">
        <w:rPr>
          <w:rFonts w:cs="Times New Roman"/>
          <w:i/>
          <w:iCs/>
        </w:rPr>
        <w:t>in violation, or claimed to be in violation,</w:t>
      </w:r>
      <w:r w:rsidRPr="007223D0" w:rsidR="00435BC2">
        <w:rPr>
          <w:rFonts w:cs="Times New Roman"/>
        </w:rPr>
        <w:t xml:space="preserve"> </w:t>
      </w:r>
      <w:r w:rsidRPr="007223D0" w:rsidR="00435BC2">
        <w:rPr>
          <w:rFonts w:cs="Times New Roman"/>
          <w:i/>
          <w:iCs/>
        </w:rPr>
        <w:t>of any provision of law or of any order or rule of the Commission</w:t>
      </w:r>
      <w:r w:rsidRPr="007223D0" w:rsidR="00435BC2">
        <w:rPr>
          <w:rFonts w:cs="Times New Roman"/>
        </w:rPr>
        <w:t>.</w:t>
      </w:r>
      <w:r w:rsidR="00435BC2">
        <w:rPr>
          <w:rFonts w:cs="Times New Roman"/>
        </w:rPr>
        <w:t>”</w:t>
      </w:r>
      <w:r w:rsidR="00FE6722">
        <w:rPr>
          <w:rFonts w:cs="Times New Roman"/>
        </w:rPr>
        <w:t>(emphasis added).</w:t>
      </w:r>
      <w:r w:rsidR="00597C74">
        <w:rPr>
          <w:rStyle w:val="FootnoteReference"/>
          <w:rFonts w:cs="Times New Roman"/>
        </w:rPr>
        <w:footnoteReference w:id="17"/>
      </w:r>
      <w:r w:rsidR="000246D6">
        <w:rPr>
          <w:rFonts w:cs="Times New Roman"/>
        </w:rPr>
        <w:t xml:space="preserve"> </w:t>
      </w:r>
      <w:r w:rsidR="00F53210">
        <w:rPr>
          <w:rFonts w:cs="Times New Roman"/>
        </w:rPr>
        <w:t xml:space="preserve">Absent such a violation, </w:t>
      </w:r>
      <w:r w:rsidRPr="00307F4A" w:rsidR="00D31909">
        <w:t xml:space="preserve">Defendant </w:t>
      </w:r>
      <w:r w:rsidR="009A2071">
        <w:t>is not required to</w:t>
      </w:r>
      <w:r w:rsidR="00D31909">
        <w:t xml:space="preserve"> bear</w:t>
      </w:r>
      <w:r w:rsidRPr="00307F4A" w:rsidR="00D31909">
        <w:t xml:space="preserve"> all costs of removing </w:t>
      </w:r>
      <w:r w:rsidR="00B37063">
        <w:t xml:space="preserve">any </w:t>
      </w:r>
      <w:r w:rsidRPr="00307F4A" w:rsidR="00D31909">
        <w:t>power pole located on or adjacent to Complainant’s property at Complainant’s request</w:t>
      </w:r>
    </w:p>
    <w:p w:rsidR="00E7109B" w:rsidP="00E7109B" w:rsidRDefault="00E7109B" w14:paraId="4958FFC7" w14:textId="77777777">
      <w:pPr>
        <w:rPr>
          <w:rFonts w:cs="Times New Roman"/>
        </w:rPr>
      </w:pPr>
      <w:r w:rsidRPr="00937DAD">
        <w:rPr>
          <w:rFonts w:cs="Times New Roman"/>
        </w:rPr>
        <w:t xml:space="preserve">Rule 11.2 allows parties to </w:t>
      </w:r>
      <w:r>
        <w:rPr>
          <w:rFonts w:cs="Times New Roman"/>
        </w:rPr>
        <w:t>file</w:t>
      </w:r>
      <w:r w:rsidRPr="00937DAD">
        <w:rPr>
          <w:rFonts w:cs="Times New Roman"/>
        </w:rPr>
        <w:t xml:space="preserve"> “a motion to dismiss the proceeding based on the pleadings.</w:t>
      </w:r>
      <w:r>
        <w:rPr>
          <w:rFonts w:cs="Times New Roman"/>
        </w:rPr>
        <w:t>”</w:t>
      </w:r>
      <w:r w:rsidRPr="00937DAD">
        <w:rPr>
          <w:rFonts w:cs="Times New Roman"/>
        </w:rPr>
        <w:t xml:space="preserve"> </w:t>
      </w:r>
      <w:r>
        <w:rPr>
          <w:rFonts w:cs="Times New Roman"/>
        </w:rPr>
        <w:t xml:space="preserve"> The Commission first “</w:t>
      </w:r>
      <w:r w:rsidRPr="00F570BB">
        <w:rPr>
          <w:rFonts w:cs="Times New Roman"/>
        </w:rPr>
        <w:t>accept</w:t>
      </w:r>
      <w:r>
        <w:rPr>
          <w:rFonts w:cs="Times New Roman"/>
        </w:rPr>
        <w:t>[s]</w:t>
      </w:r>
      <w:r w:rsidRPr="00F570BB">
        <w:rPr>
          <w:rFonts w:cs="Times New Roman"/>
        </w:rPr>
        <w:t xml:space="preserve"> the facts as stated, the</w:t>
      </w:r>
      <w:r>
        <w:rPr>
          <w:rFonts w:cs="Times New Roman"/>
        </w:rPr>
        <w:t>[n]</w:t>
      </w:r>
      <w:r w:rsidRPr="00F570BB">
        <w:rPr>
          <w:rFonts w:cs="Times New Roman"/>
        </w:rPr>
        <w:t xml:space="preserve"> </w:t>
      </w:r>
      <w:r>
        <w:rPr>
          <w:rFonts w:cs="Times New Roman"/>
        </w:rPr>
        <w:t>. . .</w:t>
      </w:r>
      <w:r w:rsidRPr="00F570BB">
        <w:rPr>
          <w:rFonts w:cs="Times New Roman"/>
        </w:rPr>
        <w:t xml:space="preserve"> examines them in the light of applicable law and policy.”</w:t>
      </w:r>
      <w:r w:rsidRPr="00F570BB">
        <w:rPr>
          <w:rFonts w:cs="Times New Roman"/>
          <w:vertAlign w:val="superscript"/>
        </w:rPr>
        <w:footnoteReference w:id="18"/>
      </w:r>
      <w:r>
        <w:rPr>
          <w:rFonts w:cs="Times New Roman"/>
        </w:rPr>
        <w:t xml:space="preserve">  </w:t>
      </w:r>
      <w:r w:rsidRPr="00937DAD">
        <w:rPr>
          <w:rFonts w:cs="Times New Roman"/>
        </w:rPr>
        <w:t>A complaint should be dismissed if, “taking the well-pleaded factual allegations of the complaint as true, the defendant is entitled to prevail as a matter of law.”</w:t>
      </w:r>
      <w:r w:rsidRPr="00937DAD">
        <w:rPr>
          <w:rFonts w:cs="Times New Roman"/>
          <w:vertAlign w:val="superscript"/>
        </w:rPr>
        <w:footnoteReference w:id="19"/>
      </w:r>
      <w:r w:rsidRPr="00937DAD">
        <w:rPr>
          <w:rFonts w:cs="Times New Roman"/>
        </w:rPr>
        <w:t xml:space="preserve"> </w:t>
      </w:r>
    </w:p>
    <w:p w:rsidR="005D6469" w:rsidP="005D6469" w:rsidRDefault="005D6469" w14:paraId="180B63E9" w14:textId="77777777">
      <w:pPr>
        <w:rPr>
          <w:rFonts w:cs="Times New Roman"/>
        </w:rPr>
      </w:pPr>
      <w:r>
        <w:rPr>
          <w:rFonts w:cs="Times New Roman"/>
        </w:rPr>
        <w:t>R</w:t>
      </w:r>
      <w:r w:rsidRPr="00415C95">
        <w:rPr>
          <w:rFonts w:cs="Times New Roman"/>
        </w:rPr>
        <w:t xml:space="preserve">epresentations in </w:t>
      </w:r>
      <w:r>
        <w:rPr>
          <w:rFonts w:cs="Times New Roman"/>
        </w:rPr>
        <w:t>a</w:t>
      </w:r>
      <w:r w:rsidRPr="00415C95">
        <w:rPr>
          <w:rFonts w:cs="Times New Roman"/>
        </w:rPr>
        <w:t xml:space="preserve"> complaint, as well as statements and omissions in pleadings, briefs, and argument</w:t>
      </w:r>
      <w:r>
        <w:rPr>
          <w:rFonts w:cs="Times New Roman"/>
        </w:rPr>
        <w:t>s</w:t>
      </w:r>
      <w:r w:rsidRPr="00415C95">
        <w:rPr>
          <w:rFonts w:cs="Times New Roman"/>
        </w:rPr>
        <w:t xml:space="preserve"> are considered as admissions of legal and factual points relevant to </w:t>
      </w:r>
      <w:r>
        <w:rPr>
          <w:rFonts w:cs="Times New Roman"/>
        </w:rPr>
        <w:t xml:space="preserve">deciding </w:t>
      </w:r>
      <w:r w:rsidRPr="00415C95">
        <w:rPr>
          <w:rFonts w:cs="Times New Roman"/>
        </w:rPr>
        <w:t>a motion.</w:t>
      </w:r>
      <w:r w:rsidRPr="00415C95">
        <w:rPr>
          <w:rStyle w:val="FootnoteReference"/>
          <w:rFonts w:cs="Times New Roman"/>
        </w:rPr>
        <w:footnoteReference w:id="20"/>
      </w:r>
      <w:r w:rsidRPr="00415C95">
        <w:rPr>
          <w:rFonts w:cs="Times New Roman"/>
        </w:rPr>
        <w:t xml:space="preserve"> </w:t>
      </w:r>
      <w:r>
        <w:rPr>
          <w:rFonts w:cs="Times New Roman"/>
        </w:rPr>
        <w:t xml:space="preserve"> </w:t>
      </w:r>
      <w:r w:rsidRPr="00415C95">
        <w:rPr>
          <w:rFonts w:cs="Times New Roman"/>
        </w:rPr>
        <w:t>The</w:t>
      </w:r>
      <w:r w:rsidRPr="00937DAD">
        <w:rPr>
          <w:rFonts w:cs="Times New Roman"/>
        </w:rPr>
        <w:t xml:space="preserve"> Commission may </w:t>
      </w:r>
      <w:r>
        <w:rPr>
          <w:rFonts w:cs="Times New Roman"/>
        </w:rPr>
        <w:t xml:space="preserve">also </w:t>
      </w:r>
      <w:r w:rsidRPr="00937DAD">
        <w:rPr>
          <w:rFonts w:cs="Times New Roman"/>
        </w:rPr>
        <w:lastRenderedPageBreak/>
        <w:t>properly take official notice of, and consider, the files and records of court and Commission proceedings in ruling on a motion to dismiss.</w:t>
      </w:r>
      <w:r w:rsidRPr="00937DAD">
        <w:rPr>
          <w:rFonts w:cs="Times New Roman"/>
          <w:vertAlign w:val="superscript"/>
        </w:rPr>
        <w:footnoteReference w:id="21"/>
      </w:r>
      <w:r w:rsidRPr="007F09CA">
        <w:rPr>
          <w:rFonts w:cs="Times New Roman"/>
        </w:rPr>
        <w:t xml:space="preserve"> </w:t>
      </w:r>
    </w:p>
    <w:p w:rsidRPr="004F26DC" w:rsidR="00EA36C6" w:rsidP="003209B2" w:rsidRDefault="00EA7D4F" w14:paraId="5C55CE9C" w14:textId="7450012E">
      <w:pPr>
        <w:pStyle w:val="Heading2"/>
      </w:pPr>
      <w:bookmarkStart w:name="_Toc227882776" w:id="18"/>
      <w:r w:rsidRPr="003209B2">
        <w:t>Parties’</w:t>
      </w:r>
      <w:r w:rsidRPr="004F26DC">
        <w:t xml:space="preserve"> </w:t>
      </w:r>
      <w:r w:rsidRPr="00837A1F">
        <w:t>Positions</w:t>
      </w:r>
      <w:bookmarkEnd w:id="18"/>
    </w:p>
    <w:p w:rsidR="00DA0604" w:rsidP="00AC68EE" w:rsidRDefault="00410EA6" w14:paraId="3A175135" w14:textId="3E856362">
      <w:r>
        <w:t>T</w:t>
      </w:r>
      <w:r w:rsidRPr="00DA0604" w:rsidR="00DA0604">
        <w:t xml:space="preserve">he </w:t>
      </w:r>
      <w:r w:rsidR="00E652FD">
        <w:t>P</w:t>
      </w:r>
      <w:r w:rsidRPr="00DA0604" w:rsidR="00DA0604">
        <w:t xml:space="preserve">arties agree that only Scoped Issue No. 2 </w:t>
      </w:r>
      <w:r w:rsidR="00C909D7">
        <w:t xml:space="preserve">remains </w:t>
      </w:r>
      <w:r w:rsidR="0065362F">
        <w:t xml:space="preserve">to be adjudicated in this proceeding. </w:t>
      </w:r>
      <w:r w:rsidR="0072721B">
        <w:t>T</w:t>
      </w:r>
      <w:r w:rsidRPr="00DA0604" w:rsidR="00DA0604">
        <w:t xml:space="preserve">he </w:t>
      </w:r>
      <w:r w:rsidR="00E652FD">
        <w:t>P</w:t>
      </w:r>
      <w:r w:rsidRPr="00DA0604" w:rsidR="00DA0604">
        <w:t xml:space="preserve">arties also agree that </w:t>
      </w:r>
      <w:r w:rsidR="00C909D7">
        <w:t>the dispute involves</w:t>
      </w:r>
      <w:r w:rsidRPr="00DA0604" w:rsidR="00DA0604">
        <w:t xml:space="preserve"> </w:t>
      </w:r>
      <w:r w:rsidR="00284459">
        <w:t xml:space="preserve">the costs </w:t>
      </w:r>
      <w:proofErr w:type="gramStart"/>
      <w:r w:rsidR="00284459">
        <w:t>to relocate</w:t>
      </w:r>
      <w:proofErr w:type="gramEnd"/>
      <w:r w:rsidR="00284459">
        <w:t xml:space="preserve"> </w:t>
      </w:r>
      <w:r w:rsidR="00E652FD">
        <w:t>a single</w:t>
      </w:r>
      <w:r w:rsidRPr="00DA0604" w:rsidR="00DA0604">
        <w:t xml:space="preserve"> </w:t>
      </w:r>
      <w:r w:rsidR="00C72133">
        <w:t xml:space="preserve">20-foot </w:t>
      </w:r>
      <w:r w:rsidRPr="00DA0604" w:rsidR="00DA0604">
        <w:t xml:space="preserve">pole </w:t>
      </w:r>
      <w:r w:rsidR="00CE34D9">
        <w:t xml:space="preserve">from Complainant’s property to </w:t>
      </w:r>
      <w:r w:rsidR="00C72133">
        <w:t>Defendant’s easement road</w:t>
      </w:r>
      <w:r w:rsidRPr="00DA0604" w:rsidR="00DA0604">
        <w:t>.</w:t>
      </w:r>
      <w:r w:rsidR="00F525F1">
        <w:t xml:space="preserve">  </w:t>
      </w:r>
      <w:r w:rsidR="000840A2">
        <w:t xml:space="preserve">Notably, </w:t>
      </w:r>
      <w:r w:rsidR="0041780E">
        <w:t xml:space="preserve">PG&amp;E </w:t>
      </w:r>
      <w:r w:rsidR="00E47235">
        <w:t xml:space="preserve">does not refuse to perform the relocation work requested by Complainant. Instead, </w:t>
      </w:r>
      <w:r w:rsidR="00280E62">
        <w:t>the</w:t>
      </w:r>
      <w:r w:rsidR="00F525F1">
        <w:t xml:space="preserve"> dispute </w:t>
      </w:r>
      <w:proofErr w:type="gramStart"/>
      <w:r w:rsidR="00FC7C72">
        <w:t>distills to</w:t>
      </w:r>
      <w:proofErr w:type="gramEnd"/>
      <w:r w:rsidR="00FC7C72">
        <w:t xml:space="preserve"> </w:t>
      </w:r>
      <w:r w:rsidR="0041780E">
        <w:t xml:space="preserve">whether </w:t>
      </w:r>
      <w:r w:rsidR="00F15E89">
        <w:t xml:space="preserve">PG&amp;E must bear </w:t>
      </w:r>
      <w:r w:rsidR="001450B7">
        <w:t>all</w:t>
      </w:r>
      <w:r w:rsidR="00F15E89">
        <w:t xml:space="preserve"> costs of performing that power pole relocation.</w:t>
      </w:r>
    </w:p>
    <w:p w:rsidR="00EA36C6" w:rsidP="00AC68EE" w:rsidRDefault="001779AF" w14:paraId="62E40D96" w14:textId="359A521E">
      <w:r>
        <w:t xml:space="preserve">Defendant </w:t>
      </w:r>
      <w:r w:rsidR="00DD4E9D">
        <w:t xml:space="preserve">argues that the Complaint must be dismissed </w:t>
      </w:r>
      <w:r w:rsidR="000B6293">
        <w:t>because Irizarry fail</w:t>
      </w:r>
      <w:r w:rsidR="00FF0B3C">
        <w:t>s</w:t>
      </w:r>
      <w:r w:rsidR="000B6293">
        <w:t xml:space="preserve"> to </w:t>
      </w:r>
      <w:r w:rsidRPr="000B6293" w:rsidR="000B6293">
        <w:t xml:space="preserve">state a claim against PG&amp;E </w:t>
      </w:r>
      <w:r w:rsidR="00FC23E7">
        <w:t>by</w:t>
      </w:r>
      <w:r w:rsidRPr="000B6293" w:rsidR="000B6293">
        <w:t xml:space="preserve"> sufficiently alleg</w:t>
      </w:r>
      <w:r w:rsidR="00FF0B3C">
        <w:t>ing</w:t>
      </w:r>
      <w:r w:rsidRPr="000B6293" w:rsidR="000B6293">
        <w:t xml:space="preserve"> </w:t>
      </w:r>
      <w:r w:rsidR="00984217">
        <w:t xml:space="preserve">under Pub. Util. Code section </w:t>
      </w:r>
      <w:r w:rsidR="001C6D2E">
        <w:t>1702</w:t>
      </w:r>
      <w:r w:rsidR="0028369B">
        <w:t>:</w:t>
      </w:r>
      <w:r w:rsidR="001C6D2E">
        <w:t xml:space="preserve"> </w:t>
      </w:r>
      <w:r w:rsidRPr="000B6293" w:rsidR="000B6293">
        <w:t>(1) PG&amp;E engaged in an</w:t>
      </w:r>
      <w:r w:rsidR="00FC23E7">
        <w:t xml:space="preserve"> </w:t>
      </w:r>
      <w:r w:rsidRPr="00B5625B" w:rsidR="00B5625B">
        <w:t>act, or failed to engage in an act, that (2) PG&amp;E violated a law</w:t>
      </w:r>
      <w:r w:rsidR="00B5625B">
        <w:t>, rule</w:t>
      </w:r>
      <w:r w:rsidR="00FF0B3C">
        <w:t>,</w:t>
      </w:r>
      <w:r w:rsidRPr="00B5625B" w:rsidR="00B5625B">
        <w:t xml:space="preserve"> or Commission order.</w:t>
      </w:r>
      <w:r w:rsidR="00CF6850">
        <w:rPr>
          <w:rStyle w:val="FootnoteReference"/>
        </w:rPr>
        <w:footnoteReference w:id="22"/>
      </w:r>
      <w:r w:rsidR="002568A0">
        <w:t xml:space="preserve"> </w:t>
      </w:r>
      <w:r w:rsidR="006E6148">
        <w:t xml:space="preserve">Defendant </w:t>
      </w:r>
      <w:r w:rsidR="00DF2119">
        <w:t>maintains</w:t>
      </w:r>
      <w:r w:rsidR="0098315B">
        <w:t xml:space="preserve"> that the </w:t>
      </w:r>
      <w:r w:rsidR="0098315B">
        <w:lastRenderedPageBreak/>
        <w:t>Complaint present</w:t>
      </w:r>
      <w:r w:rsidR="00B20AC1">
        <w:t xml:space="preserve">s </w:t>
      </w:r>
      <w:r w:rsidR="005D2C85">
        <w:t>vague, in</w:t>
      </w:r>
      <w:r w:rsidR="0098315B">
        <w:t xml:space="preserve">adequate allegations </w:t>
      </w:r>
      <w:r w:rsidR="005D2C85">
        <w:t>that preclude</w:t>
      </w:r>
      <w:r w:rsidR="000630B0">
        <w:t xml:space="preserve"> a meaningful defense.</w:t>
      </w:r>
      <w:r w:rsidR="000630B0">
        <w:rPr>
          <w:rStyle w:val="FootnoteReference"/>
        </w:rPr>
        <w:footnoteReference w:id="23"/>
      </w:r>
    </w:p>
    <w:p w:rsidR="00EA7D4F" w:rsidP="00AC68EE" w:rsidRDefault="00EA7D4F" w14:paraId="4BBFAFD0" w14:textId="0F513567">
      <w:r>
        <w:t xml:space="preserve">Complainant argues that </w:t>
      </w:r>
      <w:r w:rsidR="00600F3F">
        <w:t xml:space="preserve">the Motion should be denied because </w:t>
      </w:r>
      <w:r w:rsidRPr="00EA7D4F">
        <w:t>Scop</w:t>
      </w:r>
      <w:r w:rsidR="0067344E">
        <w:t>ed</w:t>
      </w:r>
      <w:r w:rsidRPr="00EA7D4F">
        <w:t xml:space="preserve"> Issue No. 2 remains unresolved and </w:t>
      </w:r>
      <w:r w:rsidR="002773B8">
        <w:t>“</w:t>
      </w:r>
      <w:r w:rsidRPr="00EA7D4F">
        <w:t>involves significant public safety and statutory compliance concerns</w:t>
      </w:r>
      <w:r w:rsidR="002773B8">
        <w:t xml:space="preserve">” that required </w:t>
      </w:r>
      <w:r w:rsidRPr="00EA7D4F">
        <w:t xml:space="preserve">PG&amp;E </w:t>
      </w:r>
      <w:r w:rsidR="002773B8">
        <w:t>to be “held</w:t>
      </w:r>
      <w:r w:rsidRPr="00EA7D4F">
        <w:t xml:space="preserve"> responsible for the costs of relocating the remaining power pole and ensuring that all hazardous infrastructure installation is corrected in compliance with public safety, property wildland protection requirements and statutory obligations.</w:t>
      </w:r>
      <w:r w:rsidR="00D57823">
        <w:t>”</w:t>
      </w:r>
      <w:r w:rsidR="00D57823">
        <w:rPr>
          <w:rStyle w:val="FootnoteReference"/>
        </w:rPr>
        <w:footnoteReference w:id="24"/>
      </w:r>
      <w:r w:rsidR="00331A92">
        <w:t xml:space="preserve"> Specifically, Irizarry </w:t>
      </w:r>
      <w:r w:rsidR="00906F4D">
        <w:t xml:space="preserve">states that </w:t>
      </w:r>
      <w:r w:rsidRPr="00906F4D" w:rsidR="00906F4D">
        <w:t>he “filed his original Complaint with the CPUC as a result of PG&amp;E’s failure to comply CCR Title 14, Sections 1257 and 1258. PG&amp;E’s installation of these facilities were clearly reckless and inconsistent with best industry practices regarding public and fire safety posing a significant fire hazard, and in violation of Senate Bill 901 and AB 111, CPUC high fire threat district regulations and related state, federal and local wildland fire codes and laws.</w:t>
      </w:r>
      <w:r w:rsidR="00906F4D">
        <w:t>”</w:t>
      </w:r>
      <w:r w:rsidR="00906F4D">
        <w:rPr>
          <w:rStyle w:val="FootnoteReference"/>
        </w:rPr>
        <w:footnoteReference w:id="25"/>
      </w:r>
      <w:r w:rsidR="00F71C2E">
        <w:t xml:space="preserve"> </w:t>
      </w:r>
      <w:r w:rsidR="005F1FC9">
        <w:t xml:space="preserve">Complainant now asserts </w:t>
      </w:r>
      <w:r w:rsidR="00905735">
        <w:t xml:space="preserve">that the pole at issue </w:t>
      </w:r>
      <w:r w:rsidR="00982BCD">
        <w:t xml:space="preserve">presents a </w:t>
      </w:r>
      <w:r w:rsidR="00D255ED">
        <w:t xml:space="preserve">wildfire </w:t>
      </w:r>
      <w:r w:rsidR="00905735">
        <w:t>hazard</w:t>
      </w:r>
      <w:r w:rsidR="00982BCD">
        <w:t xml:space="preserve"> and has exceeded its useful life.</w:t>
      </w:r>
      <w:r w:rsidR="00E31A4F">
        <w:rPr>
          <w:rStyle w:val="FootnoteReference"/>
        </w:rPr>
        <w:footnoteReference w:id="26"/>
      </w:r>
    </w:p>
    <w:p w:rsidR="004561D4" w:rsidP="00AC68EE" w:rsidRDefault="004561D4" w14:paraId="72979328" w14:textId="5FA5B32D">
      <w:r>
        <w:t xml:space="preserve">PG&amp;E replies that Complainant’s opposition to the Motion fails to cure </w:t>
      </w:r>
      <w:r w:rsidR="00D04CDB">
        <w:t xml:space="preserve">Mr. </w:t>
      </w:r>
      <w:r>
        <w:t>Irizarry’s failure to allege sufficient facts in the Complaint.</w:t>
      </w:r>
      <w:r w:rsidR="00072E71">
        <w:t xml:space="preserve"> Defendant</w:t>
      </w:r>
      <w:r w:rsidR="00443804">
        <w:t xml:space="preserve"> characterizes </w:t>
      </w:r>
      <w:r w:rsidR="00D04CDB">
        <w:t xml:space="preserve">Mr. </w:t>
      </w:r>
      <w:r w:rsidR="00443804">
        <w:t xml:space="preserve">Irizarry’s </w:t>
      </w:r>
      <w:r w:rsidR="00BE7402">
        <w:t xml:space="preserve">new </w:t>
      </w:r>
      <w:r w:rsidRPr="00072E71" w:rsidR="00072E71">
        <w:t xml:space="preserve">allegations </w:t>
      </w:r>
      <w:r w:rsidR="00525A6B">
        <w:t xml:space="preserve">in the Opposition </w:t>
      </w:r>
      <w:r w:rsidR="00782DD3">
        <w:t>as</w:t>
      </w:r>
      <w:r w:rsidRPr="00072E71" w:rsidR="00072E71">
        <w:t xml:space="preserve"> </w:t>
      </w:r>
      <w:r w:rsidR="007B25CA">
        <w:t>“</w:t>
      </w:r>
      <w:r w:rsidRPr="00072E71" w:rsidR="00072E71">
        <w:t>conclusory</w:t>
      </w:r>
      <w:r w:rsidR="00B6036B">
        <w:t>”</w:t>
      </w:r>
      <w:r w:rsidRPr="00072E71" w:rsidR="00072E71">
        <w:t xml:space="preserve"> </w:t>
      </w:r>
      <w:r w:rsidRPr="00072E71" w:rsidR="00072E71">
        <w:lastRenderedPageBreak/>
        <w:t xml:space="preserve">and </w:t>
      </w:r>
      <w:r w:rsidR="00E2282B">
        <w:t>still failing to</w:t>
      </w:r>
      <w:r w:rsidRPr="00072E71" w:rsidR="00072E71">
        <w:t xml:space="preserve"> describe how PG&amp;E’s conduct violates </w:t>
      </w:r>
      <w:r w:rsidR="00513AF2">
        <w:t>“</w:t>
      </w:r>
      <w:r w:rsidRPr="00072E71" w:rsidR="00072E71">
        <w:t>any law or Commission rule or order.</w:t>
      </w:r>
      <w:r w:rsidR="007B25CA">
        <w:t>”</w:t>
      </w:r>
      <w:r w:rsidR="00A37785">
        <w:rPr>
          <w:rStyle w:val="FootnoteReference"/>
        </w:rPr>
        <w:footnoteReference w:id="27"/>
      </w:r>
      <w:r w:rsidR="00C44DF0">
        <w:t xml:space="preserve"> </w:t>
      </w:r>
    </w:p>
    <w:p w:rsidR="00DC6A21" w:rsidP="003209B2" w:rsidRDefault="00CD5A47" w14:paraId="54E643F2" w14:textId="675F17D5">
      <w:pPr>
        <w:pStyle w:val="Heading2"/>
      </w:pPr>
      <w:bookmarkStart w:name="_Toc227882777" w:id="19"/>
      <w:r>
        <w:t xml:space="preserve">Convenience Relocations and </w:t>
      </w:r>
      <w:r w:rsidRPr="00837A1F" w:rsidR="00930D8D">
        <w:t>Electric</w:t>
      </w:r>
      <w:r w:rsidRPr="00273D2B" w:rsidR="00930D8D">
        <w:t xml:space="preserve"> Rule 15.I.1</w:t>
      </w:r>
      <w:bookmarkEnd w:id="19"/>
    </w:p>
    <w:p w:rsidR="00F7658C" w:rsidP="0066648E" w:rsidRDefault="007E7E51" w14:paraId="0CC6A753" w14:textId="288B9156">
      <w:pPr>
        <w:pStyle w:val="Standard"/>
      </w:pPr>
      <w:r w:rsidRPr="00273D2B">
        <w:t>Electric Rule 15.I.1</w:t>
      </w:r>
      <w:r>
        <w:t>, governs the power pole r</w:t>
      </w:r>
      <w:r w:rsidRPr="00273D2B">
        <w:t>elocation work</w:t>
      </w:r>
      <w:r>
        <w:t xml:space="preserve"> requested by Irizarry.</w:t>
      </w:r>
      <w:r w:rsidR="00B03F4C">
        <w:t xml:space="preserve"> </w:t>
      </w:r>
      <w:r w:rsidRPr="00273D2B" w:rsidR="00930D8D">
        <w:t>Electric Rule 15.I.1</w:t>
      </w:r>
      <w:r w:rsidR="00930D8D">
        <w:t xml:space="preserve"> </w:t>
      </w:r>
      <w:r w:rsidR="008606BB">
        <w:t xml:space="preserve">states in relevant part: </w:t>
      </w:r>
    </w:p>
    <w:p w:rsidRPr="00BC7389" w:rsidR="00B46A0A" w:rsidP="00837A1F" w:rsidRDefault="00B46A0A" w14:paraId="172E5F96" w14:textId="77777777">
      <w:pPr>
        <w:pStyle w:val="BlockQuote"/>
        <w:spacing w:after="0"/>
        <w:rPr>
          <w:i/>
          <w:iCs/>
        </w:rPr>
      </w:pPr>
      <w:r w:rsidRPr="00BC7389">
        <w:rPr>
          <w:i/>
          <w:iCs/>
        </w:rPr>
        <w:t>Any relocation</w:t>
      </w:r>
      <w:r w:rsidRPr="00837A1F">
        <w:t xml:space="preserve"> or rearrangement </w:t>
      </w:r>
      <w:r w:rsidRPr="00BC7389">
        <w:rPr>
          <w:i/>
          <w:iCs/>
        </w:rPr>
        <w:t>of PG&amp;E's existing facilities, at</w:t>
      </w:r>
    </w:p>
    <w:p w:rsidRPr="00BC7389" w:rsidR="00B46A0A" w:rsidP="00837A1F" w:rsidRDefault="00B46A0A" w14:paraId="6915B443" w14:textId="77777777">
      <w:pPr>
        <w:pStyle w:val="BlockQuote"/>
        <w:spacing w:after="0"/>
        <w:rPr>
          <w:i/>
          <w:iCs/>
        </w:rPr>
      </w:pPr>
      <w:r w:rsidRPr="00BC7389">
        <w:rPr>
          <w:i/>
          <w:iCs/>
        </w:rPr>
        <w:t>the request of, or to meet the convenience of an Applicant or</w:t>
      </w:r>
    </w:p>
    <w:p w:rsidRPr="003D149E" w:rsidR="00B46A0A" w:rsidP="00837A1F" w:rsidRDefault="00B46A0A" w14:paraId="00B16614" w14:textId="77777777">
      <w:pPr>
        <w:pStyle w:val="BlockQuote"/>
        <w:spacing w:after="0"/>
      </w:pPr>
      <w:r w:rsidRPr="00BC7389">
        <w:rPr>
          <w:i/>
          <w:iCs/>
        </w:rPr>
        <w:t xml:space="preserve">customer, </w:t>
      </w:r>
      <w:r w:rsidRPr="003D149E">
        <w:t>and agreed upon by PG&amp;E, normally shall be performed</w:t>
      </w:r>
    </w:p>
    <w:p w:rsidRPr="00837A1F" w:rsidR="00B46A0A" w:rsidP="003209B2" w:rsidRDefault="00B46A0A" w14:paraId="7E9DC0F1" w14:textId="4C12770C">
      <w:pPr>
        <w:pStyle w:val="BlockQuote"/>
      </w:pPr>
      <w:r w:rsidRPr="003D149E">
        <w:t>by PG&amp;E</w:t>
      </w:r>
      <w:r w:rsidRPr="00837A1F" w:rsidR="008665DB">
        <w:t xml:space="preserve">. . . . </w:t>
      </w:r>
      <w:r w:rsidRPr="00837A1F">
        <w:t>In all instances, PG&amp;E shall abandon or remove its existing</w:t>
      </w:r>
      <w:r w:rsidRPr="00837A1F" w:rsidR="008665DB">
        <w:t xml:space="preserve"> </w:t>
      </w:r>
      <w:r w:rsidRPr="00837A1F">
        <w:t xml:space="preserve">facilities, at the option of PG&amp;E. </w:t>
      </w:r>
      <w:r w:rsidRPr="003D149E">
        <w:rPr>
          <w:i/>
          <w:iCs/>
        </w:rPr>
        <w:t>Applicant or customer shall be</w:t>
      </w:r>
      <w:r w:rsidRPr="003D149E" w:rsidR="00837A1F">
        <w:rPr>
          <w:i/>
          <w:iCs/>
        </w:rPr>
        <w:t xml:space="preserve"> </w:t>
      </w:r>
      <w:r w:rsidRPr="003D149E">
        <w:rPr>
          <w:i/>
          <w:iCs/>
        </w:rPr>
        <w:t>responsible for the costs of all related relocation</w:t>
      </w:r>
      <w:r w:rsidRPr="00837A1F">
        <w:t>, rearrangement</w:t>
      </w:r>
      <w:r w:rsidRPr="00837A1F" w:rsidR="00837A1F">
        <w:t xml:space="preserve"> </w:t>
      </w:r>
      <w:r w:rsidRPr="00837A1F">
        <w:t>and removal work. (Emphasis added).</w:t>
      </w:r>
    </w:p>
    <w:p w:rsidR="00AD465A" w:rsidP="0066648E" w:rsidRDefault="00780331" w14:paraId="00C56412" w14:textId="3F16B569">
      <w:pPr>
        <w:pStyle w:val="Standard"/>
      </w:pPr>
      <w:r>
        <w:t>That language</w:t>
      </w:r>
      <w:r w:rsidR="00ED255A">
        <w:t xml:space="preserve"> plainly</w:t>
      </w:r>
      <w:r w:rsidR="008D5364">
        <w:t xml:space="preserve"> </w:t>
      </w:r>
      <w:r w:rsidR="00457EEE">
        <w:t>provid</w:t>
      </w:r>
      <w:r w:rsidR="008D5364">
        <w:t>es</w:t>
      </w:r>
      <w:r w:rsidRPr="00273D2B" w:rsidR="00273D2B">
        <w:t xml:space="preserve"> that any relocation or rearrangement of PG&amp;E's existing facilities, at the request of, or to meet the convenience of an applicant or customer, and </w:t>
      </w:r>
      <w:r w:rsidRPr="0012660C" w:rsidR="00273D2B">
        <w:t>agreed upon by PG&amp;E,</w:t>
      </w:r>
      <w:r w:rsidRPr="00273D2B" w:rsidR="00273D2B">
        <w:t xml:space="preserve"> normally shall be performed by PG&amp;E. </w:t>
      </w:r>
      <w:r w:rsidR="004F6B1A">
        <w:t>Under those circumstances</w:t>
      </w:r>
      <w:r w:rsidRPr="00273D2B" w:rsidR="00273D2B">
        <w:t xml:space="preserve">, the applicant or customer </w:t>
      </w:r>
      <w:r w:rsidR="005853EF">
        <w:t>is</w:t>
      </w:r>
      <w:r w:rsidRPr="00273D2B" w:rsidR="00273D2B">
        <w:t xml:space="preserve"> responsible for the costs of </w:t>
      </w:r>
      <w:r w:rsidR="00766564">
        <w:t xml:space="preserve">such </w:t>
      </w:r>
      <w:r w:rsidRPr="00273D2B" w:rsidR="00273D2B">
        <w:t>relocation, rearrangement</w:t>
      </w:r>
      <w:r w:rsidR="00B92433">
        <w:t>,</w:t>
      </w:r>
      <w:r w:rsidRPr="00273D2B" w:rsidR="00273D2B">
        <w:t xml:space="preserve"> and removal work.</w:t>
      </w:r>
      <w:r w:rsidR="004F6B1A">
        <w:t xml:space="preserve"> However, </w:t>
      </w:r>
      <w:r w:rsidR="00B92433">
        <w:t xml:space="preserve">the requestor – here Irizarry – is not responsible for those costs </w:t>
      </w:r>
      <w:r w:rsidRPr="005C392D" w:rsidR="00B92433">
        <w:rPr>
          <w:b/>
          <w:bCs/>
          <w:i/>
          <w:iCs/>
        </w:rPr>
        <w:t>if</w:t>
      </w:r>
      <w:r w:rsidR="00B92433">
        <w:t xml:space="preserve"> the work is required for a reason other than </w:t>
      </w:r>
      <w:r w:rsidR="007312E8">
        <w:t xml:space="preserve">for </w:t>
      </w:r>
      <w:r w:rsidR="00585140">
        <w:t>his</w:t>
      </w:r>
      <w:r w:rsidR="00B92433">
        <w:t xml:space="preserve"> convenience</w:t>
      </w:r>
      <w:r w:rsidR="007312E8">
        <w:t>.</w:t>
      </w:r>
    </w:p>
    <w:p w:rsidR="00A3675F" w:rsidP="0066648E" w:rsidRDefault="00AD465A" w14:paraId="0248A7F4" w14:textId="39C11B74">
      <w:pPr>
        <w:pStyle w:val="Standard"/>
      </w:pPr>
      <w:r>
        <w:t xml:space="preserve">Here, PG&amp;E has agreed to </w:t>
      </w:r>
      <w:r w:rsidR="00C64ED0">
        <w:t xml:space="preserve">perform </w:t>
      </w:r>
      <w:r w:rsidR="00D04CDB">
        <w:t xml:space="preserve">Mr. </w:t>
      </w:r>
      <w:r w:rsidR="002A0153">
        <w:t>Irizarry’s requested</w:t>
      </w:r>
      <w:r w:rsidR="00C64ED0">
        <w:t xml:space="preserve"> relocation of the power pole at issue. </w:t>
      </w:r>
      <w:r w:rsidR="005C392D">
        <w:t xml:space="preserve">PG&amp;E’s willingness to perform the relocation </w:t>
      </w:r>
      <w:r w:rsidR="00354754">
        <w:t xml:space="preserve">work </w:t>
      </w:r>
      <w:r w:rsidR="005C392D">
        <w:t xml:space="preserve">is not at issue. </w:t>
      </w:r>
      <w:r w:rsidR="00717BBF">
        <w:t xml:space="preserve">Therefore, </w:t>
      </w:r>
      <w:r w:rsidR="00E81AFD">
        <w:t xml:space="preserve">if the relocation is </w:t>
      </w:r>
      <w:r w:rsidR="00D63494">
        <w:t xml:space="preserve">merely </w:t>
      </w:r>
      <w:r w:rsidR="00E81AFD">
        <w:t xml:space="preserve">for the convenience of </w:t>
      </w:r>
      <w:r w:rsidR="00D63494">
        <w:t>Irizarry, then he must bear all costs</w:t>
      </w:r>
      <w:r w:rsidR="0071231A">
        <w:t xml:space="preserve"> pursuant to Electric Rule 15.I.1.</w:t>
      </w:r>
      <w:r w:rsidR="00C64ED0">
        <w:t xml:space="preserve"> </w:t>
      </w:r>
    </w:p>
    <w:p w:rsidRPr="0066648E" w:rsidR="0066648E" w:rsidP="0066648E" w:rsidRDefault="00B54785" w14:paraId="7094F93A" w14:textId="5AE0C8F1">
      <w:pPr>
        <w:pStyle w:val="Standard"/>
      </w:pPr>
      <w:r w:rsidRPr="00AF18FE">
        <w:t xml:space="preserve">Defendant seeks to evade </w:t>
      </w:r>
      <w:r w:rsidRPr="00AF18FE" w:rsidR="00580331">
        <w:t>th</w:t>
      </w:r>
      <w:r w:rsidRPr="00AF18FE" w:rsidR="0000077C">
        <w:t>ose</w:t>
      </w:r>
      <w:r w:rsidRPr="00AF18FE" w:rsidR="00580331">
        <w:t xml:space="preserve"> </w:t>
      </w:r>
      <w:r w:rsidRPr="00AF18FE" w:rsidR="0097113B">
        <w:t xml:space="preserve">financial consequences </w:t>
      </w:r>
      <w:r w:rsidRPr="00AF18FE" w:rsidR="0085017D">
        <w:t xml:space="preserve">for the relocation by PG&amp;E </w:t>
      </w:r>
      <w:r w:rsidRPr="00AF18FE" w:rsidR="0000077C">
        <w:t xml:space="preserve">under </w:t>
      </w:r>
      <w:r w:rsidRPr="00AF18FE" w:rsidR="00580331">
        <w:t xml:space="preserve">Electric Rule 15.I.1 </w:t>
      </w:r>
      <w:r w:rsidRPr="00AF18FE" w:rsidR="00A3675F">
        <w:t xml:space="preserve">by </w:t>
      </w:r>
      <w:r w:rsidRPr="00AF18FE" w:rsidR="002E79DF">
        <w:t xml:space="preserve">establishing </w:t>
      </w:r>
      <w:r w:rsidRPr="00AF18FE" w:rsidR="00A3675F">
        <w:t xml:space="preserve">that </w:t>
      </w:r>
      <w:r w:rsidRPr="00AF18FE" w:rsidR="000B38E8">
        <w:t xml:space="preserve">the </w:t>
      </w:r>
      <w:r w:rsidRPr="00AF18FE" w:rsidR="00A41FBA">
        <w:t>work</w:t>
      </w:r>
      <w:r w:rsidRPr="00AF18FE" w:rsidR="000B38E8">
        <w:t xml:space="preserve"> he </w:t>
      </w:r>
      <w:r w:rsidRPr="00AF18FE" w:rsidR="00FE0128">
        <w:t>seeks</w:t>
      </w:r>
      <w:r w:rsidRPr="00AF18FE" w:rsidR="00A41FBA">
        <w:t xml:space="preserve"> from Defendant</w:t>
      </w:r>
      <w:r w:rsidRPr="00AF18FE" w:rsidR="00FE0128">
        <w:t xml:space="preserve"> is </w:t>
      </w:r>
      <w:r w:rsidRPr="00AF18FE" w:rsidR="00A41FBA">
        <w:t xml:space="preserve">not for his convenience.  Instead, he </w:t>
      </w:r>
      <w:r w:rsidRPr="00AF18FE" w:rsidR="002E79DF">
        <w:t>argues</w:t>
      </w:r>
      <w:r w:rsidRPr="00AF18FE" w:rsidR="00DE6AA7">
        <w:t xml:space="preserve"> in his Opposition</w:t>
      </w:r>
      <w:r w:rsidRPr="00AF18FE" w:rsidR="00A41FBA">
        <w:t xml:space="preserve"> that </w:t>
      </w:r>
      <w:r w:rsidRPr="00AF18FE" w:rsidR="007C1256">
        <w:lastRenderedPageBreak/>
        <w:t xml:space="preserve">the work must be performed </w:t>
      </w:r>
      <w:r w:rsidRPr="00AF18FE" w:rsidR="00FE0128">
        <w:t xml:space="preserve">at PG&amp;E’s expense </w:t>
      </w:r>
      <w:r w:rsidRPr="00AF18FE" w:rsidR="0062194A">
        <w:t xml:space="preserve">to </w:t>
      </w:r>
      <w:r w:rsidR="00A82ED2">
        <w:t xml:space="preserve">remedy violations of California statues and/or </w:t>
      </w:r>
      <w:r w:rsidR="00964B65">
        <w:t xml:space="preserve">regulations.  </w:t>
      </w:r>
      <w:r w:rsidR="00D04CDB">
        <w:t xml:space="preserve">Mr. </w:t>
      </w:r>
      <w:r w:rsidR="00964B65">
        <w:t xml:space="preserve">Irizarry argues that </w:t>
      </w:r>
      <w:r w:rsidR="00D04CDB">
        <w:t xml:space="preserve">the </w:t>
      </w:r>
      <w:r w:rsidR="00964B65">
        <w:t xml:space="preserve">relocation is required to </w:t>
      </w:r>
      <w:r w:rsidRPr="00AF18FE" w:rsidR="00C35E54">
        <w:t>comply with</w:t>
      </w:r>
      <w:r w:rsidRPr="00AF18FE" w:rsidR="0062194A">
        <w:t xml:space="preserve"> </w:t>
      </w:r>
      <w:r w:rsidRPr="00AF18FE" w:rsidR="00FF7949">
        <w:t>California Code of Regulations (C.C.R.) Title 14, Sections 1257 and 1258</w:t>
      </w:r>
      <w:r w:rsidRPr="00AF18FE" w:rsidR="006E608D">
        <w:t xml:space="preserve">; </w:t>
      </w:r>
      <w:r w:rsidRPr="00AF18FE" w:rsidR="00C35E54">
        <w:t xml:space="preserve">to remedy </w:t>
      </w:r>
      <w:r w:rsidRPr="00AF18FE" w:rsidR="00AF18FE">
        <w:t>noncompliance with</w:t>
      </w:r>
      <w:r w:rsidRPr="00AF18FE" w:rsidR="00C35E54">
        <w:t xml:space="preserve"> </w:t>
      </w:r>
      <w:r w:rsidRPr="00AF18FE" w:rsidR="000B301C">
        <w:t>California Senate Bill (S.B.) 901 and Assembly Bill (A.B.) 111</w:t>
      </w:r>
      <w:r w:rsidRPr="00AF18FE" w:rsidR="006E608D">
        <w:t xml:space="preserve">; and </w:t>
      </w:r>
      <w:r w:rsidRPr="00AF18FE" w:rsidR="007C1256">
        <w:t xml:space="preserve">for </w:t>
      </w:r>
      <w:r w:rsidRPr="00AF18FE" w:rsidR="006E608D">
        <w:t>public health or safety issues.</w:t>
      </w:r>
      <w:r w:rsidRPr="00AF18FE" w:rsidR="00163E66">
        <w:t xml:space="preserve"> Therefore, we </w:t>
      </w:r>
      <w:r w:rsidRPr="00AF18FE" w:rsidR="001521DE">
        <w:t>examine whether Complainant has sufficiently stated a claim</w:t>
      </w:r>
      <w:r w:rsidR="00E51D9C">
        <w:t>ed violation</w:t>
      </w:r>
      <w:r w:rsidRPr="00AF18FE" w:rsidR="001521DE">
        <w:t xml:space="preserve"> </w:t>
      </w:r>
      <w:r w:rsidRPr="00AF18FE" w:rsidR="00B44852">
        <w:t xml:space="preserve">under those legal authorities </w:t>
      </w:r>
      <w:r w:rsidRPr="00AF18FE" w:rsidR="001521DE">
        <w:t xml:space="preserve">that </w:t>
      </w:r>
      <w:r w:rsidRPr="00AF18FE" w:rsidR="00452D30">
        <w:t xml:space="preserve">would compel </w:t>
      </w:r>
      <w:r w:rsidRPr="00AF18FE" w:rsidR="000E38C5">
        <w:t xml:space="preserve">Defendant </w:t>
      </w:r>
      <w:r w:rsidRPr="00AF18FE" w:rsidR="008A2B0D">
        <w:t xml:space="preserve">to relocate the power pole </w:t>
      </w:r>
      <w:r w:rsidRPr="00AF18FE" w:rsidR="00452D30">
        <w:t xml:space="preserve">for </w:t>
      </w:r>
      <w:r w:rsidRPr="00AF18FE" w:rsidR="00BA21A4">
        <w:t xml:space="preserve">a reason </w:t>
      </w:r>
      <w:r w:rsidRPr="00AF18FE" w:rsidR="00452D30">
        <w:t>other than Irizarry’s convenience</w:t>
      </w:r>
      <w:r w:rsidRPr="00AF18FE" w:rsidR="00C13B84">
        <w:t>.</w:t>
      </w:r>
    </w:p>
    <w:p w:rsidRPr="0020477E" w:rsidR="007156B9" w:rsidP="003209B2" w:rsidRDefault="00B14851" w14:paraId="61EA284E" w14:textId="64572922">
      <w:pPr>
        <w:pStyle w:val="Heading3"/>
        <w:rPr>
          <w:i/>
          <w:iCs/>
        </w:rPr>
      </w:pPr>
      <w:bookmarkStart w:name="_Toc227882778" w:id="20"/>
      <w:r>
        <w:t xml:space="preserve">14 </w:t>
      </w:r>
      <w:r w:rsidRPr="00906F4D" w:rsidR="009B4CF9">
        <w:t>C</w:t>
      </w:r>
      <w:r w:rsidR="005B5972">
        <w:t>.</w:t>
      </w:r>
      <w:r w:rsidRPr="00906F4D" w:rsidR="009B4CF9">
        <w:t>C</w:t>
      </w:r>
      <w:r w:rsidR="005B5972">
        <w:t>.</w:t>
      </w:r>
      <w:r w:rsidRPr="00906F4D" w:rsidR="009B4CF9">
        <w:t>R</w:t>
      </w:r>
      <w:r w:rsidR="005B5972">
        <w:t>.</w:t>
      </w:r>
      <w:r w:rsidRPr="00906F4D" w:rsidR="009B4CF9">
        <w:t xml:space="preserve"> </w:t>
      </w:r>
      <w:r w:rsidRPr="003209B2" w:rsidR="009B4CF9">
        <w:t>Sections</w:t>
      </w:r>
      <w:r w:rsidRPr="00906F4D" w:rsidR="009B4CF9">
        <w:t xml:space="preserve"> 1257 and 1258</w:t>
      </w:r>
      <w:bookmarkEnd w:id="20"/>
    </w:p>
    <w:p w:rsidR="00AA6D4A" w:rsidP="002777DE" w:rsidRDefault="00AA6D4A" w14:paraId="08AE6008" w14:textId="1CE75ED0">
      <w:pPr>
        <w:pStyle w:val="Standard"/>
      </w:pPr>
      <w:r>
        <w:t>Complainant</w:t>
      </w:r>
      <w:r w:rsidR="000543F8">
        <w:t xml:space="preserve">’s Opposition </w:t>
      </w:r>
      <w:r w:rsidR="00211DAF">
        <w:t xml:space="preserve">states in conclusory fashion </w:t>
      </w:r>
      <w:r w:rsidR="00003570">
        <w:t xml:space="preserve">and without </w:t>
      </w:r>
      <w:r w:rsidR="00F1767C">
        <w:t xml:space="preserve">specific provision citations, factual allegations, or record support </w:t>
      </w:r>
      <w:r w:rsidR="00211DAF">
        <w:t xml:space="preserve">that PG&amp;E must relocate the </w:t>
      </w:r>
      <w:r w:rsidR="003C57C0">
        <w:t>power pole to comply with</w:t>
      </w:r>
      <w:r w:rsidR="000543F8">
        <w:t xml:space="preserve"> </w:t>
      </w:r>
      <w:r w:rsidR="00661473">
        <w:t xml:space="preserve">14 </w:t>
      </w:r>
      <w:r w:rsidRPr="00044FF1" w:rsidR="000543F8">
        <w:t>C</w:t>
      </w:r>
      <w:r w:rsidR="000543F8">
        <w:t>.</w:t>
      </w:r>
      <w:r w:rsidRPr="00044FF1" w:rsidR="000543F8">
        <w:t>C</w:t>
      </w:r>
      <w:r w:rsidR="000543F8">
        <w:t>.</w:t>
      </w:r>
      <w:r w:rsidRPr="00044FF1" w:rsidR="000543F8">
        <w:t>R</w:t>
      </w:r>
      <w:r w:rsidR="000543F8">
        <w:t>.</w:t>
      </w:r>
      <w:r w:rsidR="00661473">
        <w:t xml:space="preserve"> </w:t>
      </w:r>
      <w:r w:rsidRPr="00044FF1" w:rsidR="000543F8">
        <w:t>Section</w:t>
      </w:r>
      <w:r w:rsidR="003C57C0">
        <w:t>s</w:t>
      </w:r>
      <w:r w:rsidRPr="00044FF1" w:rsidR="000543F8">
        <w:t xml:space="preserve"> 1257</w:t>
      </w:r>
      <w:r w:rsidR="003C57C0">
        <w:t xml:space="preserve"> and 1258.</w:t>
      </w:r>
    </w:p>
    <w:p w:rsidR="0043611C" w:rsidP="002777DE" w:rsidRDefault="00044FF1" w14:paraId="6F1918FE" w14:textId="7FB21685">
      <w:pPr>
        <w:pStyle w:val="Standard"/>
      </w:pPr>
      <w:r w:rsidRPr="00044FF1">
        <w:t>C</w:t>
      </w:r>
      <w:r w:rsidR="00784DCA">
        <w:t>.</w:t>
      </w:r>
      <w:r w:rsidRPr="00044FF1">
        <w:t>C</w:t>
      </w:r>
      <w:r w:rsidR="00784DCA">
        <w:t>.</w:t>
      </w:r>
      <w:r w:rsidRPr="00044FF1">
        <w:t>R</w:t>
      </w:r>
      <w:r w:rsidR="00784DCA">
        <w:t>.</w:t>
      </w:r>
      <w:r w:rsidRPr="00044FF1">
        <w:t xml:space="preserve"> Title 14, Section 1257, outlines </w:t>
      </w:r>
      <w:r w:rsidR="00750D65">
        <w:t>“</w:t>
      </w:r>
      <w:r w:rsidRPr="00044FF1">
        <w:t>exempt minimum clearance provisions</w:t>
      </w:r>
      <w:r w:rsidR="00750D65">
        <w:t>”</w:t>
      </w:r>
      <w:r w:rsidRPr="00044FF1">
        <w:t xml:space="preserve"> under California Public Resources Code (P</w:t>
      </w:r>
      <w:r w:rsidR="00324563">
        <w:t>ub. Res. Code</w:t>
      </w:r>
      <w:r w:rsidRPr="00044FF1">
        <w:t xml:space="preserve">) </w:t>
      </w:r>
      <w:r w:rsidR="001750AF">
        <w:t xml:space="preserve">section </w:t>
      </w:r>
      <w:r w:rsidRPr="00044FF1">
        <w:t xml:space="preserve">4293 for utility vegetation management, essentially defining when a living, mature tree's branches are not required to be cleared if they are close to </w:t>
      </w:r>
      <w:r w:rsidR="004C7A5D">
        <w:t xml:space="preserve">a utility’s </w:t>
      </w:r>
      <w:r w:rsidRPr="00044FF1">
        <w:t>primary distribution equipment. These exemptions apply to sound, living trees whose trunks and major limbs are situated between six inches and the required clearance distance away from the equipment, provided all dead or decadent branches have been removed.</w:t>
      </w:r>
      <w:r w:rsidR="007D0C47">
        <w:rPr>
          <w:rStyle w:val="FootnoteReference"/>
        </w:rPr>
        <w:footnoteReference w:id="28"/>
      </w:r>
    </w:p>
    <w:p w:rsidRPr="00784DCA" w:rsidR="00784DCA" w:rsidP="00784DCA" w:rsidRDefault="005F16B6" w14:paraId="6EDF298E" w14:textId="6D943012">
      <w:pPr>
        <w:pStyle w:val="Standard"/>
      </w:pPr>
      <w:r>
        <w:t xml:space="preserve">Similarly, </w:t>
      </w:r>
      <w:r w:rsidRPr="00784DCA" w:rsidR="00784DCA">
        <w:t>C.C.R. Title 14, Section 1258 concern</w:t>
      </w:r>
      <w:r w:rsidR="00365499">
        <w:t>s</w:t>
      </w:r>
      <w:r w:rsidRPr="00784DCA" w:rsidR="00784DCA">
        <w:t> </w:t>
      </w:r>
      <w:r w:rsidR="00B93B14">
        <w:t>t</w:t>
      </w:r>
      <w:r w:rsidRPr="00784DCA" w:rsidR="00784DCA">
        <w:t xml:space="preserve">ree </w:t>
      </w:r>
      <w:r w:rsidR="00B93B14">
        <w:t>l</w:t>
      </w:r>
      <w:r w:rsidRPr="00784DCA" w:rsidR="00784DCA">
        <w:t xml:space="preserve">ines, </w:t>
      </w:r>
      <w:r w:rsidR="00365499">
        <w:t>falling</w:t>
      </w:r>
      <w:r w:rsidRPr="00784DCA" w:rsidR="00784DCA">
        <w:t xml:space="preserve"> </w:t>
      </w:r>
      <w:r w:rsidR="00365499">
        <w:t>under</w:t>
      </w:r>
      <w:r w:rsidRPr="00784DCA" w:rsidR="00784DCA">
        <w:t xml:space="preserve"> the</w:t>
      </w:r>
      <w:r w:rsidR="00365499">
        <w:t xml:space="preserve"> California</w:t>
      </w:r>
      <w:r w:rsidRPr="00784DCA" w:rsidR="00784DCA">
        <w:t xml:space="preserve"> Department of Forestry and Fire Protection's regulations for fire prevention standards for electric utilities. </w:t>
      </w:r>
      <w:r w:rsidR="0091483A">
        <w:t>Section 1258 promotes</w:t>
      </w:r>
      <w:r w:rsidRPr="00784DCA" w:rsidR="00784DCA">
        <w:t xml:space="preserve"> fire protection </w:t>
      </w:r>
      <w:r w:rsidRPr="00784DCA" w:rsidR="00784DCA">
        <w:lastRenderedPageBreak/>
        <w:t xml:space="preserve">and was enacted to ensure </w:t>
      </w:r>
      <w:r w:rsidR="00FF086D">
        <w:t xml:space="preserve">public </w:t>
      </w:r>
      <w:r w:rsidRPr="00784DCA" w:rsidR="00784DCA">
        <w:t>utility companies maintain proper clearance between their power lines and vegetation to prevent fires. </w:t>
      </w:r>
    </w:p>
    <w:p w:rsidR="007664D8" w:rsidP="002777DE" w:rsidRDefault="00E36AE0" w14:paraId="6E4DDF8D" w14:textId="1BE24A3A">
      <w:pPr>
        <w:pStyle w:val="Standard"/>
      </w:pPr>
      <w:r>
        <w:t xml:space="preserve">Despite </w:t>
      </w:r>
      <w:r w:rsidR="00483D69">
        <w:t>Complainant’s argument that the Commission should adjudicate</w:t>
      </w:r>
      <w:r w:rsidR="000C2159">
        <w:t xml:space="preserve"> Issue No. 2</w:t>
      </w:r>
      <w:r w:rsidR="00872AC6">
        <w:t xml:space="preserve"> to compel </w:t>
      </w:r>
      <w:r w:rsidR="00F35070">
        <w:t xml:space="preserve">relocation of </w:t>
      </w:r>
      <w:r w:rsidR="000B2058">
        <w:t>a</w:t>
      </w:r>
      <w:r w:rsidR="00F35070">
        <w:t xml:space="preserve"> </w:t>
      </w:r>
      <w:r w:rsidR="006E1FE9">
        <w:t xml:space="preserve">single </w:t>
      </w:r>
      <w:r w:rsidR="00F35070">
        <w:t>power pole</w:t>
      </w:r>
      <w:proofErr w:type="gramStart"/>
      <w:r w:rsidR="00872AC6">
        <w:t xml:space="preserve">, </w:t>
      </w:r>
      <w:r w:rsidR="005B5972">
        <w:t xml:space="preserve">14 </w:t>
      </w:r>
      <w:r w:rsidR="00872AC6">
        <w:t>C.C.R</w:t>
      </w:r>
      <w:r w:rsidR="005B5972">
        <w:t>.</w:t>
      </w:r>
      <w:proofErr w:type="gramEnd"/>
      <w:r w:rsidR="005B5972">
        <w:t xml:space="preserve"> sections 1257 and 1258</w:t>
      </w:r>
      <w:r w:rsidR="00D246CD">
        <w:t xml:space="preserve"> appear </w:t>
      </w:r>
      <w:r w:rsidR="00866770">
        <w:t>applicable only</w:t>
      </w:r>
      <w:r w:rsidR="00D246CD">
        <w:t xml:space="preserve"> to</w:t>
      </w:r>
      <w:r w:rsidR="00892ABD">
        <w:t xml:space="preserve"> now-moot </w:t>
      </w:r>
      <w:r w:rsidR="00BF580D">
        <w:t xml:space="preserve">Scoped </w:t>
      </w:r>
      <w:r w:rsidR="00D246CD">
        <w:t>Issue No. 1,</w:t>
      </w:r>
      <w:r w:rsidR="00D338C0">
        <w:t xml:space="preserve"> </w:t>
      </w:r>
      <w:r w:rsidR="006E595C">
        <w:t xml:space="preserve">focused on </w:t>
      </w:r>
      <w:r w:rsidR="00332EBC">
        <w:t>clearance</w:t>
      </w:r>
      <w:r w:rsidR="00B77DC5">
        <w:t xml:space="preserve"> of hazardous tree</w:t>
      </w:r>
      <w:r w:rsidR="001F68FE">
        <w:t xml:space="preserve">-connected power lines. No allegation or reasonable interpretation </w:t>
      </w:r>
      <w:r w:rsidR="00D03BCB">
        <w:t xml:space="preserve">of the </w:t>
      </w:r>
      <w:r w:rsidR="00C922AA">
        <w:t xml:space="preserve">Complaint or proceeding </w:t>
      </w:r>
      <w:r w:rsidR="00D03BCB">
        <w:t xml:space="preserve">record shows </w:t>
      </w:r>
      <w:r w:rsidR="00B50B8E">
        <w:t xml:space="preserve">a nexus between those </w:t>
      </w:r>
      <w:r w:rsidR="009B2796">
        <w:t xml:space="preserve">tree line </w:t>
      </w:r>
      <w:r w:rsidR="00B50B8E">
        <w:t xml:space="preserve">regulations and the power pole relocation </w:t>
      </w:r>
      <w:r w:rsidR="00495693">
        <w:t xml:space="preserve">under </w:t>
      </w:r>
      <w:r w:rsidR="00BF580D">
        <w:t xml:space="preserve">Scoped </w:t>
      </w:r>
      <w:r w:rsidR="00495693">
        <w:t>Issue No. 2.</w:t>
      </w:r>
    </w:p>
    <w:p w:rsidR="00784DCA" w:rsidP="002777DE" w:rsidRDefault="00E56C57" w14:paraId="3F19AD90" w14:textId="447D3094">
      <w:pPr>
        <w:pStyle w:val="Standard"/>
      </w:pPr>
      <w:r>
        <w:t xml:space="preserve">As a result, the Complaint does not </w:t>
      </w:r>
      <w:r w:rsidR="00C20ABD">
        <w:t>state</w:t>
      </w:r>
      <w:r>
        <w:t xml:space="preserve"> a </w:t>
      </w:r>
      <w:r w:rsidR="00CC78FF">
        <w:t>claim</w:t>
      </w:r>
      <w:r w:rsidR="00B345CE">
        <w:t>ed violation</w:t>
      </w:r>
      <w:r w:rsidR="00CC78FF">
        <w:t xml:space="preserve"> </w:t>
      </w:r>
      <w:proofErr w:type="gramStart"/>
      <w:r w:rsidR="00C20ABD">
        <w:t>for</w:t>
      </w:r>
      <w:proofErr w:type="gramEnd"/>
      <w:r w:rsidR="00C20ABD">
        <w:t xml:space="preserve"> the</w:t>
      </w:r>
      <w:r w:rsidR="00CC78FF">
        <w:t xml:space="preserve"> </w:t>
      </w:r>
      <w:r w:rsidR="00DD636D">
        <w:t xml:space="preserve">Commission </w:t>
      </w:r>
      <w:r w:rsidR="0063799F">
        <w:t>to</w:t>
      </w:r>
      <w:r w:rsidR="009C2395">
        <w:t xml:space="preserve"> adjudicate Scoped Issue No. 2 </w:t>
      </w:r>
      <w:r w:rsidR="009832AA">
        <w:t xml:space="preserve">or to </w:t>
      </w:r>
      <w:r w:rsidR="0063799F">
        <w:t xml:space="preserve">remedy </w:t>
      </w:r>
      <w:r w:rsidR="00FF705F">
        <w:t>an</w:t>
      </w:r>
      <w:r w:rsidR="002C7299">
        <w:t>y</w:t>
      </w:r>
      <w:r w:rsidR="00FF705F">
        <w:t xml:space="preserve"> identifiable </w:t>
      </w:r>
      <w:r w:rsidR="0063799F">
        <w:t xml:space="preserve">noncompliance with 14 C.C.R. </w:t>
      </w:r>
      <w:r w:rsidR="00805865">
        <w:t>S</w:t>
      </w:r>
      <w:r w:rsidR="0063799F">
        <w:t xml:space="preserve">ection 1257 </w:t>
      </w:r>
      <w:r w:rsidR="002A5241">
        <w:t>or</w:t>
      </w:r>
      <w:r w:rsidR="0063799F">
        <w:t xml:space="preserve"> 1258</w:t>
      </w:r>
      <w:r w:rsidR="001356F8">
        <w:t>’s</w:t>
      </w:r>
      <w:r w:rsidR="00963981">
        <w:t xml:space="preserve"> </w:t>
      </w:r>
      <w:r w:rsidR="00BE7726">
        <w:t>legal requirement</w:t>
      </w:r>
      <w:r w:rsidR="00080F75">
        <w:t>s by</w:t>
      </w:r>
      <w:r w:rsidR="00BE7726">
        <w:t xml:space="preserve"> </w:t>
      </w:r>
      <w:r w:rsidR="00080F75">
        <w:t xml:space="preserve">compelling Defendant to </w:t>
      </w:r>
      <w:r w:rsidR="00BE7726">
        <w:t>relocat</w:t>
      </w:r>
      <w:r w:rsidR="00080F75">
        <w:t>e</w:t>
      </w:r>
      <w:r w:rsidR="00BE7726">
        <w:t xml:space="preserve"> the subject power pole</w:t>
      </w:r>
      <w:r w:rsidR="009C2395">
        <w:t xml:space="preserve">. </w:t>
      </w:r>
    </w:p>
    <w:p w:rsidRPr="0020477E" w:rsidR="0043611C" w:rsidP="003209B2" w:rsidRDefault="005E67D2" w14:paraId="30E0AE41" w14:textId="7ED1E9EB">
      <w:pPr>
        <w:pStyle w:val="Heading3"/>
        <w:ind w:right="2880"/>
        <w:rPr>
          <w:i/>
          <w:iCs/>
        </w:rPr>
      </w:pPr>
      <w:bookmarkStart w:name="_Toc227882779" w:id="21"/>
      <w:r w:rsidRPr="00906F4D">
        <w:t xml:space="preserve">Senate Bill 901 </w:t>
      </w:r>
      <w:r w:rsidR="00D52CA3">
        <w:t xml:space="preserve">(2018) </w:t>
      </w:r>
      <w:r w:rsidRPr="00906F4D">
        <w:t>and A</w:t>
      </w:r>
      <w:r w:rsidR="00D52CA3">
        <w:t xml:space="preserve">ssembly </w:t>
      </w:r>
      <w:r w:rsidRPr="00906F4D">
        <w:t>B</w:t>
      </w:r>
      <w:r w:rsidR="00D52CA3">
        <w:t>ill</w:t>
      </w:r>
      <w:r w:rsidRPr="00906F4D">
        <w:t xml:space="preserve"> 111</w:t>
      </w:r>
      <w:r w:rsidR="00B14851">
        <w:t xml:space="preserve"> </w:t>
      </w:r>
      <w:r w:rsidR="00D52CA3">
        <w:t>(2019)</w:t>
      </w:r>
      <w:bookmarkEnd w:id="21"/>
    </w:p>
    <w:p w:rsidR="009C5388" w:rsidP="000E270A" w:rsidRDefault="009C5388" w14:paraId="76469359" w14:textId="2AE04069">
      <w:pPr>
        <w:pStyle w:val="Standard"/>
      </w:pPr>
      <w:r>
        <w:t xml:space="preserve">Complainant’s Opposition further states in conclusory fashion and without </w:t>
      </w:r>
      <w:r w:rsidR="00F1767C">
        <w:t>specific provision citations</w:t>
      </w:r>
      <w:r w:rsidR="00C16CFF">
        <w:t xml:space="preserve">, </w:t>
      </w:r>
      <w:r>
        <w:t>factual allegations</w:t>
      </w:r>
      <w:r w:rsidR="00C16CFF">
        <w:t>,</w:t>
      </w:r>
      <w:r>
        <w:t xml:space="preserve"> or </w:t>
      </w:r>
      <w:r w:rsidR="00C16CFF">
        <w:t xml:space="preserve">record </w:t>
      </w:r>
      <w:r>
        <w:t xml:space="preserve">support that PG&amp;E must relocate the power pole to comply with </w:t>
      </w:r>
      <w:r w:rsidRPr="001E4212" w:rsidR="00F770C6">
        <w:t>S</w:t>
      </w:r>
      <w:r w:rsidR="00F770C6">
        <w:t>.</w:t>
      </w:r>
      <w:r w:rsidRPr="001E4212" w:rsidR="00F770C6">
        <w:t>B</w:t>
      </w:r>
      <w:r w:rsidR="00F770C6">
        <w:t>.</w:t>
      </w:r>
      <w:r w:rsidRPr="001E4212" w:rsidR="00F770C6">
        <w:t xml:space="preserve"> 901</w:t>
      </w:r>
      <w:r w:rsidR="00F770C6">
        <w:t xml:space="preserve"> and </w:t>
      </w:r>
      <w:r w:rsidRPr="001E4212" w:rsidR="00F770C6">
        <w:t>A</w:t>
      </w:r>
      <w:r w:rsidR="00F770C6">
        <w:t>.</w:t>
      </w:r>
      <w:r w:rsidRPr="001E4212" w:rsidR="00F770C6">
        <w:t>B</w:t>
      </w:r>
      <w:r w:rsidR="00F770C6">
        <w:t>.</w:t>
      </w:r>
      <w:r w:rsidRPr="001E4212" w:rsidR="00F770C6">
        <w:t xml:space="preserve"> 111</w:t>
      </w:r>
      <w:r>
        <w:t>.</w:t>
      </w:r>
    </w:p>
    <w:p w:rsidR="006B3094" w:rsidP="000E270A" w:rsidRDefault="001E4212" w14:paraId="38D27180" w14:textId="09DBF127">
      <w:pPr>
        <w:pStyle w:val="Standard"/>
      </w:pPr>
      <w:r w:rsidRPr="001E4212">
        <w:t>S</w:t>
      </w:r>
      <w:r>
        <w:t>.</w:t>
      </w:r>
      <w:r w:rsidRPr="001E4212">
        <w:t>B</w:t>
      </w:r>
      <w:r>
        <w:t>.</w:t>
      </w:r>
      <w:r w:rsidRPr="001E4212">
        <w:t xml:space="preserve"> 901 was a </w:t>
      </w:r>
      <w:r w:rsidR="006B3094">
        <w:t>significant</w:t>
      </w:r>
      <w:r w:rsidRPr="001E4212">
        <w:t xml:space="preserve"> </w:t>
      </w:r>
      <w:r w:rsidR="006B3094">
        <w:t xml:space="preserve">year 2018 </w:t>
      </w:r>
      <w:r w:rsidRPr="001E4212">
        <w:t xml:space="preserve">legislation addressing the state's wildfire risk. </w:t>
      </w:r>
      <w:r w:rsidR="00DE38EA">
        <w:t xml:space="preserve">S.B. 901 </w:t>
      </w:r>
      <w:r w:rsidRPr="00DE38EA" w:rsidR="00DE38EA">
        <w:t>established a</w:t>
      </w:r>
      <w:r w:rsidR="00A45D47">
        <w:t xml:space="preserve"> broad</w:t>
      </w:r>
      <w:r w:rsidRPr="00DE38EA" w:rsidR="00DE38EA">
        <w:t xml:space="preserve"> approach </w:t>
      </w:r>
      <w:r w:rsidR="00A45D47">
        <w:t>for</w:t>
      </w:r>
      <w:r w:rsidRPr="00DE38EA" w:rsidR="00DE38EA">
        <w:t xml:space="preserve"> wildfire prevention and mitigation for the state's electric utilities. </w:t>
      </w:r>
      <w:r w:rsidR="00A9780B">
        <w:t>In part, it</w:t>
      </w:r>
      <w:r w:rsidRPr="00A9780B" w:rsidR="00A9780B">
        <w:t xml:space="preserve"> required electrical utilities to create comprehensive W</w:t>
      </w:r>
      <w:r w:rsidR="00A9780B">
        <w:t xml:space="preserve">ildfire </w:t>
      </w:r>
      <w:r w:rsidRPr="00A9780B" w:rsidR="00A9780B">
        <w:t>M</w:t>
      </w:r>
      <w:r w:rsidR="00A9780B">
        <w:t xml:space="preserve">itigation </w:t>
      </w:r>
      <w:r w:rsidRPr="00A9780B" w:rsidR="00A9780B">
        <w:t>P</w:t>
      </w:r>
      <w:r w:rsidR="00A9780B">
        <w:t>lans</w:t>
      </w:r>
      <w:r w:rsidRPr="00A9780B" w:rsidR="00A9780B">
        <w:t xml:space="preserve"> </w:t>
      </w:r>
      <w:r w:rsidR="004F4F7B">
        <w:t xml:space="preserve">(WMP’s) </w:t>
      </w:r>
      <w:r w:rsidRPr="00A9780B" w:rsidR="00A9780B">
        <w:t>detailing how they would minimize the risk of their equipment causing wildfires</w:t>
      </w:r>
      <w:r w:rsidR="00F65BB0">
        <w:t xml:space="preserve">. For regulatory oversight, </w:t>
      </w:r>
      <w:r w:rsidR="0005253D">
        <w:t xml:space="preserve">S.B. 901 </w:t>
      </w:r>
      <w:r w:rsidR="00997597">
        <w:t xml:space="preserve">created the </w:t>
      </w:r>
      <w:r w:rsidRPr="00F65BB0" w:rsidR="00997597">
        <w:t>Commission</w:t>
      </w:r>
      <w:r w:rsidR="00997597">
        <w:t>’s</w:t>
      </w:r>
      <w:r w:rsidRPr="00F65BB0" w:rsidR="00997597">
        <w:t xml:space="preserve"> </w:t>
      </w:r>
      <w:r w:rsidRPr="000B38D4" w:rsidR="00997597">
        <w:t>Wildfire Safety Division</w:t>
      </w:r>
      <w:r w:rsidRPr="00321085" w:rsidR="00997597">
        <w:t xml:space="preserve"> </w:t>
      </w:r>
      <w:r w:rsidR="00997597">
        <w:t>(WSD)</w:t>
      </w:r>
      <w:r w:rsidR="00CE158C">
        <w:t xml:space="preserve"> </w:t>
      </w:r>
      <w:r w:rsidRPr="000C0268" w:rsidR="00CE158C">
        <w:t xml:space="preserve">to oversee and enforce </w:t>
      </w:r>
      <w:r w:rsidR="00CE158C">
        <w:t>a public</w:t>
      </w:r>
      <w:r w:rsidRPr="000C0268" w:rsidR="00CE158C">
        <w:t xml:space="preserve"> utilit</w:t>
      </w:r>
      <w:r w:rsidR="00CE158C">
        <w:t>y’s</w:t>
      </w:r>
      <w:r w:rsidRPr="000C0268" w:rsidR="00CE158C">
        <w:t xml:space="preserve"> compliance with wildfire safety requirements and </w:t>
      </w:r>
      <w:r w:rsidR="00CE158C">
        <w:t xml:space="preserve">promote </w:t>
      </w:r>
      <w:r w:rsidRPr="000C0268" w:rsidR="00CE158C">
        <w:t>risk reduction</w:t>
      </w:r>
      <w:r w:rsidR="00CE158C">
        <w:t xml:space="preserve">.  The statute </w:t>
      </w:r>
      <w:r w:rsidRPr="00F65BB0" w:rsidR="00F65BB0">
        <w:t xml:space="preserve">initiated a formal </w:t>
      </w:r>
      <w:r w:rsidRPr="00F65BB0" w:rsidR="00F65BB0">
        <w:lastRenderedPageBreak/>
        <w:t>proceeding at the Commission</w:t>
      </w:r>
      <w:r w:rsidR="00390244">
        <w:t xml:space="preserve"> </w:t>
      </w:r>
      <w:r w:rsidR="00700BDF">
        <w:t xml:space="preserve">WSD </w:t>
      </w:r>
      <w:r w:rsidRPr="00F65BB0" w:rsidR="00F65BB0">
        <w:t xml:space="preserve">to review and approve </w:t>
      </w:r>
      <w:r w:rsidR="0005253D">
        <w:t xml:space="preserve">public utility </w:t>
      </w:r>
      <w:r w:rsidRPr="00F65BB0" w:rsidR="00F65BB0">
        <w:t>wildfire plans.</w:t>
      </w:r>
    </w:p>
    <w:p w:rsidR="004934F8" w:rsidP="000E270A" w:rsidRDefault="001E4212" w14:paraId="7E3DBE73" w14:textId="20D62FF5">
      <w:pPr>
        <w:pStyle w:val="Standard"/>
      </w:pPr>
      <w:r w:rsidRPr="001E4212">
        <w:t>A</w:t>
      </w:r>
      <w:r w:rsidR="006B3094">
        <w:t>.</w:t>
      </w:r>
      <w:r w:rsidRPr="001E4212">
        <w:t>B</w:t>
      </w:r>
      <w:r w:rsidR="006B3094">
        <w:t>.</w:t>
      </w:r>
      <w:r w:rsidRPr="001E4212">
        <w:t xml:space="preserve"> 111 was a subsequent</w:t>
      </w:r>
      <w:r w:rsidR="001D4498">
        <w:t>,</w:t>
      </w:r>
      <w:r w:rsidRPr="001E4212">
        <w:t xml:space="preserve"> </w:t>
      </w:r>
      <w:r w:rsidR="006B3094">
        <w:t xml:space="preserve">year 2019 </w:t>
      </w:r>
      <w:r w:rsidRPr="001E4212">
        <w:t>bill that amended S</w:t>
      </w:r>
      <w:r w:rsidR="00E97DA1">
        <w:t>.</w:t>
      </w:r>
      <w:r w:rsidRPr="001E4212">
        <w:t>B</w:t>
      </w:r>
      <w:r w:rsidR="00E97DA1">
        <w:t>.</w:t>
      </w:r>
      <w:r w:rsidRPr="001E4212">
        <w:t xml:space="preserve"> 901. </w:t>
      </w:r>
      <w:r w:rsidR="00E11655">
        <w:t xml:space="preserve">Significantly, </w:t>
      </w:r>
      <w:r w:rsidRPr="00321085" w:rsidR="00321085">
        <w:t>A</w:t>
      </w:r>
      <w:r w:rsidR="00321085">
        <w:t>.</w:t>
      </w:r>
      <w:r w:rsidRPr="00321085" w:rsidR="00321085">
        <w:t>B</w:t>
      </w:r>
      <w:r w:rsidR="00321085">
        <w:t>.</w:t>
      </w:r>
      <w:r w:rsidRPr="00321085" w:rsidR="00321085">
        <w:t xml:space="preserve"> 111</w:t>
      </w:r>
      <w:r w:rsidR="00A12D61">
        <w:t xml:space="preserve"> </w:t>
      </w:r>
      <w:r w:rsidR="00EC446B">
        <w:t>(in conjunction</w:t>
      </w:r>
      <w:r w:rsidRPr="00321085" w:rsidR="00321085">
        <w:t xml:space="preserve"> with A</w:t>
      </w:r>
      <w:r w:rsidR="00321085">
        <w:t>.</w:t>
      </w:r>
      <w:r w:rsidRPr="00321085" w:rsidR="00321085">
        <w:t>B</w:t>
      </w:r>
      <w:r w:rsidR="00321085">
        <w:t>.</w:t>
      </w:r>
      <w:r w:rsidRPr="00321085" w:rsidR="00321085">
        <w:t xml:space="preserve"> 1054 </w:t>
      </w:r>
      <w:r w:rsidR="007D594E">
        <w:t>that</w:t>
      </w:r>
      <w:r w:rsidRPr="00321085" w:rsidR="00321085">
        <w:t xml:space="preserve"> year</w:t>
      </w:r>
      <w:r w:rsidR="00EC446B">
        <w:t>)</w:t>
      </w:r>
      <w:r w:rsidRPr="00321085" w:rsidR="00321085">
        <w:t xml:space="preserve">, transferred </w:t>
      </w:r>
      <w:proofErr w:type="gramStart"/>
      <w:r w:rsidRPr="00321085" w:rsidR="00321085">
        <w:t>the responsibility</w:t>
      </w:r>
      <w:proofErr w:type="gramEnd"/>
      <w:r w:rsidRPr="00321085" w:rsidR="00321085">
        <w:t xml:space="preserve"> for evaluating and approving </w:t>
      </w:r>
      <w:r w:rsidR="007D594E">
        <w:t xml:space="preserve">a public </w:t>
      </w:r>
      <w:r w:rsidRPr="00321085" w:rsidR="00321085">
        <w:t>utilit</w:t>
      </w:r>
      <w:r w:rsidR="007D594E">
        <w:t>y’s</w:t>
      </w:r>
      <w:r w:rsidRPr="00321085" w:rsidR="00321085">
        <w:t xml:space="preserve"> </w:t>
      </w:r>
      <w:r w:rsidR="00A12D61">
        <w:t>WMP</w:t>
      </w:r>
      <w:r w:rsidRPr="00321085" w:rsidR="00321085">
        <w:t xml:space="preserve"> </w:t>
      </w:r>
      <w:r w:rsidR="00FC014D">
        <w:t>out of</w:t>
      </w:r>
      <w:r w:rsidRPr="00321085" w:rsidR="00321085">
        <w:t xml:space="preserve"> the </w:t>
      </w:r>
      <w:r w:rsidR="00037CF7">
        <w:t>Commission</w:t>
      </w:r>
      <w:r w:rsidR="00700BDF">
        <w:t xml:space="preserve"> </w:t>
      </w:r>
      <w:r w:rsidR="00A576E1">
        <w:t>WSD</w:t>
      </w:r>
      <w:r w:rsidR="00FC014D">
        <w:t>.</w:t>
      </w:r>
      <w:r w:rsidR="00A576E1">
        <w:t xml:space="preserve"> </w:t>
      </w:r>
      <w:r w:rsidR="00FC014D">
        <w:t>I</w:t>
      </w:r>
      <w:r w:rsidRPr="000C0268" w:rsidR="000C0268">
        <w:t>n July 2021, the WSD was transferred and reorganized into the Office of Energy Infrastructure Safety within the California Natural Resources Agency. </w:t>
      </w:r>
    </w:p>
    <w:p w:rsidR="00C97D31" w:rsidP="00C97D31" w:rsidRDefault="00D44B30" w14:paraId="0DE0BA03" w14:textId="73084295">
      <w:pPr>
        <w:pStyle w:val="Standard"/>
      </w:pPr>
      <w:r>
        <w:t xml:space="preserve">Once again, despite Complainant’s argument that the Commission should adjudicate Issue No. 2 to compel </w:t>
      </w:r>
      <w:r w:rsidR="00A852CA">
        <w:t xml:space="preserve">PG&amp;E to pay all costs to </w:t>
      </w:r>
      <w:r>
        <w:t>relocat</w:t>
      </w:r>
      <w:r w:rsidR="00A852CA">
        <w:t>e</w:t>
      </w:r>
      <w:r>
        <w:t xml:space="preserve"> the power pole, </w:t>
      </w:r>
      <w:r w:rsidR="00DA1E24">
        <w:t xml:space="preserve">nothing in the Complaint or proceeding record </w:t>
      </w:r>
      <w:r w:rsidR="0052475D">
        <w:t xml:space="preserve">alleges with </w:t>
      </w:r>
      <w:r w:rsidR="001E3B01">
        <w:t>particularity any act by or condition caused by PG&amp;E</w:t>
      </w:r>
      <w:r w:rsidR="004C3783">
        <w:t xml:space="preserve"> </w:t>
      </w:r>
      <w:r w:rsidR="00C24454">
        <w:t xml:space="preserve">regarding the </w:t>
      </w:r>
      <w:r w:rsidR="0065699D">
        <w:t xml:space="preserve">current </w:t>
      </w:r>
      <w:r w:rsidR="00C24454">
        <w:t xml:space="preserve">power </w:t>
      </w:r>
      <w:r w:rsidR="0065699D">
        <w:t>pole location</w:t>
      </w:r>
      <w:r w:rsidR="004C3783">
        <w:t xml:space="preserve"> is in violation of a WM</w:t>
      </w:r>
      <w:r w:rsidR="00495BE9">
        <w:t>P</w:t>
      </w:r>
      <w:r w:rsidR="004C3783">
        <w:t xml:space="preserve"> </w:t>
      </w:r>
      <w:r w:rsidR="0065699D">
        <w:t xml:space="preserve">or other aspect of S.B. </w:t>
      </w:r>
      <w:r w:rsidR="009E61F8">
        <w:t>901 or A.B. 111</w:t>
      </w:r>
      <w:r>
        <w:t xml:space="preserve">. No allegation or reasonable interpretation of the record shows a nexus between those </w:t>
      </w:r>
      <w:r w:rsidR="004628D7">
        <w:t>statutes</w:t>
      </w:r>
      <w:r>
        <w:t xml:space="preserve"> and the </w:t>
      </w:r>
      <w:r w:rsidR="004628D7">
        <w:t xml:space="preserve">requested </w:t>
      </w:r>
      <w:r>
        <w:t>power pole relocation under Issue No. 2.</w:t>
      </w:r>
      <w:r w:rsidR="000522EA">
        <w:t xml:space="preserve"> </w:t>
      </w:r>
    </w:p>
    <w:p w:rsidR="000E270A" w:rsidP="00442AE8" w:rsidRDefault="00891567" w14:paraId="3784DF86" w14:textId="08B58B9C">
      <w:pPr>
        <w:pStyle w:val="Standard"/>
      </w:pPr>
      <w:r>
        <w:t xml:space="preserve">As a result, the Complaint does not state a claim for the Commission to adjudicate Scoped Issue No. 2 to remedy any identifiable </w:t>
      </w:r>
      <w:r w:rsidR="00977533">
        <w:t>violation of a WM</w:t>
      </w:r>
      <w:r w:rsidR="00495BE9">
        <w:t>P</w:t>
      </w:r>
      <w:r w:rsidR="00977533">
        <w:t xml:space="preserve"> or other S.B. 901 or A.B. 111 legal requirement by</w:t>
      </w:r>
      <w:r>
        <w:t xml:space="preserve"> compelling Defendant to relocate the subject power pole.</w:t>
      </w:r>
      <w:r w:rsidR="00B737A5">
        <w:rPr>
          <w:rStyle w:val="FootnoteReference"/>
        </w:rPr>
        <w:footnoteReference w:id="29"/>
      </w:r>
      <w:r>
        <w:t xml:space="preserve"> </w:t>
      </w:r>
      <w:r w:rsidR="00C25A99">
        <w:t xml:space="preserve"> </w:t>
      </w:r>
      <w:r w:rsidR="00C811DB">
        <w:t xml:space="preserve"> </w:t>
      </w:r>
    </w:p>
    <w:p w:rsidRPr="0020477E" w:rsidR="00F43B69" w:rsidP="003209B2" w:rsidRDefault="001435D9" w14:paraId="1191A31A" w14:textId="00BCEDCB">
      <w:pPr>
        <w:pStyle w:val="Heading3"/>
        <w:rPr>
          <w:i/>
          <w:iCs/>
        </w:rPr>
      </w:pPr>
      <w:bookmarkStart w:name="_Toc227882780" w:id="22"/>
      <w:r>
        <w:lastRenderedPageBreak/>
        <w:t xml:space="preserve">Public </w:t>
      </w:r>
      <w:r w:rsidRPr="00837A1F">
        <w:t>Health</w:t>
      </w:r>
      <w:r>
        <w:t xml:space="preserve"> or </w:t>
      </w:r>
      <w:r w:rsidRPr="003209B2" w:rsidR="00E02DA5">
        <w:t>Safety</w:t>
      </w:r>
      <w:r w:rsidR="00E02DA5">
        <w:t xml:space="preserve"> Issues</w:t>
      </w:r>
      <w:bookmarkEnd w:id="22"/>
    </w:p>
    <w:p w:rsidR="00820173" w:rsidP="00820173" w:rsidRDefault="0013679B" w14:paraId="510FA547" w14:textId="27802620">
      <w:pPr>
        <w:pStyle w:val="Standard"/>
      </w:pPr>
      <w:r>
        <w:t xml:space="preserve">Complainant’s Opposition further states in conclusory fashion and without specific provision citations, factual allegations, or record support that PG&amp;E must relocate the power pole to </w:t>
      </w:r>
      <w:r w:rsidR="00421B0F">
        <w:t xml:space="preserve">remedy any unresolved </w:t>
      </w:r>
      <w:r w:rsidRPr="00F32989" w:rsidR="00421B0F">
        <w:t>public health or safety issue</w:t>
      </w:r>
      <w:r w:rsidR="00F64E83">
        <w:t>(s)</w:t>
      </w:r>
      <w:r w:rsidR="00820173">
        <w:t>.</w:t>
      </w:r>
    </w:p>
    <w:p w:rsidR="005D63ED" w:rsidP="008A488A" w:rsidRDefault="005C53C3" w14:paraId="56B8E5A6" w14:textId="049B56E0">
      <w:pPr>
        <w:widowControl w:val="0"/>
      </w:pPr>
      <w:r>
        <w:t>R</w:t>
      </w:r>
      <w:r w:rsidR="00786397">
        <w:t>eading the</w:t>
      </w:r>
      <w:r w:rsidR="005033B6">
        <w:t xml:space="preserve"> allegations </w:t>
      </w:r>
      <w:r w:rsidR="00786397">
        <w:t xml:space="preserve">in the Complaint </w:t>
      </w:r>
      <w:r w:rsidR="00511BFA">
        <w:t xml:space="preserve">and appended documents </w:t>
      </w:r>
      <w:proofErr w:type="gramStart"/>
      <w:r w:rsidR="00786397">
        <w:t>as a whole</w:t>
      </w:r>
      <w:r w:rsidR="00216972">
        <w:t xml:space="preserve"> does</w:t>
      </w:r>
      <w:proofErr w:type="gramEnd"/>
      <w:r w:rsidR="00216972">
        <w:t xml:space="preserve"> not </w:t>
      </w:r>
      <w:r w:rsidR="00D962BC">
        <w:t>reveal</w:t>
      </w:r>
      <w:r w:rsidR="00216972">
        <w:t xml:space="preserve"> with adequate specificity </w:t>
      </w:r>
      <w:r w:rsidR="006E37BC">
        <w:t xml:space="preserve">any </w:t>
      </w:r>
      <w:r w:rsidRPr="00F32989" w:rsidR="006E37BC">
        <w:t>public health or safety issues related to</w:t>
      </w:r>
      <w:r w:rsidR="009D205C">
        <w:t xml:space="preserve"> the individual pole Irizarry seeks to relocate.</w:t>
      </w:r>
      <w:r w:rsidR="00AA11B7">
        <w:t xml:space="preserve"> </w:t>
      </w:r>
      <w:r w:rsidR="008E59D3">
        <w:t xml:space="preserve">The insufficiency of those allegations </w:t>
      </w:r>
      <w:r w:rsidR="00B234FC">
        <w:t xml:space="preserve">prevents Defendant from </w:t>
      </w:r>
      <w:r w:rsidR="00981504">
        <w:t xml:space="preserve">having enough notice of </w:t>
      </w:r>
      <w:r w:rsidR="00992B6B">
        <w:t xml:space="preserve">the claim to </w:t>
      </w:r>
      <w:r w:rsidR="00B234FC">
        <w:t xml:space="preserve">mount a </w:t>
      </w:r>
      <w:r w:rsidR="00AE000E">
        <w:t>defense</w:t>
      </w:r>
      <w:r w:rsidR="00201C94">
        <w:t>.</w:t>
      </w:r>
      <w:r w:rsidR="00AE000E">
        <w:t xml:space="preserve"> </w:t>
      </w:r>
    </w:p>
    <w:p w:rsidR="005C53C3" w:rsidP="005C53C3" w:rsidRDefault="005C53C3" w14:paraId="5C05F9C9" w14:textId="68795168">
      <w:pPr>
        <w:widowControl w:val="0"/>
      </w:pPr>
      <w:r w:rsidRPr="00F32989">
        <w:t xml:space="preserve">We </w:t>
      </w:r>
      <w:r>
        <w:t>also</w:t>
      </w:r>
      <w:r w:rsidRPr="00F32989">
        <w:t xml:space="preserve"> recognize that both </w:t>
      </w:r>
      <w:r w:rsidR="002B12C8">
        <w:t>P</w:t>
      </w:r>
      <w:r w:rsidRPr="00F32989">
        <w:t xml:space="preserve">arties </w:t>
      </w:r>
      <w:r>
        <w:t>reported to</w:t>
      </w:r>
      <w:r w:rsidRPr="00F32989">
        <w:t xml:space="preserve"> the Commission that </w:t>
      </w:r>
      <w:r w:rsidR="00132C05">
        <w:t xml:space="preserve">resolution of Scoped Issue No. 1 </w:t>
      </w:r>
      <w:r w:rsidR="00FE44A7">
        <w:t xml:space="preserve">also </w:t>
      </w:r>
      <w:r w:rsidR="002B12C8">
        <w:t>resolved all public health and safety issues</w:t>
      </w:r>
      <w:r w:rsidR="00FE44A7">
        <w:t xml:space="preserve"> under Scoped Issue No. 3</w:t>
      </w:r>
      <w:r w:rsidR="002B12C8">
        <w:t xml:space="preserve">. </w:t>
      </w:r>
      <w:r w:rsidRPr="00F32989">
        <w:t>Complainant</w:t>
      </w:r>
      <w:r w:rsidR="001478B6">
        <w:t xml:space="preserve"> also</w:t>
      </w:r>
      <w:r w:rsidRPr="00F32989">
        <w:t xml:space="preserve"> conceded </w:t>
      </w:r>
      <w:r w:rsidR="001478B6">
        <w:t xml:space="preserve">in its Opposition </w:t>
      </w:r>
      <w:r w:rsidRPr="00F32989">
        <w:t>that there exist no unresolved public health or safety issues related to this proceeding</w:t>
      </w:r>
      <w:r w:rsidR="003421A5">
        <w:t>.</w:t>
      </w:r>
      <w:r w:rsidR="001478B6">
        <w:rPr>
          <w:rStyle w:val="FootnoteReference"/>
        </w:rPr>
        <w:footnoteReference w:id="30"/>
      </w:r>
      <w:r w:rsidR="00E51F0C">
        <w:t xml:space="preserve"> </w:t>
      </w:r>
      <w:r w:rsidR="00E942CB">
        <w:t xml:space="preserve">Any prior </w:t>
      </w:r>
      <w:r w:rsidR="002D2101">
        <w:t xml:space="preserve">claim alleging such public health or safety issues is now mooted by the </w:t>
      </w:r>
      <w:proofErr w:type="gramStart"/>
      <w:r w:rsidR="002D2101">
        <w:t>Parties’</w:t>
      </w:r>
      <w:proofErr w:type="gramEnd"/>
      <w:r w:rsidR="002D2101">
        <w:t xml:space="preserve"> </w:t>
      </w:r>
      <w:r w:rsidR="00B20CE8">
        <w:t>stated resolution of them.</w:t>
      </w:r>
      <w:r w:rsidR="002B12C8">
        <w:t xml:space="preserve"> Therefore, </w:t>
      </w:r>
      <w:r w:rsidRPr="00F32989" w:rsidR="002B12C8">
        <w:t xml:space="preserve">no dispute remains </w:t>
      </w:r>
      <w:r w:rsidR="002B12C8">
        <w:t xml:space="preserve">under </w:t>
      </w:r>
      <w:r w:rsidRPr="00F32989" w:rsidR="002B12C8">
        <w:t>Scop</w:t>
      </w:r>
      <w:r w:rsidR="0067344E">
        <w:t>ed</w:t>
      </w:r>
      <w:r w:rsidRPr="00F32989" w:rsidR="002B12C8">
        <w:t xml:space="preserve"> Issue No. 3</w:t>
      </w:r>
      <w:r w:rsidR="002B12C8">
        <w:t>, focused on unresolved public health and safety</w:t>
      </w:r>
      <w:r w:rsidRPr="00F32989" w:rsidR="002B12C8">
        <w:t>.</w:t>
      </w:r>
    </w:p>
    <w:p w:rsidR="00813378" w:rsidP="008A488A" w:rsidRDefault="00813378" w14:paraId="73AE6ADE" w14:textId="7DE92523">
      <w:pPr>
        <w:widowControl w:val="0"/>
      </w:pPr>
      <w:r>
        <w:t xml:space="preserve">Accordingly, </w:t>
      </w:r>
      <w:r w:rsidR="00324611">
        <w:t xml:space="preserve">Complainant </w:t>
      </w:r>
      <w:r w:rsidR="00F22842">
        <w:t xml:space="preserve">does not state a claim for the Commission to adjudicate Scoped Issue No. 2 to remedy </w:t>
      </w:r>
      <w:r w:rsidR="004B5A99">
        <w:t xml:space="preserve">any </w:t>
      </w:r>
      <w:r w:rsidR="001435D9">
        <w:t xml:space="preserve">unresolved </w:t>
      </w:r>
      <w:r w:rsidRPr="00F32989" w:rsidR="00324611">
        <w:t>public health or safety issue</w:t>
      </w:r>
      <w:r w:rsidR="004B5A99">
        <w:t xml:space="preserve"> </w:t>
      </w:r>
      <w:r w:rsidR="00F15D31">
        <w:t xml:space="preserve">or violation </w:t>
      </w:r>
      <w:r w:rsidR="00F22842">
        <w:t xml:space="preserve">by </w:t>
      </w:r>
      <w:r w:rsidR="003B0194">
        <w:t xml:space="preserve">compelling </w:t>
      </w:r>
      <w:r w:rsidR="00A53202">
        <w:t>Defendant to relocate the subject power pole</w:t>
      </w:r>
      <w:r w:rsidR="001435D9">
        <w:t>.</w:t>
      </w:r>
    </w:p>
    <w:p w:rsidR="003D4F52" w:rsidP="00C93100" w:rsidRDefault="003D4F52" w14:paraId="6A2D02F3" w14:textId="708ABE07">
      <w:pPr>
        <w:pStyle w:val="Heading1"/>
      </w:pPr>
      <w:bookmarkStart w:name="_Toc227882781" w:id="23"/>
      <w:r w:rsidRPr="003209B2">
        <w:lastRenderedPageBreak/>
        <w:t>Conclusion</w:t>
      </w:r>
      <w:bookmarkEnd w:id="23"/>
    </w:p>
    <w:p w:rsidR="003741BC" w:rsidP="003D4F52" w:rsidRDefault="003C19CF" w14:paraId="45AB557B" w14:textId="7A684AD7">
      <w:pPr>
        <w:pStyle w:val="Standard"/>
        <w:rPr>
          <w:rFonts w:cs="Times New Roman"/>
        </w:rPr>
      </w:pPr>
      <w:r>
        <w:rPr>
          <w:rFonts w:cs="Times New Roman"/>
        </w:rPr>
        <w:t>The Parties</w:t>
      </w:r>
      <w:r w:rsidR="00181D66">
        <w:rPr>
          <w:rFonts w:cs="Times New Roman"/>
        </w:rPr>
        <w:t>’</w:t>
      </w:r>
      <w:r>
        <w:rPr>
          <w:rFonts w:cs="Times New Roman"/>
        </w:rPr>
        <w:t xml:space="preserve"> joint statements in the proceeding record establish that Scoped Issue Nos. </w:t>
      </w:r>
      <w:r w:rsidR="00675C72">
        <w:rPr>
          <w:rFonts w:cs="Times New Roman"/>
        </w:rPr>
        <w:t>1 and 3 have been resolved, require no adjudication, and are now moot.</w:t>
      </w:r>
    </w:p>
    <w:p w:rsidR="00264933" w:rsidP="003D4F52" w:rsidRDefault="004315EB" w14:paraId="7FD65D4A" w14:textId="190DE8DE">
      <w:pPr>
        <w:pStyle w:val="Standard"/>
        <w:rPr>
          <w:rFonts w:cs="Times New Roman"/>
        </w:rPr>
      </w:pPr>
      <w:r>
        <w:rPr>
          <w:rFonts w:cs="Times New Roman"/>
        </w:rPr>
        <w:t>In our review</w:t>
      </w:r>
      <w:r w:rsidR="005F537F">
        <w:rPr>
          <w:rFonts w:cs="Times New Roman"/>
        </w:rPr>
        <w:t xml:space="preserve"> of the record </w:t>
      </w:r>
      <w:r w:rsidR="00D75961">
        <w:rPr>
          <w:rFonts w:cs="Times New Roman"/>
        </w:rPr>
        <w:t>relevant to the Motion and</w:t>
      </w:r>
      <w:r w:rsidR="005F537F">
        <w:rPr>
          <w:rFonts w:cs="Times New Roman"/>
        </w:rPr>
        <w:t xml:space="preserve"> Scoped Issue No. 2</w:t>
      </w:r>
      <w:r>
        <w:rPr>
          <w:rFonts w:cs="Times New Roman"/>
        </w:rPr>
        <w:t>,</w:t>
      </w:r>
      <w:r w:rsidRPr="00937DAD">
        <w:rPr>
          <w:rFonts w:cs="Times New Roman"/>
        </w:rPr>
        <w:t xml:space="preserve"> </w:t>
      </w:r>
      <w:r>
        <w:rPr>
          <w:szCs w:val="27"/>
        </w:rPr>
        <w:t>w</w:t>
      </w:r>
      <w:r w:rsidR="00D46A3C">
        <w:rPr>
          <w:szCs w:val="27"/>
        </w:rPr>
        <w:t>e have</w:t>
      </w:r>
      <w:r w:rsidR="00CD423C">
        <w:rPr>
          <w:szCs w:val="27"/>
        </w:rPr>
        <w:t xml:space="preserve"> </w:t>
      </w:r>
      <w:r>
        <w:rPr>
          <w:rFonts w:cs="Times New Roman"/>
        </w:rPr>
        <w:t>taken</w:t>
      </w:r>
      <w:r w:rsidRPr="00F570BB" w:rsidR="00CD423C">
        <w:rPr>
          <w:rFonts w:cs="Times New Roman"/>
        </w:rPr>
        <w:t xml:space="preserve"> the fact</w:t>
      </w:r>
      <w:r w:rsidR="005D1B55">
        <w:rPr>
          <w:rFonts w:cs="Times New Roman"/>
        </w:rPr>
        <w:t xml:space="preserve">ual allegations </w:t>
      </w:r>
      <w:r w:rsidRPr="00F570BB" w:rsidR="00CD423C">
        <w:rPr>
          <w:rFonts w:cs="Times New Roman"/>
        </w:rPr>
        <w:t>as stated</w:t>
      </w:r>
      <w:r w:rsidR="00C7202A">
        <w:rPr>
          <w:rFonts w:cs="Times New Roman"/>
        </w:rPr>
        <w:t xml:space="preserve"> in the Complaint and </w:t>
      </w:r>
      <w:r w:rsidR="005F35E1">
        <w:rPr>
          <w:rFonts w:cs="Times New Roman"/>
        </w:rPr>
        <w:t xml:space="preserve">its </w:t>
      </w:r>
      <w:r w:rsidR="00C7202A">
        <w:rPr>
          <w:rFonts w:cs="Times New Roman"/>
        </w:rPr>
        <w:t>attachments</w:t>
      </w:r>
      <w:r w:rsidR="00504420">
        <w:rPr>
          <w:rFonts w:cs="Times New Roman"/>
        </w:rPr>
        <w:t xml:space="preserve"> </w:t>
      </w:r>
      <w:r w:rsidR="00F32181">
        <w:rPr>
          <w:rFonts w:cs="Times New Roman"/>
        </w:rPr>
        <w:t xml:space="preserve">as true </w:t>
      </w:r>
      <w:r w:rsidR="00504420">
        <w:rPr>
          <w:rFonts w:cs="Times New Roman"/>
        </w:rPr>
        <w:t xml:space="preserve">and </w:t>
      </w:r>
      <w:r w:rsidRPr="00F570BB" w:rsidR="00CD423C">
        <w:rPr>
          <w:rFonts w:cs="Times New Roman"/>
        </w:rPr>
        <w:t>examin</w:t>
      </w:r>
      <w:r w:rsidR="00D46A3C">
        <w:rPr>
          <w:rFonts w:cs="Times New Roman"/>
        </w:rPr>
        <w:t>ed</w:t>
      </w:r>
      <w:r w:rsidRPr="00F570BB" w:rsidR="00CD423C">
        <w:rPr>
          <w:rFonts w:cs="Times New Roman"/>
        </w:rPr>
        <w:t xml:space="preserve"> them </w:t>
      </w:r>
      <w:r w:rsidR="00F32181">
        <w:rPr>
          <w:rFonts w:cs="Times New Roman"/>
        </w:rPr>
        <w:t>in the</w:t>
      </w:r>
      <w:r w:rsidR="00035A5C">
        <w:rPr>
          <w:rFonts w:cs="Times New Roman"/>
        </w:rPr>
        <w:t>ir</w:t>
      </w:r>
      <w:r w:rsidR="00F32181">
        <w:rPr>
          <w:rFonts w:cs="Times New Roman"/>
        </w:rPr>
        <w:t xml:space="preserve"> best light</w:t>
      </w:r>
      <w:r w:rsidR="00035A5C">
        <w:rPr>
          <w:rFonts w:cs="Times New Roman"/>
        </w:rPr>
        <w:t>, including as</w:t>
      </w:r>
      <w:r w:rsidR="00F32181">
        <w:rPr>
          <w:rFonts w:cs="Times New Roman"/>
        </w:rPr>
        <w:t xml:space="preserve"> cast by Irizarry’s </w:t>
      </w:r>
      <w:r w:rsidR="00B36757">
        <w:rPr>
          <w:rFonts w:cs="Times New Roman"/>
        </w:rPr>
        <w:t>O</w:t>
      </w:r>
      <w:r w:rsidR="00F32181">
        <w:rPr>
          <w:rFonts w:cs="Times New Roman"/>
        </w:rPr>
        <w:t>pposition to the Motion</w:t>
      </w:r>
      <w:r w:rsidR="00D67BA6">
        <w:rPr>
          <w:rFonts w:cs="Times New Roman"/>
        </w:rPr>
        <w:t>,</w:t>
      </w:r>
      <w:r w:rsidRPr="00F570BB" w:rsidR="00F32181">
        <w:rPr>
          <w:rFonts w:cs="Times New Roman"/>
        </w:rPr>
        <w:t xml:space="preserve"> </w:t>
      </w:r>
      <w:r w:rsidR="00F32181">
        <w:rPr>
          <w:rFonts w:cs="Times New Roman"/>
        </w:rPr>
        <w:t xml:space="preserve">and </w:t>
      </w:r>
      <w:r w:rsidR="009171DC">
        <w:rPr>
          <w:rFonts w:cs="Times New Roman"/>
        </w:rPr>
        <w:t>under the</w:t>
      </w:r>
      <w:r w:rsidRPr="00F570BB" w:rsidR="00CD423C">
        <w:rPr>
          <w:rFonts w:cs="Times New Roman"/>
        </w:rPr>
        <w:t xml:space="preserve"> applicable law and policy</w:t>
      </w:r>
      <w:r w:rsidR="000D3448">
        <w:rPr>
          <w:rFonts w:cs="Times New Roman"/>
        </w:rPr>
        <w:t xml:space="preserve"> governing </w:t>
      </w:r>
      <w:r w:rsidR="00FD6D91">
        <w:rPr>
          <w:rFonts w:cs="Times New Roman"/>
        </w:rPr>
        <w:t>Scop</w:t>
      </w:r>
      <w:r w:rsidR="0067344E">
        <w:rPr>
          <w:rFonts w:cs="Times New Roman"/>
        </w:rPr>
        <w:t>ed</w:t>
      </w:r>
      <w:r w:rsidR="00FD6D91">
        <w:rPr>
          <w:rFonts w:cs="Times New Roman"/>
        </w:rPr>
        <w:t xml:space="preserve"> Issue No. 2</w:t>
      </w:r>
      <w:r w:rsidRPr="00F570BB" w:rsidR="00CD423C">
        <w:rPr>
          <w:rFonts w:cs="Times New Roman"/>
        </w:rPr>
        <w:t>.</w:t>
      </w:r>
      <w:r w:rsidRPr="00F570BB" w:rsidR="00CD423C">
        <w:rPr>
          <w:rFonts w:cs="Times New Roman"/>
          <w:vertAlign w:val="superscript"/>
        </w:rPr>
        <w:footnoteReference w:id="31"/>
      </w:r>
      <w:r w:rsidR="0023727E">
        <w:rPr>
          <w:rFonts w:cs="Times New Roman"/>
        </w:rPr>
        <w:t xml:space="preserve"> </w:t>
      </w:r>
      <w:r w:rsidRPr="00937DAD" w:rsidR="0023727E">
        <w:rPr>
          <w:rFonts w:cs="Times New Roman"/>
        </w:rPr>
        <w:t xml:space="preserve"> </w:t>
      </w:r>
    </w:p>
    <w:p w:rsidR="004A20CB" w:rsidP="003D4F52" w:rsidRDefault="004C4BC8" w14:paraId="6D5EA430" w14:textId="4121A199">
      <w:pPr>
        <w:pStyle w:val="Standard"/>
        <w:rPr>
          <w:rFonts w:cs="Times New Roman"/>
        </w:rPr>
      </w:pPr>
      <w:r>
        <w:rPr>
          <w:szCs w:val="27"/>
        </w:rPr>
        <w:t xml:space="preserve">The </w:t>
      </w:r>
      <w:r w:rsidR="00231A8B">
        <w:rPr>
          <w:szCs w:val="27"/>
        </w:rPr>
        <w:t>Complain</w:t>
      </w:r>
      <w:r>
        <w:rPr>
          <w:szCs w:val="27"/>
        </w:rPr>
        <w:t xml:space="preserve">t and </w:t>
      </w:r>
      <w:r w:rsidR="00ED01FA">
        <w:rPr>
          <w:szCs w:val="27"/>
        </w:rPr>
        <w:t>associated documents in the proceeding record do</w:t>
      </w:r>
      <w:r w:rsidR="00231A8B">
        <w:rPr>
          <w:szCs w:val="27"/>
        </w:rPr>
        <w:t xml:space="preserve"> not </w:t>
      </w:r>
      <w:r w:rsidR="000B65AB">
        <w:rPr>
          <w:szCs w:val="27"/>
        </w:rPr>
        <w:t xml:space="preserve">identify a </w:t>
      </w:r>
      <w:r w:rsidR="00663F89">
        <w:rPr>
          <w:szCs w:val="27"/>
        </w:rPr>
        <w:t xml:space="preserve">factual </w:t>
      </w:r>
      <w:r w:rsidR="000B65AB">
        <w:rPr>
          <w:szCs w:val="27"/>
        </w:rPr>
        <w:t xml:space="preserve">basis to </w:t>
      </w:r>
      <w:r w:rsidR="005651CE">
        <w:rPr>
          <w:szCs w:val="27"/>
        </w:rPr>
        <w:t>maintain</w:t>
      </w:r>
      <w:r w:rsidR="00A158CA">
        <w:rPr>
          <w:szCs w:val="27"/>
        </w:rPr>
        <w:t xml:space="preserve"> </w:t>
      </w:r>
      <w:r w:rsidR="005D71DB">
        <w:rPr>
          <w:szCs w:val="27"/>
        </w:rPr>
        <w:t>a</w:t>
      </w:r>
      <w:r w:rsidR="00A158CA">
        <w:rPr>
          <w:szCs w:val="27"/>
        </w:rPr>
        <w:t xml:space="preserve"> claim</w:t>
      </w:r>
      <w:r w:rsidR="00533ACF">
        <w:rPr>
          <w:szCs w:val="27"/>
        </w:rPr>
        <w:t xml:space="preserve"> </w:t>
      </w:r>
      <w:r w:rsidR="00CD0E36">
        <w:rPr>
          <w:rFonts w:cs="Times New Roman"/>
        </w:rPr>
        <w:t xml:space="preserve">that </w:t>
      </w:r>
      <w:r w:rsidR="00781E73">
        <w:rPr>
          <w:rFonts w:cs="Times New Roman"/>
        </w:rPr>
        <w:t xml:space="preserve">the current pole location is </w:t>
      </w:r>
      <w:r w:rsidR="00120E02">
        <w:rPr>
          <w:rFonts w:cs="Times New Roman"/>
        </w:rPr>
        <w:t xml:space="preserve">a </w:t>
      </w:r>
      <w:r w:rsidRPr="00435BC2" w:rsidR="004A20CB">
        <w:rPr>
          <w:rFonts w:cs="Times New Roman"/>
        </w:rPr>
        <w:t xml:space="preserve">violation, or </w:t>
      </w:r>
      <w:r w:rsidR="004A20CB">
        <w:rPr>
          <w:rFonts w:cs="Times New Roman"/>
        </w:rPr>
        <w:t xml:space="preserve">a </w:t>
      </w:r>
      <w:r w:rsidRPr="00435BC2" w:rsidR="004A20CB">
        <w:rPr>
          <w:rFonts w:cs="Times New Roman"/>
        </w:rPr>
        <w:t xml:space="preserve">claimed violation </w:t>
      </w:r>
      <w:r w:rsidRPr="000C45BB" w:rsidR="004A20CB">
        <w:rPr>
          <w:rFonts w:cs="Times New Roman"/>
        </w:rPr>
        <w:t>of any provision of law or of any order or rule of the Commission</w:t>
      </w:r>
      <w:r w:rsidR="004A20CB">
        <w:rPr>
          <w:rFonts w:cs="Times New Roman"/>
        </w:rPr>
        <w:t>, as required under Rule 4.1(a)(1).</w:t>
      </w:r>
      <w:r w:rsidR="005D71DB">
        <w:rPr>
          <w:rFonts w:cs="Times New Roman"/>
        </w:rPr>
        <w:t xml:space="preserve"> </w:t>
      </w:r>
    </w:p>
    <w:p w:rsidR="003D4F52" w:rsidP="003D4F52" w:rsidRDefault="004600AC" w14:paraId="5BD721DB" w14:textId="054B0F66">
      <w:pPr>
        <w:pStyle w:val="Standard"/>
        <w:rPr>
          <w:rFonts w:cs="Times New Roman"/>
        </w:rPr>
      </w:pPr>
      <w:r>
        <w:rPr>
          <w:rFonts w:cs="Times New Roman"/>
        </w:rPr>
        <w:t xml:space="preserve">Irizarry has </w:t>
      </w:r>
      <w:r w:rsidR="00663F89">
        <w:rPr>
          <w:rFonts w:cs="Times New Roman"/>
        </w:rPr>
        <w:t xml:space="preserve">made only </w:t>
      </w:r>
      <w:r w:rsidR="00794C8E">
        <w:rPr>
          <w:rFonts w:cs="Times New Roman"/>
        </w:rPr>
        <w:t>broad citation</w:t>
      </w:r>
      <w:r w:rsidR="00E911B6">
        <w:rPr>
          <w:rFonts w:cs="Times New Roman"/>
        </w:rPr>
        <w:t xml:space="preserve">s to authorities and </w:t>
      </w:r>
      <w:r w:rsidR="00663F89">
        <w:rPr>
          <w:rFonts w:cs="Times New Roman"/>
        </w:rPr>
        <w:t>conclusory</w:t>
      </w:r>
      <w:r w:rsidR="009600F8">
        <w:rPr>
          <w:rFonts w:cs="Times New Roman"/>
        </w:rPr>
        <w:t xml:space="preserve"> allegations. He has </w:t>
      </w:r>
      <w:r>
        <w:rPr>
          <w:rFonts w:cs="Times New Roman"/>
        </w:rPr>
        <w:t xml:space="preserve">not </w:t>
      </w:r>
      <w:r w:rsidR="00D67BA6">
        <w:rPr>
          <w:rFonts w:cs="Times New Roman"/>
        </w:rPr>
        <w:t>alleged</w:t>
      </w:r>
      <w:r w:rsidR="0030459A">
        <w:rPr>
          <w:rFonts w:cs="Times New Roman"/>
        </w:rPr>
        <w:t xml:space="preserve"> with sufficiency a </w:t>
      </w:r>
      <w:r w:rsidR="00DF58C5">
        <w:rPr>
          <w:rFonts w:cs="Times New Roman"/>
        </w:rPr>
        <w:t xml:space="preserve">factual </w:t>
      </w:r>
      <w:r w:rsidR="0030459A">
        <w:rPr>
          <w:rFonts w:cs="Times New Roman"/>
        </w:rPr>
        <w:t xml:space="preserve">basis to adjudicate any violation of </w:t>
      </w:r>
      <w:r w:rsidR="005F6F86">
        <w:rPr>
          <w:rFonts w:cs="Times New Roman"/>
        </w:rPr>
        <w:t>S.B. 901</w:t>
      </w:r>
      <w:r>
        <w:rPr>
          <w:rFonts w:cs="Times New Roman"/>
        </w:rPr>
        <w:t>,</w:t>
      </w:r>
      <w:r w:rsidR="005F6F86">
        <w:rPr>
          <w:rFonts w:cs="Times New Roman"/>
        </w:rPr>
        <w:t xml:space="preserve"> A.</w:t>
      </w:r>
      <w:r w:rsidR="004D3F58">
        <w:rPr>
          <w:rFonts w:cs="Times New Roman"/>
        </w:rPr>
        <w:t>B</w:t>
      </w:r>
      <w:r w:rsidR="005F6F86">
        <w:rPr>
          <w:rFonts w:cs="Times New Roman"/>
        </w:rPr>
        <w:t xml:space="preserve">. 111, </w:t>
      </w:r>
      <w:r>
        <w:t xml:space="preserve">14 C.C.R. </w:t>
      </w:r>
      <w:r w:rsidR="00004F93">
        <w:t>S</w:t>
      </w:r>
      <w:r>
        <w:t xml:space="preserve">ections 1257 </w:t>
      </w:r>
      <w:r w:rsidR="00344591">
        <w:t>or</w:t>
      </w:r>
      <w:r>
        <w:t xml:space="preserve"> 1258</w:t>
      </w:r>
      <w:r w:rsidR="00344591">
        <w:t xml:space="preserve">, </w:t>
      </w:r>
      <w:r w:rsidR="00AD0CAB">
        <w:t xml:space="preserve">and cannot </w:t>
      </w:r>
      <w:r w:rsidR="00BC6646">
        <w:t xml:space="preserve">now allege </w:t>
      </w:r>
      <w:r w:rsidR="00344591">
        <w:t xml:space="preserve">any </w:t>
      </w:r>
      <w:r w:rsidR="005C1C2F">
        <w:t xml:space="preserve">noncompliance with </w:t>
      </w:r>
      <w:r w:rsidR="00344591">
        <w:t xml:space="preserve">public health or safety </w:t>
      </w:r>
      <w:proofErr w:type="gramStart"/>
      <w:r w:rsidR="00344591">
        <w:t>standard</w:t>
      </w:r>
      <w:proofErr w:type="gramEnd"/>
      <w:r w:rsidR="00113C3D">
        <w:t xml:space="preserve">.  There </w:t>
      </w:r>
      <w:r w:rsidR="003B1805">
        <w:t>is</w:t>
      </w:r>
      <w:r w:rsidR="00113C3D">
        <w:t xml:space="preserve"> therefore no stated claim</w:t>
      </w:r>
      <w:r>
        <w:t xml:space="preserve"> </w:t>
      </w:r>
      <w:r w:rsidR="00A4462F">
        <w:t>to</w:t>
      </w:r>
      <w:r w:rsidR="00344591">
        <w:t xml:space="preserve"> </w:t>
      </w:r>
      <w:r w:rsidR="00DB1D19">
        <w:t>require</w:t>
      </w:r>
      <w:r w:rsidR="00344591">
        <w:t xml:space="preserve"> </w:t>
      </w:r>
      <w:r w:rsidR="00DB1D19">
        <w:t xml:space="preserve">Defendant to relocate the subject power pole </w:t>
      </w:r>
      <w:r w:rsidR="00CA4AD2">
        <w:t xml:space="preserve">to remedy a legal violation. </w:t>
      </w:r>
    </w:p>
    <w:p w:rsidR="009540C0" w:rsidP="003D4F52" w:rsidRDefault="001F1FDC" w14:paraId="43A5F70F" w14:textId="4B7B7692">
      <w:pPr>
        <w:pStyle w:val="Standard"/>
        <w:rPr>
          <w:szCs w:val="27"/>
        </w:rPr>
      </w:pPr>
      <w:r>
        <w:rPr>
          <w:szCs w:val="27"/>
        </w:rPr>
        <w:t>Without</w:t>
      </w:r>
      <w:r w:rsidR="0088408F">
        <w:rPr>
          <w:szCs w:val="27"/>
        </w:rPr>
        <w:t xml:space="preserve"> </w:t>
      </w:r>
      <w:r w:rsidR="00EC70F8">
        <w:rPr>
          <w:szCs w:val="27"/>
        </w:rPr>
        <w:t xml:space="preserve">sufficient </w:t>
      </w:r>
      <w:r w:rsidR="00652697">
        <w:rPr>
          <w:szCs w:val="27"/>
        </w:rPr>
        <w:t xml:space="preserve">facts </w:t>
      </w:r>
      <w:r w:rsidR="00426E13">
        <w:rPr>
          <w:szCs w:val="27"/>
        </w:rPr>
        <w:t xml:space="preserve">alleged to </w:t>
      </w:r>
      <w:r w:rsidR="00570422">
        <w:rPr>
          <w:szCs w:val="27"/>
        </w:rPr>
        <w:t>constitut</w:t>
      </w:r>
      <w:r w:rsidR="00426E13">
        <w:rPr>
          <w:szCs w:val="27"/>
        </w:rPr>
        <w:t>e</w:t>
      </w:r>
      <w:r w:rsidR="00570422">
        <w:rPr>
          <w:szCs w:val="27"/>
        </w:rPr>
        <w:t xml:space="preserve"> </w:t>
      </w:r>
      <w:r w:rsidR="00FE78B5">
        <w:rPr>
          <w:szCs w:val="27"/>
        </w:rPr>
        <w:t xml:space="preserve">a </w:t>
      </w:r>
      <w:r w:rsidRPr="00435BC2" w:rsidR="00AA0E26">
        <w:rPr>
          <w:rFonts w:cs="Times New Roman"/>
        </w:rPr>
        <w:t>violation</w:t>
      </w:r>
      <w:r w:rsidR="00EC70F8">
        <w:rPr>
          <w:rFonts w:cs="Times New Roman"/>
        </w:rPr>
        <w:t xml:space="preserve"> </w:t>
      </w:r>
      <w:r w:rsidRPr="00435BC2" w:rsidR="00AA0E26">
        <w:rPr>
          <w:rFonts w:cs="Times New Roman"/>
        </w:rPr>
        <w:t xml:space="preserve">or </w:t>
      </w:r>
      <w:r w:rsidR="00AA0E26">
        <w:rPr>
          <w:rFonts w:cs="Times New Roman"/>
        </w:rPr>
        <w:t xml:space="preserve">a </w:t>
      </w:r>
      <w:r w:rsidRPr="00435BC2" w:rsidR="00AA0E26">
        <w:rPr>
          <w:rFonts w:cs="Times New Roman"/>
        </w:rPr>
        <w:t>claimed violation</w:t>
      </w:r>
      <w:r w:rsidR="00FE78B5">
        <w:rPr>
          <w:szCs w:val="27"/>
        </w:rPr>
        <w:t xml:space="preserve">, </w:t>
      </w:r>
      <w:r w:rsidR="00426E13">
        <w:rPr>
          <w:szCs w:val="27"/>
        </w:rPr>
        <w:t xml:space="preserve">PG&amp;E is not required by </w:t>
      </w:r>
      <w:r w:rsidRPr="000C45BB" w:rsidR="00426E13">
        <w:rPr>
          <w:rFonts w:cs="Times New Roman"/>
        </w:rPr>
        <w:t>any provision of law or of any order or rule of the Commission</w:t>
      </w:r>
      <w:r w:rsidR="00426E13">
        <w:rPr>
          <w:szCs w:val="27"/>
        </w:rPr>
        <w:t xml:space="preserve"> to </w:t>
      </w:r>
      <w:r w:rsidR="00676755">
        <w:rPr>
          <w:szCs w:val="27"/>
        </w:rPr>
        <w:t>relocat</w:t>
      </w:r>
      <w:r w:rsidR="008D1483">
        <w:rPr>
          <w:szCs w:val="27"/>
        </w:rPr>
        <w:t>e</w:t>
      </w:r>
      <w:r w:rsidR="00676755">
        <w:rPr>
          <w:szCs w:val="27"/>
        </w:rPr>
        <w:t xml:space="preserve"> the </w:t>
      </w:r>
      <w:r w:rsidR="000B5431">
        <w:rPr>
          <w:szCs w:val="27"/>
        </w:rPr>
        <w:t xml:space="preserve">subject </w:t>
      </w:r>
      <w:r w:rsidR="00676755">
        <w:rPr>
          <w:szCs w:val="27"/>
        </w:rPr>
        <w:t>power pole</w:t>
      </w:r>
      <w:r w:rsidR="00426E13">
        <w:rPr>
          <w:szCs w:val="27"/>
        </w:rPr>
        <w:t>.</w:t>
      </w:r>
      <w:r w:rsidR="00676755">
        <w:rPr>
          <w:szCs w:val="27"/>
        </w:rPr>
        <w:t xml:space="preserve">  As a result, </w:t>
      </w:r>
      <w:r w:rsidR="00426E13">
        <w:rPr>
          <w:szCs w:val="27"/>
        </w:rPr>
        <w:t xml:space="preserve">we find that </w:t>
      </w:r>
      <w:r w:rsidR="009F7963">
        <w:rPr>
          <w:szCs w:val="27"/>
        </w:rPr>
        <w:t xml:space="preserve">Irizarry’s request for its relocation </w:t>
      </w:r>
      <w:r w:rsidR="00426E13">
        <w:rPr>
          <w:szCs w:val="27"/>
        </w:rPr>
        <w:t>is</w:t>
      </w:r>
      <w:r w:rsidR="009F7963">
        <w:rPr>
          <w:szCs w:val="27"/>
        </w:rPr>
        <w:t xml:space="preserve"> for </w:t>
      </w:r>
      <w:r w:rsidR="009C05EB">
        <w:rPr>
          <w:szCs w:val="27"/>
        </w:rPr>
        <w:t xml:space="preserve">his </w:t>
      </w:r>
      <w:r w:rsidR="00C66F9F">
        <w:rPr>
          <w:szCs w:val="27"/>
        </w:rPr>
        <w:t xml:space="preserve">convenience rather than </w:t>
      </w:r>
      <w:r w:rsidR="00733B4F">
        <w:rPr>
          <w:szCs w:val="27"/>
        </w:rPr>
        <w:t xml:space="preserve">to remedy a </w:t>
      </w:r>
      <w:r w:rsidR="00B17562">
        <w:rPr>
          <w:szCs w:val="27"/>
        </w:rPr>
        <w:t xml:space="preserve">legal </w:t>
      </w:r>
      <w:r w:rsidR="00733B4F">
        <w:rPr>
          <w:szCs w:val="27"/>
        </w:rPr>
        <w:t>violation</w:t>
      </w:r>
      <w:r w:rsidR="009C05EB">
        <w:rPr>
          <w:szCs w:val="27"/>
        </w:rPr>
        <w:t xml:space="preserve">.  </w:t>
      </w:r>
    </w:p>
    <w:p w:rsidR="00DC69A8" w:rsidP="000C6BCA" w:rsidRDefault="00FE103D" w14:paraId="440E9F7D" w14:textId="5E44C674">
      <w:pPr>
        <w:pStyle w:val="Standard"/>
        <w:rPr>
          <w:szCs w:val="27"/>
        </w:rPr>
      </w:pPr>
      <w:r>
        <w:rPr>
          <w:szCs w:val="27"/>
        </w:rPr>
        <w:lastRenderedPageBreak/>
        <w:t xml:space="preserve">Because </w:t>
      </w:r>
      <w:r w:rsidR="00E172CF">
        <w:rPr>
          <w:szCs w:val="27"/>
        </w:rPr>
        <w:t>Complainant’s request to</w:t>
      </w:r>
      <w:r w:rsidR="001F5DA6">
        <w:rPr>
          <w:szCs w:val="27"/>
        </w:rPr>
        <w:t xml:space="preserve"> relocate the </w:t>
      </w:r>
      <w:r w:rsidR="002C4F8F">
        <w:rPr>
          <w:szCs w:val="27"/>
        </w:rPr>
        <w:t>power pole</w:t>
      </w:r>
      <w:r w:rsidR="00981DC3">
        <w:rPr>
          <w:szCs w:val="27"/>
        </w:rPr>
        <w:t xml:space="preserve"> is only for his convenience</w:t>
      </w:r>
      <w:r w:rsidR="00E47944">
        <w:rPr>
          <w:szCs w:val="27"/>
        </w:rPr>
        <w:t xml:space="preserve">, </w:t>
      </w:r>
      <w:r w:rsidR="00487AD1">
        <w:rPr>
          <w:szCs w:val="27"/>
        </w:rPr>
        <w:t xml:space="preserve">Defendant is not required to bear the </w:t>
      </w:r>
      <w:r w:rsidR="00A73E7A">
        <w:rPr>
          <w:szCs w:val="27"/>
        </w:rPr>
        <w:t xml:space="preserve">relocation </w:t>
      </w:r>
      <w:r w:rsidR="00487AD1">
        <w:rPr>
          <w:szCs w:val="27"/>
        </w:rPr>
        <w:t xml:space="preserve">costs </w:t>
      </w:r>
      <w:r w:rsidR="00A73E7A">
        <w:rPr>
          <w:szCs w:val="27"/>
        </w:rPr>
        <w:t>under Electric Rule 15.I.1</w:t>
      </w:r>
      <w:r w:rsidR="00487AD1">
        <w:rPr>
          <w:szCs w:val="27"/>
        </w:rPr>
        <w:t xml:space="preserve">. </w:t>
      </w:r>
      <w:r w:rsidR="00336D92">
        <w:rPr>
          <w:szCs w:val="27"/>
        </w:rPr>
        <w:t xml:space="preserve">Although PG&amp;E </w:t>
      </w:r>
      <w:r w:rsidR="00FF06AE">
        <w:rPr>
          <w:szCs w:val="27"/>
        </w:rPr>
        <w:t xml:space="preserve">agrees to relocate the power pole pursuant to </w:t>
      </w:r>
      <w:r w:rsidR="00781052">
        <w:rPr>
          <w:szCs w:val="27"/>
        </w:rPr>
        <w:t>Complainant’s</w:t>
      </w:r>
      <w:r w:rsidR="00FF06AE">
        <w:rPr>
          <w:szCs w:val="27"/>
        </w:rPr>
        <w:t xml:space="preserve"> request, the</w:t>
      </w:r>
      <w:r w:rsidR="00487AD1">
        <w:rPr>
          <w:szCs w:val="27"/>
        </w:rPr>
        <w:t xml:space="preserve"> costs of </w:t>
      </w:r>
      <w:r w:rsidR="00AE3F9D">
        <w:rPr>
          <w:szCs w:val="27"/>
        </w:rPr>
        <w:t xml:space="preserve">that </w:t>
      </w:r>
      <w:r w:rsidR="00487AD1">
        <w:rPr>
          <w:szCs w:val="27"/>
        </w:rPr>
        <w:t>relocation must be borne by Irizarry.</w:t>
      </w:r>
      <w:r w:rsidR="00CE5A15">
        <w:rPr>
          <w:szCs w:val="27"/>
        </w:rPr>
        <w:t xml:space="preserve"> </w:t>
      </w:r>
    </w:p>
    <w:p w:rsidR="00A531FA" w:rsidP="000C6BCA" w:rsidRDefault="00F32023" w14:paraId="6D2C1721" w14:textId="1E4DCFFA">
      <w:pPr>
        <w:pStyle w:val="Standard"/>
        <w:rPr>
          <w:rFonts w:cs="Times New Roman"/>
        </w:rPr>
      </w:pPr>
      <w:r>
        <w:rPr>
          <w:rFonts w:cs="Times New Roman"/>
        </w:rPr>
        <w:t>T</w:t>
      </w:r>
      <w:r w:rsidRPr="00937DAD" w:rsidR="00526D4E">
        <w:rPr>
          <w:rFonts w:cs="Times New Roman"/>
        </w:rPr>
        <w:t>ak</w:t>
      </w:r>
      <w:r>
        <w:rPr>
          <w:rFonts w:cs="Times New Roman"/>
        </w:rPr>
        <w:t>ing</w:t>
      </w:r>
      <w:r w:rsidRPr="00937DAD" w:rsidR="00526D4E">
        <w:rPr>
          <w:rFonts w:cs="Times New Roman"/>
        </w:rPr>
        <w:t xml:space="preserve"> </w:t>
      </w:r>
      <w:r w:rsidR="00E752A4">
        <w:rPr>
          <w:rFonts w:cs="Times New Roman"/>
        </w:rPr>
        <w:t xml:space="preserve">as true </w:t>
      </w:r>
      <w:r w:rsidRPr="00937DAD" w:rsidR="00526D4E">
        <w:rPr>
          <w:rFonts w:cs="Times New Roman"/>
        </w:rPr>
        <w:t xml:space="preserve">the factual allegations of the </w:t>
      </w:r>
      <w:r w:rsidR="00D27400">
        <w:rPr>
          <w:rFonts w:cs="Times New Roman"/>
        </w:rPr>
        <w:t>C</w:t>
      </w:r>
      <w:r w:rsidRPr="00937DAD" w:rsidR="00526D4E">
        <w:rPr>
          <w:rFonts w:cs="Times New Roman"/>
        </w:rPr>
        <w:t xml:space="preserve">omplaint </w:t>
      </w:r>
      <w:r w:rsidR="000D0736">
        <w:rPr>
          <w:rFonts w:cs="Times New Roman"/>
        </w:rPr>
        <w:t xml:space="preserve">and </w:t>
      </w:r>
      <w:r w:rsidR="009B39B0">
        <w:rPr>
          <w:rFonts w:cs="Times New Roman"/>
        </w:rPr>
        <w:t>appended documents,</w:t>
      </w:r>
      <w:r w:rsidR="000D0736">
        <w:rPr>
          <w:rFonts w:cs="Times New Roman"/>
        </w:rPr>
        <w:t xml:space="preserve"> and </w:t>
      </w:r>
      <w:r w:rsidR="009B39B0">
        <w:rPr>
          <w:rFonts w:cs="Times New Roman"/>
        </w:rPr>
        <w:t xml:space="preserve">Complainant’s </w:t>
      </w:r>
      <w:r w:rsidR="000D0736">
        <w:rPr>
          <w:rFonts w:cs="Times New Roman"/>
        </w:rPr>
        <w:t>Motion papers</w:t>
      </w:r>
      <w:r w:rsidRPr="00937DAD" w:rsidR="00526D4E">
        <w:rPr>
          <w:rFonts w:cs="Times New Roman"/>
        </w:rPr>
        <w:t xml:space="preserve">, </w:t>
      </w:r>
      <w:r w:rsidR="001703F2">
        <w:rPr>
          <w:rFonts w:cs="Times New Roman"/>
        </w:rPr>
        <w:t xml:space="preserve">Complainant has not </w:t>
      </w:r>
      <w:r w:rsidR="003C2DCB">
        <w:rPr>
          <w:rFonts w:cs="Times New Roman"/>
        </w:rPr>
        <w:t xml:space="preserve">alleged facts to support </w:t>
      </w:r>
      <w:r w:rsidR="00A33C37">
        <w:rPr>
          <w:rFonts w:cs="Times New Roman"/>
        </w:rPr>
        <w:t>a claim</w:t>
      </w:r>
      <w:r w:rsidR="00A531FA">
        <w:rPr>
          <w:rFonts w:cs="Times New Roman"/>
        </w:rPr>
        <w:t xml:space="preserve">ed violation </w:t>
      </w:r>
      <w:r w:rsidR="00A33C37">
        <w:rPr>
          <w:rFonts w:cs="Times New Roman"/>
        </w:rPr>
        <w:t xml:space="preserve">for the Commission to </w:t>
      </w:r>
      <w:r w:rsidR="00DC5B3F">
        <w:rPr>
          <w:rFonts w:cs="Times New Roman"/>
        </w:rPr>
        <w:t xml:space="preserve">adjudicate. </w:t>
      </w:r>
      <w:r w:rsidR="006B7A1B">
        <w:rPr>
          <w:rFonts w:cs="Times New Roman"/>
        </w:rPr>
        <w:t>D</w:t>
      </w:r>
      <w:r w:rsidRPr="00937DAD" w:rsidR="006B7A1B">
        <w:rPr>
          <w:rFonts w:cs="Times New Roman"/>
        </w:rPr>
        <w:t xml:space="preserve">efendant </w:t>
      </w:r>
      <w:r w:rsidR="006B7A1B">
        <w:rPr>
          <w:rFonts w:cs="Times New Roman"/>
        </w:rPr>
        <w:t xml:space="preserve">PG&amp;E </w:t>
      </w:r>
      <w:r w:rsidR="001703F2">
        <w:rPr>
          <w:rFonts w:cs="Times New Roman"/>
        </w:rPr>
        <w:t xml:space="preserve">is therefore </w:t>
      </w:r>
      <w:r w:rsidRPr="00937DAD" w:rsidR="00526D4E">
        <w:rPr>
          <w:rFonts w:cs="Times New Roman"/>
        </w:rPr>
        <w:t>entitled to prevail as a matter of law</w:t>
      </w:r>
      <w:r w:rsidR="006B7A1B">
        <w:rPr>
          <w:rFonts w:cs="Times New Roman"/>
        </w:rPr>
        <w:t xml:space="preserve"> on Scop</w:t>
      </w:r>
      <w:r w:rsidR="0067344E">
        <w:rPr>
          <w:rFonts w:cs="Times New Roman"/>
        </w:rPr>
        <w:t>ed</w:t>
      </w:r>
      <w:r w:rsidR="006B7A1B">
        <w:rPr>
          <w:rFonts w:cs="Times New Roman"/>
        </w:rPr>
        <w:t xml:space="preserve"> Issue No. 2</w:t>
      </w:r>
      <w:r w:rsidR="00005538">
        <w:rPr>
          <w:rFonts w:cs="Times New Roman"/>
        </w:rPr>
        <w:t xml:space="preserve"> under Electric Rule </w:t>
      </w:r>
      <w:proofErr w:type="gramStart"/>
      <w:r w:rsidR="00005538">
        <w:rPr>
          <w:rFonts w:cs="Times New Roman"/>
        </w:rPr>
        <w:t>15.I.</w:t>
      </w:r>
      <w:proofErr w:type="gramEnd"/>
      <w:r w:rsidR="00005538">
        <w:rPr>
          <w:rFonts w:cs="Times New Roman"/>
        </w:rPr>
        <w:t>1</w:t>
      </w:r>
      <w:r w:rsidRPr="00937DAD" w:rsidR="006B7A1B">
        <w:rPr>
          <w:rFonts w:cs="Times New Roman"/>
        </w:rPr>
        <w:t>.</w:t>
      </w:r>
      <w:r w:rsidRPr="00937DAD" w:rsidR="006B7A1B">
        <w:rPr>
          <w:rFonts w:cs="Times New Roman"/>
          <w:vertAlign w:val="superscript"/>
        </w:rPr>
        <w:footnoteReference w:id="32"/>
      </w:r>
      <w:r w:rsidR="006B7A1B">
        <w:rPr>
          <w:rFonts w:cs="Times New Roman"/>
        </w:rPr>
        <w:t xml:space="preserve"> </w:t>
      </w:r>
    </w:p>
    <w:p w:rsidR="006840B5" w:rsidP="006840B5" w:rsidRDefault="006840B5" w14:paraId="1AC35747" w14:textId="77777777">
      <w:pPr>
        <w:pStyle w:val="Standard"/>
        <w:rPr>
          <w:rFonts w:cs="Times New Roman"/>
        </w:rPr>
      </w:pPr>
      <w:bookmarkStart w:name="_Toc8123723" w:id="24"/>
      <w:r>
        <w:rPr>
          <w:rFonts w:cs="Times New Roman"/>
        </w:rPr>
        <w:t>No issues of law or fact remain to be adjudicated under the Complaint in this proceeding. Accordingly, the Motion is granted. The Complaint is dismissed.</w:t>
      </w:r>
    </w:p>
    <w:p w:rsidRPr="000E270A" w:rsidR="00AB0B96" w:rsidP="005771E8" w:rsidRDefault="00AB0B96" w14:paraId="072936A5" w14:textId="2039D261">
      <w:pPr>
        <w:pStyle w:val="Standard"/>
      </w:pPr>
      <w:r>
        <w:t>To the exte</w:t>
      </w:r>
      <w:r w:rsidR="00A31FAF">
        <w:t xml:space="preserve">nt </w:t>
      </w:r>
      <w:r w:rsidR="00272B2E">
        <w:t xml:space="preserve">recent </w:t>
      </w:r>
      <w:r w:rsidR="00A31FAF">
        <w:t xml:space="preserve">evidence </w:t>
      </w:r>
      <w:r w:rsidR="00272B2E">
        <w:t xml:space="preserve">or circumstances </w:t>
      </w:r>
      <w:r w:rsidR="00A31FAF">
        <w:t>support</w:t>
      </w:r>
      <w:r w:rsidR="00272B2E">
        <w:t xml:space="preserve"> a new claim</w:t>
      </w:r>
      <w:r w:rsidR="00814A33">
        <w:t xml:space="preserve">, Complainant may file a new complaint </w:t>
      </w:r>
      <w:r w:rsidR="000F30B1">
        <w:t xml:space="preserve">proceeding </w:t>
      </w:r>
      <w:r w:rsidR="001D5F22">
        <w:t xml:space="preserve">with </w:t>
      </w:r>
      <w:r w:rsidR="00535BE6">
        <w:t xml:space="preserve">factual </w:t>
      </w:r>
      <w:r w:rsidR="001D5F22">
        <w:t>allegations sufficient to satisfy Rule 4.1(a)(1).</w:t>
      </w:r>
      <w:r w:rsidR="00272B2E">
        <w:t xml:space="preserve"> </w:t>
      </w:r>
    </w:p>
    <w:p w:rsidRPr="00D91C39" w:rsidR="00D91C39" w:rsidP="003209B2" w:rsidRDefault="00D91C39" w14:paraId="442886F2" w14:textId="114F78AC">
      <w:pPr>
        <w:pStyle w:val="Heading1"/>
      </w:pPr>
      <w:bookmarkStart w:name="_Toc227882782" w:id="25"/>
      <w:r w:rsidRPr="00D91C39">
        <w:t>Category of Proceeding</w:t>
      </w:r>
      <w:bookmarkEnd w:id="25"/>
      <w:r w:rsidRPr="00D91C39">
        <w:t xml:space="preserve"> </w:t>
      </w:r>
    </w:p>
    <w:p w:rsidRPr="00D91C39" w:rsidR="00DA4074" w:rsidP="00DA4074" w:rsidRDefault="00DA4074" w14:paraId="172A701B" w14:textId="0ED58FA6">
      <w:pPr>
        <w:pStyle w:val="Standard"/>
      </w:pPr>
      <w:r>
        <w:t>T</w:t>
      </w:r>
      <w:r w:rsidRPr="00D91C39">
        <w:t xml:space="preserve">his matter </w:t>
      </w:r>
      <w:r>
        <w:t>h</w:t>
      </w:r>
      <w:r w:rsidRPr="00D91C39">
        <w:t>as</w:t>
      </w:r>
      <w:r>
        <w:t xml:space="preserve"> been categorized as </w:t>
      </w:r>
      <w:r w:rsidRPr="00D91C39">
        <w:t xml:space="preserve">adjudicatory. </w:t>
      </w:r>
      <w:r>
        <w:t xml:space="preserve"> Upon this decision dismissing the Complaint, h</w:t>
      </w:r>
      <w:r w:rsidRPr="00D91C39">
        <w:t>earing</w:t>
      </w:r>
      <w:r>
        <w:t>s</w:t>
      </w:r>
      <w:r w:rsidRPr="00D91C39">
        <w:t xml:space="preserve"> </w:t>
      </w:r>
      <w:r>
        <w:t>are no longer</w:t>
      </w:r>
      <w:r w:rsidRPr="00D91C39">
        <w:t xml:space="preserve"> necessary</w:t>
      </w:r>
      <w:r>
        <w:t>.</w:t>
      </w:r>
    </w:p>
    <w:p w:rsidR="00D91C39" w:rsidP="00D91C39" w:rsidRDefault="00D91C39" w14:paraId="2C42BCFD" w14:textId="543DD20D">
      <w:pPr>
        <w:pStyle w:val="Heading1"/>
      </w:pPr>
      <w:bookmarkStart w:name="_Toc227882783" w:id="26"/>
      <w:r w:rsidRPr="00D91C39">
        <w:t xml:space="preserve">Appeal </w:t>
      </w:r>
      <w:r w:rsidR="00C14AED">
        <w:t xml:space="preserve">or Review </w:t>
      </w:r>
      <w:r w:rsidRPr="00D91C39">
        <w:t>of Presiding Officer’s Decision</w:t>
      </w:r>
      <w:bookmarkEnd w:id="26"/>
    </w:p>
    <w:p w:rsidR="00C14AED" w:rsidP="00C14AED" w:rsidRDefault="00D91C39" w14:paraId="5840E69E" w14:textId="7817DAD3">
      <w:pPr>
        <w:pStyle w:val="Standard"/>
      </w:pPr>
      <w:r>
        <w:t xml:space="preserve">The presiding officer’s decision in this matter was mailed to the </w:t>
      </w:r>
      <w:r w:rsidR="00C37BB4">
        <w:t>P</w:t>
      </w:r>
      <w:r>
        <w:t>arties in accordance with Section 311 of the Pub</w:t>
      </w:r>
      <w:r w:rsidR="00C846C2">
        <w:t>.</w:t>
      </w:r>
      <w:r>
        <w:t xml:space="preserve"> Util</w:t>
      </w:r>
      <w:r w:rsidR="00C846C2">
        <w:t>.</w:t>
      </w:r>
      <w:r>
        <w:t xml:space="preserve"> Code</w:t>
      </w:r>
      <w:r w:rsidR="00C14AED">
        <w:t>.</w:t>
      </w:r>
      <w:r>
        <w:t xml:space="preserve"> </w:t>
      </w:r>
      <w:r w:rsidR="00C14AED">
        <w:t xml:space="preserve">Pursuant to Rule 14.4 of the Commission’s Rules of Practice and Procedure, any party may file an appeal of the </w:t>
      </w:r>
      <w:r w:rsidRPr="00C14AED" w:rsidR="00C14AED">
        <w:t>presiding officer’s decision</w:t>
      </w:r>
      <w:r w:rsidR="00C14AED">
        <w:t xml:space="preserve"> within 30 days of the date the decision is served. In addition, any </w:t>
      </w:r>
      <w:r w:rsidR="007758AE">
        <w:t>C</w:t>
      </w:r>
      <w:r w:rsidR="00C14AED">
        <w:t xml:space="preserve">ommissioner may request review of the </w:t>
      </w:r>
      <w:r w:rsidRPr="00C14AED" w:rsidR="00C14AED">
        <w:t xml:space="preserve">presiding officer’s </w:t>
      </w:r>
      <w:r w:rsidRPr="00C14AED" w:rsidR="00C14AED">
        <w:lastRenderedPageBreak/>
        <w:t>decision</w:t>
      </w:r>
      <w:r w:rsidR="00C14AED">
        <w:t xml:space="preserve"> by filing a request for review within 30 days of the date the decision is served. </w:t>
      </w:r>
    </w:p>
    <w:p w:rsidR="00FA68A4" w:rsidP="00C14AED" w:rsidRDefault="00C14AED" w14:paraId="33C72872" w14:textId="4FF004C2">
      <w:pPr>
        <w:pStyle w:val="Standard"/>
        <w:ind w:firstLine="0"/>
      </w:pPr>
      <w:r>
        <w:t xml:space="preserve"> </w:t>
      </w:r>
      <w:r>
        <w:tab/>
      </w:r>
      <w:r w:rsidR="00A50F15">
        <w:t xml:space="preserve">Complainant filed an appeal of the </w:t>
      </w:r>
      <w:r w:rsidR="00DE74E1">
        <w:t>P</w:t>
      </w:r>
      <w:r w:rsidR="00A50F15">
        <w:t xml:space="preserve">residing </w:t>
      </w:r>
      <w:r w:rsidR="00DE74E1">
        <w:t>O</w:t>
      </w:r>
      <w:r w:rsidR="00A50F15">
        <w:t xml:space="preserve">fficer’s </w:t>
      </w:r>
      <w:r w:rsidR="00DE74E1">
        <w:t>D</w:t>
      </w:r>
      <w:r w:rsidR="00A50F15">
        <w:t xml:space="preserve">ecision </w:t>
      </w:r>
      <w:r w:rsidR="00752083">
        <w:t>G</w:t>
      </w:r>
      <w:r w:rsidR="00DE74E1">
        <w:t>ranting Moti</w:t>
      </w:r>
      <w:r w:rsidR="00752083">
        <w:t>o</w:t>
      </w:r>
      <w:r w:rsidR="00DE74E1">
        <w:t xml:space="preserve">n to Dismiss </w:t>
      </w:r>
      <w:r w:rsidR="00A50F15">
        <w:t>on December 17, 2025</w:t>
      </w:r>
      <w:r w:rsidR="00752083">
        <w:t xml:space="preserve"> (Appeal)</w:t>
      </w:r>
      <w:r w:rsidR="00A50F15">
        <w:t xml:space="preserve">. Defendant </w:t>
      </w:r>
      <w:r w:rsidR="00031E97">
        <w:t>was not served with the Appeal</w:t>
      </w:r>
      <w:r w:rsidR="008A1B94">
        <w:t xml:space="preserve">. </w:t>
      </w:r>
      <w:r w:rsidR="00D011C3">
        <w:t xml:space="preserve">Upon learning of the Appeal, Defendant requested and </w:t>
      </w:r>
      <w:r w:rsidR="00031E97">
        <w:t xml:space="preserve">received permission from the ALJ to </w:t>
      </w:r>
      <w:r w:rsidR="00A50F15">
        <w:t xml:space="preserve">file a </w:t>
      </w:r>
      <w:r w:rsidR="008A1B94">
        <w:t xml:space="preserve">late </w:t>
      </w:r>
      <w:r w:rsidR="00A50F15">
        <w:t>response to the Appeal.</w:t>
      </w:r>
      <w:r w:rsidRPr="00C14AED">
        <w:t xml:space="preserve"> </w:t>
      </w:r>
      <w:bookmarkStart w:name="_Hlk148602594" w:id="27"/>
      <w:r w:rsidR="00087158">
        <w:t xml:space="preserve">Defendant filed a timely Appeal response (Response) </w:t>
      </w:r>
      <w:r w:rsidR="007E0D1E">
        <w:t>on April 6, 2026.</w:t>
      </w:r>
      <w:r w:rsidR="007275DA">
        <w:t xml:space="preserve"> </w:t>
      </w:r>
    </w:p>
    <w:p w:rsidR="00C14AED" w:rsidP="00C93100" w:rsidRDefault="007275DA" w14:paraId="347BB056" w14:textId="7A769F38">
      <w:pPr>
        <w:pStyle w:val="Standard"/>
      </w:pPr>
      <w:r>
        <w:t xml:space="preserve">To </w:t>
      </w:r>
      <w:r w:rsidR="00CB2703">
        <w:t>consider</w:t>
      </w:r>
      <w:r>
        <w:t xml:space="preserve"> </w:t>
      </w:r>
      <w:r w:rsidR="00CB2703">
        <w:t>the Appeal and Response, the Commission issued D.26-04-014</w:t>
      </w:r>
      <w:r w:rsidR="00A912FC">
        <w:t xml:space="preserve"> </w:t>
      </w:r>
      <w:r w:rsidR="0092569A">
        <w:t xml:space="preserve">on April 9, 2026, </w:t>
      </w:r>
      <w:r w:rsidR="00A912FC">
        <w:t>extend</w:t>
      </w:r>
      <w:r w:rsidR="0092569A">
        <w:t>ing</w:t>
      </w:r>
      <w:r w:rsidR="00A912FC">
        <w:t xml:space="preserve"> the statutory deadline for the proceeding to May 29, 2026.</w:t>
      </w:r>
    </w:p>
    <w:p w:rsidR="00A92FDE" w:rsidP="00A92FDE" w:rsidRDefault="00DD2791" w14:paraId="1ACD5A3F" w14:textId="5DA83158">
      <w:pPr>
        <w:rPr>
          <w:rFonts w:eastAsia="Calibri" w:cs="Times New Roman"/>
        </w:rPr>
      </w:pPr>
      <w:r>
        <w:rPr>
          <w:rFonts w:eastAsia="Calibri" w:cs="Times New Roman"/>
        </w:rPr>
        <w:t>In</w:t>
      </w:r>
      <w:r w:rsidRPr="00FA66A8" w:rsidR="00A92FDE">
        <w:rPr>
          <w:rFonts w:eastAsia="Calibri" w:cs="Times New Roman"/>
        </w:rPr>
        <w:t xml:space="preserve"> the Appeal, Complainant argued that the presiding officer’s decision erred in granting </w:t>
      </w:r>
      <w:r w:rsidRPr="00CE71E0" w:rsidR="00CE71E0">
        <w:rPr>
          <w:rFonts w:eastAsia="Calibri" w:cs="Times New Roman"/>
        </w:rPr>
        <w:t>Defendant PG&amp;E</w:t>
      </w:r>
      <w:r w:rsidR="00CE71E0">
        <w:rPr>
          <w:rFonts w:eastAsia="Calibri" w:cs="Times New Roman"/>
        </w:rPr>
        <w:t>’s</w:t>
      </w:r>
      <w:r w:rsidRPr="00CE71E0" w:rsidR="00CE71E0">
        <w:rPr>
          <w:rFonts w:eastAsia="Calibri" w:cs="Times New Roman"/>
        </w:rPr>
        <w:t xml:space="preserve"> March 14, </w:t>
      </w:r>
      <w:proofErr w:type="gramStart"/>
      <w:r w:rsidRPr="00CE71E0" w:rsidR="00CE71E0">
        <w:rPr>
          <w:rFonts w:eastAsia="Calibri" w:cs="Times New Roman"/>
        </w:rPr>
        <w:t>2025</w:t>
      </w:r>
      <w:proofErr w:type="gramEnd"/>
      <w:r w:rsidRPr="00CE71E0" w:rsidR="00CE71E0">
        <w:rPr>
          <w:rFonts w:eastAsia="Calibri" w:cs="Times New Roman"/>
        </w:rPr>
        <w:t xml:space="preserve"> motion to dismiss </w:t>
      </w:r>
      <w:r w:rsidR="00597DE0">
        <w:rPr>
          <w:rFonts w:eastAsia="Calibri" w:cs="Times New Roman"/>
        </w:rPr>
        <w:t>(</w:t>
      </w:r>
      <w:r w:rsidRPr="00FA66A8" w:rsidR="00A92FDE">
        <w:rPr>
          <w:rFonts w:eastAsia="Calibri" w:cs="Times New Roman"/>
        </w:rPr>
        <w:t>Motion</w:t>
      </w:r>
      <w:r w:rsidR="00597DE0">
        <w:rPr>
          <w:rFonts w:eastAsia="Calibri" w:cs="Times New Roman"/>
        </w:rPr>
        <w:t>)</w:t>
      </w:r>
      <w:r w:rsidR="00580C0E">
        <w:rPr>
          <w:rFonts w:eastAsia="Calibri" w:cs="Times New Roman"/>
        </w:rPr>
        <w:t xml:space="preserve"> on </w:t>
      </w:r>
      <w:r w:rsidR="004800B7">
        <w:rPr>
          <w:rFonts w:eastAsia="Calibri" w:cs="Times New Roman"/>
        </w:rPr>
        <w:t>the</w:t>
      </w:r>
      <w:r w:rsidR="00580C0E">
        <w:rPr>
          <w:rFonts w:eastAsia="Calibri" w:cs="Times New Roman"/>
        </w:rPr>
        <w:t xml:space="preserve"> grounds</w:t>
      </w:r>
      <w:r w:rsidR="004800B7">
        <w:rPr>
          <w:rFonts w:eastAsia="Calibri" w:cs="Times New Roman"/>
        </w:rPr>
        <w:t xml:space="preserve"> below</w:t>
      </w:r>
      <w:r w:rsidR="00A92FDE">
        <w:rPr>
          <w:rFonts w:eastAsia="Calibri" w:cs="Times New Roman"/>
        </w:rPr>
        <w:t>.</w:t>
      </w:r>
      <w:r w:rsidRPr="00FA66A8" w:rsidR="00A92FDE">
        <w:rPr>
          <w:rFonts w:eastAsia="Calibri" w:cs="Times New Roman"/>
        </w:rPr>
        <w:t xml:space="preserve"> </w:t>
      </w:r>
      <w:r w:rsidR="00580C0E">
        <w:rPr>
          <w:rFonts w:eastAsia="Calibri" w:cs="Times New Roman"/>
        </w:rPr>
        <w:t>Defendant’s Response opposes each ground</w:t>
      </w:r>
      <w:r w:rsidR="00386298">
        <w:rPr>
          <w:rFonts w:eastAsia="Calibri" w:cs="Times New Roman"/>
        </w:rPr>
        <w:t xml:space="preserve">, citing to the decision. </w:t>
      </w:r>
      <w:r w:rsidR="00F34593">
        <w:rPr>
          <w:rFonts w:eastAsia="Calibri" w:cs="Times New Roman"/>
        </w:rPr>
        <w:t>After</w:t>
      </w:r>
      <w:r w:rsidR="003A6005">
        <w:rPr>
          <w:rFonts w:eastAsia="Calibri" w:cs="Times New Roman"/>
        </w:rPr>
        <w:t xml:space="preserve"> consideration</w:t>
      </w:r>
      <w:r w:rsidR="00A92FDE">
        <w:rPr>
          <w:rFonts w:eastAsia="Calibri" w:cs="Times New Roman"/>
        </w:rPr>
        <w:t>, the decision was not modified</w:t>
      </w:r>
      <w:r w:rsidR="00726ACB">
        <w:rPr>
          <w:rFonts w:eastAsia="Calibri" w:cs="Times New Roman"/>
        </w:rPr>
        <w:t xml:space="preserve"> except for </w:t>
      </w:r>
      <w:r w:rsidR="001D6EB9">
        <w:rPr>
          <w:rFonts w:eastAsia="Calibri" w:cs="Times New Roman"/>
        </w:rPr>
        <w:t xml:space="preserve">the </w:t>
      </w:r>
      <w:r w:rsidR="00726ACB">
        <w:rPr>
          <w:rFonts w:eastAsia="Calibri" w:cs="Times New Roman"/>
        </w:rPr>
        <w:t>addition of a clarifying Conclusion of Law</w:t>
      </w:r>
      <w:r w:rsidR="00C0076C">
        <w:rPr>
          <w:rFonts w:eastAsia="Calibri" w:cs="Times New Roman"/>
        </w:rPr>
        <w:t xml:space="preserve"> and a reiteration </w:t>
      </w:r>
      <w:r w:rsidR="00F429CD">
        <w:rPr>
          <w:rFonts w:eastAsia="Calibri" w:cs="Times New Roman"/>
        </w:rPr>
        <w:t xml:space="preserve">in decision Section </w:t>
      </w:r>
      <w:r w:rsidR="009E7729">
        <w:rPr>
          <w:rFonts w:eastAsia="Calibri" w:cs="Times New Roman"/>
        </w:rPr>
        <w:t>5</w:t>
      </w:r>
      <w:r w:rsidR="00F429CD">
        <w:rPr>
          <w:rFonts w:eastAsia="Calibri" w:cs="Times New Roman"/>
        </w:rPr>
        <w:t xml:space="preserve"> (Conclusion) that Scoped Issue Nos. 1 and 3 </w:t>
      </w:r>
      <w:r w:rsidR="00E929EE">
        <w:rPr>
          <w:rFonts w:eastAsia="Calibri" w:cs="Times New Roman"/>
        </w:rPr>
        <w:t>were resolved and moot</w:t>
      </w:r>
      <w:r w:rsidR="00A92FDE">
        <w:rPr>
          <w:rFonts w:eastAsia="Calibri" w:cs="Times New Roman"/>
        </w:rPr>
        <w:t xml:space="preserve">. </w:t>
      </w:r>
      <w:r w:rsidR="00CC7DE3">
        <w:rPr>
          <w:rFonts w:eastAsia="Calibri" w:cs="Times New Roman"/>
        </w:rPr>
        <w:t>The</w:t>
      </w:r>
      <w:r w:rsidR="006342D6">
        <w:rPr>
          <w:rFonts w:eastAsia="Calibri" w:cs="Times New Roman"/>
        </w:rPr>
        <w:t xml:space="preserve"> </w:t>
      </w:r>
      <w:r w:rsidR="006311DD">
        <w:rPr>
          <w:rFonts w:eastAsia="Calibri" w:cs="Times New Roman"/>
        </w:rPr>
        <w:t xml:space="preserve">relevant </w:t>
      </w:r>
      <w:r w:rsidR="00A92FDE">
        <w:rPr>
          <w:rFonts w:eastAsia="Calibri" w:cs="Times New Roman"/>
        </w:rPr>
        <w:t xml:space="preserve">arguments on </w:t>
      </w:r>
      <w:proofErr w:type="gramStart"/>
      <w:r w:rsidR="00A92FDE">
        <w:rPr>
          <w:rFonts w:eastAsia="Calibri" w:cs="Times New Roman"/>
        </w:rPr>
        <w:t>Appeal</w:t>
      </w:r>
      <w:proofErr w:type="gramEnd"/>
      <w:r w:rsidR="00A92FDE">
        <w:rPr>
          <w:rFonts w:eastAsia="Calibri" w:cs="Times New Roman"/>
        </w:rPr>
        <w:t xml:space="preserve"> </w:t>
      </w:r>
      <w:r w:rsidR="004A6019">
        <w:rPr>
          <w:rFonts w:eastAsia="Calibri" w:cs="Times New Roman"/>
        </w:rPr>
        <w:t>are</w:t>
      </w:r>
      <w:r w:rsidR="00A92FDE">
        <w:rPr>
          <w:rFonts w:eastAsia="Calibri" w:cs="Times New Roman"/>
        </w:rPr>
        <w:t xml:space="preserve"> </w:t>
      </w:r>
      <w:r w:rsidR="00D40F7D">
        <w:rPr>
          <w:rFonts w:eastAsia="Calibri" w:cs="Times New Roman"/>
        </w:rPr>
        <w:t>as follow</w:t>
      </w:r>
      <w:r w:rsidR="00A92FDE">
        <w:rPr>
          <w:rFonts w:eastAsia="Calibri" w:cs="Times New Roman"/>
        </w:rPr>
        <w:t>.</w:t>
      </w:r>
    </w:p>
    <w:p w:rsidR="00A92FDE" w:rsidP="00A92FDE" w:rsidRDefault="00A92FDE" w14:paraId="530BE127" w14:textId="15C9D338">
      <w:pPr>
        <w:rPr>
          <w:rFonts w:eastAsia="Calibri" w:cs="Times New Roman"/>
        </w:rPr>
      </w:pPr>
      <w:r w:rsidRPr="009F77A0">
        <w:rPr>
          <w:rFonts w:eastAsia="Calibri" w:cs="Times New Roman"/>
          <w:b/>
          <w:bCs/>
          <w:i/>
          <w:iCs/>
        </w:rPr>
        <w:t>First</w:t>
      </w:r>
      <w:r w:rsidRPr="001F3935">
        <w:rPr>
          <w:rFonts w:eastAsia="Calibri" w:cs="Times New Roman"/>
        </w:rPr>
        <w:t xml:space="preserve">, Complainant argues on </w:t>
      </w:r>
      <w:r>
        <w:rPr>
          <w:rFonts w:eastAsia="Calibri" w:cs="Times New Roman"/>
        </w:rPr>
        <w:t>A</w:t>
      </w:r>
      <w:r w:rsidRPr="001F3935">
        <w:rPr>
          <w:rFonts w:eastAsia="Calibri" w:cs="Times New Roman"/>
        </w:rPr>
        <w:t xml:space="preserve">ppeal that </w:t>
      </w:r>
      <w:r>
        <w:rPr>
          <w:rFonts w:eastAsia="Calibri" w:cs="Times New Roman"/>
        </w:rPr>
        <w:t xml:space="preserve">the decision errs in determining that </w:t>
      </w:r>
      <w:r w:rsidR="008F4B43">
        <w:rPr>
          <w:rFonts w:eastAsia="Calibri" w:cs="Times New Roman"/>
        </w:rPr>
        <w:t>Scoped Issue No.</w:t>
      </w:r>
      <w:r w:rsidRPr="001F3935">
        <w:rPr>
          <w:rFonts w:eastAsia="Calibri" w:cs="Times New Roman"/>
        </w:rPr>
        <w:t xml:space="preserve"> 3  - the existence of unresolved public health or safety issues - was mooted by the </w:t>
      </w:r>
      <w:r w:rsidR="005542A6">
        <w:rPr>
          <w:rFonts w:eastAsia="Calibri" w:cs="Times New Roman"/>
        </w:rPr>
        <w:t>Parties</w:t>
      </w:r>
      <w:r w:rsidRPr="001F3935">
        <w:rPr>
          <w:rFonts w:eastAsia="Calibri" w:cs="Times New Roman"/>
        </w:rPr>
        <w:t>.</w:t>
      </w:r>
      <w:r w:rsidRPr="00274162">
        <w:rPr>
          <w:rStyle w:val="FootnoteReference"/>
          <w:rFonts w:eastAsia="Calibri" w:cs="Times New Roman"/>
        </w:rPr>
        <w:t xml:space="preserve"> </w:t>
      </w:r>
      <w:r>
        <w:rPr>
          <w:rStyle w:val="FootnoteReference"/>
          <w:rFonts w:eastAsia="Calibri" w:cs="Times New Roman"/>
        </w:rPr>
        <w:footnoteReference w:id="33"/>
      </w:r>
      <w:r w:rsidRPr="001F3935">
        <w:rPr>
          <w:rFonts w:eastAsia="Calibri" w:cs="Times New Roman"/>
        </w:rPr>
        <w:t xml:space="preserve"> Complainant </w:t>
      </w:r>
      <w:r>
        <w:rPr>
          <w:rFonts w:eastAsia="Calibri" w:cs="Times New Roman"/>
        </w:rPr>
        <w:t>now</w:t>
      </w:r>
      <w:r w:rsidRPr="001F3935">
        <w:rPr>
          <w:rFonts w:eastAsia="Calibri" w:cs="Times New Roman"/>
        </w:rPr>
        <w:t xml:space="preserve"> argues that unresolved public health and safety issues exist for two reasons: (a) the Parties’ agreement</w:t>
      </w:r>
      <w:r>
        <w:rPr>
          <w:rFonts w:eastAsia="Calibri" w:cs="Times New Roman"/>
        </w:rPr>
        <w:t xml:space="preserve"> </w:t>
      </w:r>
      <w:r w:rsidRPr="001F3935">
        <w:rPr>
          <w:rFonts w:eastAsia="Calibri" w:cs="Times New Roman"/>
        </w:rPr>
        <w:t xml:space="preserve">to resolve </w:t>
      </w:r>
      <w:r w:rsidR="008F4B43">
        <w:rPr>
          <w:rFonts w:eastAsia="Calibri" w:cs="Times New Roman"/>
        </w:rPr>
        <w:t>Scoped Issue No.</w:t>
      </w:r>
      <w:r w:rsidRPr="001F3935">
        <w:rPr>
          <w:rFonts w:eastAsia="Calibri" w:cs="Times New Roman"/>
        </w:rPr>
        <w:t xml:space="preserve"> 1 </w:t>
      </w:r>
      <w:r>
        <w:rPr>
          <w:rFonts w:eastAsia="Calibri" w:cs="Times New Roman"/>
        </w:rPr>
        <w:t>through</w:t>
      </w:r>
      <w:r w:rsidRPr="001F3935">
        <w:rPr>
          <w:rFonts w:eastAsia="Calibri" w:cs="Times New Roman"/>
        </w:rPr>
        <w:t xml:space="preserve"> </w:t>
      </w:r>
      <w:r>
        <w:rPr>
          <w:rFonts w:eastAsia="Calibri" w:cs="Times New Roman"/>
        </w:rPr>
        <w:t xml:space="preserve">PG&amp;E’s </w:t>
      </w:r>
      <w:r w:rsidRPr="001F3935">
        <w:rPr>
          <w:rFonts w:eastAsia="Calibri" w:cs="Times New Roman"/>
        </w:rPr>
        <w:t xml:space="preserve">removal of tree-connected power </w:t>
      </w:r>
      <w:r w:rsidRPr="001F3935">
        <w:rPr>
          <w:rFonts w:eastAsia="Calibri" w:cs="Times New Roman"/>
        </w:rPr>
        <w:lastRenderedPageBreak/>
        <w:t xml:space="preserve">lines did </w:t>
      </w:r>
      <w:r w:rsidRPr="00F06790">
        <w:rPr>
          <w:rFonts w:eastAsia="Calibri" w:cs="Times New Roman"/>
          <w:i/>
          <w:iCs/>
        </w:rPr>
        <w:t>not</w:t>
      </w:r>
      <w:r w:rsidRPr="001F3935">
        <w:rPr>
          <w:rFonts w:eastAsia="Calibri" w:cs="Times New Roman"/>
        </w:rPr>
        <w:t xml:space="preserve"> resolve all public health and safety issues arising from Defendant’s infrastructure</w:t>
      </w:r>
      <w:r w:rsidR="00207DFA">
        <w:rPr>
          <w:rFonts w:eastAsia="Calibri" w:cs="Times New Roman"/>
        </w:rPr>
        <w:t>.</w:t>
      </w:r>
      <w:r>
        <w:rPr>
          <w:rStyle w:val="FootnoteReference"/>
          <w:rFonts w:eastAsia="Calibri" w:cs="Times New Roman"/>
        </w:rPr>
        <w:footnoteReference w:id="34"/>
      </w:r>
      <w:r w:rsidRPr="001F3935">
        <w:rPr>
          <w:rFonts w:eastAsia="Calibri" w:cs="Times New Roman"/>
        </w:rPr>
        <w:t xml:space="preserve"> </w:t>
      </w:r>
    </w:p>
    <w:p w:rsidR="00FD32D5" w:rsidP="00FD32D5" w:rsidRDefault="001E22E3" w14:paraId="3B7B0247" w14:textId="32EBAFF5">
      <w:pPr>
        <w:rPr>
          <w:rFonts w:eastAsia="Calibri" w:cs="Times New Roman"/>
          <w:vertAlign w:val="superscript"/>
        </w:rPr>
      </w:pPr>
      <w:r w:rsidRPr="008659E7">
        <w:rPr>
          <w:rFonts w:eastAsia="Calibri" w:cs="Times New Roman"/>
        </w:rPr>
        <w:t>Defendant</w:t>
      </w:r>
      <w:r w:rsidRPr="008659E7" w:rsidR="000D16B8">
        <w:rPr>
          <w:rFonts w:eastAsia="Calibri" w:cs="Times New Roman"/>
        </w:rPr>
        <w:t>’s Response</w:t>
      </w:r>
      <w:r w:rsidRPr="008659E7">
        <w:rPr>
          <w:rFonts w:eastAsia="Calibri" w:cs="Times New Roman"/>
        </w:rPr>
        <w:t xml:space="preserve"> </w:t>
      </w:r>
      <w:r w:rsidRPr="008659E7" w:rsidR="006E1C90">
        <w:rPr>
          <w:rFonts w:eastAsia="Calibri" w:cs="Times New Roman"/>
        </w:rPr>
        <w:t>argues that</w:t>
      </w:r>
      <w:r w:rsidR="00A519AB">
        <w:rPr>
          <w:rFonts w:eastAsia="Calibri" w:cs="Times New Roman"/>
        </w:rPr>
        <w:t xml:space="preserve"> </w:t>
      </w:r>
      <w:r w:rsidR="00FD32D5">
        <w:rPr>
          <w:rFonts w:eastAsia="Calibri" w:cs="Times New Roman"/>
        </w:rPr>
        <w:t>in their</w:t>
      </w:r>
      <w:r w:rsidRPr="00B96501" w:rsidR="00FD32D5">
        <w:rPr>
          <w:rFonts w:eastAsia="Calibri" w:cs="Times New Roman"/>
        </w:rPr>
        <w:t xml:space="preserve"> June 17, 2024, the Parties—including </w:t>
      </w:r>
      <w:r w:rsidR="00FD32D5">
        <w:rPr>
          <w:rFonts w:eastAsia="Calibri" w:cs="Times New Roman"/>
        </w:rPr>
        <w:t>Complaina</w:t>
      </w:r>
      <w:r w:rsidR="00D92232">
        <w:rPr>
          <w:rFonts w:eastAsia="Calibri" w:cs="Times New Roman"/>
        </w:rPr>
        <w:t>nt</w:t>
      </w:r>
      <w:r w:rsidRPr="00B96501" w:rsidR="00FD32D5">
        <w:rPr>
          <w:rFonts w:eastAsia="Calibri" w:cs="Times New Roman"/>
        </w:rPr>
        <w:t>—filed a joint status report that informed the ALJ the Parties had resolved Scoping Issues Nos. 1 and 3 and that those issues did not require adjudication.</w:t>
      </w:r>
      <w:r w:rsidR="00800A53">
        <w:rPr>
          <w:rStyle w:val="FootnoteReference"/>
          <w:rFonts w:eastAsia="Calibri" w:cs="Times New Roman"/>
        </w:rPr>
        <w:footnoteReference w:id="35"/>
      </w:r>
      <w:r w:rsidRPr="00B96501" w:rsidR="00FD32D5">
        <w:rPr>
          <w:rFonts w:eastAsia="Calibri" w:cs="Times New Roman"/>
        </w:rPr>
        <w:t xml:space="preserve"> </w:t>
      </w:r>
      <w:r w:rsidR="000C0FD4">
        <w:rPr>
          <w:rFonts w:eastAsia="Calibri" w:cs="Times New Roman"/>
        </w:rPr>
        <w:t xml:space="preserve">In that </w:t>
      </w:r>
      <w:r w:rsidRPr="00B96501" w:rsidR="000C0FD4">
        <w:rPr>
          <w:rFonts w:eastAsia="Calibri" w:cs="Times New Roman"/>
        </w:rPr>
        <w:t>June 17, 2024</w:t>
      </w:r>
      <w:r w:rsidR="000C0FD4">
        <w:rPr>
          <w:rFonts w:eastAsia="Calibri" w:cs="Times New Roman"/>
        </w:rPr>
        <w:t xml:space="preserve"> </w:t>
      </w:r>
      <w:r w:rsidR="00CC2035">
        <w:rPr>
          <w:rFonts w:eastAsia="Calibri" w:cs="Times New Roman"/>
        </w:rPr>
        <w:t>J</w:t>
      </w:r>
      <w:r w:rsidR="000C0FD4">
        <w:rPr>
          <w:rFonts w:eastAsia="Calibri" w:cs="Times New Roman"/>
        </w:rPr>
        <w:t xml:space="preserve">oint </w:t>
      </w:r>
      <w:r w:rsidR="00CC2035">
        <w:rPr>
          <w:rFonts w:eastAsia="Calibri" w:cs="Times New Roman"/>
        </w:rPr>
        <w:t>S</w:t>
      </w:r>
      <w:r w:rsidR="000C0FD4">
        <w:rPr>
          <w:rFonts w:eastAsia="Calibri" w:cs="Times New Roman"/>
        </w:rPr>
        <w:t>tat</w:t>
      </w:r>
      <w:r w:rsidR="0011483A">
        <w:rPr>
          <w:rFonts w:eastAsia="Calibri" w:cs="Times New Roman"/>
        </w:rPr>
        <w:t xml:space="preserve">us </w:t>
      </w:r>
      <w:r w:rsidR="00CC2035">
        <w:rPr>
          <w:rFonts w:eastAsia="Calibri" w:cs="Times New Roman"/>
        </w:rPr>
        <w:t>R</w:t>
      </w:r>
      <w:r w:rsidR="0011483A">
        <w:rPr>
          <w:rFonts w:eastAsia="Calibri" w:cs="Times New Roman"/>
        </w:rPr>
        <w:t>eport</w:t>
      </w:r>
      <w:r w:rsidRPr="00B96501" w:rsidR="000C0FD4">
        <w:rPr>
          <w:rFonts w:eastAsia="Calibri" w:cs="Times New Roman"/>
        </w:rPr>
        <w:t xml:space="preserve">, </w:t>
      </w:r>
      <w:r w:rsidR="0011483A">
        <w:rPr>
          <w:rFonts w:eastAsia="Calibri" w:cs="Times New Roman"/>
        </w:rPr>
        <w:t>t</w:t>
      </w:r>
      <w:r w:rsidRPr="00B96501" w:rsidR="00FD32D5">
        <w:rPr>
          <w:rFonts w:eastAsia="Calibri" w:cs="Times New Roman"/>
        </w:rPr>
        <w:t>he</w:t>
      </w:r>
      <w:r w:rsidR="0011483A">
        <w:rPr>
          <w:rFonts w:eastAsia="Calibri" w:cs="Times New Roman"/>
        </w:rPr>
        <w:t>y</w:t>
      </w:r>
      <w:r w:rsidRPr="00B96501" w:rsidR="00FD32D5">
        <w:rPr>
          <w:rFonts w:eastAsia="Calibri" w:cs="Times New Roman"/>
        </w:rPr>
        <w:t xml:space="preserve"> stated: “The Parties agree that there are no other public health or safety issues related to this proceeding that were not already addressed in Scoping Issues Nos. 1-2. </w:t>
      </w:r>
      <w:r w:rsidRPr="00C93100" w:rsidR="00FD32D5">
        <w:rPr>
          <w:rFonts w:eastAsia="Calibri" w:cs="Times New Roman"/>
          <w:i/>
          <w:iCs/>
        </w:rPr>
        <w:t>Therefore, Scoping Issue No. 3 does not require adjudication and decision</w:t>
      </w:r>
      <w:r w:rsidRPr="00B96501" w:rsidR="00FD32D5">
        <w:rPr>
          <w:rFonts w:eastAsia="Calibri" w:cs="Times New Roman"/>
        </w:rPr>
        <w:t xml:space="preserve"> by the Commission through this proceeding.”</w:t>
      </w:r>
      <w:r w:rsidR="00203242">
        <w:rPr>
          <w:rStyle w:val="FootnoteReference"/>
          <w:rFonts w:eastAsia="Calibri" w:cs="Times New Roman"/>
        </w:rPr>
        <w:footnoteReference w:id="36"/>
      </w:r>
      <w:r w:rsidRPr="00B96501" w:rsidR="00203242">
        <w:rPr>
          <w:rFonts w:eastAsia="Calibri" w:cs="Times New Roman"/>
          <w:vertAlign w:val="superscript"/>
        </w:rPr>
        <w:t xml:space="preserve"> </w:t>
      </w:r>
    </w:p>
    <w:p w:rsidR="006E1C90" w:rsidP="00FD32D5" w:rsidRDefault="008A4F95" w14:paraId="0B476113" w14:textId="13792258">
      <w:pPr>
        <w:rPr>
          <w:rFonts w:eastAsia="Calibri" w:cs="Times New Roman"/>
        </w:rPr>
      </w:pPr>
      <w:r>
        <w:rPr>
          <w:rFonts w:eastAsia="Calibri" w:cs="Times New Roman"/>
        </w:rPr>
        <w:t xml:space="preserve">Defendant then argues that </w:t>
      </w:r>
      <w:r w:rsidR="00B33B91">
        <w:rPr>
          <w:rFonts w:eastAsia="Calibri" w:cs="Times New Roman"/>
        </w:rPr>
        <w:t xml:space="preserve">(a) </w:t>
      </w:r>
      <w:r w:rsidR="00E71C64">
        <w:rPr>
          <w:rFonts w:eastAsia="Calibri" w:cs="Times New Roman"/>
        </w:rPr>
        <w:t>“[t]</w:t>
      </w:r>
      <w:r w:rsidRPr="00B96501" w:rsidR="00FD32D5">
        <w:rPr>
          <w:rFonts w:eastAsia="Calibri" w:cs="Times New Roman"/>
        </w:rPr>
        <w:t>he Parties</w:t>
      </w:r>
      <w:r w:rsidR="00E71C64">
        <w:rPr>
          <w:rFonts w:eastAsia="Calibri" w:cs="Times New Roman"/>
        </w:rPr>
        <w:t xml:space="preserve"> </w:t>
      </w:r>
      <w:r w:rsidRPr="00B96501" w:rsidR="00FD32D5">
        <w:rPr>
          <w:rFonts w:eastAsia="Calibri" w:cs="Times New Roman"/>
        </w:rPr>
        <w:t xml:space="preserve">then reaffirmed that position </w:t>
      </w:r>
      <w:r w:rsidRPr="00C93100" w:rsidR="00FD32D5">
        <w:rPr>
          <w:rFonts w:eastAsia="Calibri" w:cs="Times New Roman"/>
          <w:i/>
          <w:iCs/>
        </w:rPr>
        <w:t>fourteen</w:t>
      </w:r>
      <w:r w:rsidRPr="00B96501" w:rsidR="00FD32D5">
        <w:rPr>
          <w:rFonts w:eastAsia="Calibri" w:cs="Times New Roman"/>
        </w:rPr>
        <w:t xml:space="preserve"> times over the course of a year and five months, specifically stating each time that only Scoping Issue No. 2 remained in the proceeding</w:t>
      </w:r>
      <w:r w:rsidR="00126873">
        <w:rPr>
          <w:rFonts w:eastAsia="Calibri" w:cs="Times New Roman"/>
        </w:rPr>
        <w:t xml:space="preserve">” </w:t>
      </w:r>
      <w:r w:rsidR="007353F9">
        <w:rPr>
          <w:rFonts w:eastAsia="Calibri" w:cs="Times New Roman"/>
        </w:rPr>
        <w:t>in their Eighth through Twenty-First Joint Status Reports</w:t>
      </w:r>
      <w:r w:rsidR="007F297A">
        <w:rPr>
          <w:rFonts w:eastAsia="Calibri" w:cs="Times New Roman"/>
        </w:rPr>
        <w:t>; and (b)</w:t>
      </w:r>
      <w:r w:rsidRPr="00B96501" w:rsidR="00FD32D5">
        <w:rPr>
          <w:rFonts w:eastAsia="Calibri" w:cs="Times New Roman"/>
        </w:rPr>
        <w:t xml:space="preserve"> </w:t>
      </w:r>
      <w:r w:rsidR="007F297A">
        <w:rPr>
          <w:rFonts w:eastAsia="Calibri" w:cs="Times New Roman"/>
        </w:rPr>
        <w:t>“</w:t>
      </w:r>
      <w:r w:rsidRPr="00B96501" w:rsidR="00FD32D5">
        <w:rPr>
          <w:rFonts w:eastAsia="Calibri" w:cs="Times New Roman"/>
        </w:rPr>
        <w:t>Mr. Irizarry also explicitly stated that Scoping Issue No. 3 was</w:t>
      </w:r>
      <w:r w:rsidRPr="00FD32D5" w:rsidR="00FD32D5">
        <w:rPr>
          <w:rFonts w:eastAsia="Calibri" w:cs="Times New Roman"/>
        </w:rPr>
        <w:t xml:space="preserve"> resolved in his Opposition to the Motion to Dismiss</w:t>
      </w:r>
      <w:r w:rsidR="004917D8">
        <w:rPr>
          <w:rFonts w:eastAsia="Calibri" w:cs="Times New Roman"/>
        </w:rPr>
        <w:t>,” quoting his Opposition</w:t>
      </w:r>
      <w:r w:rsidR="00A56913">
        <w:rPr>
          <w:rFonts w:eastAsia="Calibri" w:cs="Times New Roman"/>
        </w:rPr>
        <w:t>, concluding that “</w:t>
      </w:r>
      <w:r w:rsidRPr="00FD32D5" w:rsidR="00FD32D5">
        <w:rPr>
          <w:rFonts w:eastAsia="Calibri" w:cs="Times New Roman"/>
        </w:rPr>
        <w:t xml:space="preserve">Mr. Irizarry cannot reverse his position </w:t>
      </w:r>
      <w:r w:rsidRPr="00B96501" w:rsidR="00FD32D5">
        <w:rPr>
          <w:rFonts w:eastAsia="Calibri" w:cs="Times New Roman"/>
        </w:rPr>
        <w:t>on Appeal</w:t>
      </w:r>
      <w:r w:rsidR="00A56913">
        <w:rPr>
          <w:rFonts w:eastAsia="Calibri" w:cs="Times New Roman"/>
        </w:rPr>
        <w:t>.</w:t>
      </w:r>
      <w:r w:rsidR="002C7190">
        <w:rPr>
          <w:rFonts w:eastAsia="Calibri" w:cs="Times New Roman"/>
        </w:rPr>
        <w:t>”</w:t>
      </w:r>
      <w:r w:rsidR="005F1EAC">
        <w:rPr>
          <w:rStyle w:val="FootnoteReference"/>
          <w:rFonts w:eastAsia="Calibri" w:cs="Times New Roman"/>
        </w:rPr>
        <w:footnoteReference w:id="37"/>
      </w:r>
    </w:p>
    <w:p w:rsidR="00A92FDE" w:rsidP="00A92FDE" w:rsidRDefault="002E7451" w14:paraId="09C96CD6" w14:textId="721AA10E">
      <w:pPr>
        <w:rPr>
          <w:rFonts w:eastAsia="Calibri" w:cs="Times New Roman"/>
        </w:rPr>
      </w:pPr>
      <w:r>
        <w:rPr>
          <w:rFonts w:eastAsia="Calibri" w:cs="Times New Roman"/>
        </w:rPr>
        <w:t xml:space="preserve">Here, </w:t>
      </w:r>
      <w:r w:rsidR="00DA20BF">
        <w:rPr>
          <w:rFonts w:eastAsia="Calibri" w:cs="Times New Roman"/>
        </w:rPr>
        <w:t>Complainant’s</w:t>
      </w:r>
      <w:r w:rsidRPr="001F3935" w:rsidR="00DA20BF">
        <w:rPr>
          <w:rFonts w:eastAsia="Calibri" w:cs="Times New Roman"/>
        </w:rPr>
        <w:t xml:space="preserve"> </w:t>
      </w:r>
      <w:r w:rsidR="00A92FDE">
        <w:rPr>
          <w:rFonts w:eastAsia="Calibri" w:cs="Times New Roman"/>
        </w:rPr>
        <w:t xml:space="preserve">post-decision argument </w:t>
      </w:r>
      <w:r w:rsidRPr="001F3935" w:rsidR="00A92FDE">
        <w:rPr>
          <w:rFonts w:eastAsia="Calibri" w:cs="Times New Roman"/>
        </w:rPr>
        <w:t xml:space="preserve">directly contradicts </w:t>
      </w:r>
      <w:r w:rsidR="00A92FDE">
        <w:rPr>
          <w:rFonts w:eastAsia="Calibri" w:cs="Times New Roman"/>
        </w:rPr>
        <w:t>the P</w:t>
      </w:r>
      <w:r w:rsidRPr="001F3935" w:rsidR="00A92FDE">
        <w:rPr>
          <w:rFonts w:eastAsia="Calibri" w:cs="Times New Roman"/>
        </w:rPr>
        <w:t xml:space="preserve">arties’ </w:t>
      </w:r>
      <w:r w:rsidR="00A92FDE">
        <w:rPr>
          <w:rFonts w:eastAsia="Calibri" w:cs="Times New Roman"/>
        </w:rPr>
        <w:t xml:space="preserve">joint </w:t>
      </w:r>
      <w:r w:rsidRPr="001F3935" w:rsidR="00A92FDE">
        <w:rPr>
          <w:rFonts w:eastAsia="Calibri" w:cs="Times New Roman"/>
        </w:rPr>
        <w:t xml:space="preserve">statements </w:t>
      </w:r>
      <w:r w:rsidR="00FC047A">
        <w:rPr>
          <w:rFonts w:eastAsia="Calibri" w:cs="Times New Roman"/>
        </w:rPr>
        <w:t>in</w:t>
      </w:r>
      <w:r w:rsidRPr="001F3935" w:rsidR="00A92FDE">
        <w:rPr>
          <w:rFonts w:eastAsia="Calibri" w:cs="Times New Roman"/>
        </w:rPr>
        <w:t xml:space="preserve"> their Joint Status Report</w:t>
      </w:r>
      <w:r w:rsidR="00A92FDE">
        <w:rPr>
          <w:rFonts w:eastAsia="Calibri" w:cs="Times New Roman"/>
        </w:rPr>
        <w:t>s</w:t>
      </w:r>
      <w:r w:rsidR="00A02095">
        <w:rPr>
          <w:rFonts w:eastAsia="Calibri" w:cs="Times New Roman"/>
        </w:rPr>
        <w:t xml:space="preserve"> and Complainant’s </w:t>
      </w:r>
      <w:r w:rsidR="00DE1253">
        <w:rPr>
          <w:rFonts w:eastAsia="Calibri" w:cs="Times New Roman"/>
        </w:rPr>
        <w:lastRenderedPageBreak/>
        <w:t>Opposition to the Motion</w:t>
      </w:r>
      <w:r w:rsidR="00A92FDE">
        <w:rPr>
          <w:rFonts w:eastAsia="Calibri" w:cs="Times New Roman"/>
        </w:rPr>
        <w:t xml:space="preserve">, </w:t>
      </w:r>
      <w:r w:rsidR="00635945">
        <w:rPr>
          <w:rFonts w:eastAsia="Calibri" w:cs="Times New Roman"/>
        </w:rPr>
        <w:t xml:space="preserve">establishing that </w:t>
      </w:r>
      <w:r w:rsidR="008F4B43">
        <w:rPr>
          <w:rFonts w:eastAsia="Calibri" w:cs="Times New Roman"/>
        </w:rPr>
        <w:t>Scoped Issue No.</w:t>
      </w:r>
      <w:r w:rsidR="00B73169">
        <w:rPr>
          <w:rFonts w:eastAsia="Calibri" w:cs="Times New Roman"/>
        </w:rPr>
        <w:t xml:space="preserve"> 3 was mooted by them</w:t>
      </w:r>
      <w:r w:rsidRPr="001F3935" w:rsidR="00A92FDE">
        <w:rPr>
          <w:rFonts w:eastAsia="Calibri" w:cs="Times New Roman"/>
        </w:rPr>
        <w:t>.</w:t>
      </w:r>
      <w:r w:rsidR="00A92FDE">
        <w:rPr>
          <w:rFonts w:eastAsia="Calibri" w:cs="Times New Roman"/>
        </w:rPr>
        <w:t xml:space="preserve"> </w:t>
      </w:r>
      <w:r w:rsidR="00D41C7B">
        <w:rPr>
          <w:rFonts w:eastAsia="Calibri" w:cs="Times New Roman"/>
        </w:rPr>
        <w:t xml:space="preserve">Defendant’s arguments </w:t>
      </w:r>
      <w:r w:rsidR="00BE6321">
        <w:rPr>
          <w:rFonts w:eastAsia="Calibri" w:cs="Times New Roman"/>
        </w:rPr>
        <w:t xml:space="preserve">are supported by </w:t>
      </w:r>
      <w:r w:rsidR="00D41C7B">
        <w:rPr>
          <w:rFonts w:eastAsia="Calibri" w:cs="Times New Roman"/>
        </w:rPr>
        <w:t xml:space="preserve">the relevant </w:t>
      </w:r>
      <w:r w:rsidR="00BE6321">
        <w:rPr>
          <w:rFonts w:eastAsia="Calibri" w:cs="Times New Roman"/>
        </w:rPr>
        <w:t xml:space="preserve">portions of the proceeding record, while </w:t>
      </w:r>
      <w:r w:rsidR="00A92FDE">
        <w:rPr>
          <w:rFonts w:eastAsia="Calibri" w:cs="Times New Roman"/>
        </w:rPr>
        <w:t xml:space="preserve">Complainant’s Appeal arguments above present mere </w:t>
      </w:r>
      <w:r w:rsidRPr="00BC41B0" w:rsidR="00A92FDE">
        <w:rPr>
          <w:rFonts w:eastAsia="Calibri" w:cs="Times New Roman"/>
          <w:i/>
          <w:iCs/>
        </w:rPr>
        <w:t>post hoc</w:t>
      </w:r>
      <w:r w:rsidR="00A92FDE">
        <w:rPr>
          <w:rFonts w:eastAsia="Calibri" w:cs="Times New Roman"/>
        </w:rPr>
        <w:t xml:space="preserve"> rationalizations that contradict the record and/or reargue its Motion opposition. </w:t>
      </w:r>
    </w:p>
    <w:p w:rsidR="00A92FDE" w:rsidP="00A92FDE" w:rsidRDefault="00A92FDE" w14:paraId="0F611527" w14:textId="0B94FC1A">
      <w:pPr>
        <w:rPr>
          <w:rFonts w:eastAsia="Calibri" w:cs="Times New Roman"/>
        </w:rPr>
      </w:pPr>
      <w:r>
        <w:rPr>
          <w:rFonts w:eastAsia="Calibri" w:cs="Times New Roman"/>
        </w:rPr>
        <w:t xml:space="preserve">The language of Scoped Issue Nos. 1, 2, and 3 left health or safety issues </w:t>
      </w:r>
      <w:r w:rsidR="001D77DF">
        <w:rPr>
          <w:rFonts w:eastAsia="Calibri" w:cs="Times New Roman"/>
        </w:rPr>
        <w:t xml:space="preserve">not resolved </w:t>
      </w:r>
      <w:r w:rsidR="00605084">
        <w:rPr>
          <w:rFonts w:eastAsia="Calibri" w:cs="Times New Roman"/>
        </w:rPr>
        <w:t xml:space="preserve">under </w:t>
      </w:r>
      <w:r>
        <w:rPr>
          <w:rFonts w:eastAsia="Calibri" w:cs="Times New Roman"/>
        </w:rPr>
        <w:t xml:space="preserve">Issue Nos. 1 and 2 to be addressed under </w:t>
      </w:r>
      <w:r w:rsidR="008F4B43">
        <w:rPr>
          <w:rFonts w:eastAsia="Calibri" w:cs="Times New Roman"/>
        </w:rPr>
        <w:t>Scoped Issue No.</w:t>
      </w:r>
      <w:r>
        <w:rPr>
          <w:rFonts w:eastAsia="Calibri" w:cs="Times New Roman"/>
        </w:rPr>
        <w:t xml:space="preserve"> 3. </w:t>
      </w:r>
      <w:r w:rsidR="00F31FEB">
        <w:rPr>
          <w:rFonts w:eastAsia="Calibri" w:cs="Times New Roman"/>
        </w:rPr>
        <w:t>Defendant’s Response recognizes that “[a]</w:t>
      </w:r>
      <w:r w:rsidRPr="00B96501" w:rsidR="001D77DF">
        <w:t>s to Scoping Issue No. 3, the ALJ correctly concluded that that no other public health and safety issues existed because the Parties, including Mr. Irizarry, affirmed that position to the ALJ (at least fifteen separate times)</w:t>
      </w:r>
      <w:r w:rsidR="004E4B15">
        <w:t>”</w:t>
      </w:r>
      <w:r w:rsidR="0022745F">
        <w:t xml:space="preserve"> in their </w:t>
      </w:r>
      <w:r w:rsidR="0022745F">
        <w:rPr>
          <w:rFonts w:eastAsia="Calibri" w:cs="Times New Roman"/>
        </w:rPr>
        <w:t>Joint Status Reports.</w:t>
      </w:r>
      <w:r w:rsidR="004E4B15">
        <w:rPr>
          <w:rStyle w:val="FootnoteReference"/>
        </w:rPr>
        <w:footnoteReference w:id="38"/>
      </w:r>
      <w:r w:rsidR="004E4B15">
        <w:t xml:space="preserve"> </w:t>
      </w:r>
      <w:r>
        <w:rPr>
          <w:rFonts w:eastAsia="Calibri" w:cs="Times New Roman"/>
        </w:rPr>
        <w:t>The decision adopted the Parties’ filed joint representation</w:t>
      </w:r>
      <w:r w:rsidR="00E57465">
        <w:rPr>
          <w:rFonts w:eastAsia="Calibri" w:cs="Times New Roman"/>
        </w:rPr>
        <w:t>s</w:t>
      </w:r>
      <w:r>
        <w:rPr>
          <w:rFonts w:eastAsia="Calibri" w:cs="Times New Roman"/>
        </w:rPr>
        <w:t xml:space="preserve"> that </w:t>
      </w:r>
      <w:r w:rsidR="008F4B43">
        <w:rPr>
          <w:rFonts w:eastAsia="Calibri" w:cs="Times New Roman"/>
        </w:rPr>
        <w:t>Scoped Issue No.</w:t>
      </w:r>
      <w:r>
        <w:rPr>
          <w:rFonts w:eastAsia="Calibri" w:cs="Times New Roman"/>
        </w:rPr>
        <w:t xml:space="preserve"> 3 had been resolved, demonstrating that no unresolved health or safety issues remained. The </w:t>
      </w:r>
      <w:proofErr w:type="gramStart"/>
      <w:r>
        <w:rPr>
          <w:rFonts w:eastAsia="Calibri" w:cs="Times New Roman"/>
        </w:rPr>
        <w:t>Motion,</w:t>
      </w:r>
      <w:proofErr w:type="gramEnd"/>
      <w:r>
        <w:rPr>
          <w:rFonts w:eastAsia="Calibri" w:cs="Times New Roman"/>
        </w:rPr>
        <w:t xml:space="preserve"> corroborate</w:t>
      </w:r>
      <w:r w:rsidR="002E7451">
        <w:rPr>
          <w:rFonts w:eastAsia="Calibri" w:cs="Times New Roman"/>
        </w:rPr>
        <w:t>d</w:t>
      </w:r>
      <w:r>
        <w:rPr>
          <w:rFonts w:eastAsia="Calibri" w:cs="Times New Roman"/>
        </w:rPr>
        <w:t xml:space="preserve"> </w:t>
      </w:r>
      <w:r w:rsidR="005213D2">
        <w:rPr>
          <w:rFonts w:eastAsia="Calibri" w:cs="Times New Roman"/>
        </w:rPr>
        <w:t>their J</w:t>
      </w:r>
      <w:r>
        <w:rPr>
          <w:rFonts w:eastAsia="Calibri" w:cs="Times New Roman"/>
        </w:rPr>
        <w:t xml:space="preserve">oint </w:t>
      </w:r>
      <w:r w:rsidR="005213D2">
        <w:rPr>
          <w:rFonts w:eastAsia="Calibri" w:cs="Times New Roman"/>
        </w:rPr>
        <w:t>Status Report</w:t>
      </w:r>
      <w:r w:rsidR="00CB4331">
        <w:rPr>
          <w:rFonts w:eastAsia="Calibri" w:cs="Times New Roman"/>
        </w:rPr>
        <w:t>s</w:t>
      </w:r>
      <w:r>
        <w:rPr>
          <w:rFonts w:eastAsia="Calibri" w:cs="Times New Roman"/>
        </w:rPr>
        <w:t>, establish</w:t>
      </w:r>
      <w:r w:rsidR="00CB4331">
        <w:rPr>
          <w:rFonts w:eastAsia="Calibri" w:cs="Times New Roman"/>
        </w:rPr>
        <w:t>ing</w:t>
      </w:r>
      <w:r>
        <w:rPr>
          <w:rFonts w:eastAsia="Calibri" w:cs="Times New Roman"/>
        </w:rPr>
        <w:t xml:space="preserve"> that </w:t>
      </w:r>
      <w:r w:rsidR="008F4B43">
        <w:rPr>
          <w:rFonts w:eastAsia="Calibri" w:cs="Times New Roman"/>
        </w:rPr>
        <w:t>Scoped Issue No.</w:t>
      </w:r>
      <w:r>
        <w:rPr>
          <w:rFonts w:eastAsia="Calibri" w:cs="Times New Roman"/>
        </w:rPr>
        <w:t xml:space="preserve"> 3 was moot.</w:t>
      </w:r>
    </w:p>
    <w:p w:rsidR="00A92FDE" w:rsidP="00A92FDE" w:rsidRDefault="00A92FDE" w14:paraId="1A75309E" w14:textId="77777777">
      <w:pPr>
        <w:rPr>
          <w:rFonts w:eastAsia="Calibri" w:cs="Times New Roman"/>
        </w:rPr>
      </w:pPr>
      <w:r>
        <w:rPr>
          <w:rFonts w:eastAsia="Calibri" w:cs="Times New Roman"/>
        </w:rPr>
        <w:t xml:space="preserve">We accept as truthful and accurate all representations by the Parties. Commission Rule of Practice and Procedure No. 1 </w:t>
      </w:r>
      <w:r w:rsidRPr="008F3347">
        <w:rPr>
          <w:rFonts w:eastAsia="Calibri" w:cs="Times New Roman"/>
        </w:rPr>
        <w:t>(Rule 1)</w:t>
      </w:r>
      <w:r w:rsidRPr="002C46B1">
        <w:rPr>
          <w:rFonts w:eastAsia="Calibri" w:cs="Times New Roman"/>
          <w:b/>
          <w:bCs/>
        </w:rPr>
        <w:t xml:space="preserve"> </w:t>
      </w:r>
      <w:r w:rsidRPr="00202572">
        <w:rPr>
          <w:rFonts w:eastAsia="Calibri" w:cs="Times New Roman"/>
        </w:rPr>
        <w:t>m</w:t>
      </w:r>
      <w:r w:rsidRPr="002C46B1">
        <w:rPr>
          <w:rFonts w:eastAsia="Calibri" w:cs="Times New Roman"/>
        </w:rPr>
        <w:t xml:space="preserve">andates </w:t>
      </w:r>
      <w:r>
        <w:rPr>
          <w:rFonts w:eastAsia="Calibri" w:cs="Times New Roman"/>
        </w:rPr>
        <w:t>accuracy and candor in all statements to the Commission:</w:t>
      </w:r>
      <w:r w:rsidRPr="002C46B1">
        <w:rPr>
          <w:rFonts w:eastAsia="Calibri" w:cs="Times New Roman"/>
        </w:rPr>
        <w:t xml:space="preserve"> </w:t>
      </w:r>
    </w:p>
    <w:p w:rsidRPr="003209B2" w:rsidR="00A92FDE" w:rsidP="003209B2" w:rsidRDefault="00A92FDE" w14:paraId="7A7957A0" w14:textId="751B8E57">
      <w:pPr>
        <w:pStyle w:val="BlockQuote"/>
      </w:pPr>
      <w:r w:rsidRPr="000A36D8">
        <w:t xml:space="preserve">Any person who signs a pleading or brief, enters an appearance, offers testimony at a hearing, or transacts business with the Commission, by such act represents that he or she is authorized to do so and agrees to comply with the laws of this State; to maintain the respect due to the Commission, members of the Commission and its Administrative Law Judges; and </w:t>
      </w:r>
      <w:r w:rsidRPr="0091359F">
        <w:rPr>
          <w:i/>
          <w:iCs/>
        </w:rPr>
        <w:t>never to mislead the Commission or its staff by an artifice or false statement of fact or law</w:t>
      </w:r>
      <w:r w:rsidRPr="000A36D8">
        <w:t>.</w:t>
      </w:r>
      <w:r>
        <w:t xml:space="preserve"> (emphasis added).</w:t>
      </w:r>
    </w:p>
    <w:p w:rsidR="00B52AF0" w:rsidP="00AB0F77" w:rsidRDefault="00A92FDE" w14:paraId="2815586D" w14:textId="793D7F7E">
      <w:pPr>
        <w:ind w:firstLine="0"/>
        <w:rPr>
          <w:rFonts w:eastAsia="Calibri" w:cs="Times New Roman"/>
        </w:rPr>
      </w:pPr>
      <w:r>
        <w:rPr>
          <w:rFonts w:eastAsia="Calibri" w:cs="Times New Roman"/>
        </w:rPr>
        <w:lastRenderedPageBreak/>
        <w:t xml:space="preserve">Notably, </w:t>
      </w:r>
      <w:r w:rsidRPr="003D5F4E">
        <w:rPr>
          <w:rFonts w:eastAsia="Calibri" w:cs="Times New Roman"/>
        </w:rPr>
        <w:t xml:space="preserve">Complainant sought and was granted a significant </w:t>
      </w:r>
      <w:proofErr w:type="gramStart"/>
      <w:r w:rsidRPr="003D5F4E">
        <w:rPr>
          <w:rFonts w:eastAsia="Calibri" w:cs="Times New Roman"/>
        </w:rPr>
        <w:t>period of time</w:t>
      </w:r>
      <w:proofErr w:type="gramEnd"/>
      <w:r w:rsidRPr="003D5F4E">
        <w:rPr>
          <w:rFonts w:eastAsia="Calibri" w:cs="Times New Roman"/>
        </w:rPr>
        <w:t xml:space="preserve"> to retain legal counsel at the onset of this proceeding</w:t>
      </w:r>
      <w:r>
        <w:rPr>
          <w:rFonts w:eastAsia="Calibri" w:cs="Times New Roman"/>
        </w:rPr>
        <w:t>. He</w:t>
      </w:r>
      <w:r w:rsidRPr="003D5F4E">
        <w:rPr>
          <w:rFonts w:eastAsia="Calibri" w:cs="Times New Roman"/>
        </w:rPr>
        <w:t xml:space="preserve"> did not seek additional time, indicating that he had access to advice of counsel when the </w:t>
      </w:r>
      <w:r w:rsidRPr="00B96501" w:rsidR="00DD4EDA">
        <w:rPr>
          <w:rFonts w:eastAsia="Calibri" w:cs="Times New Roman"/>
        </w:rPr>
        <w:t xml:space="preserve">June 17, </w:t>
      </w:r>
      <w:proofErr w:type="gramStart"/>
      <w:r w:rsidRPr="00B96501" w:rsidR="00DD4EDA">
        <w:rPr>
          <w:rFonts w:eastAsia="Calibri" w:cs="Times New Roman"/>
        </w:rPr>
        <w:t>2024</w:t>
      </w:r>
      <w:proofErr w:type="gramEnd"/>
      <w:r w:rsidR="00DD4EDA">
        <w:rPr>
          <w:rFonts w:eastAsia="Calibri" w:cs="Times New Roman"/>
        </w:rPr>
        <w:t xml:space="preserve"> Joint Status Report</w:t>
      </w:r>
      <w:r w:rsidRPr="003D5F4E" w:rsidDel="00DD4EDA" w:rsidR="00DD4EDA">
        <w:rPr>
          <w:rFonts w:eastAsia="Calibri" w:cs="Times New Roman"/>
        </w:rPr>
        <w:t xml:space="preserve"> </w:t>
      </w:r>
      <w:r w:rsidRPr="003D5F4E">
        <w:rPr>
          <w:rFonts w:eastAsia="Calibri" w:cs="Times New Roman"/>
        </w:rPr>
        <w:t>was filed</w:t>
      </w:r>
      <w:r>
        <w:rPr>
          <w:rFonts w:eastAsia="Calibri" w:cs="Times New Roman"/>
        </w:rPr>
        <w:t xml:space="preserve"> </w:t>
      </w:r>
      <w:r w:rsidR="004169AF">
        <w:rPr>
          <w:rFonts w:eastAsia="Calibri" w:cs="Times New Roman"/>
        </w:rPr>
        <w:t>-- and subsequ</w:t>
      </w:r>
      <w:r w:rsidR="00793557">
        <w:rPr>
          <w:rFonts w:eastAsia="Calibri" w:cs="Times New Roman"/>
        </w:rPr>
        <w:t>e</w:t>
      </w:r>
      <w:r w:rsidR="004169AF">
        <w:rPr>
          <w:rFonts w:eastAsia="Calibri" w:cs="Times New Roman"/>
        </w:rPr>
        <w:t xml:space="preserve">ntly -- </w:t>
      </w:r>
      <w:r>
        <w:rPr>
          <w:rFonts w:eastAsia="Calibri" w:cs="Times New Roman"/>
        </w:rPr>
        <w:t xml:space="preserve">to inform the Commission that </w:t>
      </w:r>
      <w:r w:rsidR="008F4B43">
        <w:rPr>
          <w:rFonts w:eastAsia="Calibri" w:cs="Times New Roman"/>
        </w:rPr>
        <w:t>Scoped Issue No.</w:t>
      </w:r>
      <w:r>
        <w:rPr>
          <w:rFonts w:eastAsia="Calibri" w:cs="Times New Roman"/>
        </w:rPr>
        <w:t xml:space="preserve"> 3 was resolved. As a result, the decision properly credits and adopts that </w:t>
      </w:r>
      <w:r w:rsidR="00335E26">
        <w:rPr>
          <w:rFonts w:eastAsia="Calibri" w:cs="Times New Roman"/>
        </w:rPr>
        <w:t xml:space="preserve">and later </w:t>
      </w:r>
      <w:r>
        <w:rPr>
          <w:rFonts w:eastAsia="Calibri" w:cs="Times New Roman"/>
        </w:rPr>
        <w:t>statement</w:t>
      </w:r>
      <w:r w:rsidR="00335E26">
        <w:rPr>
          <w:rFonts w:eastAsia="Calibri" w:cs="Times New Roman"/>
        </w:rPr>
        <w:t>s</w:t>
      </w:r>
      <w:r>
        <w:rPr>
          <w:rFonts w:eastAsia="Calibri" w:cs="Times New Roman"/>
        </w:rPr>
        <w:t>, made pursuant to Rule 1</w:t>
      </w:r>
      <w:r w:rsidR="00335E26">
        <w:rPr>
          <w:rFonts w:eastAsia="Calibri" w:cs="Times New Roman"/>
        </w:rPr>
        <w:t>,</w:t>
      </w:r>
      <w:r>
        <w:rPr>
          <w:rFonts w:eastAsia="Calibri" w:cs="Times New Roman"/>
        </w:rPr>
        <w:t xml:space="preserve"> in the Motion and Joint Stat</w:t>
      </w:r>
      <w:r w:rsidR="00335E26">
        <w:rPr>
          <w:rFonts w:eastAsia="Calibri" w:cs="Times New Roman"/>
        </w:rPr>
        <w:t>us Reports</w:t>
      </w:r>
      <w:r w:rsidR="000E30F0">
        <w:rPr>
          <w:rFonts w:eastAsia="Calibri" w:cs="Times New Roman"/>
        </w:rPr>
        <w:t xml:space="preserve">, </w:t>
      </w:r>
      <w:r>
        <w:rPr>
          <w:rFonts w:eastAsia="Calibri" w:cs="Times New Roman"/>
        </w:rPr>
        <w:t>and not modified or contradicted subsequently.</w:t>
      </w:r>
    </w:p>
    <w:p w:rsidR="00A92FDE" w:rsidP="00C93100" w:rsidRDefault="00A92FDE" w14:paraId="1C239D92" w14:textId="4750FB63">
      <w:pPr>
        <w:rPr>
          <w:rFonts w:eastAsia="Calibri" w:cs="Times New Roman"/>
        </w:rPr>
      </w:pPr>
      <w:r>
        <w:rPr>
          <w:rFonts w:eastAsia="Calibri" w:cs="Times New Roman"/>
        </w:rPr>
        <w:t xml:space="preserve">Accordingly, the Appeal identifies no error requiring modification of the decision finding </w:t>
      </w:r>
      <w:r w:rsidR="008F4B43">
        <w:rPr>
          <w:rFonts w:eastAsia="Calibri" w:cs="Times New Roman"/>
        </w:rPr>
        <w:t>Scoped Issue No.</w:t>
      </w:r>
      <w:r>
        <w:rPr>
          <w:rFonts w:eastAsia="Calibri" w:cs="Times New Roman"/>
        </w:rPr>
        <w:t xml:space="preserve"> 3 moot. </w:t>
      </w:r>
    </w:p>
    <w:p w:rsidR="00A92FDE" w:rsidP="00A92FDE" w:rsidRDefault="001F4E1D" w14:paraId="1D60BB0A" w14:textId="49EF2650">
      <w:pPr>
        <w:rPr>
          <w:rFonts w:eastAsia="Calibri" w:cs="Times New Roman"/>
        </w:rPr>
      </w:pPr>
      <w:r w:rsidRPr="00AB0F77">
        <w:rPr>
          <w:rFonts w:eastAsia="Calibri" w:cs="Times New Roman"/>
          <w:b/>
          <w:bCs/>
          <w:i/>
          <w:iCs/>
        </w:rPr>
        <w:t>Second</w:t>
      </w:r>
      <w:r>
        <w:rPr>
          <w:rFonts w:eastAsia="Calibri" w:cs="Times New Roman"/>
        </w:rPr>
        <w:t>, s</w:t>
      </w:r>
      <w:r w:rsidR="00A92FDE">
        <w:rPr>
          <w:rFonts w:eastAsia="Calibri" w:cs="Times New Roman"/>
        </w:rPr>
        <w:t>imilarly, the Motion identified and the Parties reported in their Joint Status Report</w:t>
      </w:r>
      <w:r w:rsidR="006D382C">
        <w:rPr>
          <w:rFonts w:eastAsia="Calibri" w:cs="Times New Roman"/>
        </w:rPr>
        <w:t>s</w:t>
      </w:r>
      <w:r w:rsidR="00A92FDE">
        <w:rPr>
          <w:rFonts w:eastAsia="Calibri" w:cs="Times New Roman"/>
        </w:rPr>
        <w:t xml:space="preserve"> that </w:t>
      </w:r>
      <w:r w:rsidR="00E30705">
        <w:rPr>
          <w:rFonts w:eastAsia="Calibri" w:cs="Times New Roman"/>
        </w:rPr>
        <w:t xml:space="preserve">Scoped Issue </w:t>
      </w:r>
      <w:r w:rsidR="00A92FDE">
        <w:rPr>
          <w:rFonts w:eastAsia="Calibri" w:cs="Times New Roman"/>
        </w:rPr>
        <w:t xml:space="preserve">No. 1 was resolved by removal or relocation of tree line connections. The decision therefore credited and adopted that statement in </w:t>
      </w:r>
      <w:r w:rsidR="006622B8">
        <w:rPr>
          <w:rFonts w:eastAsia="Calibri" w:cs="Times New Roman"/>
        </w:rPr>
        <w:t xml:space="preserve">their </w:t>
      </w:r>
      <w:r w:rsidR="00402467">
        <w:rPr>
          <w:rFonts w:eastAsia="Calibri" w:cs="Times New Roman"/>
        </w:rPr>
        <w:t xml:space="preserve">June 17, </w:t>
      </w:r>
      <w:proofErr w:type="gramStart"/>
      <w:r w:rsidR="00402467">
        <w:rPr>
          <w:rFonts w:eastAsia="Calibri" w:cs="Times New Roman"/>
        </w:rPr>
        <w:t>2024</w:t>
      </w:r>
      <w:proofErr w:type="gramEnd"/>
      <w:r w:rsidR="00402467">
        <w:rPr>
          <w:rFonts w:eastAsia="Calibri" w:cs="Times New Roman"/>
        </w:rPr>
        <w:t xml:space="preserve"> </w:t>
      </w:r>
      <w:r w:rsidR="006622B8">
        <w:rPr>
          <w:rFonts w:eastAsia="Calibri" w:cs="Times New Roman"/>
        </w:rPr>
        <w:t>Joint Status Report</w:t>
      </w:r>
      <w:r w:rsidR="00E126E3">
        <w:rPr>
          <w:rFonts w:eastAsia="Calibri" w:cs="Times New Roman"/>
        </w:rPr>
        <w:t xml:space="preserve"> and later Joint Status Report</w:t>
      </w:r>
      <w:r w:rsidR="00E30705">
        <w:rPr>
          <w:rFonts w:eastAsia="Calibri" w:cs="Times New Roman"/>
        </w:rPr>
        <w:t>s</w:t>
      </w:r>
      <w:r w:rsidR="00A92FDE">
        <w:rPr>
          <w:rFonts w:eastAsia="Calibri" w:cs="Times New Roman"/>
        </w:rPr>
        <w:t xml:space="preserve">.  </w:t>
      </w:r>
    </w:p>
    <w:p w:rsidR="00186E02" w:rsidP="00A92FDE" w:rsidRDefault="00571CA5" w14:paraId="74D4A827" w14:textId="769DA87F">
      <w:pPr>
        <w:rPr>
          <w:rFonts w:eastAsia="Calibri" w:cs="Times New Roman"/>
        </w:rPr>
      </w:pPr>
      <w:r>
        <w:rPr>
          <w:rFonts w:eastAsia="Calibri" w:cs="Times New Roman"/>
        </w:rPr>
        <w:t xml:space="preserve">Now, </w:t>
      </w:r>
      <w:r w:rsidR="00A92FDE">
        <w:rPr>
          <w:rFonts w:eastAsia="Calibri" w:cs="Times New Roman"/>
        </w:rPr>
        <w:t xml:space="preserve">Complainant says on Appeal that the decision erred, arguing that the Parties’ agreed remediation </w:t>
      </w:r>
      <w:r w:rsidR="007C334E">
        <w:rPr>
          <w:rFonts w:eastAsia="Calibri" w:cs="Times New Roman"/>
        </w:rPr>
        <w:t>of tree line connections</w:t>
      </w:r>
      <w:r w:rsidR="003F178B">
        <w:rPr>
          <w:rFonts w:eastAsia="Calibri" w:cs="Times New Roman"/>
        </w:rPr>
        <w:t xml:space="preserve"> </w:t>
      </w:r>
      <w:r w:rsidR="007C334E">
        <w:rPr>
          <w:rFonts w:eastAsia="Calibri" w:cs="Times New Roman"/>
        </w:rPr>
        <w:t xml:space="preserve">under </w:t>
      </w:r>
      <w:r w:rsidR="008F4B43">
        <w:rPr>
          <w:rFonts w:eastAsia="Calibri" w:cs="Times New Roman"/>
        </w:rPr>
        <w:t>Scoped Issue No.</w:t>
      </w:r>
      <w:r w:rsidR="007C334E">
        <w:rPr>
          <w:rFonts w:eastAsia="Calibri" w:cs="Times New Roman"/>
        </w:rPr>
        <w:t xml:space="preserve"> 1 </w:t>
      </w:r>
      <w:r w:rsidR="00A92FDE">
        <w:rPr>
          <w:rFonts w:eastAsia="Calibri" w:cs="Times New Roman"/>
        </w:rPr>
        <w:t xml:space="preserve">was only “partial” because it should have included “remov[al] or relocate[ion]” of what he now characterizes as “the most dangerous pole,” </w:t>
      </w:r>
      <w:r w:rsidRPr="00B02C9D" w:rsidR="00A92FDE">
        <w:rPr>
          <w:rFonts w:eastAsia="Calibri" w:cs="Times New Roman"/>
          <w:i/>
          <w:iCs/>
        </w:rPr>
        <w:t>i.e</w:t>
      </w:r>
      <w:r w:rsidR="00A92FDE">
        <w:rPr>
          <w:rFonts w:eastAsia="Calibri" w:cs="Times New Roman"/>
        </w:rPr>
        <w:t xml:space="preserve">., the pole that is the subject of </w:t>
      </w:r>
      <w:r w:rsidR="008F4B43">
        <w:rPr>
          <w:rFonts w:eastAsia="Calibri" w:cs="Times New Roman"/>
        </w:rPr>
        <w:t>Scoped Issue No.</w:t>
      </w:r>
      <w:r w:rsidR="00A92FDE">
        <w:rPr>
          <w:rFonts w:eastAsia="Calibri" w:cs="Times New Roman"/>
        </w:rPr>
        <w:t xml:space="preserve"> 2.</w:t>
      </w:r>
      <w:r w:rsidR="00A92FDE">
        <w:rPr>
          <w:rStyle w:val="FootnoteReference"/>
          <w:rFonts w:eastAsia="Calibri" w:cs="Times New Roman"/>
        </w:rPr>
        <w:footnoteReference w:id="39"/>
      </w:r>
      <w:r w:rsidR="00A92FDE">
        <w:rPr>
          <w:rFonts w:eastAsia="Calibri" w:cs="Times New Roman"/>
        </w:rPr>
        <w:t xml:space="preserve"> </w:t>
      </w:r>
    </w:p>
    <w:p w:rsidR="00A92FDE" w:rsidP="00A92FDE" w:rsidRDefault="00A92FDE" w14:paraId="0CD5A670" w14:textId="385C88F5">
      <w:pPr>
        <w:rPr>
          <w:rFonts w:eastAsia="Calibri" w:cs="Times New Roman"/>
        </w:rPr>
      </w:pPr>
      <w:r>
        <w:rPr>
          <w:rFonts w:eastAsia="Calibri" w:cs="Times New Roman"/>
        </w:rPr>
        <w:t xml:space="preserve">Complainant thereby impermissibly conflates Issue Nos. 1 and 2 despite the Scoping Memo and Parties’ treatment of those issues as distinct in the record. </w:t>
      </w:r>
      <w:r w:rsidR="008F4B43">
        <w:rPr>
          <w:rFonts w:eastAsia="Calibri" w:cs="Times New Roman"/>
        </w:rPr>
        <w:t>Scoped Issue No.</w:t>
      </w:r>
      <w:r>
        <w:rPr>
          <w:rFonts w:eastAsia="Calibri" w:cs="Times New Roman"/>
        </w:rPr>
        <w:t xml:space="preserve"> 1 clearly addresses “Whether or not [PG&amp;E] must relocate [PG&amp;E’s] </w:t>
      </w:r>
      <w:r w:rsidRPr="002C2AF2">
        <w:rPr>
          <w:rFonts w:eastAsia="Calibri" w:cs="Times New Roman"/>
          <w:i/>
          <w:iCs/>
        </w:rPr>
        <w:t>power lines from current tree connections</w:t>
      </w:r>
      <w:r>
        <w:rPr>
          <w:rFonts w:eastAsia="Calibri" w:cs="Times New Roman"/>
        </w:rPr>
        <w:t xml:space="preserve"> </w:t>
      </w:r>
      <w:r w:rsidRPr="00CF372E">
        <w:rPr>
          <w:rFonts w:eastAsia="Calibri" w:cs="Times New Roman"/>
          <w:i/>
          <w:iCs/>
        </w:rPr>
        <w:t>to</w:t>
      </w:r>
      <w:r>
        <w:rPr>
          <w:rFonts w:eastAsia="Calibri" w:cs="Times New Roman"/>
        </w:rPr>
        <w:t xml:space="preserve"> one or more </w:t>
      </w:r>
      <w:r w:rsidRPr="00CF372E">
        <w:rPr>
          <w:rFonts w:eastAsia="Calibri" w:cs="Times New Roman"/>
          <w:i/>
          <w:iCs/>
        </w:rPr>
        <w:t>power poles</w:t>
      </w:r>
      <w:r>
        <w:rPr>
          <w:rFonts w:eastAsia="Calibri" w:cs="Times New Roman"/>
        </w:rPr>
        <w:t xml:space="preserve"> located on [PG&amp;E’s] public utility easement.” In contrast, </w:t>
      </w:r>
      <w:r w:rsidR="008F4B43">
        <w:rPr>
          <w:rFonts w:eastAsia="Calibri" w:cs="Times New Roman"/>
        </w:rPr>
        <w:t>Scoped Issue No.</w:t>
      </w:r>
      <w:r>
        <w:rPr>
          <w:rFonts w:eastAsia="Calibri" w:cs="Times New Roman"/>
        </w:rPr>
        <w:t xml:space="preserve"> 2 </w:t>
      </w:r>
      <w:r>
        <w:rPr>
          <w:rFonts w:eastAsia="Calibri" w:cs="Times New Roman"/>
        </w:rPr>
        <w:lastRenderedPageBreak/>
        <w:t xml:space="preserve">does not concern tree line connections or power poles located on PG&amp;E’s easement. Instead, </w:t>
      </w:r>
      <w:r w:rsidR="008F4B43">
        <w:rPr>
          <w:rFonts w:eastAsia="Calibri" w:cs="Times New Roman"/>
        </w:rPr>
        <w:t>Scoped Issue No.</w:t>
      </w:r>
      <w:r>
        <w:rPr>
          <w:rFonts w:eastAsia="Calibri" w:cs="Times New Roman"/>
        </w:rPr>
        <w:t xml:space="preserve"> 2 focuses on “Whether [PG&amp;E] must bear all costs of removing one or more </w:t>
      </w:r>
      <w:r w:rsidRPr="002C2AF2">
        <w:rPr>
          <w:rFonts w:eastAsia="Calibri" w:cs="Times New Roman"/>
          <w:i/>
          <w:iCs/>
        </w:rPr>
        <w:t>power poles</w:t>
      </w:r>
      <w:r>
        <w:rPr>
          <w:rFonts w:eastAsia="Calibri" w:cs="Times New Roman"/>
        </w:rPr>
        <w:t xml:space="preserve"> located on or adjacent to </w:t>
      </w:r>
      <w:r w:rsidRPr="002C2AF2">
        <w:rPr>
          <w:rFonts w:eastAsia="Calibri" w:cs="Times New Roman"/>
          <w:i/>
          <w:iCs/>
        </w:rPr>
        <w:t>Complainant’s property</w:t>
      </w:r>
      <w:r>
        <w:rPr>
          <w:rFonts w:eastAsia="Calibri" w:cs="Times New Roman"/>
        </w:rPr>
        <w:t xml:space="preserve"> at Complainant’s request.” As a result, a pole removal from Complainant’s property was not within the ambit of </w:t>
      </w:r>
      <w:r w:rsidR="008F4B43">
        <w:rPr>
          <w:rFonts w:eastAsia="Calibri" w:cs="Times New Roman"/>
        </w:rPr>
        <w:t>Scoped Issue No.</w:t>
      </w:r>
      <w:r>
        <w:rPr>
          <w:rFonts w:eastAsia="Calibri" w:cs="Times New Roman"/>
        </w:rPr>
        <w:t xml:space="preserve"> 1. Complainant cannot </w:t>
      </w:r>
      <w:r w:rsidR="002C64CE">
        <w:rPr>
          <w:rFonts w:eastAsia="Calibri" w:cs="Times New Roman"/>
        </w:rPr>
        <w:t>expand</w:t>
      </w:r>
      <w:r>
        <w:rPr>
          <w:rFonts w:eastAsia="Calibri" w:cs="Times New Roman"/>
        </w:rPr>
        <w:t xml:space="preserve"> </w:t>
      </w:r>
      <w:r w:rsidR="008F4B43">
        <w:rPr>
          <w:rFonts w:eastAsia="Calibri" w:cs="Times New Roman"/>
        </w:rPr>
        <w:t>Scoped Issue No.</w:t>
      </w:r>
      <w:r>
        <w:rPr>
          <w:rFonts w:eastAsia="Calibri" w:cs="Times New Roman"/>
        </w:rPr>
        <w:t xml:space="preserve"> 1 on appeal to include the pole at issue under </w:t>
      </w:r>
      <w:r w:rsidR="008F4B43">
        <w:rPr>
          <w:rFonts w:eastAsia="Calibri" w:cs="Times New Roman"/>
        </w:rPr>
        <w:t>Scoped Issue No.</w:t>
      </w:r>
      <w:r>
        <w:rPr>
          <w:rFonts w:eastAsia="Calibri" w:cs="Times New Roman"/>
        </w:rPr>
        <w:t xml:space="preserve"> 2.</w:t>
      </w:r>
    </w:p>
    <w:p w:rsidRPr="00FC4FF6" w:rsidR="00FC4FF6" w:rsidP="00FC4FF6" w:rsidRDefault="000A3AFD" w14:paraId="7B481298" w14:textId="3632BB2C">
      <w:r>
        <w:rPr>
          <w:rFonts w:eastAsia="Calibri" w:cs="Times New Roman"/>
        </w:rPr>
        <w:t xml:space="preserve">Complainant </w:t>
      </w:r>
      <w:r w:rsidR="006D22ED">
        <w:rPr>
          <w:rFonts w:eastAsia="Calibri" w:cs="Times New Roman"/>
        </w:rPr>
        <w:t xml:space="preserve">mistakenly </w:t>
      </w:r>
      <w:r>
        <w:rPr>
          <w:rFonts w:eastAsia="Calibri" w:cs="Times New Roman"/>
        </w:rPr>
        <w:t xml:space="preserve">seeks to </w:t>
      </w:r>
      <w:r w:rsidR="007F1978">
        <w:rPr>
          <w:rFonts w:eastAsia="Calibri" w:cs="Times New Roman"/>
        </w:rPr>
        <w:t xml:space="preserve">apply </w:t>
      </w:r>
      <w:r w:rsidRPr="00B96501" w:rsidR="007F1978">
        <w:t>14 C.C.R. Sections 1257</w:t>
      </w:r>
      <w:r w:rsidR="007F1978">
        <w:t xml:space="preserve"> and</w:t>
      </w:r>
      <w:r w:rsidRPr="00B96501" w:rsidR="007F1978">
        <w:t xml:space="preserve"> 1258</w:t>
      </w:r>
      <w:r w:rsidR="007F1978">
        <w:t xml:space="preserve"> to </w:t>
      </w:r>
      <w:r w:rsidR="006D22ED">
        <w:t>compel</w:t>
      </w:r>
      <w:r w:rsidR="007F1978">
        <w:t xml:space="preserve"> </w:t>
      </w:r>
      <w:r w:rsidR="00FA2338">
        <w:t>removal of</w:t>
      </w:r>
      <w:r w:rsidR="00A16F2A">
        <w:t xml:space="preserve"> the</w:t>
      </w:r>
      <w:r w:rsidR="004749FE">
        <w:t xml:space="preserve"> pole that is the subject of </w:t>
      </w:r>
      <w:r w:rsidR="008F4B43">
        <w:t>Scoped Issue No.</w:t>
      </w:r>
      <w:r w:rsidR="004749FE">
        <w:t xml:space="preserve"> 2 as part of </w:t>
      </w:r>
      <w:r w:rsidR="009D4ABE">
        <w:t xml:space="preserve">the completed </w:t>
      </w:r>
      <w:r w:rsidR="00162D39">
        <w:t>remediation that</w:t>
      </w:r>
      <w:r w:rsidR="007155FF">
        <w:t xml:space="preserve"> resolve</w:t>
      </w:r>
      <w:r w:rsidR="00162D39">
        <w:t>d</w:t>
      </w:r>
      <w:r w:rsidR="007155FF">
        <w:t xml:space="preserve"> </w:t>
      </w:r>
      <w:r w:rsidR="008F4B43">
        <w:t>Scoped Issue No.</w:t>
      </w:r>
      <w:r w:rsidR="007155FF">
        <w:t xml:space="preserve"> 1.</w:t>
      </w:r>
      <w:r w:rsidR="009D4ABE">
        <w:t xml:space="preserve"> </w:t>
      </w:r>
      <w:r w:rsidR="00BE183E">
        <w:rPr>
          <w:rFonts w:eastAsia="Calibri" w:cs="Times New Roman"/>
        </w:rPr>
        <w:t xml:space="preserve">Defendant’s Response </w:t>
      </w:r>
      <w:r w:rsidR="00536741">
        <w:rPr>
          <w:rFonts w:eastAsia="Calibri" w:cs="Times New Roman"/>
        </w:rPr>
        <w:t xml:space="preserve">properly </w:t>
      </w:r>
      <w:r w:rsidR="00BE183E">
        <w:rPr>
          <w:rFonts w:eastAsia="Calibri" w:cs="Times New Roman"/>
        </w:rPr>
        <w:t xml:space="preserve">points out that </w:t>
      </w:r>
      <w:r w:rsidRPr="00B96501" w:rsidR="00C76852">
        <w:t>14 C.C.R. Sections 1257</w:t>
      </w:r>
      <w:r w:rsidR="00C76852">
        <w:t xml:space="preserve"> and</w:t>
      </w:r>
      <w:r w:rsidRPr="00B96501" w:rsidR="00C76852">
        <w:t xml:space="preserve"> 1258</w:t>
      </w:r>
      <w:r w:rsidR="00C76852">
        <w:t xml:space="preserve"> </w:t>
      </w:r>
      <w:r w:rsidR="00A34C9D">
        <w:t xml:space="preserve">govern </w:t>
      </w:r>
      <w:r w:rsidR="00024702">
        <w:t>minimum clearance</w:t>
      </w:r>
      <w:r w:rsidR="00364C0B">
        <w:t xml:space="preserve">s and tree connections under </w:t>
      </w:r>
      <w:r w:rsidR="008F4B43">
        <w:t>Scoped Issue No.</w:t>
      </w:r>
      <w:r w:rsidR="00364C0B">
        <w:t xml:space="preserve"> 1 </w:t>
      </w:r>
      <w:r w:rsidR="00EC3D02">
        <w:t xml:space="preserve">that were resolved by agreement and PG&amp;E’s </w:t>
      </w:r>
      <w:r w:rsidR="00AC4031">
        <w:t>replacement of tree connections with pole connections.</w:t>
      </w:r>
      <w:r w:rsidR="00BD4534">
        <w:rPr>
          <w:rStyle w:val="FootnoteReference"/>
        </w:rPr>
        <w:footnoteReference w:id="40"/>
      </w:r>
      <w:r w:rsidR="007155FF">
        <w:t xml:space="preserve"> Defendant </w:t>
      </w:r>
      <w:r w:rsidR="00C3474E">
        <w:t xml:space="preserve">recognizes </w:t>
      </w:r>
      <w:r w:rsidR="007155FF">
        <w:t xml:space="preserve"> that </w:t>
      </w:r>
      <w:r w:rsidR="00FC4FF6">
        <w:t>“</w:t>
      </w:r>
      <w:r w:rsidRPr="00FC4FF6" w:rsidR="00FC4FF6">
        <w:t>These regulations are not relevant to the pole near the front of Mr. Irizarry’s</w:t>
      </w:r>
      <w:r w:rsidR="00A56517">
        <w:t xml:space="preserve"> </w:t>
      </w:r>
      <w:r w:rsidRPr="00FC4FF6" w:rsidR="00FC4FF6">
        <w:t>driveway adjacent to Bear Gulch Road under Scoping Issue No. 2</w:t>
      </w:r>
      <w:r w:rsidR="00A56517">
        <w:t>” because “</w:t>
      </w:r>
      <w:r w:rsidRPr="00FC4FF6" w:rsidR="00FC4FF6">
        <w:t>that pole has a</w:t>
      </w:r>
      <w:r w:rsidR="00A56517">
        <w:t xml:space="preserve"> </w:t>
      </w:r>
      <w:r w:rsidRPr="00FC4FF6" w:rsidR="00FC4FF6">
        <w:t>pole connection, not a tree connection.</w:t>
      </w:r>
      <w:r w:rsidR="00A56517">
        <w:t>”</w:t>
      </w:r>
      <w:r w:rsidR="004753DB">
        <w:rPr>
          <w:rStyle w:val="FootnoteReference"/>
        </w:rPr>
        <w:footnoteReference w:id="41"/>
      </w:r>
      <w:r w:rsidR="00A4009E">
        <w:t xml:space="preserve"> </w:t>
      </w:r>
      <w:r w:rsidR="00896DAD">
        <w:t>All</w:t>
      </w:r>
      <w:r w:rsidR="00A4009E">
        <w:t xml:space="preserve"> </w:t>
      </w:r>
      <w:r w:rsidR="00896DAD">
        <w:t xml:space="preserve">tree connections under </w:t>
      </w:r>
      <w:r w:rsidR="008F4B43">
        <w:t>Scoped Issue No.</w:t>
      </w:r>
      <w:r w:rsidR="00896DAD">
        <w:t xml:space="preserve"> 1 have been resolved.</w:t>
      </w:r>
    </w:p>
    <w:p w:rsidR="00A92FDE" w:rsidP="00D64B0C" w:rsidRDefault="00A92FDE" w14:paraId="01A07ADA" w14:textId="0AFDCFBD">
      <w:pPr>
        <w:rPr>
          <w:rFonts w:eastAsia="Calibri" w:cs="Times New Roman"/>
        </w:rPr>
      </w:pPr>
      <w:r>
        <w:rPr>
          <w:rFonts w:eastAsia="Calibri" w:cs="Times New Roman"/>
        </w:rPr>
        <w:t xml:space="preserve">Significantly, the Appeal identifies no part of the record that </w:t>
      </w:r>
      <w:r w:rsidR="00204873">
        <w:rPr>
          <w:rFonts w:eastAsia="Calibri" w:cs="Times New Roman"/>
        </w:rPr>
        <w:t xml:space="preserve">reported </w:t>
      </w:r>
      <w:r>
        <w:rPr>
          <w:rFonts w:eastAsia="Calibri" w:cs="Times New Roman"/>
        </w:rPr>
        <w:t xml:space="preserve">the Parties’ resolution of </w:t>
      </w:r>
      <w:r w:rsidR="008F4B43">
        <w:rPr>
          <w:rFonts w:eastAsia="Calibri" w:cs="Times New Roman"/>
        </w:rPr>
        <w:t>Scoped Issue No.</w:t>
      </w:r>
      <w:r>
        <w:rPr>
          <w:rFonts w:eastAsia="Calibri" w:cs="Times New Roman"/>
        </w:rPr>
        <w:t xml:space="preserve"> 1 as incomplete or failing to address all public health or safety issues. Complainant</w:t>
      </w:r>
      <w:r w:rsidRPr="003D5F4E">
        <w:rPr>
          <w:rFonts w:eastAsia="Calibri" w:cs="Times New Roman"/>
        </w:rPr>
        <w:t xml:space="preserve"> had access to advice of counsel when the </w:t>
      </w:r>
      <w:r w:rsidR="007C7785">
        <w:rPr>
          <w:rFonts w:eastAsia="Calibri" w:cs="Times New Roman"/>
        </w:rPr>
        <w:t xml:space="preserve">June 17, </w:t>
      </w:r>
      <w:proofErr w:type="gramStart"/>
      <w:r w:rsidR="007C7785">
        <w:rPr>
          <w:rFonts w:eastAsia="Calibri" w:cs="Times New Roman"/>
        </w:rPr>
        <w:t>2024</w:t>
      </w:r>
      <w:proofErr w:type="gramEnd"/>
      <w:r w:rsidR="007C7785">
        <w:rPr>
          <w:rFonts w:eastAsia="Calibri" w:cs="Times New Roman"/>
        </w:rPr>
        <w:t xml:space="preserve"> </w:t>
      </w:r>
      <w:r w:rsidRPr="003D5F4E">
        <w:rPr>
          <w:rFonts w:eastAsia="Calibri" w:cs="Times New Roman"/>
        </w:rPr>
        <w:t>Joint Stat</w:t>
      </w:r>
      <w:r w:rsidR="005F074A">
        <w:rPr>
          <w:rFonts w:eastAsia="Calibri" w:cs="Times New Roman"/>
        </w:rPr>
        <w:t xml:space="preserve">us Report and subsequent Joint Status Reports were </w:t>
      </w:r>
      <w:r w:rsidRPr="003D5F4E">
        <w:rPr>
          <w:rFonts w:eastAsia="Calibri" w:cs="Times New Roman"/>
        </w:rPr>
        <w:t>filed</w:t>
      </w:r>
      <w:r>
        <w:rPr>
          <w:rFonts w:eastAsia="Calibri" w:cs="Times New Roman"/>
        </w:rPr>
        <w:t xml:space="preserve"> to inform the Commission that </w:t>
      </w:r>
      <w:r w:rsidR="008F4B43">
        <w:rPr>
          <w:rFonts w:eastAsia="Calibri" w:cs="Times New Roman"/>
        </w:rPr>
        <w:t>Scoped Issue No.</w:t>
      </w:r>
      <w:r>
        <w:rPr>
          <w:rFonts w:eastAsia="Calibri" w:cs="Times New Roman"/>
        </w:rPr>
        <w:t xml:space="preserve"> 1 was resolved. As a result, the decision properly credits and adopts that statement, made pursuant to Rule 1 </w:t>
      </w:r>
      <w:r>
        <w:rPr>
          <w:rFonts w:eastAsia="Calibri" w:cs="Times New Roman"/>
        </w:rPr>
        <w:lastRenderedPageBreak/>
        <w:t xml:space="preserve">and not modified or contradicted subsequently. Accordingly, the Appeal presents no error requiring modification of the decision finding </w:t>
      </w:r>
      <w:r w:rsidR="008F4B43">
        <w:rPr>
          <w:rFonts w:eastAsia="Calibri" w:cs="Times New Roman"/>
        </w:rPr>
        <w:t>Scoped Issue No.</w:t>
      </w:r>
      <w:r>
        <w:rPr>
          <w:rFonts w:eastAsia="Calibri" w:cs="Times New Roman"/>
        </w:rPr>
        <w:t xml:space="preserve"> 1 moot.</w:t>
      </w:r>
      <w:r w:rsidR="00D64B0C">
        <w:rPr>
          <w:rStyle w:val="FootnoteReference"/>
          <w:rFonts w:eastAsia="Calibri" w:cs="Times New Roman"/>
        </w:rPr>
        <w:footnoteReference w:id="42"/>
      </w:r>
      <w:r>
        <w:rPr>
          <w:rFonts w:eastAsia="Calibri" w:cs="Times New Roman"/>
        </w:rPr>
        <w:t xml:space="preserve"> </w:t>
      </w:r>
    </w:p>
    <w:p w:rsidR="000160C6" w:rsidP="00A92FDE" w:rsidRDefault="008A2A11" w14:paraId="2E29B65F" w14:textId="07533EB9">
      <w:pPr>
        <w:rPr>
          <w:rFonts w:eastAsia="Calibri" w:cs="Times New Roman"/>
        </w:rPr>
      </w:pPr>
      <w:r w:rsidRPr="00AB0F77">
        <w:rPr>
          <w:rFonts w:eastAsia="Calibri" w:cs="Times New Roman"/>
          <w:b/>
          <w:bCs/>
          <w:i/>
          <w:iCs/>
        </w:rPr>
        <w:t>Third</w:t>
      </w:r>
      <w:r>
        <w:rPr>
          <w:rFonts w:eastAsia="Calibri" w:cs="Times New Roman"/>
        </w:rPr>
        <w:t>, o</w:t>
      </w:r>
      <w:r w:rsidR="00A92FDE">
        <w:rPr>
          <w:rFonts w:eastAsia="Calibri" w:cs="Times New Roman"/>
        </w:rPr>
        <w:t xml:space="preserve">n Appeal, Complainant argues that the decision erred because </w:t>
      </w:r>
      <w:r w:rsidR="008F4B43">
        <w:rPr>
          <w:rFonts w:eastAsia="Calibri" w:cs="Times New Roman"/>
        </w:rPr>
        <w:t>Scoped Issue No.</w:t>
      </w:r>
      <w:r w:rsidRPr="001F3935" w:rsidR="00A92FDE">
        <w:rPr>
          <w:rFonts w:eastAsia="Calibri" w:cs="Times New Roman"/>
        </w:rPr>
        <w:t xml:space="preserve"> 2 “inherently” implicated public health and safety issues described as “embodied in Title 14 of the California Code of Regulations, including Sections 1257 and 1258.”</w:t>
      </w:r>
      <w:r w:rsidR="00A92FDE">
        <w:rPr>
          <w:rStyle w:val="FootnoteReference"/>
          <w:rFonts w:eastAsia="Calibri" w:cs="Times New Roman"/>
        </w:rPr>
        <w:footnoteReference w:id="43"/>
      </w:r>
      <w:r w:rsidR="00A92FDE">
        <w:rPr>
          <w:rFonts w:eastAsia="Calibri" w:cs="Times New Roman"/>
        </w:rPr>
        <w:t xml:space="preserve"> The inference </w:t>
      </w:r>
      <w:r w:rsidR="0091584B">
        <w:rPr>
          <w:rFonts w:eastAsia="Calibri" w:cs="Times New Roman"/>
        </w:rPr>
        <w:t xml:space="preserve">from the pleadings that </w:t>
      </w:r>
      <w:r w:rsidR="00A92FDE">
        <w:rPr>
          <w:rFonts w:eastAsia="Calibri" w:cs="Times New Roman"/>
        </w:rPr>
        <w:t xml:space="preserve">Complainant invites is that the pole sought for removal </w:t>
      </w:r>
      <w:r w:rsidR="00B95A0F">
        <w:rPr>
          <w:rFonts w:eastAsia="Calibri" w:cs="Times New Roman"/>
        </w:rPr>
        <w:t xml:space="preserve">under </w:t>
      </w:r>
      <w:r w:rsidR="008F4B43">
        <w:rPr>
          <w:rFonts w:eastAsia="Calibri" w:cs="Times New Roman"/>
        </w:rPr>
        <w:t>Scoped Issue No.</w:t>
      </w:r>
      <w:r w:rsidR="00B95A0F">
        <w:rPr>
          <w:rFonts w:eastAsia="Calibri" w:cs="Times New Roman"/>
        </w:rPr>
        <w:t xml:space="preserve"> 2 </w:t>
      </w:r>
      <w:r w:rsidR="00A92FDE">
        <w:rPr>
          <w:rFonts w:eastAsia="Calibri" w:cs="Times New Roman"/>
        </w:rPr>
        <w:t>is not inconveniently located, but instead is “</w:t>
      </w:r>
      <w:r w:rsidRPr="000E10AE" w:rsidR="00A92FDE">
        <w:rPr>
          <w:rFonts w:eastAsia="Calibri" w:cs="Times New Roman"/>
          <w:i/>
          <w:iCs/>
        </w:rPr>
        <w:t>part of a system of poles and tree connections installed by PG&amp;E in 1988 that were improperly and unsafely constructed</w:t>
      </w:r>
      <w:r w:rsidR="00A92FDE">
        <w:rPr>
          <w:rFonts w:eastAsia="Calibri" w:cs="Times New Roman"/>
        </w:rPr>
        <w:t xml:space="preserve"> in violation of the legal requirements embodied in Title 14 of the California Code of Regulations, including Sections 1257 and 1258.”</w:t>
      </w:r>
      <w:r w:rsidR="00A92FDE">
        <w:rPr>
          <w:rStyle w:val="FootnoteReference"/>
          <w:rFonts w:eastAsia="Calibri" w:cs="Times New Roman"/>
        </w:rPr>
        <w:footnoteReference w:id="44"/>
      </w:r>
      <w:r w:rsidR="002E1B79">
        <w:rPr>
          <w:rFonts w:eastAsia="Calibri" w:cs="Times New Roman"/>
        </w:rPr>
        <w:t xml:space="preserve"> </w:t>
      </w:r>
    </w:p>
    <w:p w:rsidR="00A92FDE" w:rsidP="00A92FDE" w:rsidRDefault="002E1B79" w14:paraId="0495B16D" w14:textId="1F65E0FC">
      <w:pPr>
        <w:rPr>
          <w:rFonts w:eastAsia="Calibri" w:cs="Times New Roman"/>
        </w:rPr>
      </w:pPr>
      <w:r w:rsidRPr="00B42AD0">
        <w:rPr>
          <w:rFonts w:eastAsia="Calibri" w:cs="Times New Roman"/>
        </w:rPr>
        <w:t xml:space="preserve">Defendant’s Response </w:t>
      </w:r>
      <w:r w:rsidRPr="00B42AD0" w:rsidR="002F1A6A">
        <w:rPr>
          <w:rFonts w:eastAsia="Calibri" w:cs="Times New Roman"/>
        </w:rPr>
        <w:t xml:space="preserve">correctly </w:t>
      </w:r>
      <w:r w:rsidRPr="00B42AD0" w:rsidR="00D72C42">
        <w:rPr>
          <w:rFonts w:eastAsia="Calibri" w:cs="Times New Roman"/>
        </w:rPr>
        <w:t>recognized</w:t>
      </w:r>
      <w:r w:rsidRPr="00B42AD0" w:rsidR="009047A8">
        <w:rPr>
          <w:rFonts w:eastAsia="Calibri" w:cs="Times New Roman"/>
        </w:rPr>
        <w:t xml:space="preserve"> that </w:t>
      </w:r>
      <w:r w:rsidRPr="00B42AD0" w:rsidR="006E5B50">
        <w:rPr>
          <w:rFonts w:eastAsia="Calibri" w:cs="Times New Roman"/>
        </w:rPr>
        <w:t xml:space="preserve">its removal of tree connections under </w:t>
      </w:r>
      <w:r w:rsidRPr="00B42AD0" w:rsidR="000160C6">
        <w:rPr>
          <w:rFonts w:eastAsia="Calibri" w:cs="Times New Roman"/>
        </w:rPr>
        <w:t xml:space="preserve">Scoped </w:t>
      </w:r>
      <w:r w:rsidRPr="00B42AD0" w:rsidR="006E5B50">
        <w:rPr>
          <w:rFonts w:eastAsia="Calibri" w:cs="Times New Roman"/>
        </w:rPr>
        <w:t xml:space="preserve">Issue No. 1 is not relevant to </w:t>
      </w:r>
      <w:r w:rsidRPr="00B42AD0" w:rsidR="002F1A6A">
        <w:rPr>
          <w:rFonts w:eastAsia="Calibri" w:cs="Times New Roman"/>
        </w:rPr>
        <w:t xml:space="preserve">the pole at issue under </w:t>
      </w:r>
      <w:r w:rsidRPr="00B42AD0" w:rsidR="000160C6">
        <w:rPr>
          <w:rFonts w:eastAsia="Calibri" w:cs="Times New Roman"/>
        </w:rPr>
        <w:t xml:space="preserve">Scoped </w:t>
      </w:r>
      <w:r w:rsidRPr="00B42AD0" w:rsidR="002F1A6A">
        <w:rPr>
          <w:rFonts w:eastAsia="Calibri" w:cs="Times New Roman"/>
        </w:rPr>
        <w:t>Issue No. 2</w:t>
      </w:r>
      <w:r w:rsidRPr="00B42AD0" w:rsidR="003E274C">
        <w:rPr>
          <w:rFonts w:eastAsia="Calibri" w:cs="Times New Roman"/>
        </w:rPr>
        <w:t xml:space="preserve"> </w:t>
      </w:r>
      <w:r w:rsidRPr="00B42AD0" w:rsidR="00B42AD0">
        <w:rPr>
          <w:rFonts w:eastAsia="Calibri" w:cs="Times New Roman"/>
        </w:rPr>
        <w:t>(</w:t>
      </w:r>
      <w:r w:rsidRPr="00B42AD0" w:rsidR="003E274C">
        <w:rPr>
          <w:rFonts w:eastAsia="Calibri" w:cs="Times New Roman"/>
        </w:rPr>
        <w:t>that lacks a tree connection</w:t>
      </w:r>
      <w:r w:rsidRPr="00B42AD0" w:rsidR="00B42AD0">
        <w:rPr>
          <w:rFonts w:eastAsia="Calibri" w:cs="Times New Roman"/>
        </w:rPr>
        <w:t>)</w:t>
      </w:r>
      <w:r w:rsidRPr="00B42AD0" w:rsidR="003315A4">
        <w:rPr>
          <w:rFonts w:eastAsia="Calibri" w:cs="Times New Roman"/>
        </w:rPr>
        <w:t xml:space="preserve"> and that </w:t>
      </w:r>
      <w:r w:rsidRPr="00B42AD0" w:rsidR="007F419D">
        <w:rPr>
          <w:rFonts w:eastAsia="Calibri" w:cs="Times New Roman"/>
        </w:rPr>
        <w:t xml:space="preserve">keeping the pole in its current location </w:t>
      </w:r>
      <w:r w:rsidRPr="00B42AD0" w:rsidR="007B78C6">
        <w:rPr>
          <w:rFonts w:eastAsia="Calibri" w:cs="Times New Roman"/>
        </w:rPr>
        <w:t>violates no law or Commission rule</w:t>
      </w:r>
      <w:r w:rsidRPr="00B42AD0" w:rsidR="002F1A6A">
        <w:rPr>
          <w:rFonts w:eastAsia="Calibri" w:cs="Times New Roman"/>
        </w:rPr>
        <w:t>.</w:t>
      </w:r>
      <w:r w:rsidRPr="00B42AD0" w:rsidR="0012691C">
        <w:rPr>
          <w:rStyle w:val="FootnoteReference"/>
          <w:rFonts w:eastAsia="Calibri" w:cs="Times New Roman"/>
        </w:rPr>
        <w:footnoteReference w:id="45"/>
      </w:r>
      <w:r w:rsidRPr="00B42AD0" w:rsidR="00D72C42">
        <w:rPr>
          <w:rFonts w:eastAsia="Calibri" w:cs="Times New Roman"/>
        </w:rPr>
        <w:t xml:space="preserve"> </w:t>
      </w:r>
      <w:r w:rsidRPr="00C93100" w:rsidR="009332E4">
        <w:rPr>
          <w:rFonts w:eastAsia="Calibri" w:cs="Times New Roman"/>
        </w:rPr>
        <w:t xml:space="preserve">Defendant correctly notes </w:t>
      </w:r>
      <w:r w:rsidRPr="00C93100" w:rsidR="009332E4">
        <w:t>regarding Scoped Issue No. 2 that the decision properly found that Complainant did not sufficiently allege facts showing any violations of a law, order, or Commission rule, including any public health or safety issue.</w:t>
      </w:r>
      <w:r w:rsidRPr="00C93100" w:rsidR="009332E4">
        <w:rPr>
          <w:rStyle w:val="FootnoteReference"/>
        </w:rPr>
        <w:footnoteReference w:id="46"/>
      </w:r>
      <w:r w:rsidRPr="00C93100" w:rsidR="009332E4">
        <w:t xml:space="preserve"> The Response also correctly recognizes that (a) “[t]he ALJ considered Mr. Irizarry’s citations to </w:t>
      </w:r>
      <w:r w:rsidRPr="00C93100" w:rsidR="009332E4">
        <w:lastRenderedPageBreak/>
        <w:t>14 C.C.R. Sections 1257, 1258, Senate Bill 901 (2018), and Assembly Bill 111 (2019) and found that there was no nexus between the alleged facts under Scoping Issue No. 2 and these citations;”</w:t>
      </w:r>
      <w:r w:rsidRPr="00C93100" w:rsidR="009332E4">
        <w:rPr>
          <w:rStyle w:val="FootnoteReference"/>
        </w:rPr>
        <w:footnoteReference w:id="47"/>
      </w:r>
      <w:r w:rsidRPr="00C93100" w:rsidR="009332E4">
        <w:t xml:space="preserve"> and (b) “[t]he ALJ further found that Mr. Irizarry’s allegations relating to the pole near his driveway were not stated with adequate specificity to show a public health or safety issue.”</w:t>
      </w:r>
      <w:r w:rsidRPr="00C93100" w:rsidR="009332E4">
        <w:rPr>
          <w:rStyle w:val="FootnoteReference"/>
        </w:rPr>
        <w:footnoteReference w:id="48"/>
      </w:r>
      <w:r w:rsidRPr="00C93100" w:rsidR="009332E4">
        <w:rPr>
          <w:rFonts w:eastAsia="Calibri" w:cs="Times New Roman"/>
        </w:rPr>
        <w:t xml:space="preserve"> As a result, </w:t>
      </w:r>
      <w:r w:rsidRPr="00C93100" w:rsidR="009332E4">
        <w:t xml:space="preserve">14 C.C.R. Sections 1257 and 1258 </w:t>
      </w:r>
      <w:r w:rsidRPr="00C93100" w:rsidR="009332E4">
        <w:rPr>
          <w:rFonts w:eastAsia="Calibri" w:cs="Times New Roman"/>
        </w:rPr>
        <w:t>did not “inherently” implicate public health and safety issues.</w:t>
      </w:r>
    </w:p>
    <w:p w:rsidR="00A92FDE" w:rsidP="00A92FDE" w:rsidRDefault="005551E1" w14:paraId="7DC446DC" w14:textId="78D855EF">
      <w:pPr>
        <w:rPr>
          <w:rFonts w:eastAsia="Calibri" w:cs="Times New Roman"/>
        </w:rPr>
      </w:pPr>
      <w:r>
        <w:rPr>
          <w:rFonts w:eastAsia="Calibri" w:cs="Times New Roman"/>
        </w:rPr>
        <w:t>Here, t</w:t>
      </w:r>
      <w:r w:rsidR="007C7CDF">
        <w:rPr>
          <w:rFonts w:eastAsia="Calibri" w:cs="Times New Roman"/>
        </w:rPr>
        <w:t xml:space="preserve">he decision determined that the Complaint did not state a violation of </w:t>
      </w:r>
      <w:r w:rsidRPr="001F3935" w:rsidR="007C7CDF">
        <w:rPr>
          <w:rFonts w:eastAsia="Calibri" w:cs="Times New Roman"/>
        </w:rPr>
        <w:t xml:space="preserve">14 </w:t>
      </w:r>
      <w:r w:rsidR="007C7CDF">
        <w:rPr>
          <w:rFonts w:eastAsia="Calibri" w:cs="Times New Roman"/>
        </w:rPr>
        <w:t xml:space="preserve">C.C.R. </w:t>
      </w:r>
      <w:r w:rsidRPr="001F3935" w:rsidR="007C7CDF">
        <w:rPr>
          <w:rFonts w:eastAsia="Calibri" w:cs="Times New Roman"/>
        </w:rPr>
        <w:t>Sections 1257 and 1258</w:t>
      </w:r>
      <w:r w:rsidR="007C7CDF">
        <w:rPr>
          <w:rFonts w:eastAsia="Calibri" w:cs="Times New Roman"/>
        </w:rPr>
        <w:t>. On</w:t>
      </w:r>
      <w:r w:rsidR="00A92FDE">
        <w:rPr>
          <w:rFonts w:eastAsia="Calibri" w:cs="Times New Roman"/>
        </w:rPr>
        <w:t xml:space="preserve"> Appeal</w:t>
      </w:r>
      <w:r w:rsidR="00813539">
        <w:rPr>
          <w:rFonts w:eastAsia="Calibri" w:cs="Times New Roman"/>
        </w:rPr>
        <w:t>, Complainant</w:t>
      </w:r>
      <w:r w:rsidR="00A92FDE">
        <w:rPr>
          <w:rFonts w:eastAsia="Calibri" w:cs="Times New Roman"/>
        </w:rPr>
        <w:t xml:space="preserve"> does not identify any portion of the </w:t>
      </w:r>
      <w:r w:rsidR="00E86F04">
        <w:rPr>
          <w:rFonts w:eastAsia="Calibri" w:cs="Times New Roman"/>
        </w:rPr>
        <w:t xml:space="preserve">Complaint or other part of the </w:t>
      </w:r>
      <w:r w:rsidR="00A92FDE">
        <w:rPr>
          <w:rFonts w:eastAsia="Calibri" w:cs="Times New Roman"/>
        </w:rPr>
        <w:t xml:space="preserve">record </w:t>
      </w:r>
      <w:r w:rsidR="00ED6A61">
        <w:rPr>
          <w:rFonts w:eastAsia="Calibri" w:cs="Times New Roman"/>
        </w:rPr>
        <w:t>sufficient</w:t>
      </w:r>
      <w:r w:rsidR="00D72864">
        <w:rPr>
          <w:rFonts w:eastAsia="Calibri" w:cs="Times New Roman"/>
        </w:rPr>
        <w:t>ly</w:t>
      </w:r>
      <w:r w:rsidR="00ED6A61">
        <w:rPr>
          <w:rFonts w:eastAsia="Calibri" w:cs="Times New Roman"/>
        </w:rPr>
        <w:t xml:space="preserve"> </w:t>
      </w:r>
      <w:r w:rsidR="00D72864">
        <w:rPr>
          <w:rFonts w:eastAsia="Calibri" w:cs="Times New Roman"/>
        </w:rPr>
        <w:t xml:space="preserve">to </w:t>
      </w:r>
      <w:r w:rsidR="00DA31D7">
        <w:rPr>
          <w:rFonts w:eastAsia="Calibri" w:cs="Times New Roman"/>
        </w:rPr>
        <w:t>alleg</w:t>
      </w:r>
      <w:r w:rsidR="00EE2CF3">
        <w:rPr>
          <w:rFonts w:eastAsia="Calibri" w:cs="Times New Roman"/>
        </w:rPr>
        <w:t>e</w:t>
      </w:r>
      <w:r w:rsidR="00DA31D7">
        <w:rPr>
          <w:rFonts w:eastAsia="Calibri" w:cs="Times New Roman"/>
        </w:rPr>
        <w:t xml:space="preserve"> that</w:t>
      </w:r>
      <w:r w:rsidR="00A92FDE">
        <w:rPr>
          <w:rFonts w:eastAsia="Calibri" w:cs="Times New Roman"/>
        </w:rPr>
        <w:t xml:space="preserve"> the subject pole </w:t>
      </w:r>
      <w:r w:rsidR="00894AFB">
        <w:rPr>
          <w:rFonts w:eastAsia="Calibri" w:cs="Times New Roman"/>
        </w:rPr>
        <w:t>was “</w:t>
      </w:r>
      <w:r w:rsidR="00A92FDE">
        <w:rPr>
          <w:rFonts w:eastAsia="Calibri" w:cs="Times New Roman"/>
        </w:rPr>
        <w:t>improperly and unsafely constructed in violation of</w:t>
      </w:r>
      <w:r w:rsidR="00AD0669">
        <w:rPr>
          <w:rFonts w:eastAsia="Calibri" w:cs="Times New Roman"/>
        </w:rPr>
        <w:t>”</w:t>
      </w:r>
      <w:r w:rsidR="00A92FDE">
        <w:rPr>
          <w:rFonts w:eastAsia="Calibri" w:cs="Times New Roman"/>
        </w:rPr>
        <w:t xml:space="preserve"> any legal requirement</w:t>
      </w:r>
      <w:r w:rsidR="00FA124F">
        <w:rPr>
          <w:rFonts w:eastAsia="Calibri" w:cs="Times New Roman"/>
        </w:rPr>
        <w:t xml:space="preserve"> – whether </w:t>
      </w:r>
      <w:r w:rsidR="007E654F">
        <w:rPr>
          <w:rFonts w:eastAsia="Calibri" w:cs="Times New Roman"/>
        </w:rPr>
        <w:t>individually or as part of a vague</w:t>
      </w:r>
      <w:r w:rsidR="00F37F4C">
        <w:rPr>
          <w:rFonts w:eastAsia="Calibri" w:cs="Times New Roman"/>
        </w:rPr>
        <w:t xml:space="preserve"> </w:t>
      </w:r>
      <w:r w:rsidR="007E654F">
        <w:rPr>
          <w:rFonts w:eastAsia="Calibri" w:cs="Times New Roman"/>
        </w:rPr>
        <w:t xml:space="preserve">system of </w:t>
      </w:r>
      <w:r w:rsidR="00AD2A8A">
        <w:rPr>
          <w:rFonts w:eastAsia="Calibri" w:cs="Times New Roman"/>
        </w:rPr>
        <w:t xml:space="preserve">unspecified </w:t>
      </w:r>
      <w:r w:rsidR="007E654F">
        <w:rPr>
          <w:rFonts w:eastAsia="Calibri" w:cs="Times New Roman"/>
        </w:rPr>
        <w:t xml:space="preserve">poles </w:t>
      </w:r>
      <w:r w:rsidR="00AD321B">
        <w:rPr>
          <w:rFonts w:eastAsia="Calibri" w:cs="Times New Roman"/>
        </w:rPr>
        <w:t xml:space="preserve">in existence </w:t>
      </w:r>
      <w:r w:rsidR="00AD2A8A">
        <w:rPr>
          <w:rFonts w:eastAsia="Calibri" w:cs="Times New Roman"/>
        </w:rPr>
        <w:t>at</w:t>
      </w:r>
      <w:r w:rsidR="007E654F">
        <w:rPr>
          <w:rFonts w:eastAsia="Calibri" w:cs="Times New Roman"/>
        </w:rPr>
        <w:t xml:space="preserve"> some point in time.</w:t>
      </w:r>
      <w:r w:rsidR="00A92FDE">
        <w:rPr>
          <w:rFonts w:eastAsia="Calibri" w:cs="Times New Roman"/>
        </w:rPr>
        <w:t xml:space="preserve"> Complainant’s argument on </w:t>
      </w:r>
      <w:proofErr w:type="gramStart"/>
      <w:r w:rsidR="00A92FDE">
        <w:rPr>
          <w:rFonts w:eastAsia="Calibri" w:cs="Times New Roman"/>
        </w:rPr>
        <w:t>Appeal</w:t>
      </w:r>
      <w:proofErr w:type="gramEnd"/>
      <w:r w:rsidR="00A92FDE">
        <w:rPr>
          <w:rFonts w:eastAsia="Calibri" w:cs="Times New Roman"/>
        </w:rPr>
        <w:t xml:space="preserve"> reiterates legal bases presented in opposition to the Motion </w:t>
      </w:r>
      <w:r w:rsidR="00CA05BC">
        <w:rPr>
          <w:rFonts w:eastAsia="Calibri" w:cs="Times New Roman"/>
        </w:rPr>
        <w:t xml:space="preserve">that </w:t>
      </w:r>
      <w:r w:rsidR="00A92FDE">
        <w:rPr>
          <w:rFonts w:eastAsia="Calibri" w:cs="Times New Roman"/>
        </w:rPr>
        <w:t xml:space="preserve">were rejected in the decision. Therefore, the Appeal did not identify any error requiring modification of the decision </w:t>
      </w:r>
      <w:r w:rsidR="007650E0">
        <w:rPr>
          <w:rFonts w:eastAsia="Calibri" w:cs="Times New Roman"/>
        </w:rPr>
        <w:t xml:space="preserve">regarding </w:t>
      </w:r>
      <w:r w:rsidR="008F4B43">
        <w:rPr>
          <w:rFonts w:eastAsia="Calibri" w:cs="Times New Roman"/>
        </w:rPr>
        <w:t>Scoped Issue No.</w:t>
      </w:r>
      <w:r w:rsidRPr="001F3935" w:rsidR="00F148C8">
        <w:rPr>
          <w:rFonts w:eastAsia="Calibri" w:cs="Times New Roman"/>
        </w:rPr>
        <w:t xml:space="preserve"> 2</w:t>
      </w:r>
      <w:r w:rsidR="00A92FDE">
        <w:rPr>
          <w:rFonts w:eastAsia="Calibri" w:cs="Times New Roman"/>
        </w:rPr>
        <w:t xml:space="preserve">.  </w:t>
      </w:r>
    </w:p>
    <w:p w:rsidR="00660912" w:rsidP="00A92FDE" w:rsidRDefault="00660912" w14:paraId="57755C98" w14:textId="7D2CD539">
      <w:pPr>
        <w:rPr>
          <w:rFonts w:eastAsia="Calibri" w:cs="Times New Roman"/>
        </w:rPr>
      </w:pPr>
      <w:r>
        <w:rPr>
          <w:rFonts w:eastAsia="Calibri" w:cs="Times New Roman"/>
        </w:rPr>
        <w:t xml:space="preserve">However, </w:t>
      </w:r>
      <w:r w:rsidR="001D67D2">
        <w:rPr>
          <w:rFonts w:eastAsia="Calibri" w:cs="Times New Roman"/>
        </w:rPr>
        <w:t>in response to the Appeal, the decision was modified to</w:t>
      </w:r>
      <w:r w:rsidR="0099028C">
        <w:rPr>
          <w:rFonts w:eastAsia="Calibri" w:cs="Times New Roman"/>
        </w:rPr>
        <w:t xml:space="preserve"> </w:t>
      </w:r>
      <w:r w:rsidR="00634F44">
        <w:rPr>
          <w:rFonts w:eastAsia="Calibri" w:cs="Times New Roman"/>
        </w:rPr>
        <w:t xml:space="preserve">add a </w:t>
      </w:r>
      <w:r w:rsidR="003D0B56">
        <w:rPr>
          <w:rFonts w:eastAsia="Calibri" w:cs="Times New Roman"/>
        </w:rPr>
        <w:t xml:space="preserve">clarifying </w:t>
      </w:r>
      <w:r w:rsidR="00634F44">
        <w:rPr>
          <w:rFonts w:eastAsia="Calibri" w:cs="Times New Roman"/>
        </w:rPr>
        <w:t>Conclusion of Law stating</w:t>
      </w:r>
      <w:r w:rsidR="006630F8">
        <w:rPr>
          <w:rFonts w:eastAsia="Calibri" w:cs="Times New Roman"/>
        </w:rPr>
        <w:t>,</w:t>
      </w:r>
      <w:r w:rsidR="00634F44">
        <w:rPr>
          <w:rFonts w:eastAsia="Calibri" w:cs="Times New Roman"/>
        </w:rPr>
        <w:t xml:space="preserve"> “</w:t>
      </w:r>
      <w:r w:rsidR="00607035">
        <w:t>The Complaint fails to ‘set[] forth any act or thing done or omitted to be done by [Defendant] including any rule or charge heretofore established or fixed by or for [Defendant], in violation, or claimed to be in violation, of any provision of law or of any order or rule of the Commission’ under Rule 4.1(a).”</w:t>
      </w:r>
    </w:p>
    <w:p w:rsidRPr="005A6065" w:rsidR="005A6065" w:rsidP="005A6065" w:rsidRDefault="00E970E8" w14:paraId="4B96C617" w14:textId="19874F17">
      <w:pPr>
        <w:rPr>
          <w:rFonts w:eastAsia="Calibri" w:cs="Times New Roman"/>
        </w:rPr>
      </w:pPr>
      <w:r>
        <w:rPr>
          <w:rFonts w:eastAsia="Calibri" w:cs="Times New Roman"/>
          <w:b/>
          <w:bCs/>
          <w:i/>
          <w:iCs/>
        </w:rPr>
        <w:lastRenderedPageBreak/>
        <w:t>Fourth</w:t>
      </w:r>
      <w:r w:rsidR="00A92FDE">
        <w:rPr>
          <w:rFonts w:eastAsia="Calibri" w:cs="Times New Roman"/>
        </w:rPr>
        <w:t xml:space="preserve">, on Appeal, Complainant argues error in granting </w:t>
      </w:r>
      <w:r w:rsidRPr="00CE71E0" w:rsidR="00E00180">
        <w:rPr>
          <w:rFonts w:eastAsia="Calibri" w:cs="Times New Roman"/>
        </w:rPr>
        <w:t>Defendant PG&amp;E</w:t>
      </w:r>
      <w:r w:rsidR="00E00180">
        <w:rPr>
          <w:rFonts w:eastAsia="Calibri" w:cs="Times New Roman"/>
        </w:rPr>
        <w:t>’s</w:t>
      </w:r>
      <w:r w:rsidRPr="00CE71E0" w:rsidR="00E00180">
        <w:rPr>
          <w:rFonts w:eastAsia="Calibri" w:cs="Times New Roman"/>
        </w:rPr>
        <w:t xml:space="preserve"> March 14, </w:t>
      </w:r>
      <w:proofErr w:type="gramStart"/>
      <w:r w:rsidRPr="00CE71E0" w:rsidR="00E00180">
        <w:rPr>
          <w:rFonts w:eastAsia="Calibri" w:cs="Times New Roman"/>
        </w:rPr>
        <w:t>2025</w:t>
      </w:r>
      <w:proofErr w:type="gramEnd"/>
      <w:r w:rsidRPr="00CE71E0" w:rsidR="00E00180">
        <w:rPr>
          <w:rFonts w:eastAsia="Calibri" w:cs="Times New Roman"/>
        </w:rPr>
        <w:t xml:space="preserve"> </w:t>
      </w:r>
      <w:r w:rsidR="00A92FDE">
        <w:rPr>
          <w:rFonts w:eastAsia="Calibri" w:cs="Times New Roman"/>
        </w:rPr>
        <w:t xml:space="preserve">Motion </w:t>
      </w:r>
      <w:r w:rsidR="001F1DC3">
        <w:rPr>
          <w:rFonts w:eastAsia="Calibri" w:cs="Times New Roman"/>
        </w:rPr>
        <w:t xml:space="preserve">to dismiss </w:t>
      </w:r>
      <w:r w:rsidR="00A92FDE">
        <w:rPr>
          <w:rFonts w:eastAsia="Calibri" w:cs="Times New Roman"/>
        </w:rPr>
        <w:t xml:space="preserve">without </w:t>
      </w:r>
      <w:r w:rsidRPr="00FA66A8" w:rsidR="00A92FDE">
        <w:rPr>
          <w:rFonts w:eastAsia="Calibri" w:cs="Times New Roman"/>
        </w:rPr>
        <w:t>an evidentiary hearing</w:t>
      </w:r>
      <w:r w:rsidR="00A92FDE">
        <w:rPr>
          <w:rFonts w:eastAsia="Calibri" w:cs="Times New Roman"/>
        </w:rPr>
        <w:t xml:space="preserve">. Complainant argues that “The Decision dismissed the Complaint at the </w:t>
      </w:r>
      <w:r w:rsidRPr="00A406A0" w:rsidR="00A92FDE">
        <w:rPr>
          <w:rFonts w:eastAsia="Calibri" w:cs="Times New Roman"/>
          <w:i/>
          <w:iCs/>
        </w:rPr>
        <w:t>pleading stage</w:t>
      </w:r>
      <w:r w:rsidR="00A92FDE">
        <w:rPr>
          <w:rFonts w:eastAsia="Calibri" w:cs="Times New Roman"/>
        </w:rPr>
        <w:t xml:space="preserve">, finding Complainant’s allegations ‘conclusory’ and insufficient. In doing so, the presiding officer denied Complainant the opportunity to present evidence and testimony explicitly contemplated by Rule 4.1(a), . . . </w:t>
      </w:r>
      <w:proofErr w:type="gramStart"/>
      <w:r w:rsidR="00A92FDE">
        <w:rPr>
          <w:rFonts w:eastAsia="Calibri" w:cs="Times New Roman"/>
        </w:rPr>
        <w:t>“ and</w:t>
      </w:r>
      <w:proofErr w:type="gramEnd"/>
      <w:r w:rsidR="00A92FDE">
        <w:rPr>
          <w:rFonts w:eastAsia="Calibri" w:cs="Times New Roman"/>
        </w:rPr>
        <w:t xml:space="preserve"> that “factual disputes warranted further development of the record rather than dismissal.”</w:t>
      </w:r>
      <w:r w:rsidR="00A92FDE">
        <w:rPr>
          <w:rStyle w:val="FootnoteReference"/>
          <w:rFonts w:eastAsia="Calibri" w:cs="Times New Roman"/>
        </w:rPr>
        <w:footnoteReference w:id="49"/>
      </w:r>
      <w:r w:rsidR="00A92FDE">
        <w:rPr>
          <w:rFonts w:eastAsia="Calibri" w:cs="Times New Roman"/>
        </w:rPr>
        <w:t xml:space="preserve"> </w:t>
      </w:r>
      <w:r w:rsidR="005262D3">
        <w:rPr>
          <w:rFonts w:eastAsia="Calibri" w:cs="Times New Roman"/>
        </w:rPr>
        <w:t xml:space="preserve">Complainant </w:t>
      </w:r>
      <w:r w:rsidR="005A6065">
        <w:rPr>
          <w:rFonts w:eastAsia="Calibri" w:cs="Times New Roman"/>
        </w:rPr>
        <w:t xml:space="preserve">argues that it was entitled to an </w:t>
      </w:r>
      <w:r w:rsidRPr="005A6065" w:rsidR="005A6065">
        <w:rPr>
          <w:rFonts w:eastAsia="Calibri" w:cs="Times New Roman"/>
        </w:rPr>
        <w:t xml:space="preserve">evidentiary hearing </w:t>
      </w:r>
      <w:r w:rsidR="005A6065">
        <w:rPr>
          <w:rFonts w:eastAsia="Calibri" w:cs="Times New Roman"/>
        </w:rPr>
        <w:t>to</w:t>
      </w:r>
      <w:r w:rsidRPr="005A6065" w:rsidR="005A6065">
        <w:rPr>
          <w:rFonts w:eastAsia="Calibri" w:cs="Times New Roman"/>
        </w:rPr>
        <w:t xml:space="preserve"> present photographs, testimony, admissions, and</w:t>
      </w:r>
      <w:r w:rsidR="005A6065">
        <w:rPr>
          <w:rFonts w:eastAsia="Calibri" w:cs="Times New Roman"/>
        </w:rPr>
        <w:t xml:space="preserve"> </w:t>
      </w:r>
      <w:r w:rsidRPr="005A6065" w:rsidR="005A6065">
        <w:rPr>
          <w:rFonts w:eastAsia="Calibri" w:cs="Times New Roman"/>
        </w:rPr>
        <w:t>other evidence.</w:t>
      </w:r>
      <w:r w:rsidR="005A6065">
        <w:rPr>
          <w:rStyle w:val="FootnoteReference"/>
          <w:rFonts w:eastAsia="Calibri" w:cs="Times New Roman"/>
        </w:rPr>
        <w:footnoteReference w:id="50"/>
      </w:r>
    </w:p>
    <w:p w:rsidRPr="00024F29" w:rsidR="00024F29" w:rsidP="00024F29" w:rsidRDefault="00142592" w14:paraId="5A68C89E" w14:textId="462AE411">
      <w:pPr>
        <w:rPr>
          <w:rFonts w:eastAsia="Calibri" w:cs="Times New Roman"/>
        </w:rPr>
      </w:pPr>
      <w:r>
        <w:rPr>
          <w:rFonts w:eastAsia="Calibri" w:cs="Times New Roman"/>
        </w:rPr>
        <w:t xml:space="preserve">Defendant’s Response </w:t>
      </w:r>
      <w:r w:rsidR="00942AD5">
        <w:rPr>
          <w:rFonts w:eastAsia="Calibri" w:cs="Times New Roman"/>
        </w:rPr>
        <w:t xml:space="preserve">correctly </w:t>
      </w:r>
      <w:r w:rsidR="00201280">
        <w:rPr>
          <w:rFonts w:eastAsia="Calibri" w:cs="Times New Roman"/>
        </w:rPr>
        <w:t xml:space="preserve">argues that </w:t>
      </w:r>
      <w:r w:rsidR="007A2DA0">
        <w:rPr>
          <w:rFonts w:eastAsia="Calibri" w:cs="Times New Roman"/>
        </w:rPr>
        <w:t xml:space="preserve">dismissal was warranted upon the Motion because </w:t>
      </w:r>
      <w:r w:rsidR="00350017">
        <w:rPr>
          <w:rFonts w:eastAsia="Calibri" w:cs="Times New Roman"/>
        </w:rPr>
        <w:t xml:space="preserve">(a) </w:t>
      </w:r>
      <w:r w:rsidR="00201280">
        <w:rPr>
          <w:rFonts w:eastAsia="Calibri" w:cs="Times New Roman"/>
        </w:rPr>
        <w:t xml:space="preserve">Complainant </w:t>
      </w:r>
      <w:r w:rsidR="007A2DA0">
        <w:rPr>
          <w:rFonts w:eastAsia="Calibri" w:cs="Times New Roman"/>
        </w:rPr>
        <w:t xml:space="preserve">failed to </w:t>
      </w:r>
      <w:r w:rsidRPr="00024F29" w:rsidR="00024F29">
        <w:rPr>
          <w:rFonts w:eastAsia="Calibri" w:cs="Times New Roman"/>
        </w:rPr>
        <w:t xml:space="preserve">sufficiently allege </w:t>
      </w:r>
      <w:r w:rsidR="000E57EC">
        <w:rPr>
          <w:rFonts w:eastAsia="Calibri" w:cs="Times New Roman"/>
        </w:rPr>
        <w:t xml:space="preserve">facts </w:t>
      </w:r>
      <w:r w:rsidRPr="00024F29" w:rsidR="00024F29">
        <w:rPr>
          <w:rFonts w:eastAsia="Calibri" w:cs="Times New Roman"/>
        </w:rPr>
        <w:t xml:space="preserve">that </w:t>
      </w:r>
      <w:r w:rsidR="009F710D">
        <w:rPr>
          <w:rFonts w:eastAsia="Calibri" w:cs="Times New Roman"/>
        </w:rPr>
        <w:t>Defendant</w:t>
      </w:r>
      <w:r w:rsidR="00024F29">
        <w:rPr>
          <w:rFonts w:eastAsia="Calibri" w:cs="Times New Roman"/>
        </w:rPr>
        <w:t xml:space="preserve"> </w:t>
      </w:r>
      <w:r w:rsidRPr="00024F29" w:rsidR="00024F29">
        <w:rPr>
          <w:rFonts w:eastAsia="Calibri" w:cs="Times New Roman"/>
        </w:rPr>
        <w:t>engaged in an act, or failed to perform an act, in violation of a law or Commission</w:t>
      </w:r>
      <w:r w:rsidR="00024F29">
        <w:rPr>
          <w:rFonts w:eastAsia="Calibri" w:cs="Times New Roman"/>
        </w:rPr>
        <w:t xml:space="preserve"> </w:t>
      </w:r>
      <w:r w:rsidRPr="00024F29" w:rsidR="00024F29">
        <w:rPr>
          <w:rFonts w:eastAsia="Calibri" w:cs="Times New Roman"/>
        </w:rPr>
        <w:t>order or rule</w:t>
      </w:r>
      <w:r w:rsidR="00453C52">
        <w:rPr>
          <w:rFonts w:eastAsia="Calibri" w:cs="Times New Roman"/>
        </w:rPr>
        <w:t xml:space="preserve"> under Pub. Util. Code Section 1702</w:t>
      </w:r>
      <w:r w:rsidR="00FC1FD2">
        <w:rPr>
          <w:rFonts w:eastAsia="Calibri" w:cs="Times New Roman"/>
        </w:rPr>
        <w:t>;</w:t>
      </w:r>
      <w:r w:rsidR="0033477B">
        <w:rPr>
          <w:rStyle w:val="FootnoteReference"/>
          <w:rFonts w:eastAsia="Calibri" w:cs="Times New Roman"/>
        </w:rPr>
        <w:footnoteReference w:id="51"/>
      </w:r>
      <w:r w:rsidR="005A2DBE">
        <w:rPr>
          <w:rFonts w:eastAsia="Calibri" w:cs="Times New Roman"/>
        </w:rPr>
        <w:t xml:space="preserve"> </w:t>
      </w:r>
      <w:r w:rsidR="00FC1FD2">
        <w:rPr>
          <w:rFonts w:eastAsia="Calibri" w:cs="Times New Roman"/>
        </w:rPr>
        <w:t>such that (b) e</w:t>
      </w:r>
      <w:r w:rsidR="006D23D0">
        <w:rPr>
          <w:rFonts w:eastAsia="Calibri" w:cs="Times New Roman"/>
        </w:rPr>
        <w:t xml:space="preserve">ven taking </w:t>
      </w:r>
      <w:r w:rsidR="00084F1F">
        <w:rPr>
          <w:rFonts w:eastAsia="Calibri" w:cs="Times New Roman"/>
        </w:rPr>
        <w:t>Complainant’s</w:t>
      </w:r>
      <w:r w:rsidR="006D23D0">
        <w:rPr>
          <w:rFonts w:eastAsia="Calibri" w:cs="Times New Roman"/>
        </w:rPr>
        <w:t xml:space="preserve"> </w:t>
      </w:r>
      <w:r w:rsidR="006921FA">
        <w:rPr>
          <w:rFonts w:eastAsia="Calibri" w:cs="Times New Roman"/>
        </w:rPr>
        <w:t>factual allegations as true, Defendant is entitled to prevail as a matter of law</w:t>
      </w:r>
      <w:r w:rsidR="0039793B">
        <w:rPr>
          <w:rFonts w:eastAsia="Calibri" w:cs="Times New Roman"/>
        </w:rPr>
        <w:t xml:space="preserve"> without an evidentiary hearing on the merits</w:t>
      </w:r>
      <w:r w:rsidR="006921FA">
        <w:rPr>
          <w:rFonts w:eastAsia="Calibri" w:cs="Times New Roman"/>
        </w:rPr>
        <w:t>.</w:t>
      </w:r>
      <w:r w:rsidR="00920B99">
        <w:rPr>
          <w:rStyle w:val="FootnoteReference"/>
          <w:rFonts w:eastAsia="Calibri" w:cs="Times New Roman"/>
        </w:rPr>
        <w:footnoteReference w:id="52"/>
      </w:r>
      <w:r w:rsidR="006921FA">
        <w:rPr>
          <w:rFonts w:eastAsia="Calibri" w:cs="Times New Roman"/>
        </w:rPr>
        <w:t xml:space="preserve"> </w:t>
      </w:r>
    </w:p>
    <w:p w:rsidR="00A92FDE" w:rsidP="00A92FDE" w:rsidRDefault="007200FE" w14:paraId="2F983F3E" w14:textId="0AB11B26">
      <w:pPr>
        <w:rPr>
          <w:rFonts w:eastAsia="Calibri" w:cs="Times New Roman"/>
        </w:rPr>
      </w:pPr>
      <w:r>
        <w:rPr>
          <w:rFonts w:eastAsia="Calibri" w:cs="Times New Roman"/>
        </w:rPr>
        <w:t xml:space="preserve">Upon consideration, </w:t>
      </w:r>
      <w:r w:rsidR="00D33941">
        <w:rPr>
          <w:rFonts w:eastAsia="Calibri" w:cs="Times New Roman"/>
        </w:rPr>
        <w:t xml:space="preserve">Complainant’s </w:t>
      </w:r>
      <w:r w:rsidR="00A92FDE">
        <w:rPr>
          <w:rFonts w:eastAsia="Calibri" w:cs="Times New Roman"/>
        </w:rPr>
        <w:t xml:space="preserve">argument misses the mark. </w:t>
      </w:r>
      <w:r w:rsidR="00EA0215">
        <w:rPr>
          <w:rFonts w:eastAsia="Calibri" w:cs="Times New Roman"/>
        </w:rPr>
        <w:t>Complainant’s</w:t>
      </w:r>
      <w:r w:rsidR="00A92FDE">
        <w:rPr>
          <w:rFonts w:eastAsia="Calibri" w:cs="Times New Roman"/>
        </w:rPr>
        <w:t xml:space="preserve"> pleading did not present a basis to continue beyond the pleading stage. Commission Rule of Practice and Procedure 11.2 expressly </w:t>
      </w:r>
      <w:proofErr w:type="gramStart"/>
      <w:r w:rsidR="00A92FDE">
        <w:rPr>
          <w:rFonts w:eastAsia="Calibri" w:cs="Times New Roman"/>
        </w:rPr>
        <w:t>provides</w:t>
      </w:r>
      <w:proofErr w:type="gramEnd"/>
      <w:r w:rsidR="00A92FDE">
        <w:rPr>
          <w:rFonts w:eastAsia="Calibri" w:cs="Times New Roman"/>
        </w:rPr>
        <w:t xml:space="preserve"> for “[a] motion to dismiss a proceeding </w:t>
      </w:r>
      <w:r w:rsidRPr="00C93100" w:rsidR="00A92FDE">
        <w:rPr>
          <w:rFonts w:eastAsia="Calibri" w:cs="Times New Roman"/>
          <w:i/>
          <w:iCs/>
        </w:rPr>
        <w:t>based on the pleadings</w:t>
      </w:r>
      <w:r w:rsidR="00A92FDE">
        <w:rPr>
          <w:rFonts w:eastAsia="Calibri" w:cs="Times New Roman"/>
        </w:rPr>
        <w:t xml:space="preserve">.” (emphasis added). Here, the decision on the Motion was based on Defendant’s attack on the </w:t>
      </w:r>
      <w:r w:rsidR="00A92FDE">
        <w:rPr>
          <w:rFonts w:eastAsia="Calibri" w:cs="Times New Roman"/>
        </w:rPr>
        <w:lastRenderedPageBreak/>
        <w:t xml:space="preserve">sufficiency of the pleading, </w:t>
      </w:r>
      <w:r w:rsidRPr="00944F23" w:rsidR="00A92FDE">
        <w:rPr>
          <w:rFonts w:eastAsia="Calibri" w:cs="Times New Roman"/>
          <w:i/>
          <w:iCs/>
        </w:rPr>
        <w:t>i.e.,</w:t>
      </w:r>
      <w:r w:rsidR="00A92FDE">
        <w:rPr>
          <w:rFonts w:eastAsia="Calibri" w:cs="Times New Roman"/>
        </w:rPr>
        <w:t xml:space="preserve"> the Complaint. </w:t>
      </w:r>
      <w:r w:rsidR="005B5263">
        <w:rPr>
          <w:rFonts w:eastAsia="Calibri" w:cs="Times New Roman"/>
        </w:rPr>
        <w:t>C</w:t>
      </w:r>
      <w:r w:rsidR="00A92FDE">
        <w:rPr>
          <w:rFonts w:eastAsia="Calibri" w:cs="Times New Roman"/>
        </w:rPr>
        <w:t xml:space="preserve">onsideration </w:t>
      </w:r>
      <w:r w:rsidR="005B5263">
        <w:rPr>
          <w:rFonts w:eastAsia="Calibri" w:cs="Times New Roman"/>
        </w:rPr>
        <w:t xml:space="preserve">of the Motion </w:t>
      </w:r>
      <w:r w:rsidR="00A92FDE">
        <w:rPr>
          <w:rFonts w:eastAsia="Calibri" w:cs="Times New Roman"/>
        </w:rPr>
        <w:t xml:space="preserve">required no evidentiary hearing. </w:t>
      </w:r>
    </w:p>
    <w:p w:rsidR="00A92FDE" w:rsidP="00A92FDE" w:rsidRDefault="00A92FDE" w14:paraId="7EBF064F" w14:textId="476B39FA">
      <w:pPr>
        <w:rPr>
          <w:rFonts w:eastAsia="Calibri" w:cs="Times New Roman"/>
        </w:rPr>
      </w:pPr>
      <w:r>
        <w:rPr>
          <w:rFonts w:eastAsia="Calibri" w:cs="Times New Roman"/>
        </w:rPr>
        <w:t xml:space="preserve">The Appeal ignores that the decision granting the Motion was granted </w:t>
      </w:r>
      <w:r w:rsidRPr="00FA66A8">
        <w:rPr>
          <w:rFonts w:eastAsia="Calibri" w:cs="Times New Roman"/>
        </w:rPr>
        <w:t>as a matter of law</w:t>
      </w:r>
      <w:r>
        <w:rPr>
          <w:rFonts w:eastAsia="Calibri" w:cs="Times New Roman"/>
        </w:rPr>
        <w:t xml:space="preserve">, upon consideration of the issues raised and addressed in the Parties’ Motion, opposition, and </w:t>
      </w:r>
      <w:proofErr w:type="gramStart"/>
      <w:r>
        <w:rPr>
          <w:rFonts w:eastAsia="Calibri" w:cs="Times New Roman"/>
        </w:rPr>
        <w:t>reply</w:t>
      </w:r>
      <w:proofErr w:type="gramEnd"/>
      <w:r>
        <w:rPr>
          <w:rFonts w:eastAsia="Calibri" w:cs="Times New Roman"/>
        </w:rPr>
        <w:t xml:space="preserve"> briefs. The record under consideration consisted of the Parties’ statements found in the pleadings, </w:t>
      </w:r>
      <w:r w:rsidR="007077F1">
        <w:rPr>
          <w:rFonts w:eastAsia="Calibri" w:cs="Times New Roman"/>
        </w:rPr>
        <w:t xml:space="preserve">the Motion and Opposition, </w:t>
      </w:r>
      <w:r>
        <w:rPr>
          <w:rFonts w:eastAsia="Calibri" w:cs="Times New Roman"/>
        </w:rPr>
        <w:t>and undisputed and unrecanted admissions by Complainant found in the Parties’ Joint Status Reports</w:t>
      </w:r>
      <w:r w:rsidRPr="00FA66A8">
        <w:rPr>
          <w:rFonts w:eastAsia="Calibri" w:cs="Times New Roman"/>
        </w:rPr>
        <w:t>.</w:t>
      </w:r>
      <w:r>
        <w:rPr>
          <w:rFonts w:eastAsia="Calibri" w:cs="Times New Roman"/>
        </w:rPr>
        <w:t xml:space="preserve"> No evidentiary hearing was required </w:t>
      </w:r>
      <w:r w:rsidR="00B71575">
        <w:rPr>
          <w:rFonts w:eastAsia="Calibri" w:cs="Times New Roman"/>
        </w:rPr>
        <w:t xml:space="preserve">or necessary </w:t>
      </w:r>
      <w:r>
        <w:rPr>
          <w:rFonts w:eastAsia="Calibri" w:cs="Times New Roman"/>
        </w:rPr>
        <w:t>to grant the Motion.</w:t>
      </w:r>
    </w:p>
    <w:p w:rsidR="00A92FDE" w:rsidP="00A92FDE" w:rsidRDefault="00A92FDE" w14:paraId="01620E46" w14:textId="77777777">
      <w:pPr>
        <w:rPr>
          <w:rFonts w:eastAsia="Calibri" w:cs="Times New Roman"/>
        </w:rPr>
      </w:pPr>
      <w:r>
        <w:rPr>
          <w:rFonts w:eastAsia="Calibri" w:cs="Times New Roman"/>
        </w:rPr>
        <w:t xml:space="preserve">The Appeal is also unavailing to the extent that it suggests </w:t>
      </w:r>
      <w:proofErr w:type="gramStart"/>
      <w:r>
        <w:rPr>
          <w:rFonts w:eastAsia="Calibri" w:cs="Times New Roman"/>
        </w:rPr>
        <w:t>an insufficient</w:t>
      </w:r>
      <w:proofErr w:type="gramEnd"/>
      <w:r>
        <w:rPr>
          <w:rFonts w:eastAsia="Calibri" w:cs="Times New Roman"/>
        </w:rPr>
        <w:t xml:space="preserve"> notice and/or opportunity to oppose the Motion. Here, the Complainant made all joint statements relied upon in the record for the decision, received notice of the arguments found in the Motion, and had a full opportunity to oppose the Motion in writing. Complainant also requested and received a period to retain and/or consult counsel throughout the proceeding, including for assistance and/or representation in the preparation of joint statements, the opposition to the Motion, and this Appeal. </w:t>
      </w:r>
    </w:p>
    <w:p w:rsidRPr="00244347" w:rsidR="00244347" w:rsidP="00A92FDE" w:rsidRDefault="00E970E8" w14:paraId="34CDEF0E" w14:textId="3601B47A">
      <w:pPr>
        <w:pStyle w:val="Standard"/>
      </w:pPr>
      <w:r>
        <w:rPr>
          <w:rFonts w:eastAsia="Calibri" w:cs="Times New Roman"/>
        </w:rPr>
        <w:t>In conclusion, a</w:t>
      </w:r>
      <w:r w:rsidR="00A92FDE">
        <w:rPr>
          <w:rFonts w:eastAsia="Calibri" w:cs="Times New Roman"/>
        </w:rPr>
        <w:t>fter considering Complainant’s arguments on Appeal</w:t>
      </w:r>
      <w:r w:rsidR="00CF5A6B">
        <w:rPr>
          <w:rFonts w:eastAsia="Calibri" w:cs="Times New Roman"/>
        </w:rPr>
        <w:t xml:space="preserve"> and Defendant</w:t>
      </w:r>
      <w:r w:rsidR="005B5F6D">
        <w:rPr>
          <w:rFonts w:eastAsia="Calibri" w:cs="Times New Roman"/>
        </w:rPr>
        <w:t>’s Response</w:t>
      </w:r>
      <w:r w:rsidR="00A92FDE">
        <w:rPr>
          <w:rFonts w:eastAsia="Calibri" w:cs="Times New Roman"/>
        </w:rPr>
        <w:t xml:space="preserve">, no error in the decision has been shown.  </w:t>
      </w:r>
      <w:r w:rsidR="00576E90">
        <w:rPr>
          <w:rFonts w:eastAsia="Calibri" w:cs="Times New Roman"/>
        </w:rPr>
        <w:t xml:space="preserve">However, </w:t>
      </w:r>
      <w:r w:rsidR="006500E8">
        <w:rPr>
          <w:rFonts w:eastAsia="Calibri" w:cs="Times New Roman"/>
        </w:rPr>
        <w:t xml:space="preserve">in response to the Appeal, </w:t>
      </w:r>
      <w:r w:rsidR="00A92FDE">
        <w:rPr>
          <w:rFonts w:eastAsia="Calibri" w:cs="Times New Roman"/>
        </w:rPr>
        <w:t xml:space="preserve">the decision was </w:t>
      </w:r>
      <w:r w:rsidR="00576E90">
        <w:rPr>
          <w:rFonts w:eastAsia="Calibri" w:cs="Times New Roman"/>
        </w:rPr>
        <w:t xml:space="preserve">modified </w:t>
      </w:r>
      <w:r w:rsidR="00692C18">
        <w:rPr>
          <w:rFonts w:eastAsia="Calibri" w:cs="Times New Roman"/>
        </w:rPr>
        <w:t xml:space="preserve">by addition of </w:t>
      </w:r>
      <w:r w:rsidR="00670A3A">
        <w:rPr>
          <w:rFonts w:eastAsia="Calibri" w:cs="Times New Roman"/>
        </w:rPr>
        <w:t xml:space="preserve">a </w:t>
      </w:r>
      <w:r w:rsidR="000218E1">
        <w:rPr>
          <w:rFonts w:eastAsia="Calibri" w:cs="Times New Roman"/>
        </w:rPr>
        <w:t xml:space="preserve">clarifying </w:t>
      </w:r>
      <w:r w:rsidR="00692C18">
        <w:rPr>
          <w:rFonts w:eastAsia="Calibri" w:cs="Times New Roman"/>
        </w:rPr>
        <w:t>Conclusion of Law</w:t>
      </w:r>
      <w:r w:rsidR="00111968">
        <w:rPr>
          <w:rFonts w:eastAsia="Calibri" w:cs="Times New Roman"/>
        </w:rPr>
        <w:t xml:space="preserve"> and to reiterate in decision Section </w:t>
      </w:r>
      <w:r w:rsidR="00E1276E">
        <w:rPr>
          <w:rFonts w:eastAsia="Calibri" w:cs="Times New Roman"/>
        </w:rPr>
        <w:t>5</w:t>
      </w:r>
      <w:r w:rsidR="00111968">
        <w:rPr>
          <w:rFonts w:eastAsia="Calibri" w:cs="Times New Roman"/>
        </w:rPr>
        <w:t xml:space="preserve"> (Conclusion) </w:t>
      </w:r>
      <w:r w:rsidR="008C02CE">
        <w:rPr>
          <w:rFonts w:eastAsia="Calibri" w:cs="Times New Roman"/>
        </w:rPr>
        <w:t>that Scoped Issue Nos. 1 and 3 were resolved by the Parties, require no adjudication, and are moot</w:t>
      </w:r>
      <w:r w:rsidR="00A92FDE">
        <w:rPr>
          <w:rFonts w:eastAsia="Calibri" w:cs="Times New Roman"/>
        </w:rPr>
        <w:t>.</w:t>
      </w:r>
      <w:bookmarkEnd w:id="27"/>
    </w:p>
    <w:p w:rsidR="005939A5" w:rsidP="003209B2" w:rsidRDefault="00D91C39" w14:paraId="4D39FBE1" w14:textId="77777777">
      <w:pPr>
        <w:pStyle w:val="Heading1"/>
      </w:pPr>
      <w:bookmarkStart w:name="_Toc227882784" w:id="35"/>
      <w:r>
        <w:t>Assignment of Proceeding</w:t>
      </w:r>
      <w:bookmarkEnd w:id="24"/>
      <w:bookmarkEnd w:id="35"/>
    </w:p>
    <w:p w:rsidRPr="00A80752" w:rsidR="003E2662" w:rsidP="003E2662" w:rsidRDefault="00731ACB" w14:paraId="4CCEFEB5" w14:textId="77621D51">
      <w:pPr>
        <w:pStyle w:val="Standard"/>
      </w:pPr>
      <w:bookmarkStart w:name="_Toc8123725" w:id="36"/>
      <w:r>
        <w:t>Christine Harada</w:t>
      </w:r>
      <w:r w:rsidR="003E2662">
        <w:t xml:space="preserve"> is the assigned Commissioner and Jeffrey Lee is the assigned Administrative Law Judge and the presiding officer in this proceeding.</w:t>
      </w:r>
    </w:p>
    <w:p w:rsidR="005939A5" w:rsidP="005939A5" w:rsidRDefault="005939A5" w14:paraId="1D3A3EFB" w14:textId="77777777">
      <w:pPr>
        <w:pStyle w:val="Dummy"/>
      </w:pPr>
      <w:bookmarkStart w:name="_Toc227882785" w:id="37"/>
      <w:r>
        <w:lastRenderedPageBreak/>
        <w:t>Findings of Fact</w:t>
      </w:r>
      <w:bookmarkEnd w:id="36"/>
      <w:bookmarkEnd w:id="37"/>
    </w:p>
    <w:p w:rsidR="00F62B7A" w:rsidP="001E2A62" w:rsidRDefault="0006562B" w14:paraId="5E8ED7A2" w14:textId="26736A09">
      <w:pPr>
        <w:pStyle w:val="FoF"/>
      </w:pPr>
      <w:r w:rsidRPr="00267592">
        <w:t>Scop</w:t>
      </w:r>
      <w:r w:rsidR="0067344E">
        <w:t>ed</w:t>
      </w:r>
      <w:r w:rsidRPr="00267592">
        <w:t xml:space="preserve"> </w:t>
      </w:r>
      <w:r w:rsidR="00267592">
        <w:t>I</w:t>
      </w:r>
      <w:r w:rsidRPr="00267592">
        <w:t>ssue</w:t>
      </w:r>
      <w:r w:rsidRPr="00267592" w:rsidR="003D2685">
        <w:t xml:space="preserve"> Numbers 1 and 3 have been resolved by the </w:t>
      </w:r>
      <w:r w:rsidR="00C37BB4">
        <w:t>P</w:t>
      </w:r>
      <w:r w:rsidRPr="00267592" w:rsidR="003D2685">
        <w:t>arties and are no longer in dispute.</w:t>
      </w:r>
    </w:p>
    <w:p w:rsidRPr="00755E37" w:rsidR="00F62B7A" w:rsidP="001E2A62" w:rsidRDefault="00267592" w14:paraId="28F34163" w14:textId="78657116">
      <w:pPr>
        <w:pStyle w:val="FoF"/>
      </w:pPr>
      <w:r w:rsidRPr="00755E37">
        <w:t xml:space="preserve">Defendant PG&amp;E filed </w:t>
      </w:r>
      <w:r w:rsidR="00E74C57">
        <w:t>a</w:t>
      </w:r>
      <w:r w:rsidRPr="00755E37" w:rsidR="00755E37">
        <w:t xml:space="preserve"> Motion to Dismiss the only remaining issue in dispute, Scop</w:t>
      </w:r>
      <w:r w:rsidR="00021BD1">
        <w:t>ed</w:t>
      </w:r>
      <w:r w:rsidRPr="00755E37" w:rsidR="00755E37">
        <w:t xml:space="preserve"> Issue No. 2.</w:t>
      </w:r>
    </w:p>
    <w:p w:rsidR="008E6AE6" w:rsidP="001E2A62" w:rsidRDefault="00707EA6" w14:paraId="17203D26" w14:textId="08C0692A">
      <w:pPr>
        <w:pStyle w:val="FoF"/>
        <w:rPr>
          <w:i/>
          <w:iCs/>
        </w:rPr>
      </w:pPr>
      <w:r>
        <w:t xml:space="preserve">Complainant Irizarry’s request that </w:t>
      </w:r>
      <w:r w:rsidRPr="00307F4A">
        <w:t xml:space="preserve">Defendant </w:t>
      </w:r>
      <w:r w:rsidR="00503449">
        <w:t>relocate</w:t>
      </w:r>
      <w:r w:rsidRPr="00307F4A">
        <w:t xml:space="preserve"> </w:t>
      </w:r>
      <w:r w:rsidR="00944B7C">
        <w:t>a</w:t>
      </w:r>
      <w:r w:rsidRPr="00307F4A">
        <w:t xml:space="preserve"> power pole located on or adjacent to Complainant’s property </w:t>
      </w:r>
      <w:r w:rsidR="00503449">
        <w:t xml:space="preserve">to </w:t>
      </w:r>
      <w:r w:rsidR="004E0C06">
        <w:t>Defendant’s</w:t>
      </w:r>
      <w:r w:rsidR="00503449">
        <w:t xml:space="preserve"> </w:t>
      </w:r>
      <w:r w:rsidR="00322DD8">
        <w:t xml:space="preserve">public utility easement road </w:t>
      </w:r>
      <w:r w:rsidR="00944B7C">
        <w:t>is made for Complainant’s convenience</w:t>
      </w:r>
      <w:r w:rsidR="00F73B3A">
        <w:t>.</w:t>
      </w:r>
    </w:p>
    <w:p w:rsidR="005939A5" w:rsidP="005939A5" w:rsidRDefault="005939A5" w14:paraId="4AD68789" w14:textId="77777777">
      <w:pPr>
        <w:pStyle w:val="Dummy"/>
      </w:pPr>
      <w:bookmarkStart w:name="_Toc8123726" w:id="38"/>
      <w:bookmarkStart w:name="_Toc227882786" w:id="39"/>
      <w:r>
        <w:t>Conclusions of Law</w:t>
      </w:r>
      <w:bookmarkEnd w:id="38"/>
      <w:bookmarkEnd w:id="39"/>
    </w:p>
    <w:p w:rsidR="00683776" w:rsidP="00683776" w:rsidRDefault="00683776" w14:paraId="112B6FD6" w14:textId="72B2C5CD">
      <w:pPr>
        <w:pStyle w:val="CoL"/>
      </w:pPr>
      <w:r>
        <w:t>Scop</w:t>
      </w:r>
      <w:r w:rsidR="00021BD1">
        <w:t>ed</w:t>
      </w:r>
      <w:r>
        <w:t xml:space="preserve"> Issue Nos. 1 and 3 are moot.</w:t>
      </w:r>
    </w:p>
    <w:p w:rsidR="00860009" w:rsidP="00683776" w:rsidRDefault="00860009" w14:paraId="162AD565" w14:textId="1B0DC881">
      <w:pPr>
        <w:pStyle w:val="CoL"/>
      </w:pPr>
      <w:r>
        <w:t>The Complaint fail</w:t>
      </w:r>
      <w:r w:rsidR="008B64DE">
        <w:t xml:space="preserve">s to </w:t>
      </w:r>
      <w:r w:rsidR="00960523">
        <w:t>“</w:t>
      </w:r>
      <w:r w:rsidR="008B64DE">
        <w:t>set</w:t>
      </w:r>
      <w:r w:rsidR="00FC6A43">
        <w:t>[]</w:t>
      </w:r>
      <w:r w:rsidR="008B64DE">
        <w:t xml:space="preserve"> forth any act or thing done or omitted </w:t>
      </w:r>
      <w:r w:rsidR="00590530">
        <w:t xml:space="preserve">to be done by </w:t>
      </w:r>
      <w:r w:rsidR="00C13794">
        <w:t>[Defendant]</w:t>
      </w:r>
      <w:r w:rsidR="00590530">
        <w:t xml:space="preserve"> including </w:t>
      </w:r>
      <w:r w:rsidR="00BC54CC">
        <w:t xml:space="preserve">any rule or charge heretofore established or fixed by or </w:t>
      </w:r>
      <w:r w:rsidR="00011BFF">
        <w:t xml:space="preserve">for </w:t>
      </w:r>
      <w:r w:rsidR="003A0122">
        <w:t>[Defendant]</w:t>
      </w:r>
      <w:r w:rsidR="00011BFF">
        <w:t>, in</w:t>
      </w:r>
      <w:r w:rsidR="00D4058F">
        <w:t xml:space="preserve"> </w:t>
      </w:r>
      <w:r w:rsidR="00011BFF">
        <w:t xml:space="preserve">violation, </w:t>
      </w:r>
      <w:r w:rsidR="00D4058F">
        <w:t>or claimed to be in violation</w:t>
      </w:r>
      <w:r w:rsidR="00932C9F">
        <w:t>, of any provision of law or of any order or rule of the Commission” under Rule 4.1</w:t>
      </w:r>
      <w:r w:rsidR="003A0122">
        <w:t>(</w:t>
      </w:r>
      <w:r w:rsidR="00932C9F">
        <w:t>a).</w:t>
      </w:r>
    </w:p>
    <w:p w:rsidRPr="009D327B" w:rsidR="004A4408" w:rsidP="009D327B" w:rsidRDefault="004A4408" w14:paraId="2DADDEF2" w14:textId="451B8FEE">
      <w:pPr>
        <w:pStyle w:val="CoL"/>
      </w:pPr>
      <w:r>
        <w:rPr>
          <w:rFonts w:cs="Times New Roman"/>
        </w:rPr>
        <w:t>PG&amp;E should</w:t>
      </w:r>
      <w:r w:rsidRPr="00937DAD">
        <w:rPr>
          <w:rFonts w:cs="Times New Roman"/>
        </w:rPr>
        <w:t xml:space="preserve"> </w:t>
      </w:r>
      <w:r>
        <w:rPr>
          <w:rFonts w:cs="Times New Roman"/>
        </w:rPr>
        <w:t xml:space="preserve">not </w:t>
      </w:r>
      <w:r w:rsidR="00806FF0">
        <w:rPr>
          <w:rFonts w:cs="Times New Roman"/>
        </w:rPr>
        <w:t xml:space="preserve">be required to pay all costs </w:t>
      </w:r>
      <w:r w:rsidR="004E0C06">
        <w:rPr>
          <w:rFonts w:cs="Times New Roman"/>
        </w:rPr>
        <w:t>to</w:t>
      </w:r>
      <w:r w:rsidR="00806FF0">
        <w:rPr>
          <w:rFonts w:cs="Times New Roman"/>
        </w:rPr>
        <w:t xml:space="preserve"> </w:t>
      </w:r>
      <w:r w:rsidR="00806FF0">
        <w:t>relocate</w:t>
      </w:r>
      <w:r w:rsidRPr="00307F4A" w:rsidR="00806FF0">
        <w:t xml:space="preserve"> </w:t>
      </w:r>
      <w:r w:rsidR="00806FF0">
        <w:t>a</w:t>
      </w:r>
      <w:r w:rsidRPr="00307F4A" w:rsidR="00806FF0">
        <w:t xml:space="preserve"> power pole located on or adjacent to Complainant’s property </w:t>
      </w:r>
      <w:r w:rsidR="00806FF0">
        <w:t xml:space="preserve">to </w:t>
      </w:r>
      <w:r w:rsidR="004E0C06">
        <w:t>Defendant’s</w:t>
      </w:r>
      <w:r w:rsidR="00806FF0">
        <w:t xml:space="preserve"> public utility easement road for Complainant’s convenience</w:t>
      </w:r>
      <w:r>
        <w:rPr>
          <w:rFonts w:cs="Times New Roman"/>
        </w:rPr>
        <w:t xml:space="preserve"> under Electric Rule 15.I.1</w:t>
      </w:r>
      <w:r w:rsidRPr="00937DAD">
        <w:rPr>
          <w:rFonts w:cs="Times New Roman"/>
        </w:rPr>
        <w:t>.</w:t>
      </w:r>
    </w:p>
    <w:p w:rsidRPr="00267592" w:rsidR="009D327B" w:rsidP="009D327B" w:rsidRDefault="009D327B" w14:paraId="12B7B822" w14:textId="07017058">
      <w:pPr>
        <w:pStyle w:val="CoL"/>
      </w:pPr>
      <w:r>
        <w:rPr>
          <w:rFonts w:cs="Times New Roman"/>
        </w:rPr>
        <w:t>PG&amp;E should</w:t>
      </w:r>
      <w:r w:rsidRPr="00937DAD">
        <w:rPr>
          <w:rFonts w:cs="Times New Roman"/>
        </w:rPr>
        <w:t xml:space="preserve"> prevail </w:t>
      </w:r>
      <w:proofErr w:type="gramStart"/>
      <w:r>
        <w:rPr>
          <w:rFonts w:cs="Times New Roman"/>
        </w:rPr>
        <w:t>on</w:t>
      </w:r>
      <w:proofErr w:type="gramEnd"/>
      <w:r>
        <w:rPr>
          <w:rFonts w:cs="Times New Roman"/>
        </w:rPr>
        <w:t xml:space="preserve"> Scoped Issue No. 2 </w:t>
      </w:r>
      <w:r w:rsidRPr="00937DAD">
        <w:rPr>
          <w:rFonts w:cs="Times New Roman"/>
        </w:rPr>
        <w:t>as a matter of law</w:t>
      </w:r>
      <w:r>
        <w:rPr>
          <w:rFonts w:cs="Times New Roman"/>
        </w:rPr>
        <w:t xml:space="preserve"> under Electric Rule 15.I.1</w:t>
      </w:r>
      <w:r w:rsidRPr="00937DAD">
        <w:rPr>
          <w:rFonts w:cs="Times New Roman"/>
        </w:rPr>
        <w:t>.</w:t>
      </w:r>
    </w:p>
    <w:p w:rsidR="00E3543B" w:rsidP="00E3543B" w:rsidRDefault="00E3543B" w14:paraId="51DEA174" w14:textId="219FD1EA">
      <w:pPr>
        <w:pStyle w:val="CoL"/>
      </w:pPr>
      <w:r>
        <w:t>The</w:t>
      </w:r>
      <w:r w:rsidRPr="00680F69">
        <w:t xml:space="preserve"> Motion </w:t>
      </w:r>
      <w:r>
        <w:t>to Dismiss filed by Defendant</w:t>
      </w:r>
      <w:r w:rsidDel="00B94143">
        <w:t xml:space="preserve"> </w:t>
      </w:r>
      <w:r w:rsidRPr="00680F69">
        <w:t>should be granted</w:t>
      </w:r>
      <w:r>
        <w:t>.</w:t>
      </w:r>
    </w:p>
    <w:p w:rsidR="00E3543B" w:rsidP="00E3543B" w:rsidRDefault="00E3543B" w14:paraId="64E4C6B1" w14:textId="31F49132">
      <w:pPr>
        <w:pStyle w:val="CoL"/>
      </w:pPr>
      <w:r>
        <w:t>The Complaint should be dismissed</w:t>
      </w:r>
      <w:r w:rsidRPr="00DD387B">
        <w:t>.</w:t>
      </w:r>
      <w:r w:rsidRPr="009824A9">
        <w:t xml:space="preserve"> </w:t>
      </w:r>
    </w:p>
    <w:p w:rsidRPr="00057A4F" w:rsidR="00E3543B" w:rsidP="00E3543B" w:rsidRDefault="00E3543B" w14:paraId="1597459D" w14:textId="77777777">
      <w:pPr>
        <w:pStyle w:val="CoL"/>
      </w:pPr>
      <w:r w:rsidRPr="00057A4F">
        <w:t xml:space="preserve">All pending motions that have not been expressly ruled upon by the assigned Administrative Law Judge </w:t>
      </w:r>
      <w:r>
        <w:t>should be</w:t>
      </w:r>
      <w:r w:rsidRPr="00057A4F">
        <w:t xml:space="preserve"> denied.</w:t>
      </w:r>
    </w:p>
    <w:p w:rsidRPr="001E2A62" w:rsidR="00B60C51" w:rsidP="00B60C51" w:rsidRDefault="00072FC6" w14:paraId="6531B844" w14:textId="15FD0B9C">
      <w:pPr>
        <w:pStyle w:val="CoL"/>
      </w:pPr>
      <w:r>
        <w:t>C.23-02-003</w:t>
      </w:r>
      <w:r w:rsidRPr="001E2A62">
        <w:t xml:space="preserve"> </w:t>
      </w:r>
      <w:r w:rsidR="00B60C51">
        <w:t>should be</w:t>
      </w:r>
      <w:r w:rsidRPr="001E2A62" w:rsidR="00B60C51">
        <w:t xml:space="preserve"> closed.</w:t>
      </w:r>
    </w:p>
    <w:p w:rsidR="00BB0243" w:rsidP="000A6E05" w:rsidRDefault="005939A5" w14:paraId="3F770815" w14:textId="77777777">
      <w:pPr>
        <w:pStyle w:val="Mainex"/>
      </w:pPr>
      <w:bookmarkStart w:name="_Toc227882787" w:id="40"/>
      <w:r>
        <w:lastRenderedPageBreak/>
        <w:t>O</w:t>
      </w:r>
      <w:r w:rsidR="00722850">
        <w:t>RDER</w:t>
      </w:r>
      <w:bookmarkEnd w:id="40"/>
    </w:p>
    <w:p w:rsidR="00BB0243" w:rsidP="000A6E05" w:rsidRDefault="00BB0243" w14:paraId="547DDF60" w14:textId="77777777">
      <w:pPr>
        <w:keepNext/>
      </w:pPr>
      <w:r w:rsidRPr="00BB0243">
        <w:rPr>
          <w:b/>
        </w:rPr>
        <w:t>IT IS ORDERED</w:t>
      </w:r>
      <w:r>
        <w:t xml:space="preserve"> that:</w:t>
      </w:r>
    </w:p>
    <w:p w:rsidR="009C6FE6" w:rsidP="00953C20" w:rsidRDefault="009C6FE6" w14:paraId="5EF6CE5C" w14:textId="2A82E5D1">
      <w:pPr>
        <w:pStyle w:val="OP"/>
      </w:pPr>
      <w:r>
        <w:t>Defendant</w:t>
      </w:r>
      <w:r w:rsidR="00C314FC">
        <w:t xml:space="preserve"> Pacific Gas and Electric Company</w:t>
      </w:r>
      <w:r>
        <w:t>’s</w:t>
      </w:r>
      <w:r w:rsidRPr="00E243BD" w:rsidR="00953C20">
        <w:t xml:space="preserve"> </w:t>
      </w:r>
      <w:r w:rsidR="001F4C0D">
        <w:rPr>
          <w:rFonts w:cs="Arial"/>
          <w:szCs w:val="26"/>
        </w:rPr>
        <w:t>Motion</w:t>
      </w:r>
      <w:r>
        <w:rPr>
          <w:rFonts w:cs="Arial"/>
          <w:szCs w:val="26"/>
        </w:rPr>
        <w:t xml:space="preserve"> to Dismiss </w:t>
      </w:r>
      <w:r w:rsidRPr="00E243BD" w:rsidR="00953C20">
        <w:t>is granted</w:t>
      </w:r>
      <w:r>
        <w:t xml:space="preserve">. </w:t>
      </w:r>
    </w:p>
    <w:p w:rsidR="00953C20" w:rsidP="00953C20" w:rsidRDefault="009C6FE6" w14:paraId="256635E7" w14:textId="0E73065B">
      <w:pPr>
        <w:pStyle w:val="OP"/>
      </w:pPr>
      <w:r>
        <w:t xml:space="preserve">The Complaint is </w:t>
      </w:r>
      <w:r w:rsidR="00F105F3">
        <w:t>dismissed</w:t>
      </w:r>
      <w:r w:rsidRPr="00E243BD" w:rsidR="00953C20">
        <w:t xml:space="preserve">. </w:t>
      </w:r>
    </w:p>
    <w:p w:rsidR="008108E4" w:rsidP="008108E4" w:rsidRDefault="008108E4" w14:paraId="5D2EAB1E" w14:textId="0B4EA493">
      <w:pPr>
        <w:pStyle w:val="OP"/>
      </w:pPr>
      <w:r w:rsidRPr="008108E4">
        <w:t>All pending motions which have not been expressly resolved by the assigned Administrative Law Judge are denied.</w:t>
      </w:r>
    </w:p>
    <w:p w:rsidRPr="008108E4" w:rsidR="001D6403" w:rsidP="001D6403" w:rsidRDefault="001D6403" w14:paraId="2ABEE588" w14:textId="77777777">
      <w:pPr>
        <w:pStyle w:val="OP"/>
      </w:pPr>
      <w:r>
        <w:t>Hearings are no longer needed.</w:t>
      </w:r>
    </w:p>
    <w:p w:rsidR="00F6397D" w:rsidP="00A45651" w:rsidRDefault="00366C49" w14:paraId="3013627D" w14:textId="630C5B3D">
      <w:pPr>
        <w:pStyle w:val="OP"/>
        <w:keepNext/>
      </w:pPr>
      <w:bookmarkStart w:name="_Hlk140738463" w:id="41"/>
      <w:r>
        <w:t>C</w:t>
      </w:r>
      <w:r w:rsidR="00F62495">
        <w:t>ase </w:t>
      </w:r>
      <w:r>
        <w:t>23-02-003</w:t>
      </w:r>
      <w:r w:rsidRPr="001E2A62" w:rsidR="00E23CBB">
        <w:t xml:space="preserve"> is closed.</w:t>
      </w:r>
    </w:p>
    <w:bookmarkEnd w:id="41"/>
    <w:p w:rsidR="008F0116" w:rsidP="00A45651" w:rsidRDefault="008F0116" w14:paraId="72B615EC" w14:textId="77777777">
      <w:pPr>
        <w:keepNext/>
      </w:pPr>
      <w:r>
        <w:t>This order is effective today.</w:t>
      </w:r>
    </w:p>
    <w:p w:rsidRPr="00714CF2" w:rsidR="00714CF2" w:rsidP="00A45651" w:rsidRDefault="008F0116" w14:paraId="4E73E7A2" w14:textId="1C35E56F">
      <w:pPr>
        <w:keepNext/>
      </w:pPr>
      <w:r>
        <w:t xml:space="preserve">Dated </w:t>
      </w:r>
      <w:r>
        <w:rPr>
          <w:u w:val="single"/>
        </w:rPr>
        <w:tab/>
      </w:r>
      <w:r>
        <w:rPr>
          <w:u w:val="single"/>
        </w:rPr>
        <w:tab/>
      </w:r>
      <w:r>
        <w:t>, at San Francisco, California</w:t>
      </w:r>
    </w:p>
    <w:sectPr w:rsidRPr="00714CF2" w:rsidR="00714CF2" w:rsidSect="006578A1">
      <w:footerReference w:type="default" r:id="rId15"/>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092B1" w14:textId="77777777" w:rsidR="00446D1C" w:rsidRDefault="00446D1C" w:rsidP="0098138E">
      <w:pPr>
        <w:spacing w:line="240" w:lineRule="auto"/>
      </w:pPr>
      <w:r>
        <w:separator/>
      </w:r>
    </w:p>
  </w:endnote>
  <w:endnote w:type="continuationSeparator" w:id="0">
    <w:p w14:paraId="1FC8236E" w14:textId="77777777" w:rsidR="00446D1C" w:rsidRDefault="00446D1C"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D70F" w14:textId="3EFFE772" w:rsidR="006578A1" w:rsidRDefault="00BB58D6" w:rsidP="00A45651">
    <w:pPr>
      <w:pStyle w:val="Footer"/>
      <w:spacing w:line="360" w:lineRule="auto"/>
      <w:ind w:firstLine="0"/>
      <w:rPr>
        <w:noProof/>
      </w:rPr>
    </w:pPr>
    <w:r w:rsidRPr="00BB58D6">
      <w:rPr>
        <w:sz w:val="16"/>
        <w:szCs w:val="16"/>
      </w:rPr>
      <w:t>601764089</w:t>
    </w:r>
    <w:r w:rsidR="00F4173C">
      <w:tab/>
      <w:t>-</w:t>
    </w:r>
    <w:sdt>
      <w:sdtPr>
        <w:id w:val="1512415464"/>
        <w:docPartObj>
          <w:docPartGallery w:val="Page Numbers (Bottom of Page)"/>
          <w:docPartUnique/>
        </w:docPartObj>
      </w:sdtPr>
      <w:sdtEndPr>
        <w:rPr>
          <w:noProof/>
        </w:rPr>
      </w:sdtEndPr>
      <w:sdtContent>
        <w:r w:rsidR="006578A1">
          <w:fldChar w:fldCharType="begin"/>
        </w:r>
        <w:r w:rsidR="006578A1">
          <w:instrText xml:space="preserve"> PAGE   \* MERGEFORMAT </w:instrText>
        </w:r>
        <w:r w:rsidR="006578A1">
          <w:fldChar w:fldCharType="separate"/>
        </w:r>
        <w:r w:rsidR="006578A1">
          <w:rPr>
            <w:noProof/>
          </w:rPr>
          <w:t>2</w:t>
        </w:r>
        <w:r w:rsidR="006578A1">
          <w:rPr>
            <w:noProof/>
          </w:rPr>
          <w:fldChar w:fldCharType="end"/>
        </w:r>
        <w:r w:rsidR="00F4173C">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1E97"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3C35" w14:textId="3BD56060" w:rsidR="00E23CBB" w:rsidRDefault="00F4173C" w:rsidP="00A45651">
    <w:pPr>
      <w:pStyle w:val="Footer"/>
      <w:spacing w:line="360" w:lineRule="auto"/>
      <w:ind w:firstLine="0"/>
      <w:jc w:val="center"/>
    </w:pPr>
    <w:r>
      <w:t>-</w:t>
    </w:r>
    <w:sdt>
      <w:sdtPr>
        <w:id w:val="-672329928"/>
        <w:docPartObj>
          <w:docPartGallery w:val="Page Numbers (Bottom of Page)"/>
          <w:docPartUnique/>
        </w:docPartObj>
      </w:sdtPr>
      <w:sdtEndPr>
        <w:rPr>
          <w:noProof/>
        </w:rPr>
      </w:sdtEndPr>
      <w:sdtContent>
        <w:r w:rsidR="006578A1">
          <w:fldChar w:fldCharType="begin"/>
        </w:r>
        <w:r w:rsidR="006578A1">
          <w:instrText xml:space="preserve"> PAGE   \* MERGEFORMAT </w:instrText>
        </w:r>
        <w:r w:rsidR="006578A1">
          <w:fldChar w:fldCharType="separate"/>
        </w:r>
        <w:r w:rsidR="006578A1">
          <w:rPr>
            <w:noProof/>
          </w:rPr>
          <w:t>2</w:t>
        </w:r>
        <w:r w:rsidR="006578A1">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0091E" w14:textId="77777777" w:rsidR="00446D1C" w:rsidRDefault="00446D1C" w:rsidP="00DF58E7">
      <w:pPr>
        <w:spacing w:line="240" w:lineRule="auto"/>
        <w:ind w:firstLine="0"/>
      </w:pPr>
      <w:r>
        <w:separator/>
      </w:r>
    </w:p>
  </w:footnote>
  <w:footnote w:type="continuationSeparator" w:id="0">
    <w:p w14:paraId="4785D633" w14:textId="77777777" w:rsidR="00446D1C" w:rsidRDefault="00446D1C" w:rsidP="00DF58E7">
      <w:pPr>
        <w:spacing w:line="240" w:lineRule="auto"/>
        <w:ind w:firstLine="0"/>
      </w:pPr>
      <w:r>
        <w:continuationSeparator/>
      </w:r>
    </w:p>
  </w:footnote>
  <w:footnote w:type="continuationNotice" w:id="1">
    <w:p w14:paraId="1CF7B7F6" w14:textId="77777777" w:rsidR="00446D1C" w:rsidRPr="00DF58E7" w:rsidRDefault="00446D1C"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6698B9E7" w14:textId="0C24D7E8" w:rsidR="00A46A0C" w:rsidRPr="00A46A0C" w:rsidRDefault="00A46A0C">
      <w:pPr>
        <w:pStyle w:val="FootnoteText"/>
        <w:rPr>
          <w:lang w:val="en-ZW"/>
        </w:rPr>
      </w:pPr>
      <w:r>
        <w:rPr>
          <w:rStyle w:val="FootnoteReference"/>
        </w:rPr>
        <w:footnoteRef/>
      </w:r>
      <w:r>
        <w:t xml:space="preserve"> </w:t>
      </w:r>
      <w:r w:rsidR="006B02F2" w:rsidRPr="00D11A1A">
        <w:rPr>
          <w:i/>
          <w:iCs/>
          <w:lang w:val="en-ZW"/>
        </w:rPr>
        <w:t>See</w:t>
      </w:r>
      <w:r w:rsidR="006B02F2">
        <w:rPr>
          <w:lang w:val="en-ZW"/>
        </w:rPr>
        <w:t xml:space="preserve"> Instructions to Answer </w:t>
      </w:r>
      <w:r w:rsidR="00F3337D">
        <w:rPr>
          <w:lang w:val="en-ZW"/>
        </w:rPr>
        <w:t xml:space="preserve">(filed </w:t>
      </w:r>
      <w:r w:rsidR="00D11A1A">
        <w:rPr>
          <w:lang w:val="en-ZW"/>
        </w:rPr>
        <w:t>March 3, 2023).</w:t>
      </w:r>
    </w:p>
  </w:footnote>
  <w:footnote w:id="3">
    <w:p w14:paraId="3BCDF6AA" w14:textId="002845B6" w:rsidR="0081395E" w:rsidRDefault="0081395E">
      <w:pPr>
        <w:pStyle w:val="FootnoteText"/>
        <w:rPr>
          <w:lang w:val="en-ZW"/>
        </w:rPr>
      </w:pPr>
      <w:r>
        <w:rPr>
          <w:rStyle w:val="FootnoteReference"/>
        </w:rPr>
        <w:footnoteRef/>
      </w:r>
      <w:r>
        <w:t xml:space="preserve"> The circumstances </w:t>
      </w:r>
      <w:r w:rsidR="00EF484C">
        <w:t xml:space="preserve">of this proceeding raise questions regarding </w:t>
      </w:r>
      <w:r>
        <w:rPr>
          <w:lang w:val="en-ZW"/>
        </w:rPr>
        <w:t>Irizarry’s credibility</w:t>
      </w:r>
      <w:r w:rsidR="00EF484C">
        <w:rPr>
          <w:lang w:val="en-ZW"/>
        </w:rPr>
        <w:t xml:space="preserve">. </w:t>
      </w:r>
      <w:r w:rsidR="006F2780">
        <w:rPr>
          <w:lang w:val="en-ZW"/>
        </w:rPr>
        <w:t xml:space="preserve">For example, </w:t>
      </w:r>
      <w:r w:rsidR="00EF484C">
        <w:t>Irizarry claimed the tree-connected power lines presented hazardous conditions requiring urgent action by PG&amp;E</w:t>
      </w:r>
      <w:r w:rsidR="005145C2">
        <w:t xml:space="preserve"> upon the filing of the Complaint in February 2023</w:t>
      </w:r>
      <w:r w:rsidR="00EF484C" w:rsidRPr="00307F4A">
        <w:t>.</w:t>
      </w:r>
      <w:r w:rsidR="00EF484C">
        <w:t xml:space="preserve"> However, </w:t>
      </w:r>
      <w:r w:rsidR="00625095">
        <w:t xml:space="preserve">attachments to his Complaint, </w:t>
      </w:r>
      <w:r w:rsidR="00AC2A2C">
        <w:t>indicate</w:t>
      </w:r>
      <w:r w:rsidR="00625095">
        <w:t xml:space="preserve"> that </w:t>
      </w:r>
      <w:r w:rsidR="00EF484C">
        <w:t xml:space="preserve">prior to the filing of the Complaint, </w:t>
      </w:r>
      <w:r w:rsidR="00EF484C" w:rsidRPr="00307F4A">
        <w:t xml:space="preserve">Defendant </w:t>
      </w:r>
      <w:r w:rsidR="005C2F74">
        <w:t>sent work crews</w:t>
      </w:r>
      <w:r w:rsidR="00EF484C">
        <w:t xml:space="preserve"> to perform that work. Complainant blocked PG&amp;E</w:t>
      </w:r>
      <w:r w:rsidR="005C2F74">
        <w:t>’s</w:t>
      </w:r>
      <w:r w:rsidR="00EF484C">
        <w:t xml:space="preserve"> work crews from gaining access to the property, frustrating Defendant’s effort to address the conditions created by the tree connections.  Upon filing of the Complaint, Defendant </w:t>
      </w:r>
      <w:r w:rsidR="00EF484C" w:rsidRPr="00307F4A">
        <w:t>agreed to perform that work as soon as possible.</w:t>
      </w:r>
      <w:r>
        <w:rPr>
          <w:lang w:val="en-ZW"/>
        </w:rPr>
        <w:t xml:space="preserve"> </w:t>
      </w:r>
      <w:r w:rsidR="00EB57AD">
        <w:rPr>
          <w:lang w:val="en-ZW"/>
        </w:rPr>
        <w:t>Irizarry</w:t>
      </w:r>
      <w:r w:rsidR="009B39F1">
        <w:rPr>
          <w:lang w:val="en-ZW"/>
        </w:rPr>
        <w:t xml:space="preserve"> </w:t>
      </w:r>
      <w:r w:rsidR="005F6A22">
        <w:rPr>
          <w:lang w:val="en-ZW"/>
        </w:rPr>
        <w:t xml:space="preserve">did not </w:t>
      </w:r>
      <w:r w:rsidR="00070D22">
        <w:rPr>
          <w:lang w:val="en-ZW"/>
        </w:rPr>
        <w:t>agree</w:t>
      </w:r>
      <w:r w:rsidR="005F6A22">
        <w:rPr>
          <w:lang w:val="en-ZW"/>
        </w:rPr>
        <w:t xml:space="preserve"> </w:t>
      </w:r>
      <w:r w:rsidR="00752865">
        <w:rPr>
          <w:lang w:val="en-ZW"/>
        </w:rPr>
        <w:t>that the</w:t>
      </w:r>
      <w:r w:rsidR="00510911">
        <w:rPr>
          <w:lang w:val="en-ZW"/>
        </w:rPr>
        <w:t xml:space="preserve"> </w:t>
      </w:r>
      <w:r w:rsidR="00F5095C">
        <w:rPr>
          <w:lang w:val="en-ZW"/>
        </w:rPr>
        <w:t xml:space="preserve">urgent </w:t>
      </w:r>
      <w:r w:rsidR="00510911">
        <w:rPr>
          <w:lang w:val="en-ZW"/>
        </w:rPr>
        <w:t>hazard</w:t>
      </w:r>
      <w:r w:rsidR="00BA7F47">
        <w:rPr>
          <w:lang w:val="en-ZW"/>
        </w:rPr>
        <w:t xml:space="preserve"> mitigation </w:t>
      </w:r>
      <w:r w:rsidR="00510911">
        <w:rPr>
          <w:lang w:val="en-ZW"/>
        </w:rPr>
        <w:t xml:space="preserve">work </w:t>
      </w:r>
      <w:r w:rsidR="00C800CD">
        <w:rPr>
          <w:lang w:val="en-ZW"/>
        </w:rPr>
        <w:t>may</w:t>
      </w:r>
      <w:r w:rsidR="005F6A22">
        <w:rPr>
          <w:lang w:val="en-ZW"/>
        </w:rPr>
        <w:t xml:space="preserve"> proceed until </w:t>
      </w:r>
      <w:r w:rsidR="00BA7F47">
        <w:rPr>
          <w:lang w:val="en-ZW"/>
        </w:rPr>
        <w:t xml:space="preserve">an agreement was reported to the Commission </w:t>
      </w:r>
      <w:r w:rsidR="004C7B72">
        <w:rPr>
          <w:lang w:val="en-ZW"/>
        </w:rPr>
        <w:t xml:space="preserve">over </w:t>
      </w:r>
      <w:r w:rsidR="00C800CD">
        <w:rPr>
          <w:lang w:val="en-ZW"/>
        </w:rPr>
        <w:t xml:space="preserve">15 months later, </w:t>
      </w:r>
      <w:r w:rsidR="00BA7F47">
        <w:rPr>
          <w:lang w:val="en-ZW"/>
        </w:rPr>
        <w:t xml:space="preserve">in a May </w:t>
      </w:r>
      <w:r w:rsidR="002E0CF5">
        <w:rPr>
          <w:lang w:val="en-ZW"/>
        </w:rPr>
        <w:t xml:space="preserve">10, </w:t>
      </w:r>
      <w:proofErr w:type="gramStart"/>
      <w:r w:rsidR="00BA7F47">
        <w:rPr>
          <w:lang w:val="en-ZW"/>
        </w:rPr>
        <w:t>2024</w:t>
      </w:r>
      <w:proofErr w:type="gramEnd"/>
      <w:r w:rsidR="00BA7F47">
        <w:rPr>
          <w:lang w:val="en-ZW"/>
        </w:rPr>
        <w:t xml:space="preserve"> </w:t>
      </w:r>
      <w:r w:rsidR="000765F9">
        <w:rPr>
          <w:lang w:val="en-ZW"/>
        </w:rPr>
        <w:t>Joint Status R</w:t>
      </w:r>
      <w:r w:rsidR="00BA7F47">
        <w:rPr>
          <w:lang w:val="en-ZW"/>
        </w:rPr>
        <w:t>eport.</w:t>
      </w:r>
    </w:p>
    <w:p w14:paraId="0D02483F" w14:textId="451245BC" w:rsidR="00E91ECF" w:rsidRPr="0081395E" w:rsidRDefault="00E91ECF">
      <w:pPr>
        <w:pStyle w:val="FootnoteText"/>
        <w:rPr>
          <w:lang w:val="en-ZW"/>
        </w:rPr>
      </w:pPr>
      <w:r>
        <w:rPr>
          <w:lang w:val="en-ZW"/>
        </w:rPr>
        <w:t xml:space="preserve">In addition, </w:t>
      </w:r>
      <w:r w:rsidR="00F53170">
        <w:rPr>
          <w:lang w:val="en-ZW"/>
        </w:rPr>
        <w:t xml:space="preserve">although we have accorded </w:t>
      </w:r>
      <w:r>
        <w:rPr>
          <w:lang w:val="en-ZW"/>
        </w:rPr>
        <w:t xml:space="preserve">Irizarry </w:t>
      </w:r>
      <w:r w:rsidR="00F53170">
        <w:rPr>
          <w:lang w:val="en-ZW"/>
        </w:rPr>
        <w:t xml:space="preserve">the </w:t>
      </w:r>
      <w:r w:rsidR="009D64FE">
        <w:rPr>
          <w:lang w:val="en-ZW"/>
        </w:rPr>
        <w:t xml:space="preserve">full </w:t>
      </w:r>
      <w:r w:rsidR="00F53170">
        <w:rPr>
          <w:lang w:val="en-ZW"/>
        </w:rPr>
        <w:t xml:space="preserve">indulgence typically </w:t>
      </w:r>
      <w:r w:rsidR="009D64FE">
        <w:rPr>
          <w:lang w:val="en-ZW"/>
        </w:rPr>
        <w:t xml:space="preserve">accorded a self-represented party, he </w:t>
      </w:r>
      <w:r>
        <w:rPr>
          <w:lang w:val="en-ZW"/>
        </w:rPr>
        <w:t xml:space="preserve">cannot fully justify the pleading </w:t>
      </w:r>
      <w:r w:rsidR="00373A93">
        <w:rPr>
          <w:lang w:val="en-ZW"/>
        </w:rPr>
        <w:t xml:space="preserve">and record </w:t>
      </w:r>
      <w:r>
        <w:rPr>
          <w:lang w:val="en-ZW"/>
        </w:rPr>
        <w:t xml:space="preserve">deficiencies </w:t>
      </w:r>
      <w:r w:rsidR="00F66C7C">
        <w:rPr>
          <w:lang w:val="en-ZW"/>
        </w:rPr>
        <w:t xml:space="preserve">described herein </w:t>
      </w:r>
      <w:r>
        <w:rPr>
          <w:lang w:val="en-ZW"/>
        </w:rPr>
        <w:t xml:space="preserve">on the basis that he is self-represented. In </w:t>
      </w:r>
      <w:r w:rsidR="00125FCB">
        <w:rPr>
          <w:lang w:val="en-ZW"/>
        </w:rPr>
        <w:t>a</w:t>
      </w:r>
      <w:r>
        <w:rPr>
          <w:lang w:val="en-ZW"/>
        </w:rPr>
        <w:t xml:space="preserve"> </w:t>
      </w:r>
      <w:r w:rsidR="006B011F" w:rsidRPr="00307F4A">
        <w:t>September</w:t>
      </w:r>
      <w:r w:rsidR="006B011F">
        <w:t xml:space="preserve"> </w:t>
      </w:r>
      <w:r w:rsidR="006B011F" w:rsidRPr="00307F4A">
        <w:t>22,</w:t>
      </w:r>
      <w:r w:rsidR="006B011F">
        <w:t xml:space="preserve"> </w:t>
      </w:r>
      <w:r w:rsidR="006B011F" w:rsidRPr="00307F4A">
        <w:t>2023 [First] Joint Status Report</w:t>
      </w:r>
      <w:r>
        <w:rPr>
          <w:lang w:val="en-ZW"/>
        </w:rPr>
        <w:t>, Irizarry requested a lengthy postponement of proceeding deadline</w:t>
      </w:r>
      <w:r w:rsidR="006B011F">
        <w:rPr>
          <w:lang w:val="en-ZW"/>
        </w:rPr>
        <w:t>s</w:t>
      </w:r>
      <w:r w:rsidR="001F4145">
        <w:rPr>
          <w:lang w:val="en-ZW"/>
        </w:rPr>
        <w:t xml:space="preserve">, </w:t>
      </w:r>
      <w:r>
        <w:rPr>
          <w:lang w:val="en-ZW"/>
        </w:rPr>
        <w:t>on the basis that he was engaging counsel for this proceeding. Irizarry did not seek additional time to retain counsel at any time thereafter.</w:t>
      </w:r>
    </w:p>
  </w:footnote>
  <w:footnote w:id="4">
    <w:p w14:paraId="7F388778" w14:textId="71EFCEC8" w:rsidR="00440AFB" w:rsidRPr="00440AFB" w:rsidRDefault="00440AFB">
      <w:pPr>
        <w:pStyle w:val="FootnoteText"/>
        <w:rPr>
          <w:lang w:val="en-ZW"/>
        </w:rPr>
      </w:pPr>
      <w:r>
        <w:rPr>
          <w:rStyle w:val="FootnoteReference"/>
        </w:rPr>
        <w:footnoteRef/>
      </w:r>
      <w:r>
        <w:t xml:space="preserve"> </w:t>
      </w:r>
      <w:r w:rsidR="00FD6989" w:rsidRPr="00307F4A">
        <w:t>C.23</w:t>
      </w:r>
      <w:r w:rsidR="00FD6989" w:rsidRPr="00307F4A">
        <w:noBreakHyphen/>
        <w:t>02</w:t>
      </w:r>
      <w:r w:rsidR="00FD6989" w:rsidRPr="00307F4A">
        <w:noBreakHyphen/>
        <w:t xml:space="preserve">003 </w:t>
      </w:r>
      <w:r>
        <w:rPr>
          <w:lang w:val="en-ZW"/>
        </w:rPr>
        <w:t>at 2.</w:t>
      </w:r>
    </w:p>
  </w:footnote>
  <w:footnote w:id="5">
    <w:p w14:paraId="7DBEA084" w14:textId="78875808" w:rsidR="005D048E" w:rsidRPr="005D048E" w:rsidRDefault="005D048E">
      <w:pPr>
        <w:pStyle w:val="FootnoteText"/>
        <w:rPr>
          <w:lang w:val="en-ZW"/>
        </w:rPr>
      </w:pPr>
      <w:r>
        <w:rPr>
          <w:rStyle w:val="FootnoteReference"/>
        </w:rPr>
        <w:footnoteRef/>
      </w:r>
      <w:r>
        <w:t xml:space="preserve"> </w:t>
      </w:r>
      <w:r w:rsidRPr="00307F4A">
        <w:t>C.23</w:t>
      </w:r>
      <w:r w:rsidRPr="00307F4A">
        <w:noBreakHyphen/>
        <w:t>02</w:t>
      </w:r>
      <w:r w:rsidRPr="00307F4A">
        <w:noBreakHyphen/>
        <w:t xml:space="preserve">003 </w:t>
      </w:r>
      <w:r>
        <w:rPr>
          <w:lang w:val="en-ZW"/>
        </w:rPr>
        <w:t>at 2.</w:t>
      </w:r>
    </w:p>
  </w:footnote>
  <w:footnote w:id="6">
    <w:p w14:paraId="67564CD3" w14:textId="7A865855" w:rsidR="00C34EAD" w:rsidRPr="00C34EAD" w:rsidRDefault="00C34EAD">
      <w:pPr>
        <w:pStyle w:val="FootnoteText"/>
        <w:rPr>
          <w:lang w:val="en-ZW"/>
        </w:rPr>
      </w:pPr>
      <w:r>
        <w:rPr>
          <w:rStyle w:val="FootnoteReference"/>
        </w:rPr>
        <w:footnoteRef/>
      </w:r>
      <w:r>
        <w:t xml:space="preserve"> </w:t>
      </w:r>
      <w:r w:rsidRPr="00307F4A">
        <w:t>C.23</w:t>
      </w:r>
      <w:r w:rsidRPr="00307F4A">
        <w:noBreakHyphen/>
        <w:t>02</w:t>
      </w:r>
      <w:r w:rsidRPr="00307F4A">
        <w:noBreakHyphen/>
        <w:t xml:space="preserve">003 </w:t>
      </w:r>
      <w:r>
        <w:rPr>
          <w:lang w:val="en-ZW"/>
        </w:rPr>
        <w:t>at 2.</w:t>
      </w:r>
    </w:p>
  </w:footnote>
  <w:footnote w:id="7">
    <w:p w14:paraId="7393C546" w14:textId="34A1BD6B" w:rsidR="008B4B14" w:rsidRPr="008B4B14" w:rsidRDefault="008B4B14">
      <w:pPr>
        <w:pStyle w:val="FootnoteText"/>
        <w:rPr>
          <w:lang w:val="en-ZW"/>
        </w:rPr>
      </w:pPr>
      <w:r>
        <w:rPr>
          <w:rStyle w:val="FootnoteReference"/>
        </w:rPr>
        <w:footnoteRef/>
      </w:r>
      <w:r>
        <w:t xml:space="preserve"> </w:t>
      </w:r>
      <w:r w:rsidRPr="00307F4A">
        <w:t>C.23</w:t>
      </w:r>
      <w:r w:rsidRPr="00307F4A">
        <w:noBreakHyphen/>
        <w:t>02</w:t>
      </w:r>
      <w:r w:rsidRPr="00307F4A">
        <w:noBreakHyphen/>
        <w:t xml:space="preserve">003 </w:t>
      </w:r>
      <w:r>
        <w:rPr>
          <w:lang w:val="en-ZW"/>
        </w:rPr>
        <w:t>at 2.</w:t>
      </w:r>
    </w:p>
  </w:footnote>
  <w:footnote w:id="8">
    <w:p w14:paraId="1FE9E183" w14:textId="704FE072" w:rsidR="003F0203" w:rsidRPr="003F0203" w:rsidRDefault="003F0203">
      <w:pPr>
        <w:pStyle w:val="FootnoteText"/>
        <w:rPr>
          <w:lang w:val="en-ZW"/>
        </w:rPr>
      </w:pPr>
      <w:r>
        <w:rPr>
          <w:rStyle w:val="FootnoteReference"/>
        </w:rPr>
        <w:footnoteRef/>
      </w:r>
      <w:r>
        <w:t xml:space="preserve"> </w:t>
      </w:r>
      <w:r w:rsidRPr="00307F4A">
        <w:t>C.23</w:t>
      </w:r>
      <w:r w:rsidRPr="00307F4A">
        <w:noBreakHyphen/>
        <w:t>02</w:t>
      </w:r>
      <w:r w:rsidRPr="00307F4A">
        <w:noBreakHyphen/>
        <w:t xml:space="preserve">003 </w:t>
      </w:r>
      <w:r>
        <w:rPr>
          <w:lang w:val="en-ZW"/>
        </w:rPr>
        <w:t>at 2.</w:t>
      </w:r>
    </w:p>
  </w:footnote>
  <w:footnote w:id="9">
    <w:p w14:paraId="086ABB1F" w14:textId="29A58094" w:rsidR="00EB2A9E" w:rsidRPr="00EB2A9E" w:rsidRDefault="00EB2A9E">
      <w:pPr>
        <w:pStyle w:val="FootnoteText"/>
        <w:rPr>
          <w:lang w:val="en-ZW"/>
        </w:rPr>
      </w:pPr>
      <w:r>
        <w:rPr>
          <w:rStyle w:val="FootnoteReference"/>
        </w:rPr>
        <w:footnoteRef/>
      </w:r>
      <w:r>
        <w:t xml:space="preserve"> </w:t>
      </w:r>
      <w:r w:rsidRPr="00307F4A">
        <w:t>C.23</w:t>
      </w:r>
      <w:r w:rsidRPr="00307F4A">
        <w:noBreakHyphen/>
        <w:t>02</w:t>
      </w:r>
      <w:r w:rsidRPr="00307F4A">
        <w:noBreakHyphen/>
        <w:t xml:space="preserve">003 </w:t>
      </w:r>
      <w:r>
        <w:rPr>
          <w:lang w:val="en-ZW"/>
        </w:rPr>
        <w:t>at 2.</w:t>
      </w:r>
    </w:p>
  </w:footnote>
  <w:footnote w:id="10">
    <w:p w14:paraId="57F0CD30" w14:textId="1B0DC174" w:rsidR="007D7943" w:rsidRPr="007D7943" w:rsidRDefault="007D7943">
      <w:pPr>
        <w:pStyle w:val="FootnoteText"/>
        <w:rPr>
          <w:lang w:val="en-ZW"/>
        </w:rPr>
      </w:pPr>
      <w:r>
        <w:rPr>
          <w:rStyle w:val="FootnoteReference"/>
        </w:rPr>
        <w:footnoteRef/>
      </w:r>
      <w:r>
        <w:t xml:space="preserve"> </w:t>
      </w:r>
      <w:r>
        <w:rPr>
          <w:lang w:val="en-ZW"/>
        </w:rPr>
        <w:t>Answer at 3.</w:t>
      </w:r>
    </w:p>
  </w:footnote>
  <w:footnote w:id="11">
    <w:p w14:paraId="3FE8E955" w14:textId="795B9243" w:rsidR="00B601DA" w:rsidRPr="00B601DA" w:rsidRDefault="00B601DA">
      <w:pPr>
        <w:pStyle w:val="FootnoteText"/>
        <w:rPr>
          <w:lang w:val="en-ZW"/>
        </w:rPr>
      </w:pPr>
      <w:r>
        <w:rPr>
          <w:rStyle w:val="FootnoteReference"/>
        </w:rPr>
        <w:footnoteRef/>
      </w:r>
      <w:r>
        <w:t xml:space="preserve"> </w:t>
      </w:r>
      <w:r>
        <w:rPr>
          <w:lang w:val="en-ZW"/>
        </w:rPr>
        <w:t xml:space="preserve">Answer at </w:t>
      </w:r>
      <w:r w:rsidR="00474489">
        <w:rPr>
          <w:lang w:val="en-ZW"/>
        </w:rPr>
        <w:t>5</w:t>
      </w:r>
      <w:r w:rsidR="00D5038D">
        <w:rPr>
          <w:lang w:val="en-ZW"/>
        </w:rPr>
        <w:t xml:space="preserve"> (emphasis added);</w:t>
      </w:r>
      <w:r w:rsidR="00ED1792">
        <w:rPr>
          <w:lang w:val="en-ZW"/>
        </w:rPr>
        <w:t xml:space="preserve"> </w:t>
      </w:r>
      <w:r w:rsidR="00ED1792" w:rsidRPr="00586776">
        <w:rPr>
          <w:i/>
          <w:iCs/>
          <w:lang w:val="en-ZW"/>
        </w:rPr>
        <w:t>See also</w:t>
      </w:r>
      <w:r w:rsidR="00ED1792">
        <w:rPr>
          <w:lang w:val="en-ZW"/>
        </w:rPr>
        <w:t xml:space="preserve">, Answer at </w:t>
      </w:r>
      <w:r w:rsidR="00586776">
        <w:rPr>
          <w:lang w:val="en-ZW"/>
        </w:rPr>
        <w:t>6-7</w:t>
      </w:r>
      <w:r>
        <w:rPr>
          <w:lang w:val="en-ZW"/>
        </w:rPr>
        <w:t>.</w:t>
      </w:r>
    </w:p>
  </w:footnote>
  <w:footnote w:id="12">
    <w:p w14:paraId="2AEE7A37" w14:textId="648F54CC" w:rsidR="00505BB8" w:rsidRPr="00505BB8" w:rsidRDefault="00505BB8">
      <w:pPr>
        <w:pStyle w:val="FootnoteText"/>
        <w:rPr>
          <w:lang w:val="en-ZW"/>
        </w:rPr>
      </w:pPr>
      <w:r>
        <w:rPr>
          <w:rStyle w:val="FootnoteReference"/>
        </w:rPr>
        <w:footnoteRef/>
      </w:r>
      <w:r>
        <w:t xml:space="preserve"> </w:t>
      </w:r>
      <w:r>
        <w:rPr>
          <w:lang w:val="en-ZW"/>
        </w:rPr>
        <w:t xml:space="preserve">The Complaint appendices </w:t>
      </w:r>
      <w:r w:rsidR="00B35873">
        <w:rPr>
          <w:lang w:val="en-ZW"/>
        </w:rPr>
        <w:t xml:space="preserve">in the record </w:t>
      </w:r>
      <w:r w:rsidR="00E75202">
        <w:rPr>
          <w:lang w:val="en-ZW"/>
        </w:rPr>
        <w:t xml:space="preserve">state that </w:t>
      </w:r>
      <w:r w:rsidR="00E75202" w:rsidRPr="00307F4A">
        <w:t xml:space="preserve">Defendant </w:t>
      </w:r>
      <w:r w:rsidR="00E75202">
        <w:t>had previously attempted</w:t>
      </w:r>
      <w:r w:rsidR="00E75202" w:rsidRPr="00307F4A">
        <w:t xml:space="preserve"> to perform that work</w:t>
      </w:r>
      <w:r w:rsidR="00E75202">
        <w:t xml:space="preserve">, but was turned away by Complainant </w:t>
      </w:r>
      <w:r w:rsidR="00E90871">
        <w:t xml:space="preserve">at the </w:t>
      </w:r>
      <w:r w:rsidR="008D4472">
        <w:t>project</w:t>
      </w:r>
      <w:r w:rsidR="00E90871">
        <w:t xml:space="preserve"> location.</w:t>
      </w:r>
    </w:p>
  </w:footnote>
  <w:footnote w:id="13">
    <w:p w14:paraId="203B398C" w14:textId="3C185938" w:rsidR="00087EAD" w:rsidRPr="00C93100" w:rsidRDefault="00087EAD">
      <w:pPr>
        <w:pStyle w:val="FootnoteText"/>
        <w:rPr>
          <w:lang w:val="en-ZW"/>
        </w:rPr>
      </w:pPr>
      <w:r>
        <w:rPr>
          <w:rStyle w:val="FootnoteReference"/>
        </w:rPr>
        <w:footnoteRef/>
      </w:r>
      <w:r>
        <w:t xml:space="preserve"> To consider an Appeal and Response in this proceeding, the Commission issued D.26-04-014 on April 9, 2026, extending the statutory deadline for the proceeding to May 29, 2026.</w:t>
      </w:r>
    </w:p>
  </w:footnote>
  <w:footnote w:id="14">
    <w:p w14:paraId="6FD8C2BF" w14:textId="73928270" w:rsidR="00B71D85" w:rsidRPr="003C3442" w:rsidRDefault="00B71D85" w:rsidP="00B71D85">
      <w:pPr>
        <w:pStyle w:val="FootnoteText"/>
        <w:rPr>
          <w:szCs w:val="22"/>
        </w:rPr>
      </w:pPr>
      <w:r w:rsidRPr="003C3442">
        <w:rPr>
          <w:rStyle w:val="FootnoteReference"/>
          <w:szCs w:val="22"/>
        </w:rPr>
        <w:footnoteRef/>
      </w:r>
      <w:r w:rsidRPr="003C3442">
        <w:rPr>
          <w:szCs w:val="22"/>
        </w:rPr>
        <w:t xml:space="preserve"> Pub. Util. Code </w:t>
      </w:r>
      <w:r w:rsidR="009C329D">
        <w:rPr>
          <w:szCs w:val="22"/>
        </w:rPr>
        <w:t>Section</w:t>
      </w:r>
      <w:r w:rsidR="009C329D" w:rsidRPr="003C3442">
        <w:rPr>
          <w:szCs w:val="22"/>
        </w:rPr>
        <w:t xml:space="preserve"> </w:t>
      </w:r>
      <w:r w:rsidRPr="003C3442">
        <w:rPr>
          <w:szCs w:val="22"/>
        </w:rPr>
        <w:t>216(a).</w:t>
      </w:r>
    </w:p>
  </w:footnote>
  <w:footnote w:id="15">
    <w:p w14:paraId="21584B8A" w14:textId="77777777" w:rsidR="00883CA5" w:rsidRDefault="00883CA5" w:rsidP="00883CA5">
      <w:pPr>
        <w:pStyle w:val="FootnoteText"/>
      </w:pPr>
      <w:r>
        <w:rPr>
          <w:rStyle w:val="FootnoteReference"/>
        </w:rPr>
        <w:footnoteRef/>
      </w:r>
      <w:r>
        <w:t xml:space="preserve"> All Rules cited in this decision refer to the Commission’s Rules of Practice and Procedure, unless otherwise specified.</w:t>
      </w:r>
    </w:p>
  </w:footnote>
  <w:footnote w:id="16">
    <w:p w14:paraId="69B409B4" w14:textId="38469350" w:rsidR="00BF02DA" w:rsidRDefault="00BF02DA" w:rsidP="00BF02DA">
      <w:pPr>
        <w:pStyle w:val="FootnoteText"/>
      </w:pPr>
      <w:r>
        <w:rPr>
          <w:rStyle w:val="FootnoteReference"/>
        </w:rPr>
        <w:footnoteRef/>
      </w:r>
      <w:r>
        <w:t xml:space="preserve"> </w:t>
      </w:r>
      <w:r w:rsidR="004668E0" w:rsidRPr="004668E0">
        <w:rPr>
          <w:i/>
          <w:iCs/>
        </w:rPr>
        <w:t>See</w:t>
      </w:r>
      <w:r w:rsidR="004668E0">
        <w:t xml:space="preserve"> </w:t>
      </w:r>
      <w:r w:rsidRPr="00E43068">
        <w:rPr>
          <w:i/>
          <w:iCs/>
        </w:rPr>
        <w:t>In Complaint of Service-All-Tech, Inc. v. PT&amp;T Co.</w:t>
      </w:r>
      <w:r>
        <w:t xml:space="preserve"> (Cal. PUC, 1977) 83 CPUC 135, Decision </w:t>
      </w:r>
      <w:r w:rsidR="00277FF3">
        <w:t xml:space="preserve">(D.) </w:t>
      </w:r>
      <w:r>
        <w:t>No. 88223 (complaint relating to the disconnection of telephone service where the court found that complainant had the burden of proof and that complainant’s “failure to present any evidence present[ed] a total lack of meeting that burden”)</w:t>
      </w:r>
      <w:r w:rsidR="00277FF3">
        <w:t>;</w:t>
      </w:r>
      <w:r>
        <w:t xml:space="preserve"> </w:t>
      </w:r>
      <w:r w:rsidR="00277FF3">
        <w:rPr>
          <w:i/>
          <w:iCs/>
        </w:rPr>
        <w:t>s</w:t>
      </w:r>
      <w:r w:rsidRPr="00E43068">
        <w:rPr>
          <w:i/>
          <w:iCs/>
        </w:rPr>
        <w:t>ee also Pacific Bell Telephone Company, d/b/a AT&amp;T California vs. Fones4All Corporation</w:t>
      </w:r>
      <w:r>
        <w:t xml:space="preserve"> (Cal. PUC, 2008) D.08-04-043, 2008 Cal. PUC LEXIS 132.</w:t>
      </w:r>
    </w:p>
  </w:footnote>
  <w:footnote w:id="17">
    <w:p w14:paraId="5FAB5EFD" w14:textId="4258AC28" w:rsidR="00597C74" w:rsidRPr="00597C74" w:rsidRDefault="00597C74">
      <w:pPr>
        <w:pStyle w:val="FootnoteText"/>
        <w:rPr>
          <w:lang w:val="en-ZW"/>
        </w:rPr>
      </w:pPr>
      <w:r>
        <w:rPr>
          <w:rStyle w:val="FootnoteReference"/>
        </w:rPr>
        <w:footnoteRef/>
      </w:r>
      <w:r>
        <w:t xml:space="preserve"> </w:t>
      </w:r>
      <w:r w:rsidRPr="00597C74">
        <w:rPr>
          <w:i/>
          <w:iCs/>
          <w:lang w:val="en-ZW"/>
        </w:rPr>
        <w:t>See also</w:t>
      </w:r>
      <w:r>
        <w:rPr>
          <w:lang w:val="en-ZW"/>
        </w:rPr>
        <w:t xml:space="preserve"> </w:t>
      </w:r>
      <w:r>
        <w:t>Pub. Util. Code section 1702.</w:t>
      </w:r>
    </w:p>
  </w:footnote>
  <w:footnote w:id="18">
    <w:p w14:paraId="5B577BDC" w14:textId="77777777" w:rsidR="00E7109B" w:rsidRPr="00351C5E" w:rsidRDefault="00E7109B" w:rsidP="00E7109B">
      <w:pPr>
        <w:pStyle w:val="FootnoteText"/>
        <w:rPr>
          <w:szCs w:val="22"/>
        </w:rPr>
      </w:pPr>
      <w:r w:rsidRPr="00351C5E">
        <w:rPr>
          <w:szCs w:val="22"/>
          <w:vertAlign w:val="superscript"/>
        </w:rPr>
        <w:footnoteRef/>
      </w:r>
      <w:r w:rsidRPr="00351C5E">
        <w:rPr>
          <w:szCs w:val="22"/>
        </w:rPr>
        <w:t xml:space="preserve"> </w:t>
      </w:r>
      <w:r w:rsidRPr="003A6884">
        <w:t xml:space="preserve">D.18-01-002 at </w:t>
      </w:r>
      <w:r>
        <w:t>4 and n.20 [citing D.12-03-037 at 7].</w:t>
      </w:r>
    </w:p>
  </w:footnote>
  <w:footnote w:id="19">
    <w:p w14:paraId="463781A9" w14:textId="77777777" w:rsidR="00E7109B" w:rsidRPr="003A6884" w:rsidRDefault="00E7109B" w:rsidP="00E7109B">
      <w:pPr>
        <w:pStyle w:val="FootnoteText"/>
      </w:pPr>
      <w:r w:rsidRPr="003A6884">
        <w:rPr>
          <w:rStyle w:val="FootnoteReference"/>
        </w:rPr>
        <w:footnoteRef/>
      </w:r>
      <w:r w:rsidRPr="003A6884">
        <w:t xml:space="preserve"> D.18-01-002 at </w:t>
      </w:r>
      <w:r>
        <w:t>4 and n.18 [citing D.17-08-016 at 4].</w:t>
      </w:r>
    </w:p>
  </w:footnote>
  <w:footnote w:id="20">
    <w:p w14:paraId="0804A7A2" w14:textId="77777777" w:rsidR="005D6469" w:rsidRPr="0057058D" w:rsidRDefault="005D6469" w:rsidP="005D6469">
      <w:pPr>
        <w:pStyle w:val="FootnoteText"/>
        <w:rPr>
          <w:lang w:val="en-ZW"/>
        </w:rPr>
      </w:pPr>
      <w:r>
        <w:rPr>
          <w:rStyle w:val="FootnoteReference"/>
        </w:rPr>
        <w:footnoteRef/>
      </w:r>
      <w:r>
        <w:t xml:space="preserve"> </w:t>
      </w:r>
      <w:r w:rsidRPr="00C93100">
        <w:rPr>
          <w:i/>
          <w:iCs/>
          <w:color w:val="000000" w:themeColor="text1"/>
        </w:rPr>
        <w:t>See</w:t>
      </w:r>
      <w:r w:rsidRPr="001D3205">
        <w:rPr>
          <w:i/>
          <w:iCs/>
          <w:color w:val="000000" w:themeColor="text1"/>
        </w:rPr>
        <w:t xml:space="preserve"> Brandwein v. Butler</w:t>
      </w:r>
      <w:r w:rsidRPr="001D3205">
        <w:rPr>
          <w:color w:val="000000" w:themeColor="text1"/>
        </w:rPr>
        <w:t> (2013) </w:t>
      </w:r>
      <w:hyperlink r:id="rId1" w:history="1">
        <w:r w:rsidRPr="001D3205">
          <w:rPr>
            <w:rStyle w:val="Hyperlink"/>
            <w:color w:val="000000" w:themeColor="text1"/>
            <w:u w:val="none"/>
          </w:rPr>
          <w:t>218 Cal.App.4th 1485</w:t>
        </w:r>
      </w:hyperlink>
      <w:r w:rsidRPr="001D3205">
        <w:rPr>
          <w:color w:val="000000" w:themeColor="text1"/>
        </w:rPr>
        <w:t>, 1515 n.19, </w:t>
      </w:r>
      <w:hyperlink r:id="rId2" w:history="1">
        <w:r w:rsidRPr="001D3205">
          <w:rPr>
            <w:rStyle w:val="Hyperlink"/>
            <w:color w:val="000000" w:themeColor="text1"/>
            <w:u w:val="none"/>
          </w:rPr>
          <w:t>161 Cal.Rptr.3d 728</w:t>
        </w:r>
      </w:hyperlink>
      <w:r w:rsidRPr="001D3205">
        <w:rPr>
          <w:color w:val="000000" w:themeColor="text1"/>
        </w:rPr>
        <w:t xml:space="preserve"> [affirming order sustaining demurrer without leave to amend and relying on the factual allegations and omissions in the complaint, together with factual admissions in the trial court and in briefs]; </w:t>
      </w:r>
      <w:r w:rsidRPr="001D3205">
        <w:rPr>
          <w:i/>
          <w:iCs/>
          <w:color w:val="000000" w:themeColor="text1"/>
        </w:rPr>
        <w:t>Federer v. County of Sacramento</w:t>
      </w:r>
      <w:r w:rsidRPr="001D3205">
        <w:rPr>
          <w:color w:val="000000" w:themeColor="text1"/>
        </w:rPr>
        <w:t> (1983) </w:t>
      </w:r>
      <w:hyperlink r:id="rId3" w:anchor="p186" w:history="1">
        <w:r w:rsidRPr="001D3205">
          <w:rPr>
            <w:rStyle w:val="Hyperlink"/>
            <w:color w:val="000000" w:themeColor="text1"/>
            <w:u w:val="none"/>
          </w:rPr>
          <w:t>141 Cal.App.3d 184, 186</w:t>
        </w:r>
      </w:hyperlink>
      <w:r w:rsidRPr="001D3205">
        <w:rPr>
          <w:color w:val="000000" w:themeColor="text1"/>
        </w:rPr>
        <w:t>, </w:t>
      </w:r>
      <w:hyperlink r:id="rId4" w:history="1">
        <w:r w:rsidRPr="001D3205">
          <w:rPr>
            <w:rStyle w:val="Hyperlink"/>
            <w:color w:val="000000" w:themeColor="text1"/>
            <w:u w:val="none"/>
          </w:rPr>
          <w:t>190 Cal.Rptr. 187</w:t>
        </w:r>
      </w:hyperlink>
      <w:r w:rsidRPr="001D3205">
        <w:rPr>
          <w:color w:val="000000" w:themeColor="text1"/>
        </w:rPr>
        <w:t xml:space="preserve"> [admission in opening brief was “the equivalent of a concession”]; </w:t>
      </w:r>
      <w:r w:rsidRPr="001D3205">
        <w:rPr>
          <w:i/>
          <w:iCs/>
          <w:color w:val="000000" w:themeColor="text1"/>
        </w:rPr>
        <w:t>Ramona v. Superior Court</w:t>
      </w:r>
      <w:r w:rsidRPr="001D3205">
        <w:rPr>
          <w:color w:val="000000" w:themeColor="text1"/>
        </w:rPr>
        <w:t> (1997) </w:t>
      </w:r>
      <w:hyperlink r:id="rId5" w:anchor="p112" w:history="1">
        <w:r w:rsidRPr="001D3205">
          <w:rPr>
            <w:rStyle w:val="Hyperlink"/>
            <w:color w:val="000000" w:themeColor="text1"/>
            <w:u w:val="none"/>
          </w:rPr>
          <w:t>57 Cal.App.4th 107, 112</w:t>
        </w:r>
      </w:hyperlink>
      <w:r w:rsidRPr="001D3205">
        <w:rPr>
          <w:color w:val="000000" w:themeColor="text1"/>
        </w:rPr>
        <w:t>, fn. 6, </w:t>
      </w:r>
      <w:hyperlink r:id="rId6" w:history="1">
        <w:r w:rsidRPr="001D3205">
          <w:rPr>
            <w:rStyle w:val="Hyperlink"/>
            <w:color w:val="000000" w:themeColor="text1"/>
            <w:u w:val="none"/>
          </w:rPr>
          <w:t>66 Cal.Rptr.2d 766</w:t>
        </w:r>
      </w:hyperlink>
      <w:r w:rsidRPr="001D3205">
        <w:rPr>
          <w:color w:val="000000" w:themeColor="text1"/>
        </w:rPr>
        <w:t xml:space="preserve">) [concessions made by plaintiff's counsel during oral argument showed there was no basis for a cause of action]; </w:t>
      </w:r>
      <w:r w:rsidRPr="001D3205">
        <w:rPr>
          <w:i/>
          <w:iCs/>
          <w:color w:val="000000" w:themeColor="text1"/>
        </w:rPr>
        <w:t>Fassberg Construction Co. v. Housing Authority of City of Los Angeles </w:t>
      </w:r>
      <w:r w:rsidRPr="001D3205">
        <w:rPr>
          <w:color w:val="000000" w:themeColor="text1"/>
        </w:rPr>
        <w:t>(2007) </w:t>
      </w:r>
      <w:hyperlink r:id="rId7" w:anchor="p725" w:history="1">
        <w:r w:rsidRPr="001D3205">
          <w:rPr>
            <w:rStyle w:val="Hyperlink"/>
            <w:color w:val="000000" w:themeColor="text1"/>
            <w:u w:val="none"/>
          </w:rPr>
          <w:t>152 Cal.App.4th 720, 725</w:t>
        </w:r>
      </w:hyperlink>
      <w:r w:rsidRPr="001D3205">
        <w:rPr>
          <w:color w:val="000000" w:themeColor="text1"/>
        </w:rPr>
        <w:t>, </w:t>
      </w:r>
      <w:hyperlink r:id="rId8" w:history="1">
        <w:r w:rsidRPr="001D3205">
          <w:rPr>
            <w:rStyle w:val="Hyperlink"/>
            <w:color w:val="000000" w:themeColor="text1"/>
            <w:u w:val="none"/>
          </w:rPr>
          <w:t>60 Cal.Rptr.3d 375</w:t>
        </w:r>
      </w:hyperlink>
      <w:r w:rsidRPr="001D3205">
        <w:rPr>
          <w:color w:val="000000" w:themeColor="text1"/>
        </w:rPr>
        <w:t> [oral statement by counsel in action was binding judicial admission]</w:t>
      </w:r>
      <w:r>
        <w:rPr>
          <w:color w:val="000000" w:themeColor="text1"/>
        </w:rPr>
        <w:t xml:space="preserve">; </w:t>
      </w:r>
      <w:r w:rsidRPr="00E11E1B">
        <w:rPr>
          <w:i/>
          <w:iCs/>
        </w:rPr>
        <w:t>Lueras v. BAC Home Loans Servicing, LP</w:t>
      </w:r>
      <w:r>
        <w:rPr>
          <w:i/>
          <w:iCs/>
        </w:rPr>
        <w:t xml:space="preserve"> </w:t>
      </w:r>
      <w:r w:rsidRPr="00E11E1B">
        <w:t xml:space="preserve">(2013) 221 Cal.App.4th 49, </w:t>
      </w:r>
      <w:r w:rsidRPr="006A2F9A">
        <w:t xml:space="preserve">93 </w:t>
      </w:r>
      <w:r w:rsidRPr="006A2F9A">
        <w:rPr>
          <w:color w:val="212121"/>
          <w:shd w:val="clear" w:color="auto" w:fill="FFFFFF"/>
        </w:rPr>
        <w:t>(Thompson, J., concurring and dissenting)</w:t>
      </w:r>
      <w:r w:rsidRPr="006A2F9A">
        <w:t xml:space="preserve"> [“We accept the factual allegations of the verified first amended complaint as true</w:t>
      </w:r>
      <w:r>
        <w:t xml:space="preserve"> </w:t>
      </w:r>
      <w:r w:rsidRPr="006A2F9A">
        <w:t>. .</w:t>
      </w:r>
      <w:r>
        <w:t xml:space="preserve"> . </w:t>
      </w:r>
      <w:r w:rsidRPr="00E11E1B">
        <w:t xml:space="preserve">We also take into account briefs and arguments, which are </w:t>
      </w:r>
      <w:r>
        <w:t>‘</w:t>
      </w:r>
      <w:r w:rsidRPr="00E11E1B">
        <w:t>reliable indications of a party's position on the facts as well as the law, and a reviewing court may use statements in them as admissions against the party.</w:t>
      </w:r>
      <w:r>
        <w:t>’</w:t>
      </w:r>
      <w:r w:rsidRPr="00E11E1B">
        <w:t xml:space="preserve"> [Citations.]</w:t>
      </w:r>
      <w:r>
        <w:t xml:space="preserve"> . . . A</w:t>
      </w:r>
      <w:r w:rsidRPr="00E11E1B">
        <w:t xml:space="preserve">n express </w:t>
      </w:r>
      <w:r>
        <w:t xml:space="preserve">concession   </w:t>
      </w:r>
      <w:r w:rsidRPr="00E11E1B">
        <w:t>or assertion in a brief is frequently treated as an admission of a legal or factual point, controlling in the disposition</w:t>
      </w:r>
      <w:r>
        <w:t xml:space="preserve"> . . . .</w:t>
      </w:r>
      <w:r w:rsidRPr="00E11E1B">
        <w:t>”</w:t>
      </w:r>
      <w:r>
        <w:t>].</w:t>
      </w:r>
      <w:r>
        <w:rPr>
          <w:color w:val="212121"/>
          <w:shd w:val="clear" w:color="auto" w:fill="FFFFFF"/>
        </w:rPr>
        <w:t xml:space="preserve">  </w:t>
      </w:r>
      <w:r w:rsidRPr="0027267C">
        <w:rPr>
          <w:color w:val="212121"/>
          <w:shd w:val="clear" w:color="auto" w:fill="FFFFFF"/>
        </w:rPr>
        <w:t> </w:t>
      </w:r>
    </w:p>
  </w:footnote>
  <w:footnote w:id="21">
    <w:p w14:paraId="359F97FE" w14:textId="77777777" w:rsidR="005D6469" w:rsidRPr="000C702D" w:rsidRDefault="005D6469" w:rsidP="005D6469">
      <w:pPr>
        <w:pStyle w:val="FootnoteText"/>
      </w:pPr>
      <w:r w:rsidRPr="000C702D">
        <w:rPr>
          <w:rStyle w:val="FootnoteReference"/>
          <w:color w:val="000000" w:themeColor="text1"/>
        </w:rPr>
        <w:footnoteRef/>
      </w:r>
      <w:r w:rsidRPr="000C702D">
        <w:rPr>
          <w:color w:val="000000" w:themeColor="text1"/>
        </w:rPr>
        <w:t xml:space="preserve"> </w:t>
      </w:r>
      <w:r w:rsidRPr="000704CA">
        <w:rPr>
          <w:i/>
          <w:iCs/>
          <w:color w:val="000000" w:themeColor="text1"/>
        </w:rPr>
        <w:t>See, e.g.,</w:t>
      </w:r>
      <w:r w:rsidRPr="000C702D">
        <w:rPr>
          <w:color w:val="000000" w:themeColor="text1"/>
        </w:rPr>
        <w:t xml:space="preserve"> D.12-03-037 at 7 (quoting D.99-11-023).  </w:t>
      </w:r>
      <w:r w:rsidRPr="003C354B">
        <w:rPr>
          <w:i/>
          <w:iCs/>
          <w:color w:val="000000" w:themeColor="text1"/>
        </w:rPr>
        <w:t>See</w:t>
      </w:r>
      <w:r w:rsidRPr="000C702D">
        <w:rPr>
          <w:color w:val="000000" w:themeColor="text1"/>
        </w:rPr>
        <w:t xml:space="preserve"> also, </w:t>
      </w:r>
      <w:r w:rsidRPr="000C702D">
        <w:rPr>
          <w:i/>
          <w:iCs/>
          <w:color w:val="000000" w:themeColor="text1"/>
        </w:rPr>
        <w:t>Rodas v. Spiegel</w:t>
      </w:r>
      <w:r w:rsidRPr="000C702D">
        <w:rPr>
          <w:color w:val="000000" w:themeColor="text1"/>
        </w:rPr>
        <w:t> (2001) </w:t>
      </w:r>
      <w:hyperlink r:id="rId9" w:history="1">
        <w:r w:rsidRPr="000C702D">
          <w:rPr>
            <w:rStyle w:val="Hyperlink"/>
            <w:color w:val="000000" w:themeColor="text1"/>
            <w:u w:val="none"/>
          </w:rPr>
          <w:t>87 Cal.App.4th 513</w:t>
        </w:r>
      </w:hyperlink>
      <w:r w:rsidRPr="000C702D">
        <w:rPr>
          <w:color w:val="000000" w:themeColor="text1"/>
        </w:rPr>
        <w:t xml:space="preserve">, 518 [taking judicial notice of admissions in </w:t>
      </w:r>
      <w:r>
        <w:rPr>
          <w:color w:val="000000" w:themeColor="text1"/>
        </w:rPr>
        <w:t xml:space="preserve">demurrer </w:t>
      </w:r>
      <w:r w:rsidRPr="000C702D">
        <w:rPr>
          <w:color w:val="000000" w:themeColor="text1"/>
        </w:rPr>
        <w:t>opposition].</w:t>
      </w:r>
    </w:p>
  </w:footnote>
  <w:footnote w:id="22">
    <w:p w14:paraId="3CE14043" w14:textId="70565EAD" w:rsidR="00CF6850" w:rsidRPr="00CF6850" w:rsidRDefault="00CF6850">
      <w:pPr>
        <w:pStyle w:val="FootnoteText"/>
        <w:rPr>
          <w:lang w:val="en-ZW"/>
        </w:rPr>
      </w:pPr>
      <w:r>
        <w:rPr>
          <w:rStyle w:val="FootnoteReference"/>
        </w:rPr>
        <w:footnoteRef/>
      </w:r>
      <w:r>
        <w:t xml:space="preserve"> </w:t>
      </w:r>
      <w:r w:rsidR="00633B04">
        <w:rPr>
          <w:lang w:val="en-ZW"/>
        </w:rPr>
        <w:t>Defendant Reply at 1-2</w:t>
      </w:r>
      <w:r w:rsidR="001C6D2E">
        <w:rPr>
          <w:lang w:val="en-ZW"/>
        </w:rPr>
        <w:t xml:space="preserve"> (citing</w:t>
      </w:r>
      <w:r w:rsidR="001C6D2E" w:rsidRPr="001C6D2E">
        <w:t xml:space="preserve"> Public Utilities Code § 1702; </w:t>
      </w:r>
      <w:r w:rsidR="001C6D2E" w:rsidRPr="00A15817">
        <w:rPr>
          <w:i/>
          <w:iCs/>
        </w:rPr>
        <w:t>Scarberry v. PG&amp;E</w:t>
      </w:r>
      <w:r w:rsidR="001C6D2E" w:rsidRPr="001C6D2E">
        <w:t xml:space="preserve">, D.04-08-036 at 5 (denying complainant’s request for undergrounding and pole relocation and finding no violation of law or Commission rule or order); </w:t>
      </w:r>
      <w:r w:rsidR="001C6D2E" w:rsidRPr="00A15817">
        <w:rPr>
          <w:i/>
          <w:iCs/>
        </w:rPr>
        <w:t>Sweeney v. SDG&amp;E</w:t>
      </w:r>
      <w:r w:rsidR="001C6D2E" w:rsidRPr="001C6D2E">
        <w:t xml:space="preserve">, D.02-08-021 at 4-5 (finding that the complainant should pay for the cost to move the power pole where SDG&amp;E did not violate a law); </w:t>
      </w:r>
      <w:r w:rsidR="001C6D2E" w:rsidRPr="00A15817">
        <w:rPr>
          <w:i/>
          <w:iCs/>
        </w:rPr>
        <w:t>Reclamation District No. 2042 v. PG&amp;E</w:t>
      </w:r>
      <w:r w:rsidR="001C6D2E" w:rsidRPr="001C6D2E">
        <w:t>, D.01-07-010 at 17 (dismissing complaint seeking to have PG&amp;E pay for costs to relocate facilities for failure to show PG&amp;E violated any provision of law or any Commission rule or order).</w:t>
      </w:r>
    </w:p>
  </w:footnote>
  <w:footnote w:id="23">
    <w:p w14:paraId="7273C796" w14:textId="52FA0E1C" w:rsidR="000630B0" w:rsidRPr="000630B0" w:rsidRDefault="000630B0">
      <w:pPr>
        <w:pStyle w:val="FootnoteText"/>
        <w:rPr>
          <w:lang w:val="en-ZW"/>
        </w:rPr>
      </w:pPr>
      <w:r>
        <w:rPr>
          <w:rStyle w:val="FootnoteReference"/>
        </w:rPr>
        <w:footnoteRef/>
      </w:r>
      <w:r>
        <w:t xml:space="preserve"> </w:t>
      </w:r>
      <w:r w:rsidR="003F22EB" w:rsidRPr="003F22EB">
        <w:rPr>
          <w:i/>
          <w:iCs/>
        </w:rPr>
        <w:t>See</w:t>
      </w:r>
      <w:r w:rsidR="003F22EB">
        <w:t xml:space="preserve"> </w:t>
      </w:r>
      <w:r w:rsidR="00DF2119">
        <w:rPr>
          <w:lang w:val="en-ZW"/>
        </w:rPr>
        <w:t xml:space="preserve">Answer at </w:t>
      </w:r>
      <w:r w:rsidR="00D36F98">
        <w:rPr>
          <w:lang w:val="en-ZW"/>
        </w:rPr>
        <w:t>3, 5</w:t>
      </w:r>
      <w:r w:rsidR="00674AED">
        <w:rPr>
          <w:lang w:val="en-ZW"/>
        </w:rPr>
        <w:t xml:space="preserve">, 6-7, </w:t>
      </w:r>
      <w:r w:rsidR="003F22EB">
        <w:rPr>
          <w:lang w:val="en-ZW"/>
        </w:rPr>
        <w:t>9</w:t>
      </w:r>
      <w:r w:rsidR="00D36F98">
        <w:rPr>
          <w:lang w:val="en-ZW"/>
        </w:rPr>
        <w:t>.</w:t>
      </w:r>
    </w:p>
  </w:footnote>
  <w:footnote w:id="24">
    <w:p w14:paraId="37C947A4" w14:textId="23D92B92" w:rsidR="00D57823" w:rsidRPr="00D57823" w:rsidRDefault="00D57823">
      <w:pPr>
        <w:pStyle w:val="FootnoteText"/>
        <w:rPr>
          <w:lang w:val="en-ZW"/>
        </w:rPr>
      </w:pPr>
      <w:r>
        <w:rPr>
          <w:rStyle w:val="FootnoteReference"/>
        </w:rPr>
        <w:footnoteRef/>
      </w:r>
      <w:r>
        <w:t xml:space="preserve"> </w:t>
      </w:r>
      <w:r>
        <w:rPr>
          <w:lang w:val="en-ZW"/>
        </w:rPr>
        <w:t xml:space="preserve">Complainant Opp’n </w:t>
      </w:r>
      <w:r w:rsidR="00894B3F">
        <w:rPr>
          <w:lang w:val="en-ZW"/>
        </w:rPr>
        <w:t xml:space="preserve">at </w:t>
      </w:r>
      <w:r w:rsidR="009F6B97">
        <w:rPr>
          <w:lang w:val="en-ZW"/>
        </w:rPr>
        <w:t>4.</w:t>
      </w:r>
    </w:p>
  </w:footnote>
  <w:footnote w:id="25">
    <w:p w14:paraId="6C9654A6" w14:textId="01408268" w:rsidR="00906F4D" w:rsidRPr="00906F4D" w:rsidRDefault="00906F4D">
      <w:pPr>
        <w:pStyle w:val="FootnoteText"/>
        <w:rPr>
          <w:lang w:val="en-ZW"/>
        </w:rPr>
      </w:pPr>
      <w:r>
        <w:rPr>
          <w:rStyle w:val="FootnoteReference"/>
        </w:rPr>
        <w:footnoteRef/>
      </w:r>
      <w:r>
        <w:t xml:space="preserve"> </w:t>
      </w:r>
      <w:r w:rsidR="005C3618">
        <w:rPr>
          <w:lang w:val="en-ZW"/>
        </w:rPr>
        <w:t>Complainant Opp’n at 3.</w:t>
      </w:r>
    </w:p>
  </w:footnote>
  <w:footnote w:id="26">
    <w:p w14:paraId="2C4B8609" w14:textId="71D6753F" w:rsidR="00E31A4F" w:rsidRPr="00E31A4F" w:rsidRDefault="00E31A4F">
      <w:pPr>
        <w:pStyle w:val="FootnoteText"/>
        <w:rPr>
          <w:lang w:val="en-ZW"/>
        </w:rPr>
      </w:pPr>
      <w:r>
        <w:rPr>
          <w:rStyle w:val="FootnoteReference"/>
        </w:rPr>
        <w:footnoteRef/>
      </w:r>
      <w:r>
        <w:t xml:space="preserve"> </w:t>
      </w:r>
      <w:r>
        <w:rPr>
          <w:lang w:val="en-ZW"/>
        </w:rPr>
        <w:t>Complainant Opp’n at 3.</w:t>
      </w:r>
    </w:p>
  </w:footnote>
  <w:footnote w:id="27">
    <w:p w14:paraId="354D8A48" w14:textId="5A7AE8BD" w:rsidR="00A37785" w:rsidRPr="00A37785" w:rsidRDefault="00A37785">
      <w:pPr>
        <w:pStyle w:val="FootnoteText"/>
        <w:rPr>
          <w:lang w:val="en-ZW"/>
        </w:rPr>
      </w:pPr>
      <w:r>
        <w:rPr>
          <w:rStyle w:val="FootnoteReference"/>
        </w:rPr>
        <w:footnoteRef/>
      </w:r>
      <w:r>
        <w:t xml:space="preserve"> </w:t>
      </w:r>
      <w:r>
        <w:rPr>
          <w:lang w:val="en-ZW"/>
        </w:rPr>
        <w:t>Reply at 4.</w:t>
      </w:r>
    </w:p>
  </w:footnote>
  <w:footnote w:id="28">
    <w:p w14:paraId="4A20FC33" w14:textId="56A2FF4B" w:rsidR="007D0C47" w:rsidRPr="007D0C47" w:rsidRDefault="007D0C47">
      <w:pPr>
        <w:pStyle w:val="FootnoteText"/>
        <w:rPr>
          <w:lang w:val="en-ZW"/>
        </w:rPr>
      </w:pPr>
      <w:r>
        <w:rPr>
          <w:rStyle w:val="FootnoteReference"/>
        </w:rPr>
        <w:footnoteRef/>
      </w:r>
      <w:r>
        <w:t xml:space="preserve"> </w:t>
      </w:r>
      <w:r w:rsidRPr="007D0C47">
        <w:rPr>
          <w:i/>
          <w:iCs/>
          <w:lang w:val="en-ZW"/>
        </w:rPr>
        <w:t>See</w:t>
      </w:r>
      <w:r>
        <w:rPr>
          <w:lang w:val="en-ZW"/>
        </w:rPr>
        <w:t xml:space="preserve"> </w:t>
      </w:r>
      <w:r w:rsidRPr="00044FF1">
        <w:t>P</w:t>
      </w:r>
      <w:r>
        <w:t xml:space="preserve">ub. Res. Code </w:t>
      </w:r>
      <w:r w:rsidR="00424833">
        <w:t>S</w:t>
      </w:r>
      <w:r>
        <w:t xml:space="preserve">ection </w:t>
      </w:r>
      <w:r w:rsidRPr="00044FF1">
        <w:t>4293</w:t>
      </w:r>
      <w:r>
        <w:t>.</w:t>
      </w:r>
    </w:p>
  </w:footnote>
  <w:footnote w:id="29">
    <w:p w14:paraId="17F3C548" w14:textId="2D078157" w:rsidR="00B737A5" w:rsidRPr="00B737A5" w:rsidRDefault="00B737A5">
      <w:pPr>
        <w:pStyle w:val="FootnoteText"/>
        <w:rPr>
          <w:lang w:val="en-ZW"/>
        </w:rPr>
      </w:pPr>
      <w:r>
        <w:rPr>
          <w:rStyle w:val="FootnoteReference"/>
        </w:rPr>
        <w:footnoteRef/>
      </w:r>
      <w:r>
        <w:t xml:space="preserve"> Moreover, even if Complainant’s disputed power pole relocation somehow fall</w:t>
      </w:r>
      <w:r w:rsidR="00D3261B">
        <w:t>s</w:t>
      </w:r>
      <w:r>
        <w:t xml:space="preserve"> under wildfire risk regulation through S.B. 901 or A.B. 111, </w:t>
      </w:r>
      <w:r w:rsidR="004827D6">
        <w:t xml:space="preserve">the </w:t>
      </w:r>
      <w:r>
        <w:t xml:space="preserve">implementing rules and orders, and enforcement authority fall under the purview of the </w:t>
      </w:r>
      <w:r w:rsidRPr="000C0268">
        <w:t>California Natural Resources Agency</w:t>
      </w:r>
      <w:r>
        <w:t>, not the Commission. Therefore, to the extent Complainant’s citation of S.B. 901 and A.B. 111 is a</w:t>
      </w:r>
      <w:r w:rsidR="00A370A1">
        <w:t xml:space="preserve"> generalized, broad </w:t>
      </w:r>
      <w:r>
        <w:t>attempt to identify a violation of “</w:t>
      </w:r>
      <w:r w:rsidRPr="00072E71">
        <w:t xml:space="preserve">any </w:t>
      </w:r>
      <w:r>
        <w:t xml:space="preserve">order or rule </w:t>
      </w:r>
      <w:r w:rsidRPr="005B1832">
        <w:t>of the Commission,</w:t>
      </w:r>
      <w:r>
        <w:t>”</w:t>
      </w:r>
      <w:r w:rsidR="00D3261B">
        <w:t xml:space="preserve"> </w:t>
      </w:r>
      <w:r>
        <w:t xml:space="preserve">as required by Pub. Util. Code </w:t>
      </w:r>
      <w:r w:rsidR="00613FBB">
        <w:t>S</w:t>
      </w:r>
      <w:r>
        <w:t>ection 1702 and Commission Rule 4.1(a)(1), it must fail.</w:t>
      </w:r>
    </w:p>
  </w:footnote>
  <w:footnote w:id="30">
    <w:p w14:paraId="45D59C92" w14:textId="1B0B8BB3" w:rsidR="001478B6" w:rsidRPr="001478B6" w:rsidRDefault="001478B6">
      <w:pPr>
        <w:pStyle w:val="FootnoteText"/>
        <w:rPr>
          <w:lang w:val="en-ZW"/>
        </w:rPr>
      </w:pPr>
      <w:r>
        <w:rPr>
          <w:rStyle w:val="FootnoteReference"/>
        </w:rPr>
        <w:footnoteRef/>
      </w:r>
      <w:r>
        <w:t xml:space="preserve"> </w:t>
      </w:r>
      <w:r>
        <w:rPr>
          <w:lang w:val="en-ZW"/>
        </w:rPr>
        <w:t xml:space="preserve">Opposition at </w:t>
      </w:r>
      <w:r w:rsidR="001F1013">
        <w:rPr>
          <w:lang w:val="en-ZW"/>
        </w:rPr>
        <w:t>3 (</w:t>
      </w:r>
      <w:r w:rsidR="0050484F">
        <w:rPr>
          <w:lang w:val="en-ZW"/>
        </w:rPr>
        <w:t xml:space="preserve">Complainant stating </w:t>
      </w:r>
      <w:r w:rsidR="001F1013">
        <w:rPr>
          <w:lang w:val="en-ZW"/>
        </w:rPr>
        <w:t>“</w:t>
      </w:r>
      <w:r w:rsidR="001F1013" w:rsidRPr="001F1013">
        <w:t>Scoping Issue No. 3 pertains to whether any unresolved public health or safety issues remain in this proceeding. Both parties agree that no additional public health or safety issues exist beyond those encompassed in Scoping Issues Nos. 1 and 2. Therefore, Scoping Issue No. 3 does not require further adjudication by the Commission.</w:t>
      </w:r>
      <w:r w:rsidR="001F1013">
        <w:rPr>
          <w:lang w:val="en-ZW"/>
        </w:rPr>
        <w:t>”).</w:t>
      </w:r>
    </w:p>
  </w:footnote>
  <w:footnote w:id="31">
    <w:p w14:paraId="3A09F8B1" w14:textId="0965A8C4" w:rsidR="00CD423C" w:rsidRPr="00351C5E" w:rsidRDefault="00CD423C" w:rsidP="00CD423C">
      <w:pPr>
        <w:pStyle w:val="FootnoteText"/>
        <w:rPr>
          <w:szCs w:val="22"/>
        </w:rPr>
      </w:pPr>
      <w:r w:rsidRPr="00351C5E">
        <w:rPr>
          <w:szCs w:val="22"/>
          <w:vertAlign w:val="superscript"/>
        </w:rPr>
        <w:footnoteRef/>
      </w:r>
      <w:r w:rsidRPr="00351C5E">
        <w:rPr>
          <w:szCs w:val="22"/>
        </w:rPr>
        <w:t xml:space="preserve"> </w:t>
      </w:r>
      <w:r w:rsidRPr="003A6884">
        <w:t xml:space="preserve">D.18-01-002 at </w:t>
      </w:r>
      <w:r>
        <w:t xml:space="preserve">4 and n.20 </w:t>
      </w:r>
      <w:r w:rsidR="00182AF9">
        <w:t>(</w:t>
      </w:r>
      <w:r>
        <w:t>citing D.12-03-037 at 7</w:t>
      </w:r>
      <w:r w:rsidR="00182AF9">
        <w:t>)</w:t>
      </w:r>
      <w:r>
        <w:t>.</w:t>
      </w:r>
    </w:p>
  </w:footnote>
  <w:footnote w:id="32">
    <w:p w14:paraId="7929354F" w14:textId="77777777" w:rsidR="006B7A1B" w:rsidRPr="003A6884" w:rsidRDefault="006B7A1B" w:rsidP="006B7A1B">
      <w:pPr>
        <w:pStyle w:val="FootnoteText"/>
      </w:pPr>
      <w:r w:rsidRPr="003A6884">
        <w:rPr>
          <w:rStyle w:val="FootnoteReference"/>
        </w:rPr>
        <w:footnoteRef/>
      </w:r>
      <w:r w:rsidRPr="003A6884">
        <w:t xml:space="preserve"> D.18-01-002 at </w:t>
      </w:r>
      <w:r>
        <w:t>4 and n.18 [citing D.17-08-016 at 4].</w:t>
      </w:r>
    </w:p>
  </w:footnote>
  <w:footnote w:id="33">
    <w:p w14:paraId="4D23A594" w14:textId="77777777" w:rsidR="00A92FDE" w:rsidRPr="00590613" w:rsidRDefault="00A92FDE" w:rsidP="00A92FDE">
      <w:pPr>
        <w:pStyle w:val="FootnoteText"/>
        <w:rPr>
          <w:lang w:val="en-ZW"/>
        </w:rPr>
      </w:pPr>
      <w:r w:rsidRPr="00590613">
        <w:rPr>
          <w:rStyle w:val="FootnoteReference"/>
        </w:rPr>
        <w:footnoteRef/>
      </w:r>
      <w:r w:rsidRPr="00590613">
        <w:t xml:space="preserve"> </w:t>
      </w:r>
      <w:r w:rsidRPr="00590613">
        <w:rPr>
          <w:lang w:val="en-ZW"/>
        </w:rPr>
        <w:t>Appeal at 3.</w:t>
      </w:r>
    </w:p>
  </w:footnote>
  <w:footnote w:id="34">
    <w:p w14:paraId="6B9400F5" w14:textId="77777777" w:rsidR="00A92FDE" w:rsidRPr="00590613" w:rsidRDefault="00A92FDE" w:rsidP="00A92FDE">
      <w:pPr>
        <w:pStyle w:val="FootnoteText"/>
        <w:rPr>
          <w:lang w:val="en-ZW"/>
        </w:rPr>
      </w:pPr>
      <w:r w:rsidRPr="00590613">
        <w:rPr>
          <w:rStyle w:val="FootnoteReference"/>
        </w:rPr>
        <w:footnoteRef/>
      </w:r>
      <w:r w:rsidRPr="00590613">
        <w:t xml:space="preserve"> </w:t>
      </w:r>
      <w:r w:rsidRPr="00590613">
        <w:rPr>
          <w:lang w:val="en-ZW"/>
        </w:rPr>
        <w:t>Appeal at 2-3 and 4-5.</w:t>
      </w:r>
    </w:p>
  </w:footnote>
  <w:footnote w:id="35">
    <w:p w14:paraId="0150099F" w14:textId="46E148E7" w:rsidR="00800A53" w:rsidRPr="00C93100" w:rsidRDefault="00800A53">
      <w:pPr>
        <w:pStyle w:val="FootnoteText"/>
        <w:rPr>
          <w:lang w:val="en-ZW"/>
        </w:rPr>
      </w:pPr>
      <w:r>
        <w:rPr>
          <w:rStyle w:val="FootnoteReference"/>
        </w:rPr>
        <w:footnoteRef/>
      </w:r>
      <w:r>
        <w:t xml:space="preserve"> </w:t>
      </w:r>
      <w:r w:rsidRPr="00C93100">
        <w:rPr>
          <w:i/>
          <w:iCs/>
        </w:rPr>
        <w:t>See</w:t>
      </w:r>
      <w:r>
        <w:t xml:space="preserve"> </w:t>
      </w:r>
      <w:r>
        <w:rPr>
          <w:lang w:val="en-ZW"/>
        </w:rPr>
        <w:t>Response at 6.</w:t>
      </w:r>
    </w:p>
  </w:footnote>
  <w:footnote w:id="36">
    <w:p w14:paraId="77469E14" w14:textId="721E6E3F" w:rsidR="00203242" w:rsidRPr="00C93100" w:rsidRDefault="00203242">
      <w:pPr>
        <w:pStyle w:val="FootnoteText"/>
        <w:rPr>
          <w:lang w:val="en-ZW"/>
        </w:rPr>
      </w:pPr>
      <w:r>
        <w:rPr>
          <w:rStyle w:val="FootnoteReference"/>
        </w:rPr>
        <w:footnoteRef/>
      </w:r>
      <w:r>
        <w:t xml:space="preserve"> </w:t>
      </w:r>
      <w:r w:rsidRPr="00B96501">
        <w:rPr>
          <w:rFonts w:eastAsia="Calibri" w:cs="Times New Roman"/>
        </w:rPr>
        <w:t>June 17, 2024</w:t>
      </w:r>
      <w:r>
        <w:rPr>
          <w:rFonts w:eastAsia="Calibri" w:cs="Times New Roman"/>
        </w:rPr>
        <w:t xml:space="preserve"> </w:t>
      </w:r>
      <w:r w:rsidR="000500CE">
        <w:rPr>
          <w:rFonts w:eastAsia="Calibri" w:cs="Times New Roman"/>
        </w:rPr>
        <w:t>J</w:t>
      </w:r>
      <w:r>
        <w:rPr>
          <w:rFonts w:eastAsia="Calibri" w:cs="Times New Roman"/>
        </w:rPr>
        <w:t xml:space="preserve">oint </w:t>
      </w:r>
      <w:r w:rsidR="000500CE">
        <w:rPr>
          <w:rFonts w:eastAsia="Calibri" w:cs="Times New Roman"/>
        </w:rPr>
        <w:t>S</w:t>
      </w:r>
      <w:r>
        <w:rPr>
          <w:rFonts w:eastAsia="Calibri" w:cs="Times New Roman"/>
        </w:rPr>
        <w:t xml:space="preserve">tatus </w:t>
      </w:r>
      <w:r w:rsidR="000500CE">
        <w:rPr>
          <w:rFonts w:eastAsia="Calibri" w:cs="Times New Roman"/>
        </w:rPr>
        <w:t>R</w:t>
      </w:r>
      <w:r>
        <w:rPr>
          <w:rFonts w:eastAsia="Calibri" w:cs="Times New Roman"/>
        </w:rPr>
        <w:t>eport</w:t>
      </w:r>
      <w:r w:rsidR="000500CE">
        <w:rPr>
          <w:rFonts w:eastAsia="Calibri" w:cs="Times New Roman"/>
        </w:rPr>
        <w:t xml:space="preserve"> at 1-2</w:t>
      </w:r>
      <w:r w:rsidR="00F65548">
        <w:rPr>
          <w:rFonts w:eastAsia="Calibri" w:cs="Times New Roman"/>
        </w:rPr>
        <w:t xml:space="preserve"> (emphasis added)</w:t>
      </w:r>
      <w:r w:rsidR="000500CE">
        <w:rPr>
          <w:rFonts w:eastAsia="Calibri" w:cs="Times New Roman"/>
        </w:rPr>
        <w:t>.</w:t>
      </w:r>
    </w:p>
  </w:footnote>
  <w:footnote w:id="37">
    <w:p w14:paraId="0194C567" w14:textId="3BC93AD4" w:rsidR="005F1EAC" w:rsidRPr="00C93100" w:rsidRDefault="005F1EAC">
      <w:pPr>
        <w:pStyle w:val="FootnoteText"/>
        <w:rPr>
          <w:lang w:val="en-ZW"/>
        </w:rPr>
      </w:pPr>
      <w:r>
        <w:rPr>
          <w:rStyle w:val="FootnoteReference"/>
        </w:rPr>
        <w:footnoteRef/>
      </w:r>
      <w:r>
        <w:t xml:space="preserve"> </w:t>
      </w:r>
      <w:r w:rsidRPr="00A34C51">
        <w:rPr>
          <w:i/>
          <w:iCs/>
        </w:rPr>
        <w:t>See</w:t>
      </w:r>
      <w:r>
        <w:t xml:space="preserve"> </w:t>
      </w:r>
      <w:r>
        <w:rPr>
          <w:lang w:val="en-ZW"/>
        </w:rPr>
        <w:t>Response at 6-7</w:t>
      </w:r>
      <w:r w:rsidR="00FC50F7">
        <w:rPr>
          <w:lang w:val="en-ZW"/>
        </w:rPr>
        <w:t xml:space="preserve"> (emphasis added)</w:t>
      </w:r>
      <w:r>
        <w:rPr>
          <w:lang w:val="en-ZW"/>
        </w:rPr>
        <w:t>.</w:t>
      </w:r>
      <w:r w:rsidR="00082EDA">
        <w:rPr>
          <w:lang w:val="en-ZW"/>
        </w:rPr>
        <w:t xml:space="preserve"> Defendant </w:t>
      </w:r>
      <w:r w:rsidR="00955455">
        <w:rPr>
          <w:lang w:val="en-ZW"/>
        </w:rPr>
        <w:t>quotes Complainant’s Motion Opposition at 3 (stating</w:t>
      </w:r>
      <w:bookmarkStart w:id="28" w:name="_bookmark6"/>
      <w:bookmarkStart w:id="29" w:name="_bookmark5"/>
      <w:bookmarkStart w:id="30" w:name="_bookmark4"/>
      <w:bookmarkStart w:id="31" w:name="_bookmark3"/>
      <w:bookmarkStart w:id="32" w:name="_bookmark2"/>
      <w:bookmarkStart w:id="33" w:name="_bookmark1"/>
      <w:bookmarkStart w:id="34" w:name="_bookmark0"/>
      <w:bookmarkEnd w:id="28"/>
      <w:bookmarkEnd w:id="29"/>
      <w:bookmarkEnd w:id="30"/>
      <w:bookmarkEnd w:id="31"/>
      <w:bookmarkEnd w:id="32"/>
      <w:bookmarkEnd w:id="33"/>
      <w:bookmarkEnd w:id="34"/>
      <w:r w:rsidR="00955455" w:rsidRPr="00955455">
        <w:t xml:space="preserve"> “Scoping Issue No. 3 pertains to whether any unresolved public health or safety issues remain in this proceeding. Both parties agree that no additional public health or safety issues exist beyond those encompassed in Scoping Issues Nos. 1 and 2. Therefore, Scoping Issue</w:t>
      </w:r>
      <w:r w:rsidR="00873060">
        <w:t xml:space="preserve"> </w:t>
      </w:r>
      <w:r w:rsidR="00955455" w:rsidRPr="00955455">
        <w:t>No. 3 does not require further adjudication by the Commission.”).</w:t>
      </w:r>
    </w:p>
  </w:footnote>
  <w:footnote w:id="38">
    <w:p w14:paraId="180548FD" w14:textId="69E27E7F" w:rsidR="004E4B15" w:rsidRPr="00C93100" w:rsidRDefault="004E4B15">
      <w:pPr>
        <w:pStyle w:val="FootnoteText"/>
        <w:rPr>
          <w:lang w:val="en-ZW"/>
        </w:rPr>
      </w:pPr>
      <w:r>
        <w:rPr>
          <w:rStyle w:val="FootnoteReference"/>
        </w:rPr>
        <w:footnoteRef/>
      </w:r>
      <w:r>
        <w:t xml:space="preserve"> </w:t>
      </w:r>
      <w:r w:rsidR="00473BBF">
        <w:rPr>
          <w:lang w:val="en-ZW"/>
        </w:rPr>
        <w:t>Response at 7</w:t>
      </w:r>
      <w:r w:rsidR="00F71C07">
        <w:rPr>
          <w:lang w:val="en-ZW"/>
        </w:rPr>
        <w:t xml:space="preserve"> (citing Decision at 6, 9, 17).</w:t>
      </w:r>
    </w:p>
  </w:footnote>
  <w:footnote w:id="39">
    <w:p w14:paraId="15DEBC52" w14:textId="77777777" w:rsidR="00A92FDE" w:rsidRPr="00590613" w:rsidRDefault="00A92FDE" w:rsidP="00A92FDE">
      <w:pPr>
        <w:pStyle w:val="FootnoteText"/>
        <w:rPr>
          <w:lang w:val="en-ZW"/>
        </w:rPr>
      </w:pPr>
      <w:r w:rsidRPr="00590613">
        <w:rPr>
          <w:rStyle w:val="FootnoteReference"/>
        </w:rPr>
        <w:footnoteRef/>
      </w:r>
      <w:r w:rsidRPr="00590613">
        <w:t xml:space="preserve"> </w:t>
      </w:r>
      <w:r w:rsidRPr="00590613">
        <w:rPr>
          <w:lang w:val="en-ZW"/>
        </w:rPr>
        <w:t>Appeal at 4.</w:t>
      </w:r>
    </w:p>
  </w:footnote>
  <w:footnote w:id="40">
    <w:p w14:paraId="253310A6" w14:textId="20A23802" w:rsidR="00BD4534" w:rsidRPr="00C93100" w:rsidRDefault="00BD4534">
      <w:pPr>
        <w:pStyle w:val="FootnoteText"/>
        <w:rPr>
          <w:lang w:val="en-ZW"/>
        </w:rPr>
      </w:pPr>
      <w:r>
        <w:rPr>
          <w:rStyle w:val="FootnoteReference"/>
        </w:rPr>
        <w:footnoteRef/>
      </w:r>
      <w:r>
        <w:t xml:space="preserve"> </w:t>
      </w:r>
      <w:r>
        <w:rPr>
          <w:lang w:val="en-ZW"/>
        </w:rPr>
        <w:t xml:space="preserve">Response at </w:t>
      </w:r>
      <w:r w:rsidR="005D1DB8">
        <w:rPr>
          <w:lang w:val="en-ZW"/>
        </w:rPr>
        <w:t>8.</w:t>
      </w:r>
    </w:p>
  </w:footnote>
  <w:footnote w:id="41">
    <w:p w14:paraId="35A693F8" w14:textId="22A65CC4" w:rsidR="004753DB" w:rsidRPr="00C93100" w:rsidRDefault="004753DB">
      <w:pPr>
        <w:pStyle w:val="FootnoteText"/>
        <w:rPr>
          <w:lang w:val="en-ZW"/>
        </w:rPr>
      </w:pPr>
      <w:r>
        <w:rPr>
          <w:rStyle w:val="FootnoteReference"/>
        </w:rPr>
        <w:footnoteRef/>
      </w:r>
      <w:r>
        <w:t xml:space="preserve"> </w:t>
      </w:r>
      <w:r>
        <w:rPr>
          <w:lang w:val="en-ZW"/>
        </w:rPr>
        <w:t>Response at 8.</w:t>
      </w:r>
    </w:p>
  </w:footnote>
  <w:footnote w:id="42">
    <w:p w14:paraId="3F3A5B27" w14:textId="3EF76B67" w:rsidR="00D64B0C" w:rsidRPr="00AB0F77" w:rsidRDefault="00D64B0C">
      <w:pPr>
        <w:pStyle w:val="FootnoteText"/>
        <w:rPr>
          <w:lang w:val="en-ZW"/>
        </w:rPr>
      </w:pPr>
      <w:r>
        <w:rPr>
          <w:rStyle w:val="FootnoteReference"/>
        </w:rPr>
        <w:footnoteRef/>
      </w:r>
      <w:r>
        <w:t xml:space="preserve"> </w:t>
      </w:r>
      <w:r w:rsidRPr="00D64B0C">
        <w:t>Moreover, taken together, resolution of Issue Nos. 1 and 3 show that the Parties represented no unresolved public health or safety issues remained from Issue No. 1.</w:t>
      </w:r>
    </w:p>
  </w:footnote>
  <w:footnote w:id="43">
    <w:p w14:paraId="1CEB522F" w14:textId="77777777" w:rsidR="00A92FDE" w:rsidRPr="00590613" w:rsidRDefault="00A92FDE" w:rsidP="00A92FDE">
      <w:pPr>
        <w:pStyle w:val="FootnoteText"/>
        <w:rPr>
          <w:lang w:val="en-ZW"/>
        </w:rPr>
      </w:pPr>
      <w:r w:rsidRPr="00590613">
        <w:rPr>
          <w:rStyle w:val="FootnoteReference"/>
        </w:rPr>
        <w:footnoteRef/>
      </w:r>
      <w:r w:rsidRPr="00590613">
        <w:t xml:space="preserve"> </w:t>
      </w:r>
      <w:r w:rsidRPr="00590613">
        <w:rPr>
          <w:lang w:val="en-ZW"/>
        </w:rPr>
        <w:t>Appeal at 3-4.</w:t>
      </w:r>
    </w:p>
  </w:footnote>
  <w:footnote w:id="44">
    <w:p w14:paraId="0ABC97FD" w14:textId="77777777" w:rsidR="00A92FDE" w:rsidRPr="00590613" w:rsidRDefault="00A92FDE" w:rsidP="00A92FDE">
      <w:pPr>
        <w:pStyle w:val="FootnoteText"/>
        <w:rPr>
          <w:lang w:val="en-ZW"/>
        </w:rPr>
      </w:pPr>
      <w:r w:rsidRPr="00590613">
        <w:rPr>
          <w:rStyle w:val="FootnoteReference"/>
        </w:rPr>
        <w:footnoteRef/>
      </w:r>
      <w:r w:rsidRPr="00590613">
        <w:t xml:space="preserve"> </w:t>
      </w:r>
      <w:r w:rsidRPr="00590613">
        <w:rPr>
          <w:lang w:val="en-ZW"/>
        </w:rPr>
        <w:t>Appeal at 4.</w:t>
      </w:r>
    </w:p>
  </w:footnote>
  <w:footnote w:id="45">
    <w:p w14:paraId="7E6E3044" w14:textId="356624A4" w:rsidR="0012691C" w:rsidRPr="00C93100" w:rsidRDefault="0012691C">
      <w:pPr>
        <w:pStyle w:val="FootnoteText"/>
        <w:rPr>
          <w:lang w:val="en-ZW"/>
        </w:rPr>
      </w:pPr>
      <w:r>
        <w:rPr>
          <w:rStyle w:val="FootnoteReference"/>
        </w:rPr>
        <w:footnoteRef/>
      </w:r>
      <w:r>
        <w:t xml:space="preserve"> </w:t>
      </w:r>
      <w:r w:rsidRPr="00C93100">
        <w:rPr>
          <w:i/>
          <w:iCs/>
        </w:rPr>
        <w:t>See</w:t>
      </w:r>
      <w:r>
        <w:t xml:space="preserve"> </w:t>
      </w:r>
      <w:r>
        <w:rPr>
          <w:lang w:val="en-ZW"/>
        </w:rPr>
        <w:t xml:space="preserve">Response at </w:t>
      </w:r>
      <w:r w:rsidR="007B78C6">
        <w:rPr>
          <w:lang w:val="en-ZW"/>
        </w:rPr>
        <w:t>9</w:t>
      </w:r>
      <w:r w:rsidR="008456D0">
        <w:rPr>
          <w:lang w:val="en-ZW"/>
        </w:rPr>
        <w:t>.</w:t>
      </w:r>
    </w:p>
  </w:footnote>
  <w:footnote w:id="46">
    <w:p w14:paraId="28BCB6C3" w14:textId="77777777" w:rsidR="009332E4" w:rsidRPr="00A34C51" w:rsidRDefault="009332E4" w:rsidP="009332E4">
      <w:pPr>
        <w:pStyle w:val="FootnoteText"/>
        <w:rPr>
          <w:lang w:val="en-ZW"/>
        </w:rPr>
      </w:pPr>
      <w:r>
        <w:rPr>
          <w:rStyle w:val="FootnoteReference"/>
        </w:rPr>
        <w:footnoteRef/>
      </w:r>
      <w:r>
        <w:t xml:space="preserve"> </w:t>
      </w:r>
      <w:r>
        <w:rPr>
          <w:lang w:val="en-ZW"/>
        </w:rPr>
        <w:t>Response at 7 (citing Decision at 18).</w:t>
      </w:r>
    </w:p>
  </w:footnote>
  <w:footnote w:id="47">
    <w:p w14:paraId="6ABC1A33" w14:textId="77777777" w:rsidR="009332E4" w:rsidRPr="00A34C51" w:rsidRDefault="009332E4" w:rsidP="009332E4">
      <w:pPr>
        <w:pStyle w:val="FootnoteText"/>
        <w:rPr>
          <w:lang w:val="en-ZW"/>
        </w:rPr>
      </w:pPr>
      <w:r>
        <w:rPr>
          <w:rStyle w:val="FootnoteReference"/>
        </w:rPr>
        <w:footnoteRef/>
      </w:r>
      <w:r>
        <w:t xml:space="preserve"> </w:t>
      </w:r>
      <w:r>
        <w:rPr>
          <w:lang w:val="en-ZW"/>
        </w:rPr>
        <w:t>Response at 7 (citing Decision at 14-16).</w:t>
      </w:r>
    </w:p>
  </w:footnote>
  <w:footnote w:id="48">
    <w:p w14:paraId="4D45FBAE" w14:textId="77777777" w:rsidR="009332E4" w:rsidRPr="00A34C51" w:rsidRDefault="009332E4" w:rsidP="009332E4">
      <w:pPr>
        <w:pStyle w:val="FootnoteText"/>
        <w:rPr>
          <w:lang w:val="en-ZW"/>
        </w:rPr>
      </w:pPr>
      <w:r>
        <w:rPr>
          <w:rStyle w:val="FootnoteReference"/>
        </w:rPr>
        <w:footnoteRef/>
      </w:r>
      <w:r>
        <w:t xml:space="preserve"> </w:t>
      </w:r>
      <w:r>
        <w:rPr>
          <w:lang w:val="en-ZW"/>
        </w:rPr>
        <w:t>Response at 7 (citing Decision at 17).</w:t>
      </w:r>
    </w:p>
  </w:footnote>
  <w:footnote w:id="49">
    <w:p w14:paraId="001F8042" w14:textId="77777777" w:rsidR="00A92FDE" w:rsidRPr="00590613" w:rsidRDefault="00A92FDE" w:rsidP="00A92FDE">
      <w:pPr>
        <w:pStyle w:val="FootnoteText"/>
        <w:rPr>
          <w:lang w:val="en-ZW"/>
        </w:rPr>
      </w:pPr>
      <w:r w:rsidRPr="00590613">
        <w:rPr>
          <w:rStyle w:val="FootnoteReference"/>
        </w:rPr>
        <w:footnoteRef/>
      </w:r>
      <w:r w:rsidRPr="00590613">
        <w:t xml:space="preserve"> </w:t>
      </w:r>
      <w:r w:rsidRPr="00590613">
        <w:rPr>
          <w:lang w:val="en-ZW"/>
        </w:rPr>
        <w:t>Appeal at 5.</w:t>
      </w:r>
    </w:p>
  </w:footnote>
  <w:footnote w:id="50">
    <w:p w14:paraId="76F1D741" w14:textId="2E93EB33" w:rsidR="005A6065" w:rsidRPr="00C93100" w:rsidRDefault="005A6065">
      <w:pPr>
        <w:pStyle w:val="FootnoteText"/>
        <w:rPr>
          <w:lang w:val="en-ZW"/>
        </w:rPr>
      </w:pPr>
      <w:r>
        <w:rPr>
          <w:rStyle w:val="FootnoteReference"/>
        </w:rPr>
        <w:footnoteRef/>
      </w:r>
      <w:r>
        <w:t xml:space="preserve"> </w:t>
      </w:r>
      <w:r w:rsidR="003B1651">
        <w:rPr>
          <w:lang w:val="en-ZW"/>
        </w:rPr>
        <w:t>Appeal at 5.</w:t>
      </w:r>
    </w:p>
  </w:footnote>
  <w:footnote w:id="51">
    <w:p w14:paraId="14D000AD" w14:textId="128C177C" w:rsidR="0033477B" w:rsidRPr="00C93100" w:rsidRDefault="0033477B">
      <w:pPr>
        <w:pStyle w:val="FootnoteText"/>
        <w:rPr>
          <w:lang w:val="en-ZW"/>
        </w:rPr>
      </w:pPr>
      <w:r>
        <w:rPr>
          <w:rStyle w:val="FootnoteReference"/>
        </w:rPr>
        <w:footnoteRef/>
      </w:r>
      <w:r>
        <w:t xml:space="preserve"> </w:t>
      </w:r>
      <w:r w:rsidR="00920B99" w:rsidRPr="00C93100">
        <w:rPr>
          <w:i/>
          <w:iCs/>
        </w:rPr>
        <w:t>See</w:t>
      </w:r>
      <w:r w:rsidR="00920B99">
        <w:t xml:space="preserve"> </w:t>
      </w:r>
      <w:r>
        <w:rPr>
          <w:lang w:val="en-ZW"/>
        </w:rPr>
        <w:t xml:space="preserve">Response at 10 (citing </w:t>
      </w:r>
      <w:r w:rsidR="007C16BE">
        <w:rPr>
          <w:rFonts w:eastAsia="Calibri" w:cs="Times New Roman"/>
        </w:rPr>
        <w:t xml:space="preserve">Pub. Util. Code Section 1702 </w:t>
      </w:r>
      <w:r w:rsidR="008A592C">
        <w:rPr>
          <w:rFonts w:eastAsia="Calibri" w:cs="Times New Roman"/>
        </w:rPr>
        <w:t xml:space="preserve">and </w:t>
      </w:r>
      <w:r w:rsidR="008A592C" w:rsidRPr="008A592C">
        <w:rPr>
          <w:rFonts w:eastAsia="Calibri" w:cs="Times New Roman"/>
        </w:rPr>
        <w:t>Rule 4.2</w:t>
      </w:r>
      <w:r w:rsidR="008A592C">
        <w:rPr>
          <w:rFonts w:eastAsia="Calibri" w:cs="Times New Roman"/>
        </w:rPr>
        <w:t xml:space="preserve">, </w:t>
      </w:r>
      <w:r w:rsidR="008A592C" w:rsidRPr="008A592C">
        <w:rPr>
          <w:rFonts w:eastAsia="Calibri" w:cs="Times New Roman"/>
        </w:rPr>
        <w:t>requiring the complaint</w:t>
      </w:r>
      <w:r w:rsidR="00B17099">
        <w:rPr>
          <w:rFonts w:eastAsia="Calibri" w:cs="Times New Roman"/>
        </w:rPr>
        <w:t xml:space="preserve"> </w:t>
      </w:r>
      <w:r w:rsidR="008A592C" w:rsidRPr="008A592C">
        <w:rPr>
          <w:rFonts w:eastAsia="Calibri" w:cs="Times New Roman"/>
        </w:rPr>
        <w:t>to “be so drawn as to completely advise the defendant and the Commission of the facts constituting the</w:t>
      </w:r>
      <w:r w:rsidR="008A592C">
        <w:rPr>
          <w:rFonts w:eastAsia="Calibri" w:cs="Times New Roman"/>
        </w:rPr>
        <w:t xml:space="preserve"> </w:t>
      </w:r>
      <w:r w:rsidR="008A592C" w:rsidRPr="008A592C">
        <w:rPr>
          <w:rFonts w:eastAsia="Calibri" w:cs="Times New Roman"/>
        </w:rPr>
        <w:t>grounds of the complaint, the injury complained of, and the exact relief which is desired”)</w:t>
      </w:r>
      <w:r w:rsidR="00B17099">
        <w:rPr>
          <w:rFonts w:eastAsia="Calibri" w:cs="Times New Roman"/>
        </w:rPr>
        <w:t>.</w:t>
      </w:r>
    </w:p>
  </w:footnote>
  <w:footnote w:id="52">
    <w:p w14:paraId="3B2EB670" w14:textId="1A576507" w:rsidR="00920B99" w:rsidRPr="00C93100" w:rsidRDefault="00920B99">
      <w:pPr>
        <w:pStyle w:val="FootnoteText"/>
        <w:rPr>
          <w:lang w:val="en-ZW"/>
        </w:rPr>
      </w:pPr>
      <w:r>
        <w:rPr>
          <w:rStyle w:val="FootnoteReference"/>
        </w:rPr>
        <w:footnoteRef/>
      </w:r>
      <w:r>
        <w:t xml:space="preserve"> </w:t>
      </w:r>
      <w:r w:rsidRPr="00C93100">
        <w:rPr>
          <w:i/>
          <w:iCs/>
        </w:rPr>
        <w:t>See</w:t>
      </w:r>
      <w:r>
        <w:t xml:space="preserve"> </w:t>
      </w:r>
      <w:r>
        <w:rPr>
          <w:lang w:val="en-ZW"/>
        </w:rPr>
        <w:t>Response at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524D" w14:textId="77777777" w:rsidR="006578A1" w:rsidRDefault="006578A1" w:rsidP="00F92385">
    <w:pPr>
      <w:pStyle w:val="Header"/>
      <w:ind w:firstLine="0"/>
      <w:rPr>
        <w:i/>
        <w:color w:val="FF0000"/>
      </w:rPr>
    </w:pPr>
  </w:p>
  <w:p w14:paraId="27122160" w14:textId="77777777" w:rsidR="006578A1" w:rsidRPr="00F92385" w:rsidRDefault="006578A1" w:rsidP="00F92385">
    <w:pPr>
      <w:pStyle w:val="Header"/>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0447" w14:textId="0B1322FD" w:rsidR="00E23CBB" w:rsidRDefault="001E3B0A" w:rsidP="00EE4315">
    <w:pPr>
      <w:pStyle w:val="Header"/>
      <w:tabs>
        <w:tab w:val="clear" w:pos="4680"/>
      </w:tabs>
      <w:ind w:firstLine="0"/>
      <w:rPr>
        <w:b/>
      </w:rPr>
    </w:pPr>
    <w:r w:rsidRPr="001E3B0A">
      <w:rPr>
        <w:iCs/>
      </w:rPr>
      <w:t>C.</w:t>
    </w:r>
    <w:r>
      <w:rPr>
        <w:iCs/>
      </w:rPr>
      <w:t>23-02-</w:t>
    </w:r>
    <w:proofErr w:type="gramStart"/>
    <w:r>
      <w:rPr>
        <w:iCs/>
      </w:rPr>
      <w:t>003</w:t>
    </w:r>
    <w:r w:rsidRPr="001E3B0A">
      <w:rPr>
        <w:iCs/>
      </w:rPr>
      <w:t xml:space="preserve">  ALJ</w:t>
    </w:r>
    <w:proofErr w:type="gramEnd"/>
    <w:r w:rsidRPr="001E3B0A">
      <w:rPr>
        <w:iCs/>
      </w:rPr>
      <w:t>/MOD-POD-</w:t>
    </w:r>
    <w:r>
      <w:rPr>
        <w:iCs/>
      </w:rPr>
      <w:t>JYL</w:t>
    </w:r>
    <w:r w:rsidRPr="001E3B0A">
      <w:rPr>
        <w:iCs/>
      </w:rPr>
      <w:t>/</w:t>
    </w:r>
    <w:r>
      <w:rPr>
        <w:iCs/>
      </w:rPr>
      <w:t>asf</w:t>
    </w:r>
    <w:r w:rsidR="00E23CBB">
      <w:tab/>
    </w:r>
  </w:p>
  <w:p w14:paraId="145A55CE" w14:textId="21E6D49C" w:rsidR="00B3087D" w:rsidRPr="00B3087D" w:rsidRDefault="00B3087D"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84A02B7"/>
    <w:multiLevelType w:val="hybridMultilevel"/>
    <w:tmpl w:val="D0DE6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21FB58FE"/>
    <w:multiLevelType w:val="multilevel"/>
    <w:tmpl w:val="3C526EDE"/>
    <w:numStyleLink w:val="Headings"/>
  </w:abstractNum>
  <w:abstractNum w:abstractNumId="8" w15:restartNumberingAfterBreak="0">
    <w:nsid w:val="243663A0"/>
    <w:multiLevelType w:val="multilevel"/>
    <w:tmpl w:val="3C526EDE"/>
    <w:numStyleLink w:val="Headings"/>
  </w:abstractNum>
  <w:abstractNum w:abstractNumId="9" w15:restartNumberingAfterBreak="0">
    <w:nsid w:val="2B8124D7"/>
    <w:multiLevelType w:val="multilevel"/>
    <w:tmpl w:val="3C526EDE"/>
    <w:numStyleLink w:val="Headings"/>
  </w:abstractNum>
  <w:abstractNum w:abstractNumId="10"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59D042D7"/>
    <w:multiLevelType w:val="multilevel"/>
    <w:tmpl w:val="18F4A5AC"/>
    <w:numStyleLink w:val="FoFCoLOP"/>
  </w:abstractNum>
  <w:abstractNum w:abstractNumId="12" w15:restartNumberingAfterBreak="0">
    <w:nsid w:val="5A9E2171"/>
    <w:multiLevelType w:val="multilevel"/>
    <w:tmpl w:val="3C526EDE"/>
    <w:numStyleLink w:val="Headings"/>
  </w:abstractNum>
  <w:abstractNum w:abstractNumId="13" w15:restartNumberingAfterBreak="0">
    <w:nsid w:val="61A25780"/>
    <w:multiLevelType w:val="multilevel"/>
    <w:tmpl w:val="3C526EDE"/>
    <w:numStyleLink w:val="Headings"/>
  </w:abstractNum>
  <w:abstractNum w:abstractNumId="14" w15:restartNumberingAfterBreak="0">
    <w:nsid w:val="652D3F11"/>
    <w:multiLevelType w:val="multilevel"/>
    <w:tmpl w:val="BB8C9864"/>
    <w:lvl w:ilvl="0">
      <w:start w:val="1"/>
      <w:numFmt w:val="decimal"/>
      <w:lvlText w:val="%1."/>
      <w:lvlJc w:val="left"/>
      <w:pPr>
        <w:ind w:left="1800" w:hanging="360"/>
      </w:pPr>
      <w:rPr>
        <w:rFonts w:hint="default"/>
      </w:rPr>
    </w:lvl>
    <w:lvl w:ilvl="1">
      <w:start w:val="1"/>
      <w:numFmt w:val="decimal"/>
      <w:lvlText w:val="(%2)"/>
      <w:lvlJc w:val="left"/>
      <w:pPr>
        <w:ind w:left="2532" w:hanging="372"/>
      </w:pPr>
      <w:rPr>
        <w:rFonts w:hint="default"/>
      </w:rPr>
    </w:lvl>
    <w:lvl w:ilvl="2">
      <w:start w:val="1"/>
      <w:numFmt w:val="lowerRoman"/>
      <w:lvlText w:val="%3."/>
      <w:lvlJc w:val="right"/>
      <w:pPr>
        <w:ind w:left="3240" w:hanging="180"/>
      </w:pPr>
      <w:rPr>
        <w:rFonts w:hint="default"/>
      </w:rPr>
    </w:lvl>
    <w:lvl w:ilvl="3">
      <w:start w:val="1"/>
      <w:numFmt w:val="none"/>
      <w:lvlText w:val="4.1"/>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5"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89A0AFE"/>
    <w:multiLevelType w:val="multilevel"/>
    <w:tmpl w:val="18F4A5AC"/>
    <w:numStyleLink w:val="FoFCoLOP"/>
  </w:abstractNum>
  <w:num w:numId="1" w16cid:durableId="1354526949">
    <w:abstractNumId w:val="12"/>
  </w:num>
  <w:num w:numId="2" w16cid:durableId="140774137">
    <w:abstractNumId w:val="1"/>
  </w:num>
  <w:num w:numId="3" w16cid:durableId="1898543446">
    <w:abstractNumId w:val="11"/>
    <w:lvlOverride w:ilvl="0">
      <w:lvl w:ilvl="0">
        <w:start w:val="1"/>
        <w:numFmt w:val="decimal"/>
        <w:pStyle w:val="FoF"/>
        <w:lvlText w:val="%1."/>
        <w:lvlJc w:val="right"/>
        <w:pPr>
          <w:ind w:left="0" w:firstLine="540"/>
        </w:pPr>
        <w:rPr>
          <w:rFonts w:hint="default"/>
          <w:i w:val="0"/>
          <w:iCs w:val="0"/>
        </w:rPr>
      </w:lvl>
    </w:lvlOverride>
  </w:num>
  <w:num w:numId="4" w16cid:durableId="701521005">
    <w:abstractNumId w:val="2"/>
  </w:num>
  <w:num w:numId="5" w16cid:durableId="2017029027">
    <w:abstractNumId w:val="16"/>
  </w:num>
  <w:num w:numId="6" w16cid:durableId="973756952">
    <w:abstractNumId w:val="10"/>
  </w:num>
  <w:num w:numId="7" w16cid:durableId="827667741">
    <w:abstractNumId w:val="6"/>
  </w:num>
  <w:num w:numId="8" w16cid:durableId="1760327020">
    <w:abstractNumId w:val="15"/>
  </w:num>
  <w:num w:numId="9" w16cid:durableId="816924040">
    <w:abstractNumId w:val="0"/>
  </w:num>
  <w:num w:numId="10" w16cid:durableId="1817916489">
    <w:abstractNumId w:val="5"/>
  </w:num>
  <w:num w:numId="11" w16cid:durableId="291985460">
    <w:abstractNumId w:val="7"/>
  </w:num>
  <w:num w:numId="12" w16cid:durableId="467941983">
    <w:abstractNumId w:val="4"/>
  </w:num>
  <w:num w:numId="13" w16cid:durableId="712996464">
    <w:abstractNumId w:val="8"/>
  </w:num>
  <w:num w:numId="14" w16cid:durableId="1303778653">
    <w:abstractNumId w:val="9"/>
  </w:num>
  <w:num w:numId="15" w16cid:durableId="1714382259">
    <w:abstractNumId w:val="13"/>
  </w:num>
  <w:num w:numId="16" w16cid:durableId="548107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3"/>
  </w:num>
  <w:num w:numId="18" w16cid:durableId="132916443">
    <w:abstractNumId w:val="3"/>
  </w:num>
  <w:num w:numId="19" w16cid:durableId="1513031408">
    <w:abstractNumId w:val="14"/>
  </w:num>
  <w:num w:numId="20" w16cid:durableId="1320036747">
    <w:abstractNumId w:val="13"/>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990"/>
          </w:tabs>
          <w:ind w:left="99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21" w16cid:durableId="1587108553">
    <w:abstractNumId w:val="2"/>
    <w:lvlOverride w:ilvl="0">
      <w:lvl w:ilvl="0">
        <w:start w:val="1"/>
        <w:numFmt w:val="decimal"/>
        <w:pStyle w:val="CoL"/>
        <w:lvlText w:val="%1."/>
        <w:lvlJc w:val="right"/>
        <w:pPr>
          <w:ind w:left="0" w:firstLine="540"/>
        </w:pPr>
        <w:rPr>
          <w:rFonts w:ascii="Book Antiqua" w:eastAsiaTheme="minorHAnsi" w:hAnsi="Book Antiqua" w:cstheme="minorBidi"/>
        </w:rPr>
      </w:lvl>
    </w:lvlOverride>
  </w:num>
  <w:num w:numId="22" w16cid:durableId="878320018">
    <w:abstractNumId w:val="2"/>
    <w:lvlOverride w:ilvl="0">
      <w:startOverride w:val="1"/>
      <w:lvl w:ilvl="0">
        <w:start w:val="1"/>
        <w:numFmt w:val="decimal"/>
        <w:pStyle w:val="CoL"/>
        <w:lvlText w:val="%1."/>
        <w:lvlJc w:val="right"/>
        <w:pPr>
          <w:ind w:left="0" w:firstLine="540"/>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C5"/>
    <w:rsid w:val="000003F2"/>
    <w:rsid w:val="0000077C"/>
    <w:rsid w:val="00000CB5"/>
    <w:rsid w:val="00000F6A"/>
    <w:rsid w:val="00001280"/>
    <w:rsid w:val="00002349"/>
    <w:rsid w:val="000033A9"/>
    <w:rsid w:val="00003570"/>
    <w:rsid w:val="00003BC0"/>
    <w:rsid w:val="000045D8"/>
    <w:rsid w:val="00004F93"/>
    <w:rsid w:val="00005538"/>
    <w:rsid w:val="0000674F"/>
    <w:rsid w:val="000116CE"/>
    <w:rsid w:val="00011BFF"/>
    <w:rsid w:val="000149C3"/>
    <w:rsid w:val="000160C6"/>
    <w:rsid w:val="000218E1"/>
    <w:rsid w:val="00021BD1"/>
    <w:rsid w:val="000224B2"/>
    <w:rsid w:val="000246D6"/>
    <w:rsid w:val="00024702"/>
    <w:rsid w:val="00024F29"/>
    <w:rsid w:val="000277F1"/>
    <w:rsid w:val="00030267"/>
    <w:rsid w:val="000314E0"/>
    <w:rsid w:val="00031E97"/>
    <w:rsid w:val="00033926"/>
    <w:rsid w:val="00034807"/>
    <w:rsid w:val="00035A5C"/>
    <w:rsid w:val="000370F0"/>
    <w:rsid w:val="00037CF7"/>
    <w:rsid w:val="000410DF"/>
    <w:rsid w:val="00044F26"/>
    <w:rsid w:val="00044FF1"/>
    <w:rsid w:val="000456E0"/>
    <w:rsid w:val="000500CE"/>
    <w:rsid w:val="000522EA"/>
    <w:rsid w:val="0005246D"/>
    <w:rsid w:val="0005253D"/>
    <w:rsid w:val="00053A62"/>
    <w:rsid w:val="000543F8"/>
    <w:rsid w:val="000548FA"/>
    <w:rsid w:val="00054ADB"/>
    <w:rsid w:val="000569F4"/>
    <w:rsid w:val="00056B90"/>
    <w:rsid w:val="00057ACF"/>
    <w:rsid w:val="00061FC2"/>
    <w:rsid w:val="000630B0"/>
    <w:rsid w:val="0006562B"/>
    <w:rsid w:val="0006571D"/>
    <w:rsid w:val="00070D22"/>
    <w:rsid w:val="0007115A"/>
    <w:rsid w:val="00072E71"/>
    <w:rsid w:val="00072FC6"/>
    <w:rsid w:val="000746BF"/>
    <w:rsid w:val="000764E0"/>
    <w:rsid w:val="000765F9"/>
    <w:rsid w:val="00080F75"/>
    <w:rsid w:val="00082E82"/>
    <w:rsid w:val="00082EDA"/>
    <w:rsid w:val="00083C9D"/>
    <w:rsid w:val="000840A2"/>
    <w:rsid w:val="00084F1F"/>
    <w:rsid w:val="00086FA3"/>
    <w:rsid w:val="00087158"/>
    <w:rsid w:val="00087EAD"/>
    <w:rsid w:val="000934C5"/>
    <w:rsid w:val="000949B0"/>
    <w:rsid w:val="0009572A"/>
    <w:rsid w:val="000973C8"/>
    <w:rsid w:val="000A0744"/>
    <w:rsid w:val="000A2AA9"/>
    <w:rsid w:val="000A3AFD"/>
    <w:rsid w:val="000A56F2"/>
    <w:rsid w:val="000A684F"/>
    <w:rsid w:val="000A6E05"/>
    <w:rsid w:val="000B12FA"/>
    <w:rsid w:val="000B1A6B"/>
    <w:rsid w:val="000B2058"/>
    <w:rsid w:val="000B301C"/>
    <w:rsid w:val="000B364E"/>
    <w:rsid w:val="000B38D4"/>
    <w:rsid w:val="000B38E8"/>
    <w:rsid w:val="000B43EC"/>
    <w:rsid w:val="000B5431"/>
    <w:rsid w:val="000B6293"/>
    <w:rsid w:val="000B62E8"/>
    <w:rsid w:val="000B65AB"/>
    <w:rsid w:val="000C0268"/>
    <w:rsid w:val="000C08BF"/>
    <w:rsid w:val="000C0DE1"/>
    <w:rsid w:val="000C0FD4"/>
    <w:rsid w:val="000C1CD4"/>
    <w:rsid w:val="000C2159"/>
    <w:rsid w:val="000C27CD"/>
    <w:rsid w:val="000C3B9A"/>
    <w:rsid w:val="000C45BB"/>
    <w:rsid w:val="000C6BCA"/>
    <w:rsid w:val="000D0736"/>
    <w:rsid w:val="000D0941"/>
    <w:rsid w:val="000D16B8"/>
    <w:rsid w:val="000D21CA"/>
    <w:rsid w:val="000D25A8"/>
    <w:rsid w:val="000D3448"/>
    <w:rsid w:val="000D5837"/>
    <w:rsid w:val="000D6C07"/>
    <w:rsid w:val="000D7161"/>
    <w:rsid w:val="000E270A"/>
    <w:rsid w:val="000E2A28"/>
    <w:rsid w:val="000E30F0"/>
    <w:rsid w:val="000E38C5"/>
    <w:rsid w:val="000E4A05"/>
    <w:rsid w:val="000E4C53"/>
    <w:rsid w:val="000E57EC"/>
    <w:rsid w:val="000E6459"/>
    <w:rsid w:val="000E6819"/>
    <w:rsid w:val="000F10A3"/>
    <w:rsid w:val="000F20CB"/>
    <w:rsid w:val="000F259D"/>
    <w:rsid w:val="000F30B1"/>
    <w:rsid w:val="000F4475"/>
    <w:rsid w:val="000F48C6"/>
    <w:rsid w:val="001008FF"/>
    <w:rsid w:val="001014D4"/>
    <w:rsid w:val="00102E5B"/>
    <w:rsid w:val="00104B74"/>
    <w:rsid w:val="0011079A"/>
    <w:rsid w:val="0011157E"/>
    <w:rsid w:val="00111968"/>
    <w:rsid w:val="00113C3D"/>
    <w:rsid w:val="001147C7"/>
    <w:rsid w:val="0011483A"/>
    <w:rsid w:val="00116C00"/>
    <w:rsid w:val="001209DD"/>
    <w:rsid w:val="00120E02"/>
    <w:rsid w:val="00121089"/>
    <w:rsid w:val="0012386D"/>
    <w:rsid w:val="00124BBF"/>
    <w:rsid w:val="00125FCB"/>
    <w:rsid w:val="0012660C"/>
    <w:rsid w:val="00126873"/>
    <w:rsid w:val="0012691C"/>
    <w:rsid w:val="00132C05"/>
    <w:rsid w:val="00132C9B"/>
    <w:rsid w:val="00133B46"/>
    <w:rsid w:val="001353B0"/>
    <w:rsid w:val="001356F8"/>
    <w:rsid w:val="0013679B"/>
    <w:rsid w:val="00141F92"/>
    <w:rsid w:val="00142592"/>
    <w:rsid w:val="001426EC"/>
    <w:rsid w:val="00142BC2"/>
    <w:rsid w:val="001434C9"/>
    <w:rsid w:val="001435D9"/>
    <w:rsid w:val="00144009"/>
    <w:rsid w:val="001450B7"/>
    <w:rsid w:val="00147695"/>
    <w:rsid w:val="001478B6"/>
    <w:rsid w:val="00150FBB"/>
    <w:rsid w:val="00151355"/>
    <w:rsid w:val="00151479"/>
    <w:rsid w:val="00151EF9"/>
    <w:rsid w:val="001521DE"/>
    <w:rsid w:val="001561E3"/>
    <w:rsid w:val="00157A97"/>
    <w:rsid w:val="00160CF1"/>
    <w:rsid w:val="001617EA"/>
    <w:rsid w:val="00162D39"/>
    <w:rsid w:val="00163E66"/>
    <w:rsid w:val="001673DD"/>
    <w:rsid w:val="001703F2"/>
    <w:rsid w:val="001720CF"/>
    <w:rsid w:val="001750AF"/>
    <w:rsid w:val="001779AF"/>
    <w:rsid w:val="0018162C"/>
    <w:rsid w:val="00181D66"/>
    <w:rsid w:val="00181E20"/>
    <w:rsid w:val="00182AF9"/>
    <w:rsid w:val="00183141"/>
    <w:rsid w:val="0018345F"/>
    <w:rsid w:val="001841D7"/>
    <w:rsid w:val="00184A8F"/>
    <w:rsid w:val="00184CB8"/>
    <w:rsid w:val="0018624A"/>
    <w:rsid w:val="00186CFB"/>
    <w:rsid w:val="00186E02"/>
    <w:rsid w:val="0018788A"/>
    <w:rsid w:val="00187AC1"/>
    <w:rsid w:val="00195BB0"/>
    <w:rsid w:val="001A29B4"/>
    <w:rsid w:val="001A3999"/>
    <w:rsid w:val="001B2337"/>
    <w:rsid w:val="001B324C"/>
    <w:rsid w:val="001B5295"/>
    <w:rsid w:val="001B6CD2"/>
    <w:rsid w:val="001B7F8B"/>
    <w:rsid w:val="001C300D"/>
    <w:rsid w:val="001C32CA"/>
    <w:rsid w:val="001C363F"/>
    <w:rsid w:val="001C3F97"/>
    <w:rsid w:val="001C6658"/>
    <w:rsid w:val="001C6D2E"/>
    <w:rsid w:val="001C74D9"/>
    <w:rsid w:val="001C7C00"/>
    <w:rsid w:val="001D4498"/>
    <w:rsid w:val="001D5AE0"/>
    <w:rsid w:val="001D5F22"/>
    <w:rsid w:val="001D6403"/>
    <w:rsid w:val="001D675C"/>
    <w:rsid w:val="001D67D2"/>
    <w:rsid w:val="001D6BDE"/>
    <w:rsid w:val="001D6C38"/>
    <w:rsid w:val="001D6EB9"/>
    <w:rsid w:val="001D77DF"/>
    <w:rsid w:val="001E0C72"/>
    <w:rsid w:val="001E22E3"/>
    <w:rsid w:val="001E2A62"/>
    <w:rsid w:val="001E3B01"/>
    <w:rsid w:val="001E3B0A"/>
    <w:rsid w:val="001E4212"/>
    <w:rsid w:val="001E4C59"/>
    <w:rsid w:val="001E4D76"/>
    <w:rsid w:val="001F1013"/>
    <w:rsid w:val="001F1DC3"/>
    <w:rsid w:val="001F1FDC"/>
    <w:rsid w:val="001F2287"/>
    <w:rsid w:val="001F2819"/>
    <w:rsid w:val="001F4145"/>
    <w:rsid w:val="001F4C0D"/>
    <w:rsid w:val="001F4E1D"/>
    <w:rsid w:val="001F5DA6"/>
    <w:rsid w:val="001F68FE"/>
    <w:rsid w:val="001F7EE6"/>
    <w:rsid w:val="002009F9"/>
    <w:rsid w:val="00200BCA"/>
    <w:rsid w:val="00201280"/>
    <w:rsid w:val="00201C94"/>
    <w:rsid w:val="00203242"/>
    <w:rsid w:val="002043EC"/>
    <w:rsid w:val="0020477E"/>
    <w:rsid w:val="00204873"/>
    <w:rsid w:val="0020499C"/>
    <w:rsid w:val="00204B9E"/>
    <w:rsid w:val="002071EC"/>
    <w:rsid w:val="00207DFA"/>
    <w:rsid w:val="00211DAF"/>
    <w:rsid w:val="002152EF"/>
    <w:rsid w:val="00216972"/>
    <w:rsid w:val="00222214"/>
    <w:rsid w:val="00222E76"/>
    <w:rsid w:val="00226CA5"/>
    <w:rsid w:val="0022745F"/>
    <w:rsid w:val="00230814"/>
    <w:rsid w:val="00231A8B"/>
    <w:rsid w:val="00234188"/>
    <w:rsid w:val="0023727E"/>
    <w:rsid w:val="00241CFE"/>
    <w:rsid w:val="00243DC0"/>
    <w:rsid w:val="00244347"/>
    <w:rsid w:val="00247477"/>
    <w:rsid w:val="00250DF3"/>
    <w:rsid w:val="00254D88"/>
    <w:rsid w:val="002568A0"/>
    <w:rsid w:val="0025722A"/>
    <w:rsid w:val="00257706"/>
    <w:rsid w:val="00260FDE"/>
    <w:rsid w:val="0026190D"/>
    <w:rsid w:val="00264933"/>
    <w:rsid w:val="002651C2"/>
    <w:rsid w:val="00266837"/>
    <w:rsid w:val="00267592"/>
    <w:rsid w:val="0026793C"/>
    <w:rsid w:val="00270440"/>
    <w:rsid w:val="00270BB2"/>
    <w:rsid w:val="00270EF7"/>
    <w:rsid w:val="00272B2E"/>
    <w:rsid w:val="00273D2B"/>
    <w:rsid w:val="00275997"/>
    <w:rsid w:val="00277225"/>
    <w:rsid w:val="002773B8"/>
    <w:rsid w:val="002777DE"/>
    <w:rsid w:val="00277FF3"/>
    <w:rsid w:val="00280E62"/>
    <w:rsid w:val="00280FB6"/>
    <w:rsid w:val="00282FEF"/>
    <w:rsid w:val="00283217"/>
    <w:rsid w:val="0028369B"/>
    <w:rsid w:val="00284459"/>
    <w:rsid w:val="00284D8D"/>
    <w:rsid w:val="00286899"/>
    <w:rsid w:val="00287080"/>
    <w:rsid w:val="00287BC5"/>
    <w:rsid w:val="002901E1"/>
    <w:rsid w:val="002914C0"/>
    <w:rsid w:val="00292B9D"/>
    <w:rsid w:val="00292D34"/>
    <w:rsid w:val="00293DEE"/>
    <w:rsid w:val="0029438C"/>
    <w:rsid w:val="00296F65"/>
    <w:rsid w:val="0029780D"/>
    <w:rsid w:val="002A0153"/>
    <w:rsid w:val="002A0679"/>
    <w:rsid w:val="002A0B5D"/>
    <w:rsid w:val="002A1619"/>
    <w:rsid w:val="002A2CE9"/>
    <w:rsid w:val="002A377B"/>
    <w:rsid w:val="002A5241"/>
    <w:rsid w:val="002A5D32"/>
    <w:rsid w:val="002A7AC5"/>
    <w:rsid w:val="002B12C8"/>
    <w:rsid w:val="002B2CD1"/>
    <w:rsid w:val="002B431D"/>
    <w:rsid w:val="002B4C22"/>
    <w:rsid w:val="002C043C"/>
    <w:rsid w:val="002C4419"/>
    <w:rsid w:val="002C4F8F"/>
    <w:rsid w:val="002C5A3A"/>
    <w:rsid w:val="002C5D01"/>
    <w:rsid w:val="002C64CE"/>
    <w:rsid w:val="002C7190"/>
    <w:rsid w:val="002C7299"/>
    <w:rsid w:val="002C7FE9"/>
    <w:rsid w:val="002D0BB9"/>
    <w:rsid w:val="002D0DC5"/>
    <w:rsid w:val="002D1F3B"/>
    <w:rsid w:val="002D2101"/>
    <w:rsid w:val="002D41BB"/>
    <w:rsid w:val="002D4EFD"/>
    <w:rsid w:val="002D5CB3"/>
    <w:rsid w:val="002D6155"/>
    <w:rsid w:val="002D7B8A"/>
    <w:rsid w:val="002D7DDA"/>
    <w:rsid w:val="002E0CF5"/>
    <w:rsid w:val="002E1B79"/>
    <w:rsid w:val="002E4DCF"/>
    <w:rsid w:val="002E7210"/>
    <w:rsid w:val="002E7451"/>
    <w:rsid w:val="002E79DF"/>
    <w:rsid w:val="002F0F2A"/>
    <w:rsid w:val="002F1A6A"/>
    <w:rsid w:val="002F4CD0"/>
    <w:rsid w:val="002F65F3"/>
    <w:rsid w:val="002F7D06"/>
    <w:rsid w:val="0030459A"/>
    <w:rsid w:val="0030613C"/>
    <w:rsid w:val="003065FD"/>
    <w:rsid w:val="0030711A"/>
    <w:rsid w:val="00311DAE"/>
    <w:rsid w:val="0031282C"/>
    <w:rsid w:val="00314767"/>
    <w:rsid w:val="0031476C"/>
    <w:rsid w:val="00315A97"/>
    <w:rsid w:val="00316071"/>
    <w:rsid w:val="003209B2"/>
    <w:rsid w:val="00320DDD"/>
    <w:rsid w:val="00321085"/>
    <w:rsid w:val="00322DD8"/>
    <w:rsid w:val="00323164"/>
    <w:rsid w:val="00324563"/>
    <w:rsid w:val="00324611"/>
    <w:rsid w:val="00326F9F"/>
    <w:rsid w:val="003315A4"/>
    <w:rsid w:val="00331A92"/>
    <w:rsid w:val="00332468"/>
    <w:rsid w:val="00332E74"/>
    <w:rsid w:val="00332EBC"/>
    <w:rsid w:val="0033477B"/>
    <w:rsid w:val="00335E26"/>
    <w:rsid w:val="00336D92"/>
    <w:rsid w:val="00337E7F"/>
    <w:rsid w:val="00341458"/>
    <w:rsid w:val="0034187A"/>
    <w:rsid w:val="003421A5"/>
    <w:rsid w:val="00342669"/>
    <w:rsid w:val="00343E5C"/>
    <w:rsid w:val="00343ECD"/>
    <w:rsid w:val="00344591"/>
    <w:rsid w:val="00344FB8"/>
    <w:rsid w:val="00350017"/>
    <w:rsid w:val="003520D7"/>
    <w:rsid w:val="00354305"/>
    <w:rsid w:val="00354754"/>
    <w:rsid w:val="00355367"/>
    <w:rsid w:val="00357E83"/>
    <w:rsid w:val="0036017B"/>
    <w:rsid w:val="00362755"/>
    <w:rsid w:val="0036339F"/>
    <w:rsid w:val="00363628"/>
    <w:rsid w:val="00364C0B"/>
    <w:rsid w:val="00365499"/>
    <w:rsid w:val="00366C49"/>
    <w:rsid w:val="003717CB"/>
    <w:rsid w:val="00373A93"/>
    <w:rsid w:val="00373B93"/>
    <w:rsid w:val="003741BC"/>
    <w:rsid w:val="0037489C"/>
    <w:rsid w:val="00375CB4"/>
    <w:rsid w:val="00380CD1"/>
    <w:rsid w:val="0038257F"/>
    <w:rsid w:val="00383A08"/>
    <w:rsid w:val="00384215"/>
    <w:rsid w:val="00384687"/>
    <w:rsid w:val="00386298"/>
    <w:rsid w:val="00390244"/>
    <w:rsid w:val="003926BC"/>
    <w:rsid w:val="003968A5"/>
    <w:rsid w:val="0039793B"/>
    <w:rsid w:val="003A0122"/>
    <w:rsid w:val="003A02CA"/>
    <w:rsid w:val="003A19A0"/>
    <w:rsid w:val="003A1CA2"/>
    <w:rsid w:val="003A2CC3"/>
    <w:rsid w:val="003A38F0"/>
    <w:rsid w:val="003A5F95"/>
    <w:rsid w:val="003A6005"/>
    <w:rsid w:val="003A79F5"/>
    <w:rsid w:val="003B0194"/>
    <w:rsid w:val="003B1651"/>
    <w:rsid w:val="003B1805"/>
    <w:rsid w:val="003B1E5A"/>
    <w:rsid w:val="003B2822"/>
    <w:rsid w:val="003B2C02"/>
    <w:rsid w:val="003B5486"/>
    <w:rsid w:val="003C029C"/>
    <w:rsid w:val="003C0D49"/>
    <w:rsid w:val="003C0F06"/>
    <w:rsid w:val="003C19CF"/>
    <w:rsid w:val="003C2DCB"/>
    <w:rsid w:val="003C4ECF"/>
    <w:rsid w:val="003C57C0"/>
    <w:rsid w:val="003C5AA2"/>
    <w:rsid w:val="003C62DA"/>
    <w:rsid w:val="003C76A5"/>
    <w:rsid w:val="003D0B56"/>
    <w:rsid w:val="003D149E"/>
    <w:rsid w:val="003D2685"/>
    <w:rsid w:val="003D4F52"/>
    <w:rsid w:val="003D4FF8"/>
    <w:rsid w:val="003E2662"/>
    <w:rsid w:val="003E274C"/>
    <w:rsid w:val="003E3637"/>
    <w:rsid w:val="003E604B"/>
    <w:rsid w:val="003E6261"/>
    <w:rsid w:val="003E6A88"/>
    <w:rsid w:val="003F0203"/>
    <w:rsid w:val="003F069A"/>
    <w:rsid w:val="003F178B"/>
    <w:rsid w:val="003F22EB"/>
    <w:rsid w:val="003F32E9"/>
    <w:rsid w:val="003F3A16"/>
    <w:rsid w:val="003F4329"/>
    <w:rsid w:val="003F4914"/>
    <w:rsid w:val="003F7C14"/>
    <w:rsid w:val="00402467"/>
    <w:rsid w:val="00403EFA"/>
    <w:rsid w:val="00404460"/>
    <w:rsid w:val="0040460B"/>
    <w:rsid w:val="00406345"/>
    <w:rsid w:val="00410D34"/>
    <w:rsid w:val="00410EA6"/>
    <w:rsid w:val="00412534"/>
    <w:rsid w:val="00412C83"/>
    <w:rsid w:val="00414C1B"/>
    <w:rsid w:val="00416098"/>
    <w:rsid w:val="004169AF"/>
    <w:rsid w:val="0041762F"/>
    <w:rsid w:val="0041780E"/>
    <w:rsid w:val="00417C21"/>
    <w:rsid w:val="00421B0F"/>
    <w:rsid w:val="00424833"/>
    <w:rsid w:val="00426014"/>
    <w:rsid w:val="00426E13"/>
    <w:rsid w:val="00427006"/>
    <w:rsid w:val="00430AF3"/>
    <w:rsid w:val="00430C5E"/>
    <w:rsid w:val="004315EB"/>
    <w:rsid w:val="00432DDB"/>
    <w:rsid w:val="00433E88"/>
    <w:rsid w:val="00435BC2"/>
    <w:rsid w:val="0043611C"/>
    <w:rsid w:val="004403D1"/>
    <w:rsid w:val="00440699"/>
    <w:rsid w:val="00440AFB"/>
    <w:rsid w:val="00441DC6"/>
    <w:rsid w:val="00442AE8"/>
    <w:rsid w:val="00443804"/>
    <w:rsid w:val="00444B06"/>
    <w:rsid w:val="0044617E"/>
    <w:rsid w:val="004463E8"/>
    <w:rsid w:val="00446D1C"/>
    <w:rsid w:val="0044700B"/>
    <w:rsid w:val="00447332"/>
    <w:rsid w:val="00451315"/>
    <w:rsid w:val="00452D30"/>
    <w:rsid w:val="00453722"/>
    <w:rsid w:val="00453C52"/>
    <w:rsid w:val="004561D4"/>
    <w:rsid w:val="004566CE"/>
    <w:rsid w:val="00456C88"/>
    <w:rsid w:val="00456CF9"/>
    <w:rsid w:val="00457EEE"/>
    <w:rsid w:val="004600AC"/>
    <w:rsid w:val="00460B7D"/>
    <w:rsid w:val="004615D9"/>
    <w:rsid w:val="004628D7"/>
    <w:rsid w:val="004639AA"/>
    <w:rsid w:val="004668E0"/>
    <w:rsid w:val="00466D49"/>
    <w:rsid w:val="00466F3D"/>
    <w:rsid w:val="004708D7"/>
    <w:rsid w:val="004718AA"/>
    <w:rsid w:val="00471A27"/>
    <w:rsid w:val="004731DF"/>
    <w:rsid w:val="00473BBF"/>
    <w:rsid w:val="00474489"/>
    <w:rsid w:val="004749FE"/>
    <w:rsid w:val="004753DB"/>
    <w:rsid w:val="00475668"/>
    <w:rsid w:val="004800B7"/>
    <w:rsid w:val="00480CB0"/>
    <w:rsid w:val="00482654"/>
    <w:rsid w:val="004827D6"/>
    <w:rsid w:val="00483603"/>
    <w:rsid w:val="00483D69"/>
    <w:rsid w:val="004849DE"/>
    <w:rsid w:val="00485BE7"/>
    <w:rsid w:val="00486FBA"/>
    <w:rsid w:val="00487AD1"/>
    <w:rsid w:val="00490D38"/>
    <w:rsid w:val="004917D8"/>
    <w:rsid w:val="004934F8"/>
    <w:rsid w:val="00495693"/>
    <w:rsid w:val="00495BE9"/>
    <w:rsid w:val="00495EA4"/>
    <w:rsid w:val="0049611A"/>
    <w:rsid w:val="004963CF"/>
    <w:rsid w:val="00496D60"/>
    <w:rsid w:val="004A20CB"/>
    <w:rsid w:val="004A4408"/>
    <w:rsid w:val="004A47BE"/>
    <w:rsid w:val="004A4A74"/>
    <w:rsid w:val="004A5867"/>
    <w:rsid w:val="004A5A80"/>
    <w:rsid w:val="004A6019"/>
    <w:rsid w:val="004B017D"/>
    <w:rsid w:val="004B1031"/>
    <w:rsid w:val="004B1EE7"/>
    <w:rsid w:val="004B275A"/>
    <w:rsid w:val="004B2BB3"/>
    <w:rsid w:val="004B34EA"/>
    <w:rsid w:val="004B3F6E"/>
    <w:rsid w:val="004B5494"/>
    <w:rsid w:val="004B5A99"/>
    <w:rsid w:val="004C02CA"/>
    <w:rsid w:val="004C1FAA"/>
    <w:rsid w:val="004C3783"/>
    <w:rsid w:val="004C4BC8"/>
    <w:rsid w:val="004C7A2B"/>
    <w:rsid w:val="004C7A5D"/>
    <w:rsid w:val="004C7B72"/>
    <w:rsid w:val="004C7D3A"/>
    <w:rsid w:val="004D3F58"/>
    <w:rsid w:val="004E0C06"/>
    <w:rsid w:val="004E10FC"/>
    <w:rsid w:val="004E4B15"/>
    <w:rsid w:val="004E57BE"/>
    <w:rsid w:val="004E738A"/>
    <w:rsid w:val="004F0B8D"/>
    <w:rsid w:val="004F1E63"/>
    <w:rsid w:val="004F26DC"/>
    <w:rsid w:val="004F355A"/>
    <w:rsid w:val="004F3A84"/>
    <w:rsid w:val="004F4F7B"/>
    <w:rsid w:val="004F6B1A"/>
    <w:rsid w:val="004F78D0"/>
    <w:rsid w:val="0050093B"/>
    <w:rsid w:val="005018A8"/>
    <w:rsid w:val="00501FAD"/>
    <w:rsid w:val="005033B6"/>
    <w:rsid w:val="00503449"/>
    <w:rsid w:val="00503DAC"/>
    <w:rsid w:val="00504420"/>
    <w:rsid w:val="0050484F"/>
    <w:rsid w:val="00505A39"/>
    <w:rsid w:val="00505BB8"/>
    <w:rsid w:val="00505CBA"/>
    <w:rsid w:val="00506277"/>
    <w:rsid w:val="005066EE"/>
    <w:rsid w:val="005076F7"/>
    <w:rsid w:val="00510911"/>
    <w:rsid w:val="00511785"/>
    <w:rsid w:val="00511BFA"/>
    <w:rsid w:val="00511CBC"/>
    <w:rsid w:val="00513AF2"/>
    <w:rsid w:val="005145C2"/>
    <w:rsid w:val="0051517D"/>
    <w:rsid w:val="005213D2"/>
    <w:rsid w:val="005240BF"/>
    <w:rsid w:val="0052475D"/>
    <w:rsid w:val="00525A6B"/>
    <w:rsid w:val="005262D3"/>
    <w:rsid w:val="00526D4E"/>
    <w:rsid w:val="00533ACF"/>
    <w:rsid w:val="00535BE6"/>
    <w:rsid w:val="00536741"/>
    <w:rsid w:val="00542464"/>
    <w:rsid w:val="00542DE8"/>
    <w:rsid w:val="005455B0"/>
    <w:rsid w:val="00552C8E"/>
    <w:rsid w:val="005540E9"/>
    <w:rsid w:val="005542A6"/>
    <w:rsid w:val="005551E1"/>
    <w:rsid w:val="005565B7"/>
    <w:rsid w:val="00557795"/>
    <w:rsid w:val="00561C56"/>
    <w:rsid w:val="005651CE"/>
    <w:rsid w:val="00570422"/>
    <w:rsid w:val="00570CB4"/>
    <w:rsid w:val="00571C76"/>
    <w:rsid w:val="00571CA5"/>
    <w:rsid w:val="00572648"/>
    <w:rsid w:val="00573B77"/>
    <w:rsid w:val="005758F0"/>
    <w:rsid w:val="00576E90"/>
    <w:rsid w:val="005771E8"/>
    <w:rsid w:val="00580331"/>
    <w:rsid w:val="00580C0E"/>
    <w:rsid w:val="00581825"/>
    <w:rsid w:val="00582707"/>
    <w:rsid w:val="00585140"/>
    <w:rsid w:val="00585390"/>
    <w:rsid w:val="005853EF"/>
    <w:rsid w:val="00585D4F"/>
    <w:rsid w:val="00586776"/>
    <w:rsid w:val="00590530"/>
    <w:rsid w:val="005939A5"/>
    <w:rsid w:val="00596439"/>
    <w:rsid w:val="00597A37"/>
    <w:rsid w:val="00597A85"/>
    <w:rsid w:val="00597C74"/>
    <w:rsid w:val="00597DE0"/>
    <w:rsid w:val="005A148C"/>
    <w:rsid w:val="005A2479"/>
    <w:rsid w:val="005A2DBE"/>
    <w:rsid w:val="005A3D2B"/>
    <w:rsid w:val="005A5CD7"/>
    <w:rsid w:val="005A6065"/>
    <w:rsid w:val="005B1832"/>
    <w:rsid w:val="005B3BB1"/>
    <w:rsid w:val="005B5263"/>
    <w:rsid w:val="005B5972"/>
    <w:rsid w:val="005B5F6D"/>
    <w:rsid w:val="005C1C2F"/>
    <w:rsid w:val="005C1E28"/>
    <w:rsid w:val="005C21CE"/>
    <w:rsid w:val="005C2246"/>
    <w:rsid w:val="005C2F74"/>
    <w:rsid w:val="005C3618"/>
    <w:rsid w:val="005C392D"/>
    <w:rsid w:val="005C53C3"/>
    <w:rsid w:val="005C571B"/>
    <w:rsid w:val="005C58FA"/>
    <w:rsid w:val="005D048E"/>
    <w:rsid w:val="005D1A6A"/>
    <w:rsid w:val="005D1B55"/>
    <w:rsid w:val="005D1DB8"/>
    <w:rsid w:val="005D2C85"/>
    <w:rsid w:val="005D36BE"/>
    <w:rsid w:val="005D4755"/>
    <w:rsid w:val="005D559D"/>
    <w:rsid w:val="005D63ED"/>
    <w:rsid w:val="005D6469"/>
    <w:rsid w:val="005D6942"/>
    <w:rsid w:val="005D71DB"/>
    <w:rsid w:val="005E08CB"/>
    <w:rsid w:val="005E568F"/>
    <w:rsid w:val="005E67D2"/>
    <w:rsid w:val="005F074A"/>
    <w:rsid w:val="005F107F"/>
    <w:rsid w:val="005F16B6"/>
    <w:rsid w:val="005F1EAC"/>
    <w:rsid w:val="005F1FC9"/>
    <w:rsid w:val="005F35E1"/>
    <w:rsid w:val="005F3725"/>
    <w:rsid w:val="005F537F"/>
    <w:rsid w:val="005F61C9"/>
    <w:rsid w:val="005F6A22"/>
    <w:rsid w:val="005F6F86"/>
    <w:rsid w:val="005F78EF"/>
    <w:rsid w:val="00600F3F"/>
    <w:rsid w:val="0060110A"/>
    <w:rsid w:val="00601BA4"/>
    <w:rsid w:val="00603238"/>
    <w:rsid w:val="00604FD4"/>
    <w:rsid w:val="00605084"/>
    <w:rsid w:val="00606F88"/>
    <w:rsid w:val="00607035"/>
    <w:rsid w:val="00607DE8"/>
    <w:rsid w:val="00607F30"/>
    <w:rsid w:val="00611A5D"/>
    <w:rsid w:val="006127A1"/>
    <w:rsid w:val="00613FBB"/>
    <w:rsid w:val="00614697"/>
    <w:rsid w:val="00615C7D"/>
    <w:rsid w:val="0061627C"/>
    <w:rsid w:val="006166ED"/>
    <w:rsid w:val="0062194A"/>
    <w:rsid w:val="0062210B"/>
    <w:rsid w:val="00622CC2"/>
    <w:rsid w:val="00625095"/>
    <w:rsid w:val="00626757"/>
    <w:rsid w:val="006311DD"/>
    <w:rsid w:val="00632207"/>
    <w:rsid w:val="00633B04"/>
    <w:rsid w:val="006342D6"/>
    <w:rsid w:val="0063491C"/>
    <w:rsid w:val="00634F44"/>
    <w:rsid w:val="00635945"/>
    <w:rsid w:val="00636A1C"/>
    <w:rsid w:val="0063799F"/>
    <w:rsid w:val="00641A5C"/>
    <w:rsid w:val="006426B8"/>
    <w:rsid w:val="00645068"/>
    <w:rsid w:val="006500E8"/>
    <w:rsid w:val="00651C63"/>
    <w:rsid w:val="00652697"/>
    <w:rsid w:val="0065362F"/>
    <w:rsid w:val="0065515B"/>
    <w:rsid w:val="00656391"/>
    <w:rsid w:val="0065699D"/>
    <w:rsid w:val="006578A1"/>
    <w:rsid w:val="00660912"/>
    <w:rsid w:val="00661473"/>
    <w:rsid w:val="00661AFE"/>
    <w:rsid w:val="006622B8"/>
    <w:rsid w:val="006630F8"/>
    <w:rsid w:val="00663E63"/>
    <w:rsid w:val="00663F89"/>
    <w:rsid w:val="00664344"/>
    <w:rsid w:val="0066648E"/>
    <w:rsid w:val="00670A3A"/>
    <w:rsid w:val="00672F78"/>
    <w:rsid w:val="0067344E"/>
    <w:rsid w:val="00674AED"/>
    <w:rsid w:val="00675C72"/>
    <w:rsid w:val="00676755"/>
    <w:rsid w:val="00677DA7"/>
    <w:rsid w:val="00680F19"/>
    <w:rsid w:val="006819CE"/>
    <w:rsid w:val="00681F1B"/>
    <w:rsid w:val="006823CD"/>
    <w:rsid w:val="00683776"/>
    <w:rsid w:val="00683B2C"/>
    <w:rsid w:val="006840B5"/>
    <w:rsid w:val="00686163"/>
    <w:rsid w:val="00686947"/>
    <w:rsid w:val="006906C5"/>
    <w:rsid w:val="006921FA"/>
    <w:rsid w:val="00692C18"/>
    <w:rsid w:val="00694124"/>
    <w:rsid w:val="0069658D"/>
    <w:rsid w:val="00696DE2"/>
    <w:rsid w:val="006A37BA"/>
    <w:rsid w:val="006A57C1"/>
    <w:rsid w:val="006B011F"/>
    <w:rsid w:val="006B02F2"/>
    <w:rsid w:val="006B04FE"/>
    <w:rsid w:val="006B1649"/>
    <w:rsid w:val="006B2D5E"/>
    <w:rsid w:val="006B3094"/>
    <w:rsid w:val="006B5547"/>
    <w:rsid w:val="006B6324"/>
    <w:rsid w:val="006B6B96"/>
    <w:rsid w:val="006B7A1B"/>
    <w:rsid w:val="006B7F28"/>
    <w:rsid w:val="006C01E8"/>
    <w:rsid w:val="006C08B4"/>
    <w:rsid w:val="006C1214"/>
    <w:rsid w:val="006C1F10"/>
    <w:rsid w:val="006C4DAA"/>
    <w:rsid w:val="006C604A"/>
    <w:rsid w:val="006D22ED"/>
    <w:rsid w:val="006D23D0"/>
    <w:rsid w:val="006D382C"/>
    <w:rsid w:val="006D66AE"/>
    <w:rsid w:val="006D70BD"/>
    <w:rsid w:val="006E1C90"/>
    <w:rsid w:val="006E1FE9"/>
    <w:rsid w:val="006E2DC1"/>
    <w:rsid w:val="006E35DA"/>
    <w:rsid w:val="006E37BC"/>
    <w:rsid w:val="006E3C19"/>
    <w:rsid w:val="006E595C"/>
    <w:rsid w:val="006E5B50"/>
    <w:rsid w:val="006E5E28"/>
    <w:rsid w:val="006E608D"/>
    <w:rsid w:val="006E6148"/>
    <w:rsid w:val="006E6574"/>
    <w:rsid w:val="006E73C4"/>
    <w:rsid w:val="006F2780"/>
    <w:rsid w:val="006F44C8"/>
    <w:rsid w:val="006F7830"/>
    <w:rsid w:val="006F7BF5"/>
    <w:rsid w:val="00700BDF"/>
    <w:rsid w:val="00701D43"/>
    <w:rsid w:val="00702DE8"/>
    <w:rsid w:val="00706343"/>
    <w:rsid w:val="007077F1"/>
    <w:rsid w:val="00707EA6"/>
    <w:rsid w:val="0071231A"/>
    <w:rsid w:val="00712EF3"/>
    <w:rsid w:val="007133B3"/>
    <w:rsid w:val="007139F0"/>
    <w:rsid w:val="00714CF2"/>
    <w:rsid w:val="007155FF"/>
    <w:rsid w:val="007156B9"/>
    <w:rsid w:val="00717BBF"/>
    <w:rsid w:val="007200FE"/>
    <w:rsid w:val="00720817"/>
    <w:rsid w:val="00720ACB"/>
    <w:rsid w:val="00721E7B"/>
    <w:rsid w:val="007223CA"/>
    <w:rsid w:val="007223D0"/>
    <w:rsid w:val="00722850"/>
    <w:rsid w:val="00726ACB"/>
    <w:rsid w:val="0072721B"/>
    <w:rsid w:val="007275DA"/>
    <w:rsid w:val="00727A38"/>
    <w:rsid w:val="007312E8"/>
    <w:rsid w:val="00731ACB"/>
    <w:rsid w:val="007327E9"/>
    <w:rsid w:val="007330ED"/>
    <w:rsid w:val="0073353F"/>
    <w:rsid w:val="007336C8"/>
    <w:rsid w:val="00733B4F"/>
    <w:rsid w:val="00733F83"/>
    <w:rsid w:val="00735109"/>
    <w:rsid w:val="007353F9"/>
    <w:rsid w:val="00735A85"/>
    <w:rsid w:val="00735A91"/>
    <w:rsid w:val="00735E15"/>
    <w:rsid w:val="00742E45"/>
    <w:rsid w:val="007447AF"/>
    <w:rsid w:val="0074622A"/>
    <w:rsid w:val="00750545"/>
    <w:rsid w:val="00750816"/>
    <w:rsid w:val="00750916"/>
    <w:rsid w:val="00750D65"/>
    <w:rsid w:val="00752083"/>
    <w:rsid w:val="00752865"/>
    <w:rsid w:val="00753CEA"/>
    <w:rsid w:val="00754BEE"/>
    <w:rsid w:val="00755E37"/>
    <w:rsid w:val="007560FE"/>
    <w:rsid w:val="00756C08"/>
    <w:rsid w:val="0076090A"/>
    <w:rsid w:val="00763231"/>
    <w:rsid w:val="007650E0"/>
    <w:rsid w:val="007657C1"/>
    <w:rsid w:val="007664D8"/>
    <w:rsid w:val="00766564"/>
    <w:rsid w:val="00767C3E"/>
    <w:rsid w:val="007712BA"/>
    <w:rsid w:val="007721A1"/>
    <w:rsid w:val="007730B1"/>
    <w:rsid w:val="00774BB8"/>
    <w:rsid w:val="00774E40"/>
    <w:rsid w:val="00775871"/>
    <w:rsid w:val="007758AE"/>
    <w:rsid w:val="0077755F"/>
    <w:rsid w:val="00780247"/>
    <w:rsid w:val="00780331"/>
    <w:rsid w:val="00781052"/>
    <w:rsid w:val="00781E73"/>
    <w:rsid w:val="007829B2"/>
    <w:rsid w:val="00782DD3"/>
    <w:rsid w:val="00782E0D"/>
    <w:rsid w:val="00784DCA"/>
    <w:rsid w:val="00786397"/>
    <w:rsid w:val="0078643E"/>
    <w:rsid w:val="0078678E"/>
    <w:rsid w:val="00786D2C"/>
    <w:rsid w:val="00790DC9"/>
    <w:rsid w:val="00793557"/>
    <w:rsid w:val="00794C8E"/>
    <w:rsid w:val="007950FB"/>
    <w:rsid w:val="007958D9"/>
    <w:rsid w:val="007974FC"/>
    <w:rsid w:val="007A2DA0"/>
    <w:rsid w:val="007A406D"/>
    <w:rsid w:val="007A4AD9"/>
    <w:rsid w:val="007A50AB"/>
    <w:rsid w:val="007A62B0"/>
    <w:rsid w:val="007A70B2"/>
    <w:rsid w:val="007B25CA"/>
    <w:rsid w:val="007B466D"/>
    <w:rsid w:val="007B55AE"/>
    <w:rsid w:val="007B78C6"/>
    <w:rsid w:val="007B7B4C"/>
    <w:rsid w:val="007C119D"/>
    <w:rsid w:val="007C1256"/>
    <w:rsid w:val="007C16BE"/>
    <w:rsid w:val="007C334E"/>
    <w:rsid w:val="007C3361"/>
    <w:rsid w:val="007C5A0C"/>
    <w:rsid w:val="007C71C3"/>
    <w:rsid w:val="007C7785"/>
    <w:rsid w:val="007C7CDF"/>
    <w:rsid w:val="007C7E34"/>
    <w:rsid w:val="007D0C47"/>
    <w:rsid w:val="007D5239"/>
    <w:rsid w:val="007D594E"/>
    <w:rsid w:val="007D5DDA"/>
    <w:rsid w:val="007D6506"/>
    <w:rsid w:val="007D7943"/>
    <w:rsid w:val="007E0D1E"/>
    <w:rsid w:val="007E0FEE"/>
    <w:rsid w:val="007E1397"/>
    <w:rsid w:val="007E2860"/>
    <w:rsid w:val="007E3CCF"/>
    <w:rsid w:val="007E5B11"/>
    <w:rsid w:val="007E654F"/>
    <w:rsid w:val="007E75A7"/>
    <w:rsid w:val="007E7DB6"/>
    <w:rsid w:val="007E7E51"/>
    <w:rsid w:val="007F06DC"/>
    <w:rsid w:val="007F160E"/>
    <w:rsid w:val="007F1978"/>
    <w:rsid w:val="007F2017"/>
    <w:rsid w:val="007F297A"/>
    <w:rsid w:val="007F38AF"/>
    <w:rsid w:val="007F419D"/>
    <w:rsid w:val="007F437B"/>
    <w:rsid w:val="007F4BE5"/>
    <w:rsid w:val="00800A53"/>
    <w:rsid w:val="0080390E"/>
    <w:rsid w:val="00805865"/>
    <w:rsid w:val="00805AA7"/>
    <w:rsid w:val="00805AD8"/>
    <w:rsid w:val="00806FF0"/>
    <w:rsid w:val="008108E4"/>
    <w:rsid w:val="00813378"/>
    <w:rsid w:val="00813539"/>
    <w:rsid w:val="0081395E"/>
    <w:rsid w:val="0081419E"/>
    <w:rsid w:val="00814A33"/>
    <w:rsid w:val="00815879"/>
    <w:rsid w:val="008159CF"/>
    <w:rsid w:val="00816E05"/>
    <w:rsid w:val="00820173"/>
    <w:rsid w:val="008214D6"/>
    <w:rsid w:val="00821CB5"/>
    <w:rsid w:val="00822517"/>
    <w:rsid w:val="00823408"/>
    <w:rsid w:val="00824C6D"/>
    <w:rsid w:val="008339BB"/>
    <w:rsid w:val="0083417B"/>
    <w:rsid w:val="008362D2"/>
    <w:rsid w:val="00837A1F"/>
    <w:rsid w:val="008409C6"/>
    <w:rsid w:val="008422D0"/>
    <w:rsid w:val="008456D0"/>
    <w:rsid w:val="0085017D"/>
    <w:rsid w:val="00850957"/>
    <w:rsid w:val="008551A9"/>
    <w:rsid w:val="008562A8"/>
    <w:rsid w:val="0085721C"/>
    <w:rsid w:val="00860009"/>
    <w:rsid w:val="008606BB"/>
    <w:rsid w:val="00861990"/>
    <w:rsid w:val="00863131"/>
    <w:rsid w:val="0086419A"/>
    <w:rsid w:val="008659E7"/>
    <w:rsid w:val="00865A66"/>
    <w:rsid w:val="008665DB"/>
    <w:rsid w:val="00866770"/>
    <w:rsid w:val="0087023B"/>
    <w:rsid w:val="00870348"/>
    <w:rsid w:val="00872AC6"/>
    <w:rsid w:val="00873060"/>
    <w:rsid w:val="00873584"/>
    <w:rsid w:val="00874EAD"/>
    <w:rsid w:val="008763E8"/>
    <w:rsid w:val="00876778"/>
    <w:rsid w:val="008767C0"/>
    <w:rsid w:val="00876D8E"/>
    <w:rsid w:val="0088093B"/>
    <w:rsid w:val="00883818"/>
    <w:rsid w:val="00883CA5"/>
    <w:rsid w:val="0088408F"/>
    <w:rsid w:val="008868FD"/>
    <w:rsid w:val="00891567"/>
    <w:rsid w:val="00892058"/>
    <w:rsid w:val="0089280C"/>
    <w:rsid w:val="00892ABD"/>
    <w:rsid w:val="00894AFB"/>
    <w:rsid w:val="00894B3F"/>
    <w:rsid w:val="00896184"/>
    <w:rsid w:val="00896DAD"/>
    <w:rsid w:val="008978A3"/>
    <w:rsid w:val="008A08BF"/>
    <w:rsid w:val="008A179F"/>
    <w:rsid w:val="008A1B94"/>
    <w:rsid w:val="008A2A11"/>
    <w:rsid w:val="008A2B0D"/>
    <w:rsid w:val="008A488A"/>
    <w:rsid w:val="008A4F95"/>
    <w:rsid w:val="008A545F"/>
    <w:rsid w:val="008A592C"/>
    <w:rsid w:val="008A609C"/>
    <w:rsid w:val="008B0864"/>
    <w:rsid w:val="008B0AC1"/>
    <w:rsid w:val="008B24EC"/>
    <w:rsid w:val="008B3376"/>
    <w:rsid w:val="008B4B14"/>
    <w:rsid w:val="008B57C8"/>
    <w:rsid w:val="008B64DE"/>
    <w:rsid w:val="008C02CE"/>
    <w:rsid w:val="008C06B7"/>
    <w:rsid w:val="008C29A3"/>
    <w:rsid w:val="008C3CB7"/>
    <w:rsid w:val="008C3D9D"/>
    <w:rsid w:val="008C6B40"/>
    <w:rsid w:val="008C7413"/>
    <w:rsid w:val="008C7DF1"/>
    <w:rsid w:val="008D1483"/>
    <w:rsid w:val="008D16B7"/>
    <w:rsid w:val="008D2AB7"/>
    <w:rsid w:val="008D39A9"/>
    <w:rsid w:val="008D4472"/>
    <w:rsid w:val="008D5364"/>
    <w:rsid w:val="008E29E2"/>
    <w:rsid w:val="008E3316"/>
    <w:rsid w:val="008E59D3"/>
    <w:rsid w:val="008E6AE6"/>
    <w:rsid w:val="008E6B47"/>
    <w:rsid w:val="008E6FD7"/>
    <w:rsid w:val="008F0116"/>
    <w:rsid w:val="008F0AF4"/>
    <w:rsid w:val="008F143D"/>
    <w:rsid w:val="008F4B43"/>
    <w:rsid w:val="008F6A2A"/>
    <w:rsid w:val="008F7033"/>
    <w:rsid w:val="008F7C29"/>
    <w:rsid w:val="009021F6"/>
    <w:rsid w:val="00903AB3"/>
    <w:rsid w:val="009047A8"/>
    <w:rsid w:val="00904C03"/>
    <w:rsid w:val="00905735"/>
    <w:rsid w:val="0090655E"/>
    <w:rsid w:val="00906F4D"/>
    <w:rsid w:val="00907C6C"/>
    <w:rsid w:val="00910173"/>
    <w:rsid w:val="00910400"/>
    <w:rsid w:val="009134E0"/>
    <w:rsid w:val="0091483A"/>
    <w:rsid w:val="00915097"/>
    <w:rsid w:val="0091584B"/>
    <w:rsid w:val="0091712E"/>
    <w:rsid w:val="009171DC"/>
    <w:rsid w:val="00920B99"/>
    <w:rsid w:val="009243AE"/>
    <w:rsid w:val="009250B1"/>
    <w:rsid w:val="0092569A"/>
    <w:rsid w:val="00925CC6"/>
    <w:rsid w:val="0092721E"/>
    <w:rsid w:val="0093017E"/>
    <w:rsid w:val="00930D8D"/>
    <w:rsid w:val="00931ED8"/>
    <w:rsid w:val="009324C0"/>
    <w:rsid w:val="00932865"/>
    <w:rsid w:val="00932C9F"/>
    <w:rsid w:val="009332E4"/>
    <w:rsid w:val="009337BD"/>
    <w:rsid w:val="009415C7"/>
    <w:rsid w:val="00942AD5"/>
    <w:rsid w:val="00944B7C"/>
    <w:rsid w:val="009450D8"/>
    <w:rsid w:val="00951C6E"/>
    <w:rsid w:val="00953C20"/>
    <w:rsid w:val="009540C0"/>
    <w:rsid w:val="00955455"/>
    <w:rsid w:val="00955BA1"/>
    <w:rsid w:val="00955DD6"/>
    <w:rsid w:val="00957A27"/>
    <w:rsid w:val="009600F8"/>
    <w:rsid w:val="00960523"/>
    <w:rsid w:val="00962F87"/>
    <w:rsid w:val="00963981"/>
    <w:rsid w:val="00964791"/>
    <w:rsid w:val="00964B65"/>
    <w:rsid w:val="00966A47"/>
    <w:rsid w:val="0096722B"/>
    <w:rsid w:val="00970D83"/>
    <w:rsid w:val="0097113B"/>
    <w:rsid w:val="00975637"/>
    <w:rsid w:val="00976EBD"/>
    <w:rsid w:val="00977533"/>
    <w:rsid w:val="00977AFF"/>
    <w:rsid w:val="009807BF"/>
    <w:rsid w:val="00981235"/>
    <w:rsid w:val="0098138E"/>
    <w:rsid w:val="00981504"/>
    <w:rsid w:val="00981DC3"/>
    <w:rsid w:val="00982BCD"/>
    <w:rsid w:val="0098315B"/>
    <w:rsid w:val="009832AA"/>
    <w:rsid w:val="00983674"/>
    <w:rsid w:val="00984217"/>
    <w:rsid w:val="0098655A"/>
    <w:rsid w:val="0098798D"/>
    <w:rsid w:val="0099028C"/>
    <w:rsid w:val="00992570"/>
    <w:rsid w:val="00992B6B"/>
    <w:rsid w:val="00997597"/>
    <w:rsid w:val="00997F8B"/>
    <w:rsid w:val="009A1AFF"/>
    <w:rsid w:val="009A2071"/>
    <w:rsid w:val="009A3322"/>
    <w:rsid w:val="009A5C07"/>
    <w:rsid w:val="009A5F6B"/>
    <w:rsid w:val="009A6E36"/>
    <w:rsid w:val="009A796A"/>
    <w:rsid w:val="009B2796"/>
    <w:rsid w:val="009B2CDA"/>
    <w:rsid w:val="009B39B0"/>
    <w:rsid w:val="009B39F1"/>
    <w:rsid w:val="009B4CF9"/>
    <w:rsid w:val="009B7B6C"/>
    <w:rsid w:val="009C05EB"/>
    <w:rsid w:val="009C2395"/>
    <w:rsid w:val="009C2CC9"/>
    <w:rsid w:val="009C329D"/>
    <w:rsid w:val="009C45C4"/>
    <w:rsid w:val="009C5388"/>
    <w:rsid w:val="009C6810"/>
    <w:rsid w:val="009C6824"/>
    <w:rsid w:val="009C6FE6"/>
    <w:rsid w:val="009C7130"/>
    <w:rsid w:val="009D153A"/>
    <w:rsid w:val="009D1A37"/>
    <w:rsid w:val="009D205C"/>
    <w:rsid w:val="009D327B"/>
    <w:rsid w:val="009D4ABE"/>
    <w:rsid w:val="009D56B4"/>
    <w:rsid w:val="009D64FE"/>
    <w:rsid w:val="009E01EE"/>
    <w:rsid w:val="009E04FB"/>
    <w:rsid w:val="009E1D0C"/>
    <w:rsid w:val="009E228E"/>
    <w:rsid w:val="009E22E7"/>
    <w:rsid w:val="009E53D9"/>
    <w:rsid w:val="009E5B10"/>
    <w:rsid w:val="009E6052"/>
    <w:rsid w:val="009E61F8"/>
    <w:rsid w:val="009E7729"/>
    <w:rsid w:val="009E7C7F"/>
    <w:rsid w:val="009F1362"/>
    <w:rsid w:val="009F5B1D"/>
    <w:rsid w:val="009F6B97"/>
    <w:rsid w:val="009F710D"/>
    <w:rsid w:val="009F7963"/>
    <w:rsid w:val="00A0158D"/>
    <w:rsid w:val="00A02095"/>
    <w:rsid w:val="00A0338C"/>
    <w:rsid w:val="00A05790"/>
    <w:rsid w:val="00A0760A"/>
    <w:rsid w:val="00A12D61"/>
    <w:rsid w:val="00A12FCB"/>
    <w:rsid w:val="00A14299"/>
    <w:rsid w:val="00A14A06"/>
    <w:rsid w:val="00A14F89"/>
    <w:rsid w:val="00A15817"/>
    <w:rsid w:val="00A158CA"/>
    <w:rsid w:val="00A16D0A"/>
    <w:rsid w:val="00A16F2A"/>
    <w:rsid w:val="00A17CE0"/>
    <w:rsid w:val="00A20BFE"/>
    <w:rsid w:val="00A23268"/>
    <w:rsid w:val="00A23B80"/>
    <w:rsid w:val="00A23D48"/>
    <w:rsid w:val="00A23F68"/>
    <w:rsid w:val="00A24631"/>
    <w:rsid w:val="00A269A8"/>
    <w:rsid w:val="00A3135E"/>
    <w:rsid w:val="00A31FAF"/>
    <w:rsid w:val="00A33C37"/>
    <w:rsid w:val="00A34A27"/>
    <w:rsid w:val="00A34C9D"/>
    <w:rsid w:val="00A364D4"/>
    <w:rsid w:val="00A3675F"/>
    <w:rsid w:val="00A370A1"/>
    <w:rsid w:val="00A37785"/>
    <w:rsid w:val="00A4009E"/>
    <w:rsid w:val="00A41FBA"/>
    <w:rsid w:val="00A42306"/>
    <w:rsid w:val="00A4462F"/>
    <w:rsid w:val="00A44E8D"/>
    <w:rsid w:val="00A45651"/>
    <w:rsid w:val="00A45D47"/>
    <w:rsid w:val="00A46A0C"/>
    <w:rsid w:val="00A46EA8"/>
    <w:rsid w:val="00A47AEC"/>
    <w:rsid w:val="00A50F15"/>
    <w:rsid w:val="00A519AB"/>
    <w:rsid w:val="00A525D1"/>
    <w:rsid w:val="00A531FA"/>
    <w:rsid w:val="00A53202"/>
    <w:rsid w:val="00A544BC"/>
    <w:rsid w:val="00A54739"/>
    <w:rsid w:val="00A55ACD"/>
    <w:rsid w:val="00A5621D"/>
    <w:rsid w:val="00A56517"/>
    <w:rsid w:val="00A56913"/>
    <w:rsid w:val="00A576E1"/>
    <w:rsid w:val="00A6185F"/>
    <w:rsid w:val="00A624B0"/>
    <w:rsid w:val="00A630C0"/>
    <w:rsid w:val="00A635FA"/>
    <w:rsid w:val="00A6466C"/>
    <w:rsid w:val="00A65B8E"/>
    <w:rsid w:val="00A65BE0"/>
    <w:rsid w:val="00A67AC8"/>
    <w:rsid w:val="00A73E7A"/>
    <w:rsid w:val="00A7475E"/>
    <w:rsid w:val="00A75F20"/>
    <w:rsid w:val="00A7661B"/>
    <w:rsid w:val="00A81669"/>
    <w:rsid w:val="00A82ED2"/>
    <w:rsid w:val="00A852CA"/>
    <w:rsid w:val="00A85D27"/>
    <w:rsid w:val="00A87B6D"/>
    <w:rsid w:val="00A912FC"/>
    <w:rsid w:val="00A92FDE"/>
    <w:rsid w:val="00A9780B"/>
    <w:rsid w:val="00AA0E26"/>
    <w:rsid w:val="00AA11B7"/>
    <w:rsid w:val="00AA12FA"/>
    <w:rsid w:val="00AA211D"/>
    <w:rsid w:val="00AA6D4A"/>
    <w:rsid w:val="00AA7B32"/>
    <w:rsid w:val="00AB0B96"/>
    <w:rsid w:val="00AB0F77"/>
    <w:rsid w:val="00AB3665"/>
    <w:rsid w:val="00AB4729"/>
    <w:rsid w:val="00AB5AC4"/>
    <w:rsid w:val="00AB7875"/>
    <w:rsid w:val="00AC2A2C"/>
    <w:rsid w:val="00AC3589"/>
    <w:rsid w:val="00AC3CF5"/>
    <w:rsid w:val="00AC3FD0"/>
    <w:rsid w:val="00AC4031"/>
    <w:rsid w:val="00AC596F"/>
    <w:rsid w:val="00AC68EE"/>
    <w:rsid w:val="00AD03EB"/>
    <w:rsid w:val="00AD0669"/>
    <w:rsid w:val="00AD080B"/>
    <w:rsid w:val="00AD0CAB"/>
    <w:rsid w:val="00AD2A8A"/>
    <w:rsid w:val="00AD321B"/>
    <w:rsid w:val="00AD465A"/>
    <w:rsid w:val="00AD71E0"/>
    <w:rsid w:val="00AE000E"/>
    <w:rsid w:val="00AE2B5A"/>
    <w:rsid w:val="00AE3F9D"/>
    <w:rsid w:val="00AE438F"/>
    <w:rsid w:val="00AE5184"/>
    <w:rsid w:val="00AF029D"/>
    <w:rsid w:val="00AF18FE"/>
    <w:rsid w:val="00AF23DD"/>
    <w:rsid w:val="00AF5377"/>
    <w:rsid w:val="00AF7E81"/>
    <w:rsid w:val="00B0038D"/>
    <w:rsid w:val="00B019A2"/>
    <w:rsid w:val="00B01BB2"/>
    <w:rsid w:val="00B01F7E"/>
    <w:rsid w:val="00B03F4C"/>
    <w:rsid w:val="00B074A3"/>
    <w:rsid w:val="00B1004A"/>
    <w:rsid w:val="00B104DF"/>
    <w:rsid w:val="00B10AA3"/>
    <w:rsid w:val="00B11EE2"/>
    <w:rsid w:val="00B135AC"/>
    <w:rsid w:val="00B14851"/>
    <w:rsid w:val="00B16C2A"/>
    <w:rsid w:val="00B17099"/>
    <w:rsid w:val="00B17562"/>
    <w:rsid w:val="00B20AC1"/>
    <w:rsid w:val="00B20CE8"/>
    <w:rsid w:val="00B21100"/>
    <w:rsid w:val="00B22D12"/>
    <w:rsid w:val="00B234FC"/>
    <w:rsid w:val="00B248F5"/>
    <w:rsid w:val="00B26195"/>
    <w:rsid w:val="00B30002"/>
    <w:rsid w:val="00B3087D"/>
    <w:rsid w:val="00B3132E"/>
    <w:rsid w:val="00B32732"/>
    <w:rsid w:val="00B33B91"/>
    <w:rsid w:val="00B345CE"/>
    <w:rsid w:val="00B34794"/>
    <w:rsid w:val="00B35873"/>
    <w:rsid w:val="00B36757"/>
    <w:rsid w:val="00B37063"/>
    <w:rsid w:val="00B42AD0"/>
    <w:rsid w:val="00B42D77"/>
    <w:rsid w:val="00B431DD"/>
    <w:rsid w:val="00B43DFD"/>
    <w:rsid w:val="00B44852"/>
    <w:rsid w:val="00B46A0A"/>
    <w:rsid w:val="00B50B8E"/>
    <w:rsid w:val="00B52AF0"/>
    <w:rsid w:val="00B54785"/>
    <w:rsid w:val="00B5625B"/>
    <w:rsid w:val="00B601DA"/>
    <w:rsid w:val="00B6036B"/>
    <w:rsid w:val="00B60421"/>
    <w:rsid w:val="00B60C51"/>
    <w:rsid w:val="00B630C1"/>
    <w:rsid w:val="00B71575"/>
    <w:rsid w:val="00B71D85"/>
    <w:rsid w:val="00B724F7"/>
    <w:rsid w:val="00B73169"/>
    <w:rsid w:val="00B737A5"/>
    <w:rsid w:val="00B75161"/>
    <w:rsid w:val="00B75E7E"/>
    <w:rsid w:val="00B77DC5"/>
    <w:rsid w:val="00B81EB6"/>
    <w:rsid w:val="00B81F07"/>
    <w:rsid w:val="00B83C59"/>
    <w:rsid w:val="00B85B67"/>
    <w:rsid w:val="00B90EC5"/>
    <w:rsid w:val="00B91CFE"/>
    <w:rsid w:val="00B92433"/>
    <w:rsid w:val="00B93884"/>
    <w:rsid w:val="00B93B14"/>
    <w:rsid w:val="00B95A0F"/>
    <w:rsid w:val="00B9758E"/>
    <w:rsid w:val="00BA1A16"/>
    <w:rsid w:val="00BA21A4"/>
    <w:rsid w:val="00BA74CB"/>
    <w:rsid w:val="00BA7F47"/>
    <w:rsid w:val="00BB0243"/>
    <w:rsid w:val="00BB0991"/>
    <w:rsid w:val="00BB2FE2"/>
    <w:rsid w:val="00BB3B02"/>
    <w:rsid w:val="00BB58B2"/>
    <w:rsid w:val="00BB58D6"/>
    <w:rsid w:val="00BC4CEC"/>
    <w:rsid w:val="00BC54CC"/>
    <w:rsid w:val="00BC5535"/>
    <w:rsid w:val="00BC6646"/>
    <w:rsid w:val="00BC7389"/>
    <w:rsid w:val="00BD0C3E"/>
    <w:rsid w:val="00BD24FD"/>
    <w:rsid w:val="00BD44D0"/>
    <w:rsid w:val="00BD4534"/>
    <w:rsid w:val="00BE055E"/>
    <w:rsid w:val="00BE08E4"/>
    <w:rsid w:val="00BE183E"/>
    <w:rsid w:val="00BE3995"/>
    <w:rsid w:val="00BE3D8C"/>
    <w:rsid w:val="00BE60D0"/>
    <w:rsid w:val="00BE6321"/>
    <w:rsid w:val="00BE6397"/>
    <w:rsid w:val="00BE6A52"/>
    <w:rsid w:val="00BE7402"/>
    <w:rsid w:val="00BE7726"/>
    <w:rsid w:val="00BF02DA"/>
    <w:rsid w:val="00BF3328"/>
    <w:rsid w:val="00BF580D"/>
    <w:rsid w:val="00C0076C"/>
    <w:rsid w:val="00C07B84"/>
    <w:rsid w:val="00C10B5F"/>
    <w:rsid w:val="00C10EEE"/>
    <w:rsid w:val="00C13794"/>
    <w:rsid w:val="00C13B84"/>
    <w:rsid w:val="00C14AED"/>
    <w:rsid w:val="00C15D86"/>
    <w:rsid w:val="00C16CFF"/>
    <w:rsid w:val="00C20ABD"/>
    <w:rsid w:val="00C21736"/>
    <w:rsid w:val="00C22B2C"/>
    <w:rsid w:val="00C2399E"/>
    <w:rsid w:val="00C24053"/>
    <w:rsid w:val="00C243AD"/>
    <w:rsid w:val="00C24454"/>
    <w:rsid w:val="00C25A99"/>
    <w:rsid w:val="00C309AB"/>
    <w:rsid w:val="00C31346"/>
    <w:rsid w:val="00C314FC"/>
    <w:rsid w:val="00C327C6"/>
    <w:rsid w:val="00C33ADC"/>
    <w:rsid w:val="00C3474E"/>
    <w:rsid w:val="00C34EAD"/>
    <w:rsid w:val="00C354CF"/>
    <w:rsid w:val="00C35E54"/>
    <w:rsid w:val="00C36895"/>
    <w:rsid w:val="00C37169"/>
    <w:rsid w:val="00C37452"/>
    <w:rsid w:val="00C37BB4"/>
    <w:rsid w:val="00C40444"/>
    <w:rsid w:val="00C40B93"/>
    <w:rsid w:val="00C415F0"/>
    <w:rsid w:val="00C421BE"/>
    <w:rsid w:val="00C42E44"/>
    <w:rsid w:val="00C44DF0"/>
    <w:rsid w:val="00C45E31"/>
    <w:rsid w:val="00C4675E"/>
    <w:rsid w:val="00C51C1F"/>
    <w:rsid w:val="00C5259C"/>
    <w:rsid w:val="00C53325"/>
    <w:rsid w:val="00C5702B"/>
    <w:rsid w:val="00C57AC6"/>
    <w:rsid w:val="00C6093A"/>
    <w:rsid w:val="00C64ED0"/>
    <w:rsid w:val="00C66F9F"/>
    <w:rsid w:val="00C7202A"/>
    <w:rsid w:val="00C72133"/>
    <w:rsid w:val="00C7235A"/>
    <w:rsid w:val="00C7414C"/>
    <w:rsid w:val="00C76852"/>
    <w:rsid w:val="00C7687A"/>
    <w:rsid w:val="00C76D29"/>
    <w:rsid w:val="00C800CD"/>
    <w:rsid w:val="00C80EB6"/>
    <w:rsid w:val="00C811DB"/>
    <w:rsid w:val="00C81284"/>
    <w:rsid w:val="00C815FD"/>
    <w:rsid w:val="00C816C6"/>
    <w:rsid w:val="00C82BDB"/>
    <w:rsid w:val="00C83C61"/>
    <w:rsid w:val="00C846C2"/>
    <w:rsid w:val="00C86D9E"/>
    <w:rsid w:val="00C878D5"/>
    <w:rsid w:val="00C9033B"/>
    <w:rsid w:val="00C909D7"/>
    <w:rsid w:val="00C91017"/>
    <w:rsid w:val="00C913A1"/>
    <w:rsid w:val="00C922AA"/>
    <w:rsid w:val="00C93100"/>
    <w:rsid w:val="00C9351F"/>
    <w:rsid w:val="00C93B19"/>
    <w:rsid w:val="00C95E17"/>
    <w:rsid w:val="00C976E6"/>
    <w:rsid w:val="00C97D31"/>
    <w:rsid w:val="00CA05BC"/>
    <w:rsid w:val="00CA19EA"/>
    <w:rsid w:val="00CA4AD2"/>
    <w:rsid w:val="00CA6C4C"/>
    <w:rsid w:val="00CB24AF"/>
    <w:rsid w:val="00CB2703"/>
    <w:rsid w:val="00CB4331"/>
    <w:rsid w:val="00CC2035"/>
    <w:rsid w:val="00CC2781"/>
    <w:rsid w:val="00CC297A"/>
    <w:rsid w:val="00CC577D"/>
    <w:rsid w:val="00CC5B2D"/>
    <w:rsid w:val="00CC6A99"/>
    <w:rsid w:val="00CC78FF"/>
    <w:rsid w:val="00CC7DE3"/>
    <w:rsid w:val="00CD0E36"/>
    <w:rsid w:val="00CD104F"/>
    <w:rsid w:val="00CD269B"/>
    <w:rsid w:val="00CD423C"/>
    <w:rsid w:val="00CD56EB"/>
    <w:rsid w:val="00CD57E4"/>
    <w:rsid w:val="00CD5A47"/>
    <w:rsid w:val="00CE158C"/>
    <w:rsid w:val="00CE17EB"/>
    <w:rsid w:val="00CE1902"/>
    <w:rsid w:val="00CE31BA"/>
    <w:rsid w:val="00CE329A"/>
    <w:rsid w:val="00CE34D9"/>
    <w:rsid w:val="00CE38A9"/>
    <w:rsid w:val="00CE3D46"/>
    <w:rsid w:val="00CE4A41"/>
    <w:rsid w:val="00CE5A15"/>
    <w:rsid w:val="00CE71E0"/>
    <w:rsid w:val="00CF0200"/>
    <w:rsid w:val="00CF1079"/>
    <w:rsid w:val="00CF284E"/>
    <w:rsid w:val="00CF4F60"/>
    <w:rsid w:val="00CF5A6B"/>
    <w:rsid w:val="00CF6850"/>
    <w:rsid w:val="00D00AA3"/>
    <w:rsid w:val="00D011C3"/>
    <w:rsid w:val="00D02E9D"/>
    <w:rsid w:val="00D03BCB"/>
    <w:rsid w:val="00D04CDB"/>
    <w:rsid w:val="00D0504E"/>
    <w:rsid w:val="00D07D06"/>
    <w:rsid w:val="00D07F73"/>
    <w:rsid w:val="00D10136"/>
    <w:rsid w:val="00D11A1A"/>
    <w:rsid w:val="00D1259E"/>
    <w:rsid w:val="00D139F8"/>
    <w:rsid w:val="00D13F18"/>
    <w:rsid w:val="00D14844"/>
    <w:rsid w:val="00D157B2"/>
    <w:rsid w:val="00D16063"/>
    <w:rsid w:val="00D17BE3"/>
    <w:rsid w:val="00D2041C"/>
    <w:rsid w:val="00D23D9D"/>
    <w:rsid w:val="00D2405D"/>
    <w:rsid w:val="00D246CD"/>
    <w:rsid w:val="00D255ED"/>
    <w:rsid w:val="00D25ADE"/>
    <w:rsid w:val="00D27400"/>
    <w:rsid w:val="00D30740"/>
    <w:rsid w:val="00D31909"/>
    <w:rsid w:val="00D32159"/>
    <w:rsid w:val="00D3261B"/>
    <w:rsid w:val="00D338C0"/>
    <w:rsid w:val="00D33941"/>
    <w:rsid w:val="00D35B67"/>
    <w:rsid w:val="00D36F98"/>
    <w:rsid w:val="00D37B0D"/>
    <w:rsid w:val="00D4041E"/>
    <w:rsid w:val="00D4058F"/>
    <w:rsid w:val="00D40F7D"/>
    <w:rsid w:val="00D41484"/>
    <w:rsid w:val="00D41C7B"/>
    <w:rsid w:val="00D43297"/>
    <w:rsid w:val="00D44889"/>
    <w:rsid w:val="00D44B30"/>
    <w:rsid w:val="00D44DB6"/>
    <w:rsid w:val="00D46A3C"/>
    <w:rsid w:val="00D47CA9"/>
    <w:rsid w:val="00D50119"/>
    <w:rsid w:val="00D5038D"/>
    <w:rsid w:val="00D524B4"/>
    <w:rsid w:val="00D524FE"/>
    <w:rsid w:val="00D525E7"/>
    <w:rsid w:val="00D52B18"/>
    <w:rsid w:val="00D52B89"/>
    <w:rsid w:val="00D52CA3"/>
    <w:rsid w:val="00D54178"/>
    <w:rsid w:val="00D57823"/>
    <w:rsid w:val="00D61739"/>
    <w:rsid w:val="00D61D91"/>
    <w:rsid w:val="00D62B8B"/>
    <w:rsid w:val="00D63494"/>
    <w:rsid w:val="00D63A38"/>
    <w:rsid w:val="00D63D8B"/>
    <w:rsid w:val="00D64B0C"/>
    <w:rsid w:val="00D667AA"/>
    <w:rsid w:val="00D67BA6"/>
    <w:rsid w:val="00D72864"/>
    <w:rsid w:val="00D72C42"/>
    <w:rsid w:val="00D73D79"/>
    <w:rsid w:val="00D73EB5"/>
    <w:rsid w:val="00D743B4"/>
    <w:rsid w:val="00D75505"/>
    <w:rsid w:val="00D75961"/>
    <w:rsid w:val="00D76FA9"/>
    <w:rsid w:val="00D803B5"/>
    <w:rsid w:val="00D81F3A"/>
    <w:rsid w:val="00D821EF"/>
    <w:rsid w:val="00D82A43"/>
    <w:rsid w:val="00D85E68"/>
    <w:rsid w:val="00D8646F"/>
    <w:rsid w:val="00D87434"/>
    <w:rsid w:val="00D9161C"/>
    <w:rsid w:val="00D91C39"/>
    <w:rsid w:val="00D91D2B"/>
    <w:rsid w:val="00D92232"/>
    <w:rsid w:val="00D92E1A"/>
    <w:rsid w:val="00D92E86"/>
    <w:rsid w:val="00D962BC"/>
    <w:rsid w:val="00D96FE7"/>
    <w:rsid w:val="00DA0604"/>
    <w:rsid w:val="00DA1E24"/>
    <w:rsid w:val="00DA20BF"/>
    <w:rsid w:val="00DA31D7"/>
    <w:rsid w:val="00DA4074"/>
    <w:rsid w:val="00DA56A9"/>
    <w:rsid w:val="00DA74E4"/>
    <w:rsid w:val="00DA7B5D"/>
    <w:rsid w:val="00DB0342"/>
    <w:rsid w:val="00DB16EB"/>
    <w:rsid w:val="00DB1D19"/>
    <w:rsid w:val="00DB5645"/>
    <w:rsid w:val="00DC2492"/>
    <w:rsid w:val="00DC4B37"/>
    <w:rsid w:val="00DC52BD"/>
    <w:rsid w:val="00DC5B3F"/>
    <w:rsid w:val="00DC69A8"/>
    <w:rsid w:val="00DC6A21"/>
    <w:rsid w:val="00DD2791"/>
    <w:rsid w:val="00DD4E9D"/>
    <w:rsid w:val="00DD4EDA"/>
    <w:rsid w:val="00DD532A"/>
    <w:rsid w:val="00DD636D"/>
    <w:rsid w:val="00DE1253"/>
    <w:rsid w:val="00DE1B7B"/>
    <w:rsid w:val="00DE25CD"/>
    <w:rsid w:val="00DE38EA"/>
    <w:rsid w:val="00DE3C0A"/>
    <w:rsid w:val="00DE45AA"/>
    <w:rsid w:val="00DE615B"/>
    <w:rsid w:val="00DE6AA7"/>
    <w:rsid w:val="00DE74E1"/>
    <w:rsid w:val="00DF1C8D"/>
    <w:rsid w:val="00DF2119"/>
    <w:rsid w:val="00DF2FE6"/>
    <w:rsid w:val="00DF58C5"/>
    <w:rsid w:val="00DF58E7"/>
    <w:rsid w:val="00DF7778"/>
    <w:rsid w:val="00E000FB"/>
    <w:rsid w:val="00E00180"/>
    <w:rsid w:val="00E0211F"/>
    <w:rsid w:val="00E02DA5"/>
    <w:rsid w:val="00E0326F"/>
    <w:rsid w:val="00E0441D"/>
    <w:rsid w:val="00E07848"/>
    <w:rsid w:val="00E11655"/>
    <w:rsid w:val="00E11876"/>
    <w:rsid w:val="00E126E3"/>
    <w:rsid w:val="00E1276E"/>
    <w:rsid w:val="00E1324C"/>
    <w:rsid w:val="00E1390D"/>
    <w:rsid w:val="00E14C7C"/>
    <w:rsid w:val="00E172CF"/>
    <w:rsid w:val="00E226F3"/>
    <w:rsid w:val="00E2282B"/>
    <w:rsid w:val="00E23CBB"/>
    <w:rsid w:val="00E24FBC"/>
    <w:rsid w:val="00E25626"/>
    <w:rsid w:val="00E27D82"/>
    <w:rsid w:val="00E27DE8"/>
    <w:rsid w:val="00E30705"/>
    <w:rsid w:val="00E31A4F"/>
    <w:rsid w:val="00E3296A"/>
    <w:rsid w:val="00E3543B"/>
    <w:rsid w:val="00E365AD"/>
    <w:rsid w:val="00E36AE0"/>
    <w:rsid w:val="00E37B59"/>
    <w:rsid w:val="00E43068"/>
    <w:rsid w:val="00E45B3C"/>
    <w:rsid w:val="00E46CD4"/>
    <w:rsid w:val="00E47235"/>
    <w:rsid w:val="00E47944"/>
    <w:rsid w:val="00E47FF5"/>
    <w:rsid w:val="00E50B2F"/>
    <w:rsid w:val="00E51D9C"/>
    <w:rsid w:val="00E51F0C"/>
    <w:rsid w:val="00E52CB3"/>
    <w:rsid w:val="00E53438"/>
    <w:rsid w:val="00E53947"/>
    <w:rsid w:val="00E54222"/>
    <w:rsid w:val="00E56C57"/>
    <w:rsid w:val="00E57465"/>
    <w:rsid w:val="00E602FC"/>
    <w:rsid w:val="00E652FD"/>
    <w:rsid w:val="00E7109B"/>
    <w:rsid w:val="00E714A0"/>
    <w:rsid w:val="00E71ABD"/>
    <w:rsid w:val="00E71C64"/>
    <w:rsid w:val="00E725FC"/>
    <w:rsid w:val="00E730C7"/>
    <w:rsid w:val="00E7387E"/>
    <w:rsid w:val="00E7398E"/>
    <w:rsid w:val="00E741D9"/>
    <w:rsid w:val="00E74686"/>
    <w:rsid w:val="00E74C57"/>
    <w:rsid w:val="00E75202"/>
    <w:rsid w:val="00E752A4"/>
    <w:rsid w:val="00E7559A"/>
    <w:rsid w:val="00E77324"/>
    <w:rsid w:val="00E81AFD"/>
    <w:rsid w:val="00E85756"/>
    <w:rsid w:val="00E86F04"/>
    <w:rsid w:val="00E90871"/>
    <w:rsid w:val="00E911B6"/>
    <w:rsid w:val="00E91ECF"/>
    <w:rsid w:val="00E929EE"/>
    <w:rsid w:val="00E942CB"/>
    <w:rsid w:val="00E94C2F"/>
    <w:rsid w:val="00E94E25"/>
    <w:rsid w:val="00E967A6"/>
    <w:rsid w:val="00E970E8"/>
    <w:rsid w:val="00E97DA1"/>
    <w:rsid w:val="00EA0215"/>
    <w:rsid w:val="00EA36C6"/>
    <w:rsid w:val="00EA5004"/>
    <w:rsid w:val="00EA5952"/>
    <w:rsid w:val="00EA7D4F"/>
    <w:rsid w:val="00EB0119"/>
    <w:rsid w:val="00EB0635"/>
    <w:rsid w:val="00EB1652"/>
    <w:rsid w:val="00EB267F"/>
    <w:rsid w:val="00EB2A9E"/>
    <w:rsid w:val="00EB57AD"/>
    <w:rsid w:val="00EB616A"/>
    <w:rsid w:val="00EB697D"/>
    <w:rsid w:val="00EC0F5C"/>
    <w:rsid w:val="00EC2020"/>
    <w:rsid w:val="00EC30F9"/>
    <w:rsid w:val="00EC3D02"/>
    <w:rsid w:val="00EC446B"/>
    <w:rsid w:val="00EC6B06"/>
    <w:rsid w:val="00EC70F8"/>
    <w:rsid w:val="00EC769D"/>
    <w:rsid w:val="00EC7FA6"/>
    <w:rsid w:val="00ED01FA"/>
    <w:rsid w:val="00ED1792"/>
    <w:rsid w:val="00ED21B9"/>
    <w:rsid w:val="00ED255A"/>
    <w:rsid w:val="00ED3CDD"/>
    <w:rsid w:val="00ED5725"/>
    <w:rsid w:val="00ED6646"/>
    <w:rsid w:val="00ED665E"/>
    <w:rsid w:val="00ED6A61"/>
    <w:rsid w:val="00ED7031"/>
    <w:rsid w:val="00EE12A0"/>
    <w:rsid w:val="00EE2BCB"/>
    <w:rsid w:val="00EE2CF3"/>
    <w:rsid w:val="00EE3060"/>
    <w:rsid w:val="00EE38C5"/>
    <w:rsid w:val="00EE4315"/>
    <w:rsid w:val="00EE4CEB"/>
    <w:rsid w:val="00EE54A1"/>
    <w:rsid w:val="00EE7481"/>
    <w:rsid w:val="00EF091F"/>
    <w:rsid w:val="00EF10B0"/>
    <w:rsid w:val="00EF2017"/>
    <w:rsid w:val="00EF484C"/>
    <w:rsid w:val="00EF561A"/>
    <w:rsid w:val="00EF6925"/>
    <w:rsid w:val="00EF75BE"/>
    <w:rsid w:val="00EF798F"/>
    <w:rsid w:val="00F02BD1"/>
    <w:rsid w:val="00F03959"/>
    <w:rsid w:val="00F06A55"/>
    <w:rsid w:val="00F07A99"/>
    <w:rsid w:val="00F105F3"/>
    <w:rsid w:val="00F109A4"/>
    <w:rsid w:val="00F12118"/>
    <w:rsid w:val="00F12EFF"/>
    <w:rsid w:val="00F1441B"/>
    <w:rsid w:val="00F148C8"/>
    <w:rsid w:val="00F15348"/>
    <w:rsid w:val="00F15D31"/>
    <w:rsid w:val="00F15E89"/>
    <w:rsid w:val="00F1767C"/>
    <w:rsid w:val="00F20238"/>
    <w:rsid w:val="00F2262A"/>
    <w:rsid w:val="00F22842"/>
    <w:rsid w:val="00F22D4E"/>
    <w:rsid w:val="00F24CD5"/>
    <w:rsid w:val="00F26ED3"/>
    <w:rsid w:val="00F273F5"/>
    <w:rsid w:val="00F31FEB"/>
    <w:rsid w:val="00F32023"/>
    <w:rsid w:val="00F32181"/>
    <w:rsid w:val="00F322A6"/>
    <w:rsid w:val="00F32989"/>
    <w:rsid w:val="00F332D4"/>
    <w:rsid w:val="00F3337D"/>
    <w:rsid w:val="00F333BD"/>
    <w:rsid w:val="00F34456"/>
    <w:rsid w:val="00F34593"/>
    <w:rsid w:val="00F35070"/>
    <w:rsid w:val="00F37958"/>
    <w:rsid w:val="00F37F4C"/>
    <w:rsid w:val="00F4173C"/>
    <w:rsid w:val="00F421F6"/>
    <w:rsid w:val="00F4234A"/>
    <w:rsid w:val="00F429CD"/>
    <w:rsid w:val="00F43791"/>
    <w:rsid w:val="00F43B69"/>
    <w:rsid w:val="00F449A4"/>
    <w:rsid w:val="00F47B07"/>
    <w:rsid w:val="00F5095C"/>
    <w:rsid w:val="00F525F1"/>
    <w:rsid w:val="00F53170"/>
    <w:rsid w:val="00F53210"/>
    <w:rsid w:val="00F5794C"/>
    <w:rsid w:val="00F61580"/>
    <w:rsid w:val="00F62495"/>
    <w:rsid w:val="00F62B7A"/>
    <w:rsid w:val="00F6397D"/>
    <w:rsid w:val="00F64419"/>
    <w:rsid w:val="00F64771"/>
    <w:rsid w:val="00F64E83"/>
    <w:rsid w:val="00F65548"/>
    <w:rsid w:val="00F65BB0"/>
    <w:rsid w:val="00F661C0"/>
    <w:rsid w:val="00F66C7C"/>
    <w:rsid w:val="00F71C07"/>
    <w:rsid w:val="00F71C2E"/>
    <w:rsid w:val="00F7293E"/>
    <w:rsid w:val="00F73B3A"/>
    <w:rsid w:val="00F75D7E"/>
    <w:rsid w:val="00F7658C"/>
    <w:rsid w:val="00F76650"/>
    <w:rsid w:val="00F770C6"/>
    <w:rsid w:val="00F7790D"/>
    <w:rsid w:val="00F80973"/>
    <w:rsid w:val="00F82E14"/>
    <w:rsid w:val="00F83641"/>
    <w:rsid w:val="00F8499B"/>
    <w:rsid w:val="00F91006"/>
    <w:rsid w:val="00F9187B"/>
    <w:rsid w:val="00F92385"/>
    <w:rsid w:val="00F93C56"/>
    <w:rsid w:val="00F93FA3"/>
    <w:rsid w:val="00F96E3B"/>
    <w:rsid w:val="00FA0133"/>
    <w:rsid w:val="00FA0631"/>
    <w:rsid w:val="00FA06AE"/>
    <w:rsid w:val="00FA124F"/>
    <w:rsid w:val="00FA1B4F"/>
    <w:rsid w:val="00FA2338"/>
    <w:rsid w:val="00FA5461"/>
    <w:rsid w:val="00FA68A4"/>
    <w:rsid w:val="00FA6C0D"/>
    <w:rsid w:val="00FA73CA"/>
    <w:rsid w:val="00FB0952"/>
    <w:rsid w:val="00FB1D95"/>
    <w:rsid w:val="00FB42B2"/>
    <w:rsid w:val="00FB49A1"/>
    <w:rsid w:val="00FB51DB"/>
    <w:rsid w:val="00FB7EFA"/>
    <w:rsid w:val="00FC014D"/>
    <w:rsid w:val="00FC047A"/>
    <w:rsid w:val="00FC1FD2"/>
    <w:rsid w:val="00FC23E7"/>
    <w:rsid w:val="00FC3A15"/>
    <w:rsid w:val="00FC4332"/>
    <w:rsid w:val="00FC47F9"/>
    <w:rsid w:val="00FC4965"/>
    <w:rsid w:val="00FC4FF6"/>
    <w:rsid w:val="00FC5010"/>
    <w:rsid w:val="00FC50F7"/>
    <w:rsid w:val="00FC6A43"/>
    <w:rsid w:val="00FC7C72"/>
    <w:rsid w:val="00FC7D4A"/>
    <w:rsid w:val="00FD32D5"/>
    <w:rsid w:val="00FD34B7"/>
    <w:rsid w:val="00FD6989"/>
    <w:rsid w:val="00FD6D91"/>
    <w:rsid w:val="00FE0128"/>
    <w:rsid w:val="00FE08B4"/>
    <w:rsid w:val="00FE103D"/>
    <w:rsid w:val="00FE2351"/>
    <w:rsid w:val="00FE303C"/>
    <w:rsid w:val="00FE337D"/>
    <w:rsid w:val="00FE44A7"/>
    <w:rsid w:val="00FE5580"/>
    <w:rsid w:val="00FE5ED0"/>
    <w:rsid w:val="00FE6722"/>
    <w:rsid w:val="00FE78B5"/>
    <w:rsid w:val="00FF06AE"/>
    <w:rsid w:val="00FF086D"/>
    <w:rsid w:val="00FF0B3C"/>
    <w:rsid w:val="00FF110C"/>
    <w:rsid w:val="00FF529C"/>
    <w:rsid w:val="00FF705F"/>
    <w:rsid w:val="00FF7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2E9F4"/>
  <w15:chartTrackingRefBased/>
  <w15:docId w15:val="{3C2609E4-ABFA-4370-AE47-FB886542824A}"/>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ALTS FOOTNOTE,fn C"/>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7657C1"/>
    <w:rPr>
      <w:rFonts w:ascii="Book Antiqua" w:hAnsi="Book Antiqua"/>
      <w:szCs w:val="20"/>
    </w:rPr>
  </w:style>
  <w:style w:type="character" w:styleId="FootnoteReference">
    <w:name w:val="footnote reference"/>
    <w:aliases w:val="o,fr,Style 3,o1,o2,o3,o4,o5,o6,o11,o21,o7,Style 17,Style 13,Appel note de bas de p,Style 12,(NECG) Footnote Reference,Style 124,o + Times New Roman,Style 58,Style 20,fr1,fr2,fr3,FR,Footnote Reference/,Style 6,Footnote Reference1"/>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Revision">
    <w:name w:val="Revision"/>
    <w:hidden/>
    <w:uiPriority w:val="99"/>
    <w:semiHidden/>
    <w:rsid w:val="00B71D85"/>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43611C"/>
    <w:rPr>
      <w:sz w:val="16"/>
      <w:szCs w:val="16"/>
    </w:rPr>
  </w:style>
  <w:style w:type="paragraph" w:styleId="CommentText">
    <w:name w:val="annotation text"/>
    <w:basedOn w:val="Normal"/>
    <w:link w:val="CommentTextChar"/>
    <w:uiPriority w:val="99"/>
    <w:unhideWhenUsed/>
    <w:rsid w:val="0043611C"/>
    <w:pPr>
      <w:spacing w:line="240" w:lineRule="auto"/>
    </w:pPr>
    <w:rPr>
      <w:sz w:val="20"/>
      <w:szCs w:val="20"/>
    </w:rPr>
  </w:style>
  <w:style w:type="character" w:customStyle="1" w:styleId="CommentTextChar">
    <w:name w:val="Comment Text Char"/>
    <w:basedOn w:val="DefaultParagraphFont"/>
    <w:link w:val="CommentText"/>
    <w:uiPriority w:val="99"/>
    <w:rsid w:val="0043611C"/>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3611C"/>
    <w:rPr>
      <w:b/>
      <w:bCs/>
    </w:rPr>
  </w:style>
  <w:style w:type="character" w:customStyle="1" w:styleId="CommentSubjectChar">
    <w:name w:val="Comment Subject Char"/>
    <w:basedOn w:val="CommentTextChar"/>
    <w:link w:val="CommentSubject"/>
    <w:uiPriority w:val="99"/>
    <w:semiHidden/>
    <w:rsid w:val="0043611C"/>
    <w:rPr>
      <w:rFonts w:ascii="Book Antiqua" w:hAnsi="Book Antiqua"/>
      <w:b/>
      <w:bCs/>
      <w:sz w:val="20"/>
      <w:szCs w:val="20"/>
    </w:rPr>
  </w:style>
  <w:style w:type="character" w:styleId="UnresolvedMention">
    <w:name w:val="Unresolved Mention"/>
    <w:basedOn w:val="DefaultParagraphFont"/>
    <w:uiPriority w:val="99"/>
    <w:semiHidden/>
    <w:unhideWhenUsed/>
    <w:rsid w:val="00784DCA"/>
    <w:rPr>
      <w:color w:val="605E5C"/>
      <w:shd w:val="clear" w:color="auto" w:fill="E1DFDD"/>
    </w:rPr>
  </w:style>
  <w:style w:type="paragraph" w:styleId="BodyText">
    <w:name w:val="Body Text"/>
    <w:basedOn w:val="Normal"/>
    <w:link w:val="BodyTextChar"/>
    <w:uiPriority w:val="99"/>
    <w:semiHidden/>
    <w:unhideWhenUsed/>
    <w:rsid w:val="00955455"/>
    <w:pPr>
      <w:spacing w:after="120"/>
    </w:pPr>
  </w:style>
  <w:style w:type="character" w:customStyle="1" w:styleId="BodyTextChar">
    <w:name w:val="Body Text Char"/>
    <w:basedOn w:val="DefaultParagraphFont"/>
    <w:link w:val="BodyText"/>
    <w:uiPriority w:val="99"/>
    <w:semiHidden/>
    <w:rsid w:val="00955455"/>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17329257">
      <w:bodyDiv w:val="1"/>
      <w:marLeft w:val="0"/>
      <w:marRight w:val="0"/>
      <w:marTop w:val="0"/>
      <w:marBottom w:val="0"/>
      <w:divBdr>
        <w:top w:val="none" w:sz="0" w:space="0" w:color="auto"/>
        <w:left w:val="none" w:sz="0" w:space="0" w:color="auto"/>
        <w:bottom w:val="none" w:sz="0" w:space="0" w:color="auto"/>
        <w:right w:val="none" w:sz="0" w:space="0" w:color="auto"/>
      </w:divBdr>
      <w:divsChild>
        <w:div w:id="1781026655">
          <w:marLeft w:val="0"/>
          <w:marRight w:val="0"/>
          <w:marTop w:val="0"/>
          <w:marBottom w:val="300"/>
          <w:divBdr>
            <w:top w:val="none" w:sz="0" w:space="0" w:color="auto"/>
            <w:left w:val="none" w:sz="0" w:space="0" w:color="auto"/>
            <w:bottom w:val="none" w:sz="0" w:space="0" w:color="auto"/>
            <w:right w:val="none" w:sz="0" w:space="0" w:color="auto"/>
          </w:divBdr>
        </w:div>
      </w:divsChild>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094321884">
      <w:bodyDiv w:val="1"/>
      <w:marLeft w:val="0"/>
      <w:marRight w:val="0"/>
      <w:marTop w:val="0"/>
      <w:marBottom w:val="0"/>
      <w:divBdr>
        <w:top w:val="none" w:sz="0" w:space="0" w:color="auto"/>
        <w:left w:val="none" w:sz="0" w:space="0" w:color="auto"/>
        <w:bottom w:val="none" w:sz="0" w:space="0" w:color="auto"/>
        <w:right w:val="none" w:sz="0" w:space="0" w:color="auto"/>
      </w:divBdr>
      <w:divsChild>
        <w:div w:id="1527409416">
          <w:marLeft w:val="0"/>
          <w:marRight w:val="0"/>
          <w:marTop w:val="0"/>
          <w:marBottom w:val="300"/>
          <w:divBdr>
            <w:top w:val="none" w:sz="0" w:space="0" w:color="auto"/>
            <w:left w:val="none" w:sz="0" w:space="0" w:color="auto"/>
            <w:bottom w:val="none" w:sz="0" w:space="0" w:color="auto"/>
            <w:right w:val="none" w:sz="0" w:space="0" w:color="auto"/>
          </w:divBdr>
        </w:div>
      </w:divsChild>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339694510">
      <w:bodyDiv w:val="1"/>
      <w:marLeft w:val="0"/>
      <w:marRight w:val="0"/>
      <w:marTop w:val="0"/>
      <w:marBottom w:val="0"/>
      <w:divBdr>
        <w:top w:val="none" w:sz="0" w:space="0" w:color="auto"/>
        <w:left w:val="none" w:sz="0" w:space="0" w:color="auto"/>
        <w:bottom w:val="none" w:sz="0" w:space="0" w:color="auto"/>
        <w:right w:val="none" w:sz="0" w:space="0" w:color="auto"/>
      </w:divBdr>
    </w:div>
    <w:div w:id="1583374665">
      <w:bodyDiv w:val="1"/>
      <w:marLeft w:val="0"/>
      <w:marRight w:val="0"/>
      <w:marTop w:val="0"/>
      <w:marBottom w:val="0"/>
      <w:divBdr>
        <w:top w:val="none" w:sz="0" w:space="0" w:color="auto"/>
        <w:left w:val="none" w:sz="0" w:space="0" w:color="auto"/>
        <w:bottom w:val="none" w:sz="0" w:space="0" w:color="auto"/>
        <w:right w:val="none" w:sz="0" w:space="0" w:color="auto"/>
      </w:divBdr>
      <w:divsChild>
        <w:div w:id="91797994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casetext.com/case/fassberg-v-housing-authority" TargetMode="External"/><Relationship Id="rId3" Type="http://schemas.openxmlformats.org/officeDocument/2006/relationships/hyperlink" Target="https://casetext.com/case/federer-v-county-of-sacramento" TargetMode="External"/><Relationship Id="rId7" Type="http://schemas.openxmlformats.org/officeDocument/2006/relationships/hyperlink" Target="https://casetext.com/case/fassberg-v-housing-authority" TargetMode="External"/><Relationship Id="rId2" Type="http://schemas.openxmlformats.org/officeDocument/2006/relationships/hyperlink" Target="https://casetext.com/case/brandwein-v-butler" TargetMode="External"/><Relationship Id="rId1" Type="http://schemas.openxmlformats.org/officeDocument/2006/relationships/hyperlink" Target="https://casetext.com/case/brandwein-v-butler" TargetMode="External"/><Relationship Id="rId6" Type="http://schemas.openxmlformats.org/officeDocument/2006/relationships/hyperlink" Target="https://casetext.com/case/ramona-v-superior-court" TargetMode="External"/><Relationship Id="rId5" Type="http://schemas.openxmlformats.org/officeDocument/2006/relationships/hyperlink" Target="https://casetext.com/case/ramona-v-superior-court" TargetMode="External"/><Relationship Id="rId4" Type="http://schemas.openxmlformats.org/officeDocument/2006/relationships/hyperlink" Target="https://casetext.com/case/federer-v-county-of-sacramento" TargetMode="External"/><Relationship Id="rId9" Type="http://schemas.openxmlformats.org/officeDocument/2006/relationships/hyperlink" Target="https://casetext.com/case/rodas-v-spieg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1150C3125F864C9CCCEC1861A1B2F5" ma:contentTypeVersion="16" ma:contentTypeDescription="Create a new document." ma:contentTypeScope="" ma:versionID="0af17cea48717f4fc04f1480b532ff96">
  <xsd:schema xmlns:xsd="http://www.w3.org/2001/XMLSchema" xmlns:xs="http://www.w3.org/2001/XMLSchema" xmlns:p="http://schemas.microsoft.com/office/2006/metadata/properties" xmlns:ns2="666bae34-6e25-4200-951c-37ff8952d53f" xmlns:ns3="ad978288-04a1-4831-9970-6956df3b715e" targetNamespace="http://schemas.microsoft.com/office/2006/metadata/properties" ma:root="true" ma:fieldsID="5e0070f4737705d205225a52b8826202" ns2:_="" ns3:_="">
    <xsd:import namespace="666bae34-6e25-4200-951c-37ff8952d53f"/>
    <xsd:import namespace="ad978288-04a1-4831-9970-6956df3b71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ae34-6e25-4200-951c-37ff8952d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78288-04a1-4831-9970-6956df3b71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49e56d6-1a3d-410f-a22d-9aa7c51d4345}" ma:internalName="TaxCatchAll" ma:showField="CatchAllData" ma:web="ad978288-04a1-4831-9970-6956df3b7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d978288-04a1-4831-9970-6956df3b715e">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666bae34-6e25-4200-951c-37ff8952d53f">
      <Terms xmlns="http://schemas.microsoft.com/office/infopath/2007/PartnerControls"/>
    </lcf76f155ced4ddcb4097134ff3c332f>
    <TaxCatchAll xmlns="ad978288-04a1-4831-9970-6956df3b715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D6FC4148-63C5-462B-B057-DC17665C1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ae34-6e25-4200-951c-37ff8952d53f"/>
    <ds:schemaRef ds:uri="ad978288-04a1-4831-9970-6956df3b7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ad978288-04a1-4831-9970-6956df3b715e"/>
    <ds:schemaRef ds:uri="666bae34-6e25-4200-951c-37ff8952d53f"/>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31</ap:Pages>
  <ap:Words>6442</ap:Words>
  <ap:Characters>38525</ap:Characters>
  <ap:Application>Microsoft Office Word</ap:Application>
  <ap:DocSecurity>0</ap:DocSecurity>
  <ap:Lines>4280</ap:Lines>
  <ap:Paragraphs>1955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43012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2026-04-24T05:28:00Z</cp:lastPrinted>
  <dcterms:created xsi:type="dcterms:W3CDTF">2026-04-28T18:20:40Z</dcterms:created>
  <dcterms:modified xsi:type="dcterms:W3CDTF">2026-04-28T18:20:40Z</dcterms:modified>
</cp:coreProperties>
</file>