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8071B6" w14:paraId="4DDD0B3D" w14:textId="1A08752B">
      <w:pPr>
        <w:tabs>
          <w:tab w:val="center" w:pos="4680"/>
          <w:tab w:val="right" w:pos="9360"/>
        </w:tabs>
        <w:spacing w:line="240" w:lineRule="auto"/>
        <w:ind w:firstLine="0"/>
      </w:pPr>
      <w:r>
        <w:t>ALJ/PPE/</w:t>
      </w:r>
      <w:proofErr w:type="spellStart"/>
      <w:r>
        <w:t>avs</w:t>
      </w:r>
      <w:proofErr w:type="spellEnd"/>
      <w:r w:rsidR="003D7C97">
        <w:t xml:space="preserve">         </w:t>
      </w:r>
      <w:r w:rsidR="00DA7B5D">
        <w:rPr>
          <w:rFonts w:ascii="Arial" w:hAnsi="Arial" w:cs="Arial"/>
          <w:b/>
          <w:sz w:val="32"/>
          <w:szCs w:val="32"/>
        </w:rPr>
        <w:t>PROPOSED DECISION</w:t>
      </w:r>
      <w:r w:rsidR="00DA7B5D">
        <w:tab/>
      </w:r>
      <w:r w:rsidRPr="00EE4315" w:rsidR="00DA7B5D">
        <w:rPr>
          <w:b/>
        </w:rPr>
        <w:t>Agenda ID #</w:t>
      </w:r>
      <w:r w:rsidR="00AF4D5E">
        <w:rPr>
          <w:b/>
        </w:rPr>
        <w:t>24043</w:t>
      </w:r>
      <w:r w:rsidR="003D7C97">
        <w:rPr>
          <w:b/>
        </w:rPr>
        <w:t xml:space="preserve"> (Rev. 1)</w:t>
      </w:r>
    </w:p>
    <w:p w:rsidR="00DA7B5D" w:rsidP="00632207" w:rsidRDefault="008071B6" w14:paraId="340513C7" w14:textId="245261C5">
      <w:pPr>
        <w:spacing w:line="240" w:lineRule="auto"/>
        <w:jc w:val="right"/>
        <w:rPr>
          <w:b/>
        </w:rPr>
      </w:pPr>
      <w:r>
        <w:rPr>
          <w:b/>
        </w:rPr>
        <w:t>Ratesetting</w:t>
      </w:r>
    </w:p>
    <w:p w:rsidRPr="00EE4315" w:rsidR="003D7C97" w:rsidP="00632207" w:rsidRDefault="003D7C97" w14:paraId="464513B0" w14:textId="56315457">
      <w:pPr>
        <w:spacing w:line="240" w:lineRule="auto"/>
        <w:jc w:val="right"/>
        <w:rPr>
          <w:b/>
        </w:rPr>
      </w:pPr>
      <w:r>
        <w:rPr>
          <w:b/>
        </w:rPr>
        <w:t>3/16/2026 Item #19</w:t>
      </w:r>
    </w:p>
    <w:p w:rsidR="00DA7B5D" w:rsidP="008F0116" w:rsidRDefault="00DA7B5D" w14:paraId="41D4935B" w14:textId="77777777">
      <w:pPr>
        <w:ind w:firstLine="0"/>
      </w:pPr>
    </w:p>
    <w:p w:rsidRPr="00EE3060" w:rsidR="00DA7B5D" w:rsidP="0098655A" w:rsidRDefault="00DA7B5D" w14:paraId="1325F0A3" w14:textId="5BBB5350">
      <w:pPr>
        <w:ind w:left="1080" w:hanging="1080"/>
      </w:pPr>
      <w:r>
        <w:t xml:space="preserve">Decision </w:t>
      </w:r>
      <w:r w:rsidRPr="008071B6" w:rsidR="008071B6">
        <w:rPr>
          <w:b/>
          <w:bCs/>
          <w:u w:val="single"/>
        </w:rPr>
        <w:t xml:space="preserve">PROPOSED DECISION OF ALJ </w:t>
      </w:r>
      <w:r w:rsidRPr="008071B6" w:rsidR="00BF6DDC">
        <w:rPr>
          <w:b/>
          <w:bCs/>
          <w:u w:val="single"/>
        </w:rPr>
        <w:t>PETERSEN</w:t>
      </w:r>
      <w:r w:rsidRPr="008071B6" w:rsidR="00BF6DDC">
        <w:rPr>
          <w:b/>
          <w:bCs/>
        </w:rPr>
        <w:t xml:space="preserve"> (</w:t>
      </w:r>
      <w:r w:rsidRPr="008071B6" w:rsidR="008071B6">
        <w:rPr>
          <w:b/>
          <w:bCs/>
        </w:rPr>
        <w:t xml:space="preserve">Mailed </w:t>
      </w:r>
      <w:r w:rsidR="006D454A">
        <w:rPr>
          <w:b/>
          <w:bCs/>
        </w:rPr>
        <w:t>2/13</w:t>
      </w:r>
      <w:r w:rsidRPr="008071B6" w:rsidR="008071B6">
        <w:rPr>
          <w:b/>
          <w:bCs/>
        </w:rPr>
        <w:t>/2026)</w:t>
      </w:r>
    </w:p>
    <w:p w:rsidR="00DA7B5D" w:rsidP="00BB0243" w:rsidRDefault="00DA7B5D" w14:paraId="318D6A3E" w14:textId="77777777">
      <w:pPr>
        <w:spacing w:line="240" w:lineRule="auto"/>
        <w:jc w:val="center"/>
        <w:rPr>
          <w:u w:val="single"/>
        </w:rPr>
      </w:pPr>
    </w:p>
    <w:p w:rsidR="00DA7B5D" w:rsidP="00BB0243" w:rsidRDefault="00DA7B5D" w14:paraId="19319BE0"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F35A191"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3DF6C3F7"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DF46C6" w14:paraId="6783EC33" w14:textId="4EC9B6B7">
            <w:pPr>
              <w:spacing w:line="240" w:lineRule="auto"/>
              <w:ind w:firstLine="0"/>
              <w:rPr>
                <w:rFonts w:cs="Arial"/>
                <w:szCs w:val="26"/>
              </w:rPr>
            </w:pPr>
            <w:r>
              <w:rPr>
                <w:rFonts w:cs="Arial"/>
                <w:szCs w:val="26"/>
              </w:rPr>
              <w:t>Application of Liberty Utilities (</w:t>
            </w:r>
            <w:proofErr w:type="spellStart"/>
            <w:r>
              <w:rPr>
                <w:rFonts w:cs="Arial"/>
                <w:szCs w:val="26"/>
              </w:rPr>
              <w:t>CalPeco</w:t>
            </w:r>
            <w:proofErr w:type="spellEnd"/>
            <w:r>
              <w:rPr>
                <w:rFonts w:cs="Arial"/>
                <w:szCs w:val="26"/>
              </w:rPr>
              <w:t xml:space="preserve"> Electric</w:t>
            </w:r>
            <w:r w:rsidR="003920B7">
              <w:rPr>
                <w:rFonts w:cs="Arial"/>
                <w:szCs w:val="26"/>
              </w:rPr>
              <w:t>)</w:t>
            </w:r>
            <w:r>
              <w:rPr>
                <w:rFonts w:cs="Arial"/>
                <w:szCs w:val="26"/>
              </w:rPr>
              <w:t xml:space="preserve"> LLC (U933E) for Authority to Among Other Things, Increase Its Authorized Revenues for Electric Service, Establish Marginal Costs, Allocate Revenues, And Design Rates, as of January 1, 2025.</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B63C74" w14:paraId="4B094707" w14:textId="1804AA0E">
            <w:pPr>
              <w:spacing w:line="240" w:lineRule="auto"/>
              <w:ind w:firstLine="0"/>
              <w:jc w:val="center"/>
              <w:rPr>
                <w:rFonts w:cs="Arial"/>
                <w:szCs w:val="26"/>
              </w:rPr>
            </w:pPr>
            <w:r>
              <w:rPr>
                <w:rFonts w:cs="Arial"/>
                <w:szCs w:val="26"/>
              </w:rPr>
              <w:t>A</w:t>
            </w:r>
            <w:r w:rsidR="00DF46C6">
              <w:rPr>
                <w:rFonts w:cs="Arial"/>
                <w:szCs w:val="26"/>
              </w:rPr>
              <w:t xml:space="preserve">pplication </w:t>
            </w:r>
            <w:r>
              <w:rPr>
                <w:rFonts w:cs="Arial"/>
                <w:szCs w:val="26"/>
              </w:rPr>
              <w:t>24-09-010</w:t>
            </w:r>
          </w:p>
        </w:tc>
      </w:tr>
    </w:tbl>
    <w:p w:rsidR="00DA7B5D" w:rsidP="008F0116" w:rsidRDefault="00DA7B5D" w14:paraId="3EC8AE33" w14:textId="77777777">
      <w:pPr>
        <w:spacing w:line="240" w:lineRule="auto"/>
        <w:ind w:firstLine="0"/>
        <w:rPr>
          <w:rFonts w:ascii="Arial" w:hAnsi="Arial" w:cs="Arial"/>
          <w:sz w:val="24"/>
          <w:szCs w:val="24"/>
        </w:rPr>
      </w:pPr>
    </w:p>
    <w:p w:rsidR="00DA7B5D" w:rsidP="008F0116" w:rsidRDefault="00DA7B5D" w14:paraId="33CFC1B4" w14:textId="77777777">
      <w:pPr>
        <w:spacing w:line="240" w:lineRule="auto"/>
        <w:ind w:firstLine="0"/>
        <w:rPr>
          <w:rFonts w:ascii="Arial" w:hAnsi="Arial" w:cs="Arial"/>
          <w:sz w:val="24"/>
          <w:szCs w:val="24"/>
        </w:rPr>
      </w:pPr>
    </w:p>
    <w:p w:rsidR="00586AF7" w:rsidP="00321D39" w:rsidRDefault="00B63C74" w14:paraId="1FEB1D04" w14:textId="7BB5BBAC">
      <w:pPr>
        <w:pStyle w:val="Main"/>
      </w:pPr>
      <w:r>
        <w:t xml:space="preserve">DECISION </w:t>
      </w:r>
      <w:r w:rsidR="00927764">
        <w:t xml:space="preserve">TO </w:t>
      </w:r>
      <w:r w:rsidR="00213138">
        <w:t>ADOPT AND MODIF</w:t>
      </w:r>
      <w:r w:rsidR="00927764">
        <w:t>Y</w:t>
      </w:r>
      <w:r w:rsidR="00213138">
        <w:t xml:space="preserve"> </w:t>
      </w:r>
      <w:r>
        <w:t xml:space="preserve">SETTLEMENT AGREEMENT </w:t>
      </w:r>
    </w:p>
    <w:p w:rsidR="00586AF7" w:rsidP="00321D39" w:rsidRDefault="00B63C74" w14:paraId="31B9E154" w14:textId="08B0F186">
      <w:pPr>
        <w:pStyle w:val="Main"/>
      </w:pPr>
      <w:r>
        <w:t>AND</w:t>
      </w:r>
      <w:r w:rsidR="00227177">
        <w:t xml:space="preserve"> ADDRESS LIBERTY UTILIT</w:t>
      </w:r>
      <w:r w:rsidR="00DB7D03">
        <w:t>I</w:t>
      </w:r>
      <w:r w:rsidR="00227177">
        <w:t>ES</w:t>
      </w:r>
      <w:r w:rsidR="00BF6A7F">
        <w:t>’</w:t>
      </w:r>
      <w:r w:rsidR="00227177">
        <w:t xml:space="preserve"> (CALPECO ELECTRIC)</w:t>
      </w:r>
      <w:r w:rsidRPr="00586AF7" w:rsidR="00586AF7">
        <w:t xml:space="preserve"> </w:t>
      </w:r>
    </w:p>
    <w:p w:rsidRPr="00F92385" w:rsidR="00F92385" w:rsidP="00321D39" w:rsidRDefault="00586AF7" w14:paraId="4446F4CD" w14:textId="19C4E60B">
      <w:pPr>
        <w:pStyle w:val="Main"/>
        <w:sectPr w:rsidRPr="00F92385" w:rsidR="00F92385" w:rsidSect="00086987">
          <w:headerReference w:type="first" r:id="rId11"/>
          <w:footerReference w:type="first" r:id="rId12"/>
          <w:pgSz w:w="12240" w:h="15840"/>
          <w:pgMar w:top="1440" w:right="1440" w:bottom="1440" w:left="1440" w:header="720" w:footer="720" w:gutter="0"/>
          <w:pgNumType w:start="1"/>
          <w:cols w:space="720"/>
          <w:titlePg/>
          <w:docGrid w:linePitch="360"/>
        </w:sectPr>
      </w:pPr>
      <w:r>
        <w:t>TEST YEAR 2025 GENERAL RATE CASE</w:t>
      </w:r>
    </w:p>
    <w:p w:rsidRPr="001E2A62" w:rsidR="00D50119" w:rsidP="00F76650" w:rsidRDefault="00D50119" w14:paraId="712A3137"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7AAEF586"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F661C5" w:rsidRDefault="008C7413" w14:paraId="19EACE34" w14:textId="15B9AE06">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4569283">
            <w:r w:rsidRPr="00B92B61" w:rsidR="00F661C5">
              <w:rPr>
                <w:rStyle w:val="Hyperlink"/>
                <w:noProof/>
              </w:rPr>
              <w:t>DECISION TO ADOPT AND MODIFY SETTLEMENT AGREEMENT AND ADDRESS LIBERTY UTILITIES’ (CALPECO ELECTRIC)  TEST YEAR 2025 GENERAL RATE CASE</w:t>
            </w:r>
            <w:r w:rsidR="00F661C5">
              <w:rPr>
                <w:noProof/>
                <w:webHidden/>
              </w:rPr>
              <w:tab/>
            </w:r>
            <w:r w:rsidR="00F661C5">
              <w:rPr>
                <w:noProof/>
                <w:webHidden/>
              </w:rPr>
              <w:fldChar w:fldCharType="begin"/>
            </w:r>
            <w:r w:rsidR="00F661C5">
              <w:rPr>
                <w:noProof/>
                <w:webHidden/>
              </w:rPr>
              <w:instrText xml:space="preserve"> PAGEREF _Toc224569283 \h </w:instrText>
            </w:r>
            <w:r w:rsidR="00F661C5">
              <w:rPr>
                <w:noProof/>
                <w:webHidden/>
              </w:rPr>
            </w:r>
            <w:r w:rsidR="00F661C5">
              <w:rPr>
                <w:noProof/>
                <w:webHidden/>
              </w:rPr>
              <w:fldChar w:fldCharType="separate"/>
            </w:r>
            <w:r w:rsidR="00F661C5">
              <w:rPr>
                <w:noProof/>
                <w:webHidden/>
              </w:rPr>
              <w:t>2</w:t>
            </w:r>
            <w:r w:rsidR="00F661C5">
              <w:rPr>
                <w:noProof/>
                <w:webHidden/>
              </w:rPr>
              <w:fldChar w:fldCharType="end"/>
            </w:r>
          </w:hyperlink>
        </w:p>
        <w:p w:rsidR="00F661C5" w:rsidRDefault="00F661C5" w14:paraId="5FF56A05" w14:textId="6976B86D">
          <w:pPr>
            <w:pStyle w:val="TOC1"/>
            <w:tabs>
              <w:tab w:val="right" w:leader="dot" w:pos="9350"/>
            </w:tabs>
            <w:rPr>
              <w:rFonts w:asciiTheme="minorHAnsi" w:hAnsiTheme="minorHAnsi" w:cstheme="minorBidi"/>
              <w:noProof/>
              <w:kern w:val="2"/>
              <w:sz w:val="24"/>
              <w:szCs w:val="24"/>
              <w14:ligatures w14:val="standardContextual"/>
            </w:rPr>
          </w:pPr>
          <w:hyperlink w:history="1" w:anchor="_Toc224569284">
            <w:r w:rsidRPr="00B92B61">
              <w:rPr>
                <w:rStyle w:val="Hyperlink"/>
                <w:noProof/>
              </w:rPr>
              <w:t>Summary</w:t>
            </w:r>
            <w:r>
              <w:rPr>
                <w:noProof/>
                <w:webHidden/>
              </w:rPr>
              <w:tab/>
            </w:r>
            <w:r>
              <w:rPr>
                <w:noProof/>
                <w:webHidden/>
              </w:rPr>
              <w:fldChar w:fldCharType="begin"/>
            </w:r>
            <w:r>
              <w:rPr>
                <w:noProof/>
                <w:webHidden/>
              </w:rPr>
              <w:instrText xml:space="preserve"> PAGEREF _Toc224569284 \h </w:instrText>
            </w:r>
            <w:r>
              <w:rPr>
                <w:noProof/>
                <w:webHidden/>
              </w:rPr>
            </w:r>
            <w:r>
              <w:rPr>
                <w:noProof/>
                <w:webHidden/>
              </w:rPr>
              <w:fldChar w:fldCharType="separate"/>
            </w:r>
            <w:r>
              <w:rPr>
                <w:noProof/>
                <w:webHidden/>
              </w:rPr>
              <w:t>2</w:t>
            </w:r>
            <w:r>
              <w:rPr>
                <w:noProof/>
                <w:webHidden/>
              </w:rPr>
              <w:fldChar w:fldCharType="end"/>
            </w:r>
          </w:hyperlink>
        </w:p>
        <w:p w:rsidR="00F661C5" w:rsidRDefault="00F661C5" w14:paraId="64F12671" w14:textId="090D3F57">
          <w:pPr>
            <w:pStyle w:val="TOC1"/>
            <w:tabs>
              <w:tab w:val="right" w:leader="dot" w:pos="9350"/>
            </w:tabs>
            <w:rPr>
              <w:rFonts w:asciiTheme="minorHAnsi" w:hAnsiTheme="minorHAnsi" w:cstheme="minorBidi"/>
              <w:noProof/>
              <w:kern w:val="2"/>
              <w:sz w:val="24"/>
              <w:szCs w:val="24"/>
              <w14:ligatures w14:val="standardContextual"/>
            </w:rPr>
          </w:pPr>
          <w:hyperlink w:history="1" w:anchor="_Toc224569285">
            <w:r w:rsidRPr="00B92B61">
              <w:rPr>
                <w:rStyle w:val="Hyperlink"/>
                <w:noProof/>
              </w:rPr>
              <w:t>1.</w:t>
            </w:r>
            <w:r>
              <w:rPr>
                <w:rFonts w:asciiTheme="minorHAnsi" w:hAnsiTheme="minorHAnsi" w:cstheme="minorBidi"/>
                <w:noProof/>
                <w:kern w:val="2"/>
                <w:sz w:val="24"/>
                <w:szCs w:val="24"/>
                <w14:ligatures w14:val="standardContextual"/>
              </w:rPr>
              <w:tab/>
            </w:r>
            <w:r w:rsidRPr="00B92B61">
              <w:rPr>
                <w:rStyle w:val="Hyperlink"/>
                <w:noProof/>
              </w:rPr>
              <w:t>Background</w:t>
            </w:r>
            <w:r>
              <w:rPr>
                <w:noProof/>
                <w:webHidden/>
              </w:rPr>
              <w:tab/>
            </w:r>
            <w:r>
              <w:rPr>
                <w:noProof/>
                <w:webHidden/>
              </w:rPr>
              <w:fldChar w:fldCharType="begin"/>
            </w:r>
            <w:r>
              <w:rPr>
                <w:noProof/>
                <w:webHidden/>
              </w:rPr>
              <w:instrText xml:space="preserve"> PAGEREF _Toc224569285 \h </w:instrText>
            </w:r>
            <w:r>
              <w:rPr>
                <w:noProof/>
                <w:webHidden/>
              </w:rPr>
            </w:r>
            <w:r>
              <w:rPr>
                <w:noProof/>
                <w:webHidden/>
              </w:rPr>
              <w:fldChar w:fldCharType="separate"/>
            </w:r>
            <w:r>
              <w:rPr>
                <w:noProof/>
                <w:webHidden/>
              </w:rPr>
              <w:t>2</w:t>
            </w:r>
            <w:r>
              <w:rPr>
                <w:noProof/>
                <w:webHidden/>
              </w:rPr>
              <w:fldChar w:fldCharType="end"/>
            </w:r>
          </w:hyperlink>
        </w:p>
        <w:p w:rsidR="00F661C5" w:rsidRDefault="00F661C5" w14:paraId="125CBB15" w14:textId="2BB6FC67">
          <w:pPr>
            <w:pStyle w:val="TOC2"/>
            <w:tabs>
              <w:tab w:val="right" w:leader="dot" w:pos="9350"/>
            </w:tabs>
            <w:rPr>
              <w:rFonts w:asciiTheme="minorHAnsi" w:hAnsiTheme="minorHAnsi" w:cstheme="minorBidi"/>
              <w:noProof/>
              <w:kern w:val="2"/>
              <w:sz w:val="24"/>
              <w:szCs w:val="24"/>
              <w14:ligatures w14:val="standardContextual"/>
            </w:rPr>
          </w:pPr>
          <w:hyperlink w:history="1" w:anchor="_Toc224569286">
            <w:r w:rsidRPr="00B92B61">
              <w:rPr>
                <w:rStyle w:val="Hyperlink"/>
                <w:noProof/>
              </w:rPr>
              <w:t>1.1.</w:t>
            </w:r>
            <w:r>
              <w:rPr>
                <w:rFonts w:asciiTheme="minorHAnsi" w:hAnsiTheme="minorHAnsi" w:cstheme="minorBidi"/>
                <w:noProof/>
                <w:kern w:val="2"/>
                <w:sz w:val="24"/>
                <w:szCs w:val="24"/>
                <w14:ligatures w14:val="standardContextual"/>
              </w:rPr>
              <w:tab/>
            </w:r>
            <w:r w:rsidRPr="00B92B61">
              <w:rPr>
                <w:rStyle w:val="Hyperlink"/>
                <w:noProof/>
              </w:rPr>
              <w:t>Submission Date</w:t>
            </w:r>
            <w:r>
              <w:rPr>
                <w:noProof/>
                <w:webHidden/>
              </w:rPr>
              <w:tab/>
            </w:r>
            <w:r>
              <w:rPr>
                <w:noProof/>
                <w:webHidden/>
              </w:rPr>
              <w:fldChar w:fldCharType="begin"/>
            </w:r>
            <w:r>
              <w:rPr>
                <w:noProof/>
                <w:webHidden/>
              </w:rPr>
              <w:instrText xml:space="preserve"> PAGEREF _Toc224569286 \h </w:instrText>
            </w:r>
            <w:r>
              <w:rPr>
                <w:noProof/>
                <w:webHidden/>
              </w:rPr>
            </w:r>
            <w:r>
              <w:rPr>
                <w:noProof/>
                <w:webHidden/>
              </w:rPr>
              <w:fldChar w:fldCharType="separate"/>
            </w:r>
            <w:r>
              <w:rPr>
                <w:noProof/>
                <w:webHidden/>
              </w:rPr>
              <w:t>6</w:t>
            </w:r>
            <w:r>
              <w:rPr>
                <w:noProof/>
                <w:webHidden/>
              </w:rPr>
              <w:fldChar w:fldCharType="end"/>
            </w:r>
          </w:hyperlink>
        </w:p>
        <w:p w:rsidR="00F661C5" w:rsidRDefault="00F661C5" w14:paraId="0A81DC0A" w14:textId="13DFEE30">
          <w:pPr>
            <w:pStyle w:val="TOC1"/>
            <w:tabs>
              <w:tab w:val="right" w:leader="dot" w:pos="9350"/>
            </w:tabs>
            <w:rPr>
              <w:rFonts w:asciiTheme="minorHAnsi" w:hAnsiTheme="minorHAnsi" w:cstheme="minorBidi"/>
              <w:noProof/>
              <w:kern w:val="2"/>
              <w:sz w:val="24"/>
              <w:szCs w:val="24"/>
              <w14:ligatures w14:val="standardContextual"/>
            </w:rPr>
          </w:pPr>
          <w:hyperlink w:history="1" w:anchor="_Toc224569287">
            <w:r w:rsidRPr="00B92B61">
              <w:rPr>
                <w:rStyle w:val="Hyperlink"/>
                <w:noProof/>
              </w:rPr>
              <w:t>2.</w:t>
            </w:r>
            <w:r>
              <w:rPr>
                <w:rFonts w:asciiTheme="minorHAnsi" w:hAnsiTheme="minorHAnsi" w:cstheme="minorBidi"/>
                <w:noProof/>
                <w:kern w:val="2"/>
                <w:sz w:val="24"/>
                <w:szCs w:val="24"/>
                <w14:ligatures w14:val="standardContextual"/>
              </w:rPr>
              <w:tab/>
            </w:r>
            <w:r w:rsidRPr="00B92B61">
              <w:rPr>
                <w:rStyle w:val="Hyperlink"/>
                <w:noProof/>
              </w:rPr>
              <w:t>Issues Before the Commission</w:t>
            </w:r>
            <w:r>
              <w:rPr>
                <w:noProof/>
                <w:webHidden/>
              </w:rPr>
              <w:tab/>
            </w:r>
            <w:r>
              <w:rPr>
                <w:noProof/>
                <w:webHidden/>
              </w:rPr>
              <w:fldChar w:fldCharType="begin"/>
            </w:r>
            <w:r>
              <w:rPr>
                <w:noProof/>
                <w:webHidden/>
              </w:rPr>
              <w:instrText xml:space="preserve"> PAGEREF _Toc224569287 \h </w:instrText>
            </w:r>
            <w:r>
              <w:rPr>
                <w:noProof/>
                <w:webHidden/>
              </w:rPr>
            </w:r>
            <w:r>
              <w:rPr>
                <w:noProof/>
                <w:webHidden/>
              </w:rPr>
              <w:fldChar w:fldCharType="separate"/>
            </w:r>
            <w:r>
              <w:rPr>
                <w:noProof/>
                <w:webHidden/>
              </w:rPr>
              <w:t>6</w:t>
            </w:r>
            <w:r>
              <w:rPr>
                <w:noProof/>
                <w:webHidden/>
              </w:rPr>
              <w:fldChar w:fldCharType="end"/>
            </w:r>
          </w:hyperlink>
        </w:p>
        <w:p w:rsidR="00F661C5" w:rsidRDefault="00F661C5" w14:paraId="32E32315" w14:textId="67E2F0FC">
          <w:pPr>
            <w:pStyle w:val="TOC1"/>
            <w:tabs>
              <w:tab w:val="right" w:leader="dot" w:pos="9350"/>
            </w:tabs>
            <w:rPr>
              <w:rFonts w:asciiTheme="minorHAnsi" w:hAnsiTheme="minorHAnsi" w:cstheme="minorBidi"/>
              <w:noProof/>
              <w:kern w:val="2"/>
              <w:sz w:val="24"/>
              <w:szCs w:val="24"/>
              <w14:ligatures w14:val="standardContextual"/>
            </w:rPr>
          </w:pPr>
          <w:hyperlink w:history="1" w:anchor="_Toc224569288">
            <w:r w:rsidRPr="00B92B61">
              <w:rPr>
                <w:rStyle w:val="Hyperlink"/>
                <w:noProof/>
              </w:rPr>
              <w:t>3.</w:t>
            </w:r>
            <w:r>
              <w:rPr>
                <w:rFonts w:asciiTheme="minorHAnsi" w:hAnsiTheme="minorHAnsi" w:cstheme="minorBidi"/>
                <w:noProof/>
                <w:kern w:val="2"/>
                <w:sz w:val="24"/>
                <w:szCs w:val="24"/>
                <w14:ligatures w14:val="standardContextual"/>
              </w:rPr>
              <w:tab/>
            </w:r>
            <w:r w:rsidRPr="00B92B61">
              <w:rPr>
                <w:rStyle w:val="Hyperlink"/>
                <w:noProof/>
              </w:rPr>
              <w:t>Amended Settlement Motion  and Settlement Agreement</w:t>
            </w:r>
            <w:r>
              <w:rPr>
                <w:noProof/>
                <w:webHidden/>
              </w:rPr>
              <w:tab/>
            </w:r>
            <w:r>
              <w:rPr>
                <w:noProof/>
                <w:webHidden/>
              </w:rPr>
              <w:fldChar w:fldCharType="begin"/>
            </w:r>
            <w:r>
              <w:rPr>
                <w:noProof/>
                <w:webHidden/>
              </w:rPr>
              <w:instrText xml:space="preserve"> PAGEREF _Toc224569288 \h </w:instrText>
            </w:r>
            <w:r>
              <w:rPr>
                <w:noProof/>
                <w:webHidden/>
              </w:rPr>
            </w:r>
            <w:r>
              <w:rPr>
                <w:noProof/>
                <w:webHidden/>
              </w:rPr>
              <w:fldChar w:fldCharType="separate"/>
            </w:r>
            <w:r>
              <w:rPr>
                <w:noProof/>
                <w:webHidden/>
              </w:rPr>
              <w:t>8</w:t>
            </w:r>
            <w:r>
              <w:rPr>
                <w:noProof/>
                <w:webHidden/>
              </w:rPr>
              <w:fldChar w:fldCharType="end"/>
            </w:r>
          </w:hyperlink>
        </w:p>
        <w:p w:rsidR="00F661C5" w:rsidRDefault="00F661C5" w14:paraId="4EC59FFD" w14:textId="2E1F4A23">
          <w:pPr>
            <w:pStyle w:val="TOC2"/>
            <w:tabs>
              <w:tab w:val="right" w:leader="dot" w:pos="9350"/>
            </w:tabs>
            <w:rPr>
              <w:rFonts w:asciiTheme="minorHAnsi" w:hAnsiTheme="minorHAnsi" w:cstheme="minorBidi"/>
              <w:noProof/>
              <w:kern w:val="2"/>
              <w:sz w:val="24"/>
              <w:szCs w:val="24"/>
              <w14:ligatures w14:val="standardContextual"/>
            </w:rPr>
          </w:pPr>
          <w:hyperlink w:history="1" w:anchor="_Toc224569289">
            <w:r w:rsidRPr="00B92B61">
              <w:rPr>
                <w:rStyle w:val="Hyperlink"/>
                <w:noProof/>
              </w:rPr>
              <w:t>3.1.</w:t>
            </w:r>
            <w:r>
              <w:rPr>
                <w:rFonts w:asciiTheme="minorHAnsi" w:hAnsiTheme="minorHAnsi" w:cstheme="minorBidi"/>
                <w:noProof/>
                <w:kern w:val="2"/>
                <w:sz w:val="24"/>
                <w:szCs w:val="24"/>
                <w14:ligatures w14:val="standardContextual"/>
              </w:rPr>
              <w:tab/>
            </w:r>
            <w:r w:rsidRPr="00B92B61">
              <w:rPr>
                <w:rStyle w:val="Hyperlink"/>
                <w:noProof/>
              </w:rPr>
              <w:t>Background</w:t>
            </w:r>
            <w:r>
              <w:rPr>
                <w:noProof/>
                <w:webHidden/>
              </w:rPr>
              <w:tab/>
            </w:r>
            <w:r>
              <w:rPr>
                <w:noProof/>
                <w:webHidden/>
              </w:rPr>
              <w:fldChar w:fldCharType="begin"/>
            </w:r>
            <w:r>
              <w:rPr>
                <w:noProof/>
                <w:webHidden/>
              </w:rPr>
              <w:instrText xml:space="preserve"> PAGEREF _Toc224569289 \h </w:instrText>
            </w:r>
            <w:r>
              <w:rPr>
                <w:noProof/>
                <w:webHidden/>
              </w:rPr>
            </w:r>
            <w:r>
              <w:rPr>
                <w:noProof/>
                <w:webHidden/>
              </w:rPr>
              <w:fldChar w:fldCharType="separate"/>
            </w:r>
            <w:r>
              <w:rPr>
                <w:noProof/>
                <w:webHidden/>
              </w:rPr>
              <w:t>8</w:t>
            </w:r>
            <w:r>
              <w:rPr>
                <w:noProof/>
                <w:webHidden/>
              </w:rPr>
              <w:fldChar w:fldCharType="end"/>
            </w:r>
          </w:hyperlink>
        </w:p>
        <w:p w:rsidR="00F661C5" w:rsidRDefault="00F661C5" w14:paraId="0E979211" w14:textId="226D19D1">
          <w:pPr>
            <w:pStyle w:val="TOC2"/>
            <w:tabs>
              <w:tab w:val="right" w:leader="dot" w:pos="9350"/>
            </w:tabs>
            <w:rPr>
              <w:rFonts w:asciiTheme="minorHAnsi" w:hAnsiTheme="minorHAnsi" w:cstheme="minorBidi"/>
              <w:noProof/>
              <w:kern w:val="2"/>
              <w:sz w:val="24"/>
              <w:szCs w:val="24"/>
              <w14:ligatures w14:val="standardContextual"/>
            </w:rPr>
          </w:pPr>
          <w:hyperlink w:history="1" w:anchor="_Toc224569290">
            <w:r w:rsidRPr="00B92B61">
              <w:rPr>
                <w:rStyle w:val="Hyperlink"/>
                <w:noProof/>
              </w:rPr>
              <w:t>3.2.</w:t>
            </w:r>
            <w:r>
              <w:rPr>
                <w:rFonts w:asciiTheme="minorHAnsi" w:hAnsiTheme="minorHAnsi" w:cstheme="minorBidi"/>
                <w:noProof/>
                <w:kern w:val="2"/>
                <w:sz w:val="24"/>
                <w:szCs w:val="24"/>
                <w14:ligatures w14:val="standardContextual"/>
              </w:rPr>
              <w:tab/>
            </w:r>
            <w:r w:rsidRPr="00B92B61">
              <w:rPr>
                <w:rStyle w:val="Hyperlink"/>
                <w:noProof/>
              </w:rPr>
              <w:t>Commission’s Standard of Review</w:t>
            </w:r>
            <w:r>
              <w:rPr>
                <w:noProof/>
                <w:webHidden/>
              </w:rPr>
              <w:tab/>
            </w:r>
            <w:r>
              <w:rPr>
                <w:noProof/>
                <w:webHidden/>
              </w:rPr>
              <w:fldChar w:fldCharType="begin"/>
            </w:r>
            <w:r>
              <w:rPr>
                <w:noProof/>
                <w:webHidden/>
              </w:rPr>
              <w:instrText xml:space="preserve"> PAGEREF _Toc224569290 \h </w:instrText>
            </w:r>
            <w:r>
              <w:rPr>
                <w:noProof/>
                <w:webHidden/>
              </w:rPr>
            </w:r>
            <w:r>
              <w:rPr>
                <w:noProof/>
                <w:webHidden/>
              </w:rPr>
              <w:fldChar w:fldCharType="separate"/>
            </w:r>
            <w:r>
              <w:rPr>
                <w:noProof/>
                <w:webHidden/>
              </w:rPr>
              <w:t>9</w:t>
            </w:r>
            <w:r>
              <w:rPr>
                <w:noProof/>
                <w:webHidden/>
              </w:rPr>
              <w:fldChar w:fldCharType="end"/>
            </w:r>
          </w:hyperlink>
        </w:p>
        <w:p w:rsidR="00F661C5" w:rsidRDefault="00F661C5" w14:paraId="67CB51E4" w14:textId="40C152E1">
          <w:pPr>
            <w:pStyle w:val="TOC2"/>
            <w:tabs>
              <w:tab w:val="right" w:leader="dot" w:pos="9350"/>
            </w:tabs>
            <w:rPr>
              <w:rFonts w:asciiTheme="minorHAnsi" w:hAnsiTheme="minorHAnsi" w:cstheme="minorBidi"/>
              <w:noProof/>
              <w:kern w:val="2"/>
              <w:sz w:val="24"/>
              <w:szCs w:val="24"/>
              <w14:ligatures w14:val="standardContextual"/>
            </w:rPr>
          </w:pPr>
          <w:hyperlink w:history="1" w:anchor="_Toc224569291">
            <w:r w:rsidRPr="00B92B61">
              <w:rPr>
                <w:rStyle w:val="Hyperlink"/>
                <w:noProof/>
              </w:rPr>
              <w:t>3.3.</w:t>
            </w:r>
            <w:r>
              <w:rPr>
                <w:rFonts w:asciiTheme="minorHAnsi" w:hAnsiTheme="minorHAnsi" w:cstheme="minorBidi"/>
                <w:noProof/>
                <w:kern w:val="2"/>
                <w:sz w:val="24"/>
                <w:szCs w:val="24"/>
                <w14:ligatures w14:val="standardContextual"/>
              </w:rPr>
              <w:tab/>
            </w:r>
            <w:r w:rsidRPr="00B92B61">
              <w:rPr>
                <w:rStyle w:val="Hyperlink"/>
                <w:noProof/>
              </w:rPr>
              <w:t>Modification of Settlement Agreement by Rejection of Fixed Residential Charge</w:t>
            </w:r>
            <w:r>
              <w:rPr>
                <w:noProof/>
                <w:webHidden/>
              </w:rPr>
              <w:tab/>
            </w:r>
            <w:r>
              <w:rPr>
                <w:noProof/>
                <w:webHidden/>
              </w:rPr>
              <w:fldChar w:fldCharType="begin"/>
            </w:r>
            <w:r>
              <w:rPr>
                <w:noProof/>
                <w:webHidden/>
              </w:rPr>
              <w:instrText xml:space="preserve"> PAGEREF _Toc224569291 \h </w:instrText>
            </w:r>
            <w:r>
              <w:rPr>
                <w:noProof/>
                <w:webHidden/>
              </w:rPr>
            </w:r>
            <w:r>
              <w:rPr>
                <w:noProof/>
                <w:webHidden/>
              </w:rPr>
              <w:fldChar w:fldCharType="separate"/>
            </w:r>
            <w:r>
              <w:rPr>
                <w:noProof/>
                <w:webHidden/>
              </w:rPr>
              <w:t>13</w:t>
            </w:r>
            <w:r>
              <w:rPr>
                <w:noProof/>
                <w:webHidden/>
              </w:rPr>
              <w:fldChar w:fldCharType="end"/>
            </w:r>
          </w:hyperlink>
        </w:p>
        <w:p w:rsidR="00F661C5" w:rsidRDefault="00F661C5" w14:paraId="7E118F1C" w14:textId="24402A6E">
          <w:pPr>
            <w:pStyle w:val="TOC1"/>
            <w:tabs>
              <w:tab w:val="right" w:leader="dot" w:pos="9350"/>
            </w:tabs>
            <w:rPr>
              <w:rFonts w:asciiTheme="minorHAnsi" w:hAnsiTheme="minorHAnsi" w:cstheme="minorBidi"/>
              <w:noProof/>
              <w:kern w:val="2"/>
              <w:sz w:val="24"/>
              <w:szCs w:val="24"/>
              <w14:ligatures w14:val="standardContextual"/>
            </w:rPr>
          </w:pPr>
          <w:hyperlink w:history="1" w:anchor="_Toc224569292">
            <w:r w:rsidRPr="00B92B61">
              <w:rPr>
                <w:rStyle w:val="Hyperlink"/>
                <w:rFonts w:eastAsia="Times New Roman"/>
                <w:noProof/>
              </w:rPr>
              <w:t>4.</w:t>
            </w:r>
            <w:r>
              <w:rPr>
                <w:rFonts w:asciiTheme="minorHAnsi" w:hAnsiTheme="minorHAnsi" w:cstheme="minorBidi"/>
                <w:noProof/>
                <w:kern w:val="2"/>
                <w:sz w:val="24"/>
                <w:szCs w:val="24"/>
                <w14:ligatures w14:val="standardContextual"/>
              </w:rPr>
              <w:tab/>
            </w:r>
            <w:r w:rsidRPr="00B92B61">
              <w:rPr>
                <w:rStyle w:val="Hyperlink"/>
                <w:rFonts w:eastAsia="Times New Roman"/>
                <w:noProof/>
              </w:rPr>
              <w:t>Determination of Disputed Scoped Issues</w:t>
            </w:r>
            <w:r>
              <w:rPr>
                <w:noProof/>
                <w:webHidden/>
              </w:rPr>
              <w:tab/>
            </w:r>
            <w:r>
              <w:rPr>
                <w:noProof/>
                <w:webHidden/>
              </w:rPr>
              <w:fldChar w:fldCharType="begin"/>
            </w:r>
            <w:r>
              <w:rPr>
                <w:noProof/>
                <w:webHidden/>
              </w:rPr>
              <w:instrText xml:space="preserve"> PAGEREF _Toc224569292 \h </w:instrText>
            </w:r>
            <w:r>
              <w:rPr>
                <w:noProof/>
                <w:webHidden/>
              </w:rPr>
            </w:r>
            <w:r>
              <w:rPr>
                <w:noProof/>
                <w:webHidden/>
              </w:rPr>
              <w:fldChar w:fldCharType="separate"/>
            </w:r>
            <w:r>
              <w:rPr>
                <w:noProof/>
                <w:webHidden/>
              </w:rPr>
              <w:t>15</w:t>
            </w:r>
            <w:r>
              <w:rPr>
                <w:noProof/>
                <w:webHidden/>
              </w:rPr>
              <w:fldChar w:fldCharType="end"/>
            </w:r>
          </w:hyperlink>
        </w:p>
        <w:p w:rsidR="00F661C5" w:rsidRDefault="00F661C5" w14:paraId="02AC2BF9" w14:textId="78DD5BC6">
          <w:pPr>
            <w:pStyle w:val="TOC2"/>
            <w:tabs>
              <w:tab w:val="right" w:leader="dot" w:pos="9350"/>
            </w:tabs>
            <w:rPr>
              <w:rFonts w:asciiTheme="minorHAnsi" w:hAnsiTheme="minorHAnsi" w:cstheme="minorBidi"/>
              <w:noProof/>
              <w:kern w:val="2"/>
              <w:sz w:val="24"/>
              <w:szCs w:val="24"/>
              <w14:ligatures w14:val="standardContextual"/>
            </w:rPr>
          </w:pPr>
          <w:hyperlink w:history="1" w:anchor="_Toc224569293">
            <w:r w:rsidRPr="00B92B61">
              <w:rPr>
                <w:rStyle w:val="Hyperlink"/>
                <w:noProof/>
              </w:rPr>
              <w:t>4.1.</w:t>
            </w:r>
            <w:r>
              <w:rPr>
                <w:rFonts w:asciiTheme="minorHAnsi" w:hAnsiTheme="minorHAnsi" w:cstheme="minorBidi"/>
                <w:noProof/>
                <w:kern w:val="2"/>
                <w:sz w:val="24"/>
                <w:szCs w:val="24"/>
                <w14:ligatures w14:val="standardContextual"/>
              </w:rPr>
              <w:tab/>
            </w:r>
            <w:r w:rsidRPr="00B92B61">
              <w:rPr>
                <w:rStyle w:val="Hyperlink"/>
                <w:noProof/>
              </w:rPr>
              <w:t>Overview</w:t>
            </w:r>
            <w:r>
              <w:rPr>
                <w:noProof/>
                <w:webHidden/>
              </w:rPr>
              <w:tab/>
            </w:r>
            <w:r>
              <w:rPr>
                <w:noProof/>
                <w:webHidden/>
              </w:rPr>
              <w:fldChar w:fldCharType="begin"/>
            </w:r>
            <w:r>
              <w:rPr>
                <w:noProof/>
                <w:webHidden/>
              </w:rPr>
              <w:instrText xml:space="preserve"> PAGEREF _Toc224569293 \h </w:instrText>
            </w:r>
            <w:r>
              <w:rPr>
                <w:noProof/>
                <w:webHidden/>
              </w:rPr>
            </w:r>
            <w:r>
              <w:rPr>
                <w:noProof/>
                <w:webHidden/>
              </w:rPr>
              <w:fldChar w:fldCharType="separate"/>
            </w:r>
            <w:r>
              <w:rPr>
                <w:noProof/>
                <w:webHidden/>
              </w:rPr>
              <w:t>15</w:t>
            </w:r>
            <w:r>
              <w:rPr>
                <w:noProof/>
                <w:webHidden/>
              </w:rPr>
              <w:fldChar w:fldCharType="end"/>
            </w:r>
          </w:hyperlink>
        </w:p>
        <w:p w:rsidR="00F661C5" w:rsidRDefault="00F661C5" w14:paraId="221F9A3E" w14:textId="04DC8746">
          <w:pPr>
            <w:pStyle w:val="TOC2"/>
            <w:tabs>
              <w:tab w:val="right" w:leader="dot" w:pos="9350"/>
            </w:tabs>
            <w:rPr>
              <w:rFonts w:asciiTheme="minorHAnsi" w:hAnsiTheme="minorHAnsi" w:cstheme="minorBidi"/>
              <w:noProof/>
              <w:kern w:val="2"/>
              <w:sz w:val="24"/>
              <w:szCs w:val="24"/>
              <w14:ligatures w14:val="standardContextual"/>
            </w:rPr>
          </w:pPr>
          <w:hyperlink w:history="1" w:anchor="_Toc224569294">
            <w:r w:rsidRPr="00B92B61">
              <w:rPr>
                <w:rStyle w:val="Hyperlink"/>
                <w:noProof/>
              </w:rPr>
              <w:t>4.2.</w:t>
            </w:r>
            <w:r>
              <w:rPr>
                <w:rFonts w:asciiTheme="minorHAnsi" w:hAnsiTheme="minorHAnsi" w:cstheme="minorBidi"/>
                <w:noProof/>
                <w:kern w:val="2"/>
                <w:sz w:val="24"/>
                <w:szCs w:val="24"/>
                <w14:ligatures w14:val="standardContextual"/>
              </w:rPr>
              <w:tab/>
            </w:r>
            <w:r w:rsidRPr="00B92B61">
              <w:rPr>
                <w:rStyle w:val="Hyperlink"/>
                <w:noProof/>
              </w:rPr>
              <w:t>Standard of Review</w:t>
            </w:r>
            <w:r>
              <w:rPr>
                <w:noProof/>
                <w:webHidden/>
              </w:rPr>
              <w:tab/>
            </w:r>
            <w:r>
              <w:rPr>
                <w:noProof/>
                <w:webHidden/>
              </w:rPr>
              <w:fldChar w:fldCharType="begin"/>
            </w:r>
            <w:r>
              <w:rPr>
                <w:noProof/>
                <w:webHidden/>
              </w:rPr>
              <w:instrText xml:space="preserve"> PAGEREF _Toc224569294 \h </w:instrText>
            </w:r>
            <w:r>
              <w:rPr>
                <w:noProof/>
                <w:webHidden/>
              </w:rPr>
            </w:r>
            <w:r>
              <w:rPr>
                <w:noProof/>
                <w:webHidden/>
              </w:rPr>
              <w:fldChar w:fldCharType="separate"/>
            </w:r>
            <w:r>
              <w:rPr>
                <w:noProof/>
                <w:webHidden/>
              </w:rPr>
              <w:t>15</w:t>
            </w:r>
            <w:r>
              <w:rPr>
                <w:noProof/>
                <w:webHidden/>
              </w:rPr>
              <w:fldChar w:fldCharType="end"/>
            </w:r>
          </w:hyperlink>
        </w:p>
        <w:p w:rsidR="00F661C5" w:rsidRDefault="00F661C5" w14:paraId="316D0B80" w14:textId="3DE620F2">
          <w:pPr>
            <w:pStyle w:val="TOC2"/>
            <w:tabs>
              <w:tab w:val="right" w:leader="dot" w:pos="9350"/>
            </w:tabs>
            <w:rPr>
              <w:rFonts w:asciiTheme="minorHAnsi" w:hAnsiTheme="minorHAnsi" w:cstheme="minorBidi"/>
              <w:noProof/>
              <w:kern w:val="2"/>
              <w:sz w:val="24"/>
              <w:szCs w:val="24"/>
              <w14:ligatures w14:val="standardContextual"/>
            </w:rPr>
          </w:pPr>
          <w:hyperlink w:history="1" w:anchor="_Toc224569295">
            <w:r w:rsidRPr="00B92B61">
              <w:rPr>
                <w:rStyle w:val="Hyperlink"/>
                <w:noProof/>
              </w:rPr>
              <w:t>4.3.</w:t>
            </w:r>
            <w:r>
              <w:rPr>
                <w:rFonts w:asciiTheme="minorHAnsi" w:hAnsiTheme="minorHAnsi" w:cstheme="minorBidi"/>
                <w:noProof/>
                <w:kern w:val="2"/>
                <w:sz w:val="24"/>
                <w:szCs w:val="24"/>
                <w14:ligatures w14:val="standardContextual"/>
              </w:rPr>
              <w:tab/>
            </w:r>
            <w:r w:rsidRPr="00B92B61">
              <w:rPr>
                <w:rStyle w:val="Hyperlink"/>
                <w:noProof/>
              </w:rPr>
              <w:t>Insufficient Factual Record to  Determine Scoped Issues 4 and 12</w:t>
            </w:r>
            <w:r>
              <w:rPr>
                <w:noProof/>
                <w:webHidden/>
              </w:rPr>
              <w:tab/>
            </w:r>
            <w:r>
              <w:rPr>
                <w:noProof/>
                <w:webHidden/>
              </w:rPr>
              <w:fldChar w:fldCharType="begin"/>
            </w:r>
            <w:r>
              <w:rPr>
                <w:noProof/>
                <w:webHidden/>
              </w:rPr>
              <w:instrText xml:space="preserve"> PAGEREF _Toc224569295 \h </w:instrText>
            </w:r>
            <w:r>
              <w:rPr>
                <w:noProof/>
                <w:webHidden/>
              </w:rPr>
            </w:r>
            <w:r>
              <w:rPr>
                <w:noProof/>
                <w:webHidden/>
              </w:rPr>
              <w:fldChar w:fldCharType="separate"/>
            </w:r>
            <w:r>
              <w:rPr>
                <w:noProof/>
                <w:webHidden/>
              </w:rPr>
              <w:t>15</w:t>
            </w:r>
            <w:r>
              <w:rPr>
                <w:noProof/>
                <w:webHidden/>
              </w:rPr>
              <w:fldChar w:fldCharType="end"/>
            </w:r>
          </w:hyperlink>
        </w:p>
        <w:p w:rsidR="00F661C5" w:rsidRDefault="00F661C5" w14:paraId="3F5F0936" w14:textId="23A75D6B">
          <w:pPr>
            <w:pStyle w:val="TOC2"/>
            <w:tabs>
              <w:tab w:val="right" w:leader="dot" w:pos="9350"/>
            </w:tabs>
            <w:rPr>
              <w:rFonts w:asciiTheme="minorHAnsi" w:hAnsiTheme="minorHAnsi" w:cstheme="minorBidi"/>
              <w:noProof/>
              <w:kern w:val="2"/>
              <w:sz w:val="24"/>
              <w:szCs w:val="24"/>
              <w14:ligatures w14:val="standardContextual"/>
            </w:rPr>
          </w:pPr>
          <w:hyperlink w:history="1" w:anchor="_Toc224569296">
            <w:r w:rsidRPr="00B92B61">
              <w:rPr>
                <w:rStyle w:val="Hyperlink"/>
                <w:noProof/>
              </w:rPr>
              <w:t>4.4.</w:t>
            </w:r>
            <w:r>
              <w:rPr>
                <w:rFonts w:asciiTheme="minorHAnsi" w:hAnsiTheme="minorHAnsi" w:cstheme="minorBidi"/>
                <w:noProof/>
                <w:kern w:val="2"/>
                <w:sz w:val="24"/>
                <w:szCs w:val="24"/>
                <w14:ligatures w14:val="standardContextual"/>
              </w:rPr>
              <w:tab/>
            </w:r>
            <w:r w:rsidRPr="00B92B61">
              <w:rPr>
                <w:rStyle w:val="Hyperlink"/>
                <w:noProof/>
              </w:rPr>
              <w:t>Scoped Issues 2, 3 and 15</w:t>
            </w:r>
            <w:r>
              <w:rPr>
                <w:noProof/>
                <w:webHidden/>
              </w:rPr>
              <w:tab/>
            </w:r>
            <w:r>
              <w:rPr>
                <w:noProof/>
                <w:webHidden/>
              </w:rPr>
              <w:fldChar w:fldCharType="begin"/>
            </w:r>
            <w:r>
              <w:rPr>
                <w:noProof/>
                <w:webHidden/>
              </w:rPr>
              <w:instrText xml:space="preserve"> PAGEREF _Toc224569296 \h </w:instrText>
            </w:r>
            <w:r>
              <w:rPr>
                <w:noProof/>
                <w:webHidden/>
              </w:rPr>
            </w:r>
            <w:r>
              <w:rPr>
                <w:noProof/>
                <w:webHidden/>
              </w:rPr>
              <w:fldChar w:fldCharType="separate"/>
            </w:r>
            <w:r>
              <w:rPr>
                <w:noProof/>
                <w:webHidden/>
              </w:rPr>
              <w:t>16</w:t>
            </w:r>
            <w:r>
              <w:rPr>
                <w:noProof/>
                <w:webHidden/>
              </w:rPr>
              <w:fldChar w:fldCharType="end"/>
            </w:r>
          </w:hyperlink>
        </w:p>
        <w:p w:rsidR="00F661C5" w:rsidRDefault="00F661C5" w14:paraId="3BF1430B" w14:textId="2E09E4E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4569297">
            <w:r w:rsidRPr="00B92B61">
              <w:rPr>
                <w:rStyle w:val="Hyperlink"/>
                <w:rFonts w:eastAsia="Times New Roman"/>
                <w:noProof/>
              </w:rPr>
              <w:t>4.4.1.</w:t>
            </w:r>
            <w:r>
              <w:rPr>
                <w:rFonts w:asciiTheme="minorHAnsi" w:hAnsiTheme="minorHAnsi" w:cstheme="minorBidi"/>
                <w:noProof/>
                <w:kern w:val="2"/>
                <w:sz w:val="24"/>
                <w:szCs w:val="24"/>
                <w14:ligatures w14:val="standardContextual"/>
              </w:rPr>
              <w:tab/>
            </w:r>
            <w:r w:rsidRPr="00B92B61">
              <w:rPr>
                <w:rStyle w:val="Hyperlink"/>
                <w:rFonts w:eastAsia="Times New Roman"/>
                <w:noProof/>
              </w:rPr>
              <w:t>Revenue Allocation</w:t>
            </w:r>
            <w:r>
              <w:rPr>
                <w:noProof/>
                <w:webHidden/>
              </w:rPr>
              <w:tab/>
            </w:r>
            <w:r>
              <w:rPr>
                <w:noProof/>
                <w:webHidden/>
              </w:rPr>
              <w:fldChar w:fldCharType="begin"/>
            </w:r>
            <w:r>
              <w:rPr>
                <w:noProof/>
                <w:webHidden/>
              </w:rPr>
              <w:instrText xml:space="preserve"> PAGEREF _Toc224569297 \h </w:instrText>
            </w:r>
            <w:r>
              <w:rPr>
                <w:noProof/>
                <w:webHidden/>
              </w:rPr>
            </w:r>
            <w:r>
              <w:rPr>
                <w:noProof/>
                <w:webHidden/>
              </w:rPr>
              <w:fldChar w:fldCharType="separate"/>
            </w:r>
            <w:r>
              <w:rPr>
                <w:noProof/>
                <w:webHidden/>
              </w:rPr>
              <w:t>16</w:t>
            </w:r>
            <w:r>
              <w:rPr>
                <w:noProof/>
                <w:webHidden/>
              </w:rPr>
              <w:fldChar w:fldCharType="end"/>
            </w:r>
          </w:hyperlink>
        </w:p>
        <w:p w:rsidR="00F661C5" w:rsidRDefault="00F661C5" w14:paraId="31A5E273" w14:textId="7D6DA00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4569298">
            <w:r w:rsidRPr="00B92B61">
              <w:rPr>
                <w:rStyle w:val="Hyperlink"/>
                <w:rFonts w:eastAsia="Times New Roman"/>
                <w:noProof/>
              </w:rPr>
              <w:t>4.4.2.</w:t>
            </w:r>
            <w:r>
              <w:rPr>
                <w:rFonts w:asciiTheme="minorHAnsi" w:hAnsiTheme="minorHAnsi" w:cstheme="minorBidi"/>
                <w:noProof/>
                <w:kern w:val="2"/>
                <w:sz w:val="24"/>
                <w:szCs w:val="24"/>
                <w14:ligatures w14:val="standardContextual"/>
              </w:rPr>
              <w:tab/>
            </w:r>
            <w:r w:rsidRPr="00B92B61">
              <w:rPr>
                <w:rStyle w:val="Hyperlink"/>
                <w:rFonts w:eastAsia="Times New Roman"/>
                <w:noProof/>
              </w:rPr>
              <w:t>Rate Design</w:t>
            </w:r>
            <w:r>
              <w:rPr>
                <w:noProof/>
                <w:webHidden/>
              </w:rPr>
              <w:tab/>
            </w:r>
            <w:r>
              <w:rPr>
                <w:noProof/>
                <w:webHidden/>
              </w:rPr>
              <w:fldChar w:fldCharType="begin"/>
            </w:r>
            <w:r>
              <w:rPr>
                <w:noProof/>
                <w:webHidden/>
              </w:rPr>
              <w:instrText xml:space="preserve"> PAGEREF _Toc224569298 \h </w:instrText>
            </w:r>
            <w:r>
              <w:rPr>
                <w:noProof/>
                <w:webHidden/>
              </w:rPr>
            </w:r>
            <w:r>
              <w:rPr>
                <w:noProof/>
                <w:webHidden/>
              </w:rPr>
              <w:fldChar w:fldCharType="separate"/>
            </w:r>
            <w:r>
              <w:rPr>
                <w:noProof/>
                <w:webHidden/>
              </w:rPr>
              <w:t>17</w:t>
            </w:r>
            <w:r>
              <w:rPr>
                <w:noProof/>
                <w:webHidden/>
              </w:rPr>
              <w:fldChar w:fldCharType="end"/>
            </w:r>
          </w:hyperlink>
        </w:p>
        <w:p w:rsidR="00F661C5" w:rsidRDefault="00F661C5" w14:paraId="43ED2D5E" w14:textId="6FA917D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4569299">
            <w:r w:rsidRPr="00B92B61">
              <w:rPr>
                <w:rStyle w:val="Hyperlink"/>
                <w:rFonts w:eastAsia="Times New Roman"/>
                <w:noProof/>
              </w:rPr>
              <w:t>4.4.2.1.</w:t>
            </w:r>
            <w:r>
              <w:rPr>
                <w:rFonts w:asciiTheme="minorHAnsi" w:hAnsiTheme="minorHAnsi" w:eastAsiaTheme="minorEastAsia"/>
                <w:noProof/>
                <w:kern w:val="2"/>
                <w:sz w:val="24"/>
                <w:szCs w:val="24"/>
                <w14:ligatures w14:val="standardContextual"/>
              </w:rPr>
              <w:tab/>
            </w:r>
            <w:r w:rsidRPr="00B92B61">
              <w:rPr>
                <w:rStyle w:val="Hyperlink"/>
                <w:rFonts w:eastAsia="Times New Roman"/>
                <w:noProof/>
              </w:rPr>
              <w:t>Residential Customers</w:t>
            </w:r>
            <w:r>
              <w:rPr>
                <w:noProof/>
                <w:webHidden/>
              </w:rPr>
              <w:tab/>
            </w:r>
            <w:r>
              <w:rPr>
                <w:noProof/>
                <w:webHidden/>
              </w:rPr>
              <w:fldChar w:fldCharType="begin"/>
            </w:r>
            <w:r>
              <w:rPr>
                <w:noProof/>
                <w:webHidden/>
              </w:rPr>
              <w:instrText xml:space="preserve"> PAGEREF _Toc224569299 \h </w:instrText>
            </w:r>
            <w:r>
              <w:rPr>
                <w:noProof/>
                <w:webHidden/>
              </w:rPr>
            </w:r>
            <w:r>
              <w:rPr>
                <w:noProof/>
                <w:webHidden/>
              </w:rPr>
              <w:fldChar w:fldCharType="separate"/>
            </w:r>
            <w:r>
              <w:rPr>
                <w:noProof/>
                <w:webHidden/>
              </w:rPr>
              <w:t>17</w:t>
            </w:r>
            <w:r>
              <w:rPr>
                <w:noProof/>
                <w:webHidden/>
              </w:rPr>
              <w:fldChar w:fldCharType="end"/>
            </w:r>
          </w:hyperlink>
        </w:p>
        <w:p w:rsidR="00F661C5" w:rsidRDefault="00F661C5" w14:paraId="7CF255F2" w14:textId="5CE1807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4569300">
            <w:r w:rsidRPr="00B92B61">
              <w:rPr>
                <w:rStyle w:val="Hyperlink"/>
                <w:rFonts w:eastAsia="Times New Roman"/>
                <w:noProof/>
              </w:rPr>
              <w:t>4.4.2.2.</w:t>
            </w:r>
            <w:r>
              <w:rPr>
                <w:rFonts w:asciiTheme="minorHAnsi" w:hAnsiTheme="minorHAnsi" w:eastAsiaTheme="minorEastAsia"/>
                <w:noProof/>
                <w:kern w:val="2"/>
                <w:sz w:val="24"/>
                <w:szCs w:val="24"/>
                <w14:ligatures w14:val="standardContextual"/>
              </w:rPr>
              <w:tab/>
            </w:r>
            <w:r w:rsidRPr="00B92B61">
              <w:rPr>
                <w:rStyle w:val="Hyperlink"/>
                <w:rFonts w:eastAsia="Times New Roman"/>
                <w:noProof/>
              </w:rPr>
              <w:t>Small Commercial and  Industrial (Small C&amp;I)</w:t>
            </w:r>
            <w:r>
              <w:rPr>
                <w:noProof/>
                <w:webHidden/>
              </w:rPr>
              <w:tab/>
            </w:r>
            <w:r>
              <w:rPr>
                <w:noProof/>
                <w:webHidden/>
              </w:rPr>
              <w:fldChar w:fldCharType="begin"/>
            </w:r>
            <w:r>
              <w:rPr>
                <w:noProof/>
                <w:webHidden/>
              </w:rPr>
              <w:instrText xml:space="preserve"> PAGEREF _Toc224569300 \h </w:instrText>
            </w:r>
            <w:r>
              <w:rPr>
                <w:noProof/>
                <w:webHidden/>
              </w:rPr>
            </w:r>
            <w:r>
              <w:rPr>
                <w:noProof/>
                <w:webHidden/>
              </w:rPr>
              <w:fldChar w:fldCharType="separate"/>
            </w:r>
            <w:r>
              <w:rPr>
                <w:noProof/>
                <w:webHidden/>
              </w:rPr>
              <w:t>18</w:t>
            </w:r>
            <w:r>
              <w:rPr>
                <w:noProof/>
                <w:webHidden/>
              </w:rPr>
              <w:fldChar w:fldCharType="end"/>
            </w:r>
          </w:hyperlink>
        </w:p>
        <w:p w:rsidR="00F661C5" w:rsidRDefault="00F661C5" w14:paraId="77D82D35" w14:textId="4D51958E">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4569301">
            <w:r w:rsidRPr="00B92B61">
              <w:rPr>
                <w:rStyle w:val="Hyperlink"/>
                <w:noProof/>
              </w:rPr>
              <w:t>4.4.2.3.</w:t>
            </w:r>
            <w:r>
              <w:rPr>
                <w:rFonts w:asciiTheme="minorHAnsi" w:hAnsiTheme="minorHAnsi" w:eastAsiaTheme="minorEastAsia"/>
                <w:noProof/>
                <w:kern w:val="2"/>
                <w:sz w:val="24"/>
                <w:szCs w:val="24"/>
                <w14:ligatures w14:val="standardContextual"/>
              </w:rPr>
              <w:tab/>
            </w:r>
            <w:r w:rsidRPr="00B92B61">
              <w:rPr>
                <w:rStyle w:val="Hyperlink"/>
                <w:noProof/>
              </w:rPr>
              <w:t>Medium and Large Commercial and  Industrial (Medium and Large C&amp;I)</w:t>
            </w:r>
            <w:r>
              <w:rPr>
                <w:noProof/>
                <w:webHidden/>
              </w:rPr>
              <w:tab/>
            </w:r>
            <w:r>
              <w:rPr>
                <w:noProof/>
                <w:webHidden/>
              </w:rPr>
              <w:fldChar w:fldCharType="begin"/>
            </w:r>
            <w:r>
              <w:rPr>
                <w:noProof/>
                <w:webHidden/>
              </w:rPr>
              <w:instrText xml:space="preserve"> PAGEREF _Toc224569301 \h </w:instrText>
            </w:r>
            <w:r>
              <w:rPr>
                <w:noProof/>
                <w:webHidden/>
              </w:rPr>
            </w:r>
            <w:r>
              <w:rPr>
                <w:noProof/>
                <w:webHidden/>
              </w:rPr>
              <w:fldChar w:fldCharType="separate"/>
            </w:r>
            <w:r>
              <w:rPr>
                <w:noProof/>
                <w:webHidden/>
              </w:rPr>
              <w:t>18</w:t>
            </w:r>
            <w:r>
              <w:rPr>
                <w:noProof/>
                <w:webHidden/>
              </w:rPr>
              <w:fldChar w:fldCharType="end"/>
            </w:r>
          </w:hyperlink>
        </w:p>
        <w:p w:rsidR="00F661C5" w:rsidRDefault="00F661C5" w14:paraId="3B4B33AE" w14:textId="226F81A9">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4569302">
            <w:r w:rsidRPr="00B92B61">
              <w:rPr>
                <w:rStyle w:val="Hyperlink"/>
                <w:rFonts w:eastAsia="Times New Roman"/>
                <w:noProof/>
              </w:rPr>
              <w:t>4.4.2.4.</w:t>
            </w:r>
            <w:r>
              <w:rPr>
                <w:rFonts w:asciiTheme="minorHAnsi" w:hAnsiTheme="minorHAnsi" w:eastAsiaTheme="minorEastAsia"/>
                <w:noProof/>
                <w:kern w:val="2"/>
                <w:sz w:val="24"/>
                <w:szCs w:val="24"/>
                <w14:ligatures w14:val="standardContextual"/>
              </w:rPr>
              <w:tab/>
            </w:r>
            <w:r w:rsidRPr="00B92B61">
              <w:rPr>
                <w:rStyle w:val="Hyperlink"/>
                <w:rFonts w:eastAsia="Times New Roman"/>
                <w:noProof/>
              </w:rPr>
              <w:t>Rate Design Methodology</w:t>
            </w:r>
            <w:r>
              <w:rPr>
                <w:noProof/>
                <w:webHidden/>
              </w:rPr>
              <w:tab/>
            </w:r>
            <w:r>
              <w:rPr>
                <w:noProof/>
                <w:webHidden/>
              </w:rPr>
              <w:fldChar w:fldCharType="begin"/>
            </w:r>
            <w:r>
              <w:rPr>
                <w:noProof/>
                <w:webHidden/>
              </w:rPr>
              <w:instrText xml:space="preserve"> PAGEREF _Toc224569302 \h </w:instrText>
            </w:r>
            <w:r>
              <w:rPr>
                <w:noProof/>
                <w:webHidden/>
              </w:rPr>
            </w:r>
            <w:r>
              <w:rPr>
                <w:noProof/>
                <w:webHidden/>
              </w:rPr>
              <w:fldChar w:fldCharType="separate"/>
            </w:r>
            <w:r>
              <w:rPr>
                <w:noProof/>
                <w:webHidden/>
              </w:rPr>
              <w:t>19</w:t>
            </w:r>
            <w:r>
              <w:rPr>
                <w:noProof/>
                <w:webHidden/>
              </w:rPr>
              <w:fldChar w:fldCharType="end"/>
            </w:r>
          </w:hyperlink>
        </w:p>
        <w:p w:rsidR="00F661C5" w:rsidRDefault="00F661C5" w14:paraId="4F0A6391" w14:textId="3974BF1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4569303">
            <w:r w:rsidRPr="00B92B61">
              <w:rPr>
                <w:rStyle w:val="Hyperlink"/>
                <w:noProof/>
              </w:rPr>
              <w:t>4.4.3.</w:t>
            </w:r>
            <w:r>
              <w:rPr>
                <w:rFonts w:asciiTheme="minorHAnsi" w:hAnsiTheme="minorHAnsi" w:cstheme="minorBidi"/>
                <w:noProof/>
                <w:kern w:val="2"/>
                <w:sz w:val="24"/>
                <w:szCs w:val="24"/>
                <w14:ligatures w14:val="standardContextual"/>
              </w:rPr>
              <w:tab/>
            </w:r>
            <w:r w:rsidRPr="00B92B61">
              <w:rPr>
                <w:rStyle w:val="Hyperlink"/>
                <w:noProof/>
              </w:rPr>
              <w:t>Affordability and Disconnection  for Non-Payment Impacts</w:t>
            </w:r>
            <w:r>
              <w:rPr>
                <w:noProof/>
                <w:webHidden/>
              </w:rPr>
              <w:tab/>
            </w:r>
            <w:r>
              <w:rPr>
                <w:noProof/>
                <w:webHidden/>
              </w:rPr>
              <w:fldChar w:fldCharType="begin"/>
            </w:r>
            <w:r>
              <w:rPr>
                <w:noProof/>
                <w:webHidden/>
              </w:rPr>
              <w:instrText xml:space="preserve"> PAGEREF _Toc224569303 \h </w:instrText>
            </w:r>
            <w:r>
              <w:rPr>
                <w:noProof/>
                <w:webHidden/>
              </w:rPr>
            </w:r>
            <w:r>
              <w:rPr>
                <w:noProof/>
                <w:webHidden/>
              </w:rPr>
              <w:fldChar w:fldCharType="separate"/>
            </w:r>
            <w:r>
              <w:rPr>
                <w:noProof/>
                <w:webHidden/>
              </w:rPr>
              <w:t>19</w:t>
            </w:r>
            <w:r>
              <w:rPr>
                <w:noProof/>
                <w:webHidden/>
              </w:rPr>
              <w:fldChar w:fldCharType="end"/>
            </w:r>
          </w:hyperlink>
        </w:p>
        <w:p w:rsidR="00F661C5" w:rsidRDefault="00F661C5" w14:paraId="5C9A84D8" w14:textId="576BB732">
          <w:pPr>
            <w:pStyle w:val="TOC2"/>
            <w:tabs>
              <w:tab w:val="right" w:leader="dot" w:pos="9350"/>
            </w:tabs>
            <w:rPr>
              <w:rFonts w:asciiTheme="minorHAnsi" w:hAnsiTheme="minorHAnsi" w:cstheme="minorBidi"/>
              <w:noProof/>
              <w:kern w:val="2"/>
              <w:sz w:val="24"/>
              <w:szCs w:val="24"/>
              <w14:ligatures w14:val="standardContextual"/>
            </w:rPr>
          </w:pPr>
          <w:hyperlink w:history="1" w:anchor="_Toc224569304">
            <w:r w:rsidRPr="00B92B61">
              <w:rPr>
                <w:rStyle w:val="Hyperlink"/>
                <w:noProof/>
              </w:rPr>
              <w:t>4.5.</w:t>
            </w:r>
            <w:r>
              <w:rPr>
                <w:rFonts w:asciiTheme="minorHAnsi" w:hAnsiTheme="minorHAnsi" w:cstheme="minorBidi"/>
                <w:noProof/>
                <w:kern w:val="2"/>
                <w:sz w:val="24"/>
                <w:szCs w:val="24"/>
                <w14:ligatures w14:val="standardContextual"/>
              </w:rPr>
              <w:tab/>
            </w:r>
            <w:r w:rsidRPr="00B92B61">
              <w:rPr>
                <w:rStyle w:val="Hyperlink"/>
                <w:noProof/>
              </w:rPr>
              <w:t>Scoped Issues 5 and 11</w:t>
            </w:r>
            <w:r>
              <w:rPr>
                <w:noProof/>
                <w:webHidden/>
              </w:rPr>
              <w:tab/>
            </w:r>
            <w:r>
              <w:rPr>
                <w:noProof/>
                <w:webHidden/>
              </w:rPr>
              <w:fldChar w:fldCharType="begin"/>
            </w:r>
            <w:r>
              <w:rPr>
                <w:noProof/>
                <w:webHidden/>
              </w:rPr>
              <w:instrText xml:space="preserve"> PAGEREF _Toc224569304 \h </w:instrText>
            </w:r>
            <w:r>
              <w:rPr>
                <w:noProof/>
                <w:webHidden/>
              </w:rPr>
            </w:r>
            <w:r>
              <w:rPr>
                <w:noProof/>
                <w:webHidden/>
              </w:rPr>
              <w:fldChar w:fldCharType="separate"/>
            </w:r>
            <w:r>
              <w:rPr>
                <w:noProof/>
                <w:webHidden/>
              </w:rPr>
              <w:t>23</w:t>
            </w:r>
            <w:r>
              <w:rPr>
                <w:noProof/>
                <w:webHidden/>
              </w:rPr>
              <w:fldChar w:fldCharType="end"/>
            </w:r>
          </w:hyperlink>
        </w:p>
        <w:p w:rsidR="00F661C5" w:rsidRDefault="00F661C5" w14:paraId="2EE74423" w14:textId="29653C9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4569305">
            <w:r w:rsidRPr="00B92B61">
              <w:rPr>
                <w:rStyle w:val="Hyperlink"/>
                <w:noProof/>
              </w:rPr>
              <w:t>4.5.1.</w:t>
            </w:r>
            <w:r>
              <w:rPr>
                <w:rFonts w:asciiTheme="minorHAnsi" w:hAnsiTheme="minorHAnsi" w:cstheme="minorBidi"/>
                <w:noProof/>
                <w:kern w:val="2"/>
                <w:sz w:val="24"/>
                <w:szCs w:val="24"/>
                <w14:ligatures w14:val="standardContextual"/>
              </w:rPr>
              <w:tab/>
            </w:r>
            <w:r w:rsidRPr="00B92B61">
              <w:rPr>
                <w:rStyle w:val="Hyperlink"/>
                <w:noProof/>
              </w:rPr>
              <w:t>Marginal Cost of Service Study</w:t>
            </w:r>
            <w:r>
              <w:rPr>
                <w:noProof/>
                <w:webHidden/>
              </w:rPr>
              <w:tab/>
            </w:r>
            <w:r>
              <w:rPr>
                <w:noProof/>
                <w:webHidden/>
              </w:rPr>
              <w:fldChar w:fldCharType="begin"/>
            </w:r>
            <w:r>
              <w:rPr>
                <w:noProof/>
                <w:webHidden/>
              </w:rPr>
              <w:instrText xml:space="preserve"> PAGEREF _Toc224569305 \h </w:instrText>
            </w:r>
            <w:r>
              <w:rPr>
                <w:noProof/>
                <w:webHidden/>
              </w:rPr>
            </w:r>
            <w:r>
              <w:rPr>
                <w:noProof/>
                <w:webHidden/>
              </w:rPr>
              <w:fldChar w:fldCharType="separate"/>
            </w:r>
            <w:r>
              <w:rPr>
                <w:noProof/>
                <w:webHidden/>
              </w:rPr>
              <w:t>23</w:t>
            </w:r>
            <w:r>
              <w:rPr>
                <w:noProof/>
                <w:webHidden/>
              </w:rPr>
              <w:fldChar w:fldCharType="end"/>
            </w:r>
          </w:hyperlink>
        </w:p>
        <w:p w:rsidR="00F661C5" w:rsidRDefault="00F661C5" w14:paraId="792DBB3E" w14:textId="2B62167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4569306">
            <w:r w:rsidRPr="00B92B61">
              <w:rPr>
                <w:rStyle w:val="Hyperlink"/>
                <w:noProof/>
              </w:rPr>
              <w:t>4.5.2.</w:t>
            </w:r>
            <w:r>
              <w:rPr>
                <w:rFonts w:asciiTheme="minorHAnsi" w:hAnsiTheme="minorHAnsi" w:cstheme="minorBidi"/>
                <w:noProof/>
                <w:kern w:val="2"/>
                <w:sz w:val="24"/>
                <w:szCs w:val="24"/>
                <w14:ligatures w14:val="standardContextual"/>
              </w:rPr>
              <w:tab/>
            </w:r>
            <w:r w:rsidRPr="00B92B61">
              <w:rPr>
                <w:rStyle w:val="Hyperlink"/>
                <w:noProof/>
              </w:rPr>
              <w:t>Nonpermanent Residential Class</w:t>
            </w:r>
            <w:r>
              <w:rPr>
                <w:noProof/>
                <w:webHidden/>
              </w:rPr>
              <w:tab/>
            </w:r>
            <w:r>
              <w:rPr>
                <w:noProof/>
                <w:webHidden/>
              </w:rPr>
              <w:fldChar w:fldCharType="begin"/>
            </w:r>
            <w:r>
              <w:rPr>
                <w:noProof/>
                <w:webHidden/>
              </w:rPr>
              <w:instrText xml:space="preserve"> PAGEREF _Toc224569306 \h </w:instrText>
            </w:r>
            <w:r>
              <w:rPr>
                <w:noProof/>
                <w:webHidden/>
              </w:rPr>
            </w:r>
            <w:r>
              <w:rPr>
                <w:noProof/>
                <w:webHidden/>
              </w:rPr>
              <w:fldChar w:fldCharType="separate"/>
            </w:r>
            <w:r>
              <w:rPr>
                <w:noProof/>
                <w:webHidden/>
              </w:rPr>
              <w:t>26</w:t>
            </w:r>
            <w:r>
              <w:rPr>
                <w:noProof/>
                <w:webHidden/>
              </w:rPr>
              <w:fldChar w:fldCharType="end"/>
            </w:r>
          </w:hyperlink>
        </w:p>
        <w:p w:rsidR="00F661C5" w:rsidRDefault="00F661C5" w14:paraId="6A753321" w14:textId="724C0026">
          <w:pPr>
            <w:pStyle w:val="TOC2"/>
            <w:tabs>
              <w:tab w:val="right" w:leader="dot" w:pos="9350"/>
            </w:tabs>
            <w:rPr>
              <w:rFonts w:asciiTheme="minorHAnsi" w:hAnsiTheme="minorHAnsi" w:cstheme="minorBidi"/>
              <w:noProof/>
              <w:kern w:val="2"/>
              <w:sz w:val="24"/>
              <w:szCs w:val="24"/>
              <w14:ligatures w14:val="standardContextual"/>
            </w:rPr>
          </w:pPr>
          <w:hyperlink w:history="1" w:anchor="_Toc224569307">
            <w:r w:rsidRPr="00B92B61">
              <w:rPr>
                <w:rStyle w:val="Hyperlink"/>
                <w:noProof/>
              </w:rPr>
              <w:t>4.6.</w:t>
            </w:r>
            <w:r>
              <w:rPr>
                <w:rFonts w:asciiTheme="minorHAnsi" w:hAnsiTheme="minorHAnsi" w:cstheme="minorBidi"/>
                <w:noProof/>
                <w:kern w:val="2"/>
                <w:sz w:val="24"/>
                <w:szCs w:val="24"/>
                <w14:ligatures w14:val="standardContextual"/>
              </w:rPr>
              <w:tab/>
            </w:r>
            <w:r w:rsidRPr="00B92B61">
              <w:rPr>
                <w:rStyle w:val="Hyperlink"/>
                <w:noProof/>
              </w:rPr>
              <w:t>Scoped Issue 8: Return on  Equity and Rate of Return</w:t>
            </w:r>
            <w:r>
              <w:rPr>
                <w:noProof/>
                <w:webHidden/>
              </w:rPr>
              <w:tab/>
            </w:r>
            <w:r>
              <w:rPr>
                <w:noProof/>
                <w:webHidden/>
              </w:rPr>
              <w:fldChar w:fldCharType="begin"/>
            </w:r>
            <w:r>
              <w:rPr>
                <w:noProof/>
                <w:webHidden/>
              </w:rPr>
              <w:instrText xml:space="preserve"> PAGEREF _Toc224569307 \h </w:instrText>
            </w:r>
            <w:r>
              <w:rPr>
                <w:noProof/>
                <w:webHidden/>
              </w:rPr>
            </w:r>
            <w:r>
              <w:rPr>
                <w:noProof/>
                <w:webHidden/>
              </w:rPr>
              <w:fldChar w:fldCharType="separate"/>
            </w:r>
            <w:r>
              <w:rPr>
                <w:noProof/>
                <w:webHidden/>
              </w:rPr>
              <w:t>28</w:t>
            </w:r>
            <w:r>
              <w:rPr>
                <w:noProof/>
                <w:webHidden/>
              </w:rPr>
              <w:fldChar w:fldCharType="end"/>
            </w:r>
          </w:hyperlink>
        </w:p>
        <w:p w:rsidR="00F661C5" w:rsidRDefault="00F661C5" w14:paraId="2D3771B3" w14:textId="119680F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4569308">
            <w:r w:rsidRPr="00B92B61">
              <w:rPr>
                <w:rStyle w:val="Hyperlink"/>
                <w:noProof/>
              </w:rPr>
              <w:t>4.6.1.</w:t>
            </w:r>
            <w:r>
              <w:rPr>
                <w:rFonts w:asciiTheme="minorHAnsi" w:hAnsiTheme="minorHAnsi" w:cstheme="minorBidi"/>
                <w:noProof/>
                <w:kern w:val="2"/>
                <w:sz w:val="24"/>
                <w:szCs w:val="24"/>
                <w14:ligatures w14:val="standardContextual"/>
              </w:rPr>
              <w:tab/>
            </w:r>
            <w:r w:rsidRPr="00B92B61">
              <w:rPr>
                <w:rStyle w:val="Hyperlink"/>
                <w:noProof/>
              </w:rPr>
              <w:t>Standard of Review</w:t>
            </w:r>
            <w:r>
              <w:rPr>
                <w:noProof/>
                <w:webHidden/>
              </w:rPr>
              <w:tab/>
            </w:r>
            <w:r>
              <w:rPr>
                <w:noProof/>
                <w:webHidden/>
              </w:rPr>
              <w:fldChar w:fldCharType="begin"/>
            </w:r>
            <w:r>
              <w:rPr>
                <w:noProof/>
                <w:webHidden/>
              </w:rPr>
              <w:instrText xml:space="preserve"> PAGEREF _Toc224569308 \h </w:instrText>
            </w:r>
            <w:r>
              <w:rPr>
                <w:noProof/>
                <w:webHidden/>
              </w:rPr>
            </w:r>
            <w:r>
              <w:rPr>
                <w:noProof/>
                <w:webHidden/>
              </w:rPr>
              <w:fldChar w:fldCharType="separate"/>
            </w:r>
            <w:r>
              <w:rPr>
                <w:noProof/>
                <w:webHidden/>
              </w:rPr>
              <w:t>28</w:t>
            </w:r>
            <w:r>
              <w:rPr>
                <w:noProof/>
                <w:webHidden/>
              </w:rPr>
              <w:fldChar w:fldCharType="end"/>
            </w:r>
          </w:hyperlink>
        </w:p>
        <w:p w:rsidR="00F661C5" w:rsidRDefault="00F661C5" w14:paraId="4311AB68" w14:textId="59DEDB4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4569309">
            <w:r w:rsidRPr="00B92B61">
              <w:rPr>
                <w:rStyle w:val="Hyperlink"/>
                <w:noProof/>
              </w:rPr>
              <w:t>4.6.2.</w:t>
            </w:r>
            <w:r>
              <w:rPr>
                <w:rFonts w:asciiTheme="minorHAnsi" w:hAnsiTheme="minorHAnsi" w:cstheme="minorBidi"/>
                <w:noProof/>
                <w:kern w:val="2"/>
                <w:sz w:val="24"/>
                <w:szCs w:val="24"/>
                <w14:ligatures w14:val="standardContextual"/>
              </w:rPr>
              <w:tab/>
            </w:r>
            <w:r w:rsidRPr="00B92B61">
              <w:rPr>
                <w:rStyle w:val="Hyperlink"/>
                <w:noProof/>
              </w:rPr>
              <w:t>Cost of Debt</w:t>
            </w:r>
            <w:r>
              <w:rPr>
                <w:noProof/>
                <w:webHidden/>
              </w:rPr>
              <w:tab/>
            </w:r>
            <w:r>
              <w:rPr>
                <w:noProof/>
                <w:webHidden/>
              </w:rPr>
              <w:fldChar w:fldCharType="begin"/>
            </w:r>
            <w:r>
              <w:rPr>
                <w:noProof/>
                <w:webHidden/>
              </w:rPr>
              <w:instrText xml:space="preserve"> PAGEREF _Toc224569309 \h </w:instrText>
            </w:r>
            <w:r>
              <w:rPr>
                <w:noProof/>
                <w:webHidden/>
              </w:rPr>
            </w:r>
            <w:r>
              <w:rPr>
                <w:noProof/>
                <w:webHidden/>
              </w:rPr>
              <w:fldChar w:fldCharType="separate"/>
            </w:r>
            <w:r>
              <w:rPr>
                <w:noProof/>
                <w:webHidden/>
              </w:rPr>
              <w:t>29</w:t>
            </w:r>
            <w:r>
              <w:rPr>
                <w:noProof/>
                <w:webHidden/>
              </w:rPr>
              <w:fldChar w:fldCharType="end"/>
            </w:r>
          </w:hyperlink>
        </w:p>
        <w:p w:rsidR="00F661C5" w:rsidRDefault="00F661C5" w14:paraId="17E98448" w14:textId="7EF838C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4569310">
            <w:r w:rsidRPr="00B92B61">
              <w:rPr>
                <w:rStyle w:val="Hyperlink"/>
                <w:noProof/>
              </w:rPr>
              <w:t>4.6.3.</w:t>
            </w:r>
            <w:r>
              <w:rPr>
                <w:rFonts w:asciiTheme="minorHAnsi" w:hAnsiTheme="minorHAnsi" w:cstheme="minorBidi"/>
                <w:noProof/>
                <w:kern w:val="2"/>
                <w:sz w:val="24"/>
                <w:szCs w:val="24"/>
                <w14:ligatures w14:val="standardContextual"/>
              </w:rPr>
              <w:tab/>
            </w:r>
            <w:r w:rsidRPr="00B92B61">
              <w:rPr>
                <w:rStyle w:val="Hyperlink"/>
                <w:noProof/>
              </w:rPr>
              <w:t>Return on Equity (ROE)</w:t>
            </w:r>
            <w:r>
              <w:rPr>
                <w:noProof/>
                <w:webHidden/>
              </w:rPr>
              <w:tab/>
            </w:r>
            <w:r>
              <w:rPr>
                <w:noProof/>
                <w:webHidden/>
              </w:rPr>
              <w:fldChar w:fldCharType="begin"/>
            </w:r>
            <w:r>
              <w:rPr>
                <w:noProof/>
                <w:webHidden/>
              </w:rPr>
              <w:instrText xml:space="preserve"> PAGEREF _Toc224569310 \h </w:instrText>
            </w:r>
            <w:r>
              <w:rPr>
                <w:noProof/>
                <w:webHidden/>
              </w:rPr>
            </w:r>
            <w:r>
              <w:rPr>
                <w:noProof/>
                <w:webHidden/>
              </w:rPr>
              <w:fldChar w:fldCharType="separate"/>
            </w:r>
            <w:r>
              <w:rPr>
                <w:noProof/>
                <w:webHidden/>
              </w:rPr>
              <w:t>29</w:t>
            </w:r>
            <w:r>
              <w:rPr>
                <w:noProof/>
                <w:webHidden/>
              </w:rPr>
              <w:fldChar w:fldCharType="end"/>
            </w:r>
          </w:hyperlink>
        </w:p>
        <w:p w:rsidR="00F661C5" w:rsidRDefault="00F661C5" w14:paraId="74848D47" w14:textId="28D5534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4569311">
            <w:r w:rsidRPr="00B92B61">
              <w:rPr>
                <w:rStyle w:val="Hyperlink"/>
                <w:rFonts w:eastAsia="Times New Roman"/>
                <w:noProof/>
              </w:rPr>
              <w:t>4.6.4.</w:t>
            </w:r>
            <w:r>
              <w:rPr>
                <w:rFonts w:asciiTheme="minorHAnsi" w:hAnsiTheme="minorHAnsi" w:cstheme="minorBidi"/>
                <w:noProof/>
                <w:kern w:val="2"/>
                <w:sz w:val="24"/>
                <w:szCs w:val="24"/>
                <w14:ligatures w14:val="standardContextual"/>
              </w:rPr>
              <w:tab/>
            </w:r>
            <w:r w:rsidRPr="00B92B61">
              <w:rPr>
                <w:rStyle w:val="Hyperlink"/>
                <w:noProof/>
              </w:rPr>
              <w:t>Rate</w:t>
            </w:r>
            <w:r w:rsidRPr="00B92B61">
              <w:rPr>
                <w:rStyle w:val="Hyperlink"/>
                <w:rFonts w:eastAsia="Times New Roman"/>
                <w:noProof/>
              </w:rPr>
              <w:t xml:space="preserve"> of Return (ROR)</w:t>
            </w:r>
            <w:r>
              <w:rPr>
                <w:noProof/>
                <w:webHidden/>
              </w:rPr>
              <w:tab/>
            </w:r>
            <w:r>
              <w:rPr>
                <w:noProof/>
                <w:webHidden/>
              </w:rPr>
              <w:fldChar w:fldCharType="begin"/>
            </w:r>
            <w:r>
              <w:rPr>
                <w:noProof/>
                <w:webHidden/>
              </w:rPr>
              <w:instrText xml:space="preserve"> PAGEREF _Toc224569311 \h </w:instrText>
            </w:r>
            <w:r>
              <w:rPr>
                <w:noProof/>
                <w:webHidden/>
              </w:rPr>
            </w:r>
            <w:r>
              <w:rPr>
                <w:noProof/>
                <w:webHidden/>
              </w:rPr>
              <w:fldChar w:fldCharType="separate"/>
            </w:r>
            <w:r>
              <w:rPr>
                <w:noProof/>
                <w:webHidden/>
              </w:rPr>
              <w:t>31</w:t>
            </w:r>
            <w:r>
              <w:rPr>
                <w:noProof/>
                <w:webHidden/>
              </w:rPr>
              <w:fldChar w:fldCharType="end"/>
            </w:r>
          </w:hyperlink>
        </w:p>
        <w:p w:rsidR="00F661C5" w:rsidRDefault="00F661C5" w14:paraId="1C2CD5CE" w14:textId="56DBA906">
          <w:pPr>
            <w:pStyle w:val="TOC2"/>
            <w:tabs>
              <w:tab w:val="right" w:leader="dot" w:pos="9350"/>
            </w:tabs>
            <w:rPr>
              <w:rFonts w:asciiTheme="minorHAnsi" w:hAnsiTheme="minorHAnsi" w:cstheme="minorBidi"/>
              <w:noProof/>
              <w:kern w:val="2"/>
              <w:sz w:val="24"/>
              <w:szCs w:val="24"/>
              <w14:ligatures w14:val="standardContextual"/>
            </w:rPr>
          </w:pPr>
          <w:hyperlink w:history="1" w:anchor="_Toc224569312">
            <w:r w:rsidRPr="00B92B61">
              <w:rPr>
                <w:rStyle w:val="Hyperlink"/>
                <w:noProof/>
              </w:rPr>
              <w:t>4.7.</w:t>
            </w:r>
            <w:r>
              <w:rPr>
                <w:rFonts w:asciiTheme="minorHAnsi" w:hAnsiTheme="minorHAnsi" w:cstheme="minorBidi"/>
                <w:noProof/>
                <w:kern w:val="2"/>
                <w:sz w:val="24"/>
                <w:szCs w:val="24"/>
                <w14:ligatures w14:val="standardContextual"/>
              </w:rPr>
              <w:tab/>
            </w:r>
            <w:r w:rsidRPr="00B92B61">
              <w:rPr>
                <w:rStyle w:val="Hyperlink"/>
                <w:noProof/>
              </w:rPr>
              <w:t>Scoped Issue 10</w:t>
            </w:r>
            <w:r>
              <w:rPr>
                <w:noProof/>
                <w:webHidden/>
              </w:rPr>
              <w:tab/>
            </w:r>
            <w:r>
              <w:rPr>
                <w:noProof/>
                <w:webHidden/>
              </w:rPr>
              <w:fldChar w:fldCharType="begin"/>
            </w:r>
            <w:r>
              <w:rPr>
                <w:noProof/>
                <w:webHidden/>
              </w:rPr>
              <w:instrText xml:space="preserve"> PAGEREF _Toc224569312 \h </w:instrText>
            </w:r>
            <w:r>
              <w:rPr>
                <w:noProof/>
                <w:webHidden/>
              </w:rPr>
            </w:r>
            <w:r>
              <w:rPr>
                <w:noProof/>
                <w:webHidden/>
              </w:rPr>
              <w:fldChar w:fldCharType="separate"/>
            </w:r>
            <w:r>
              <w:rPr>
                <w:noProof/>
                <w:webHidden/>
              </w:rPr>
              <w:t>32</w:t>
            </w:r>
            <w:r>
              <w:rPr>
                <w:noProof/>
                <w:webHidden/>
              </w:rPr>
              <w:fldChar w:fldCharType="end"/>
            </w:r>
          </w:hyperlink>
        </w:p>
        <w:p w:rsidR="00F661C5" w:rsidRDefault="00F661C5" w14:paraId="7F1300CC" w14:textId="6F9AD90B">
          <w:pPr>
            <w:pStyle w:val="TOC1"/>
            <w:tabs>
              <w:tab w:val="right" w:leader="dot" w:pos="9350"/>
            </w:tabs>
            <w:rPr>
              <w:rFonts w:asciiTheme="minorHAnsi" w:hAnsiTheme="minorHAnsi" w:cstheme="minorBidi"/>
              <w:noProof/>
              <w:kern w:val="2"/>
              <w:sz w:val="24"/>
              <w:szCs w:val="24"/>
              <w14:ligatures w14:val="standardContextual"/>
            </w:rPr>
          </w:pPr>
          <w:hyperlink w:history="1" w:anchor="_Toc224569313">
            <w:r w:rsidRPr="00B92B61">
              <w:rPr>
                <w:rStyle w:val="Hyperlink"/>
                <w:noProof/>
              </w:rPr>
              <w:t>5.</w:t>
            </w:r>
            <w:r>
              <w:rPr>
                <w:rFonts w:asciiTheme="minorHAnsi" w:hAnsiTheme="minorHAnsi" w:cstheme="minorBidi"/>
                <w:noProof/>
                <w:kern w:val="2"/>
                <w:sz w:val="24"/>
                <w:szCs w:val="24"/>
                <w14:ligatures w14:val="standardContextual"/>
              </w:rPr>
              <w:tab/>
            </w:r>
            <w:r w:rsidRPr="00B92B61">
              <w:rPr>
                <w:rStyle w:val="Hyperlink"/>
                <w:noProof/>
              </w:rPr>
              <w:t>Summary of Public Comment</w:t>
            </w:r>
            <w:r>
              <w:rPr>
                <w:noProof/>
                <w:webHidden/>
              </w:rPr>
              <w:tab/>
            </w:r>
            <w:r>
              <w:rPr>
                <w:noProof/>
                <w:webHidden/>
              </w:rPr>
              <w:fldChar w:fldCharType="begin"/>
            </w:r>
            <w:r>
              <w:rPr>
                <w:noProof/>
                <w:webHidden/>
              </w:rPr>
              <w:instrText xml:space="preserve"> PAGEREF _Toc224569313 \h </w:instrText>
            </w:r>
            <w:r>
              <w:rPr>
                <w:noProof/>
                <w:webHidden/>
              </w:rPr>
            </w:r>
            <w:r>
              <w:rPr>
                <w:noProof/>
                <w:webHidden/>
              </w:rPr>
              <w:fldChar w:fldCharType="separate"/>
            </w:r>
            <w:r>
              <w:rPr>
                <w:noProof/>
                <w:webHidden/>
              </w:rPr>
              <w:t>33</w:t>
            </w:r>
            <w:r>
              <w:rPr>
                <w:noProof/>
                <w:webHidden/>
              </w:rPr>
              <w:fldChar w:fldCharType="end"/>
            </w:r>
          </w:hyperlink>
        </w:p>
        <w:p w:rsidR="00F661C5" w:rsidRDefault="00F661C5" w14:paraId="17127E75" w14:textId="76ABBBA6">
          <w:pPr>
            <w:pStyle w:val="TOC1"/>
            <w:tabs>
              <w:tab w:val="right" w:leader="dot" w:pos="9350"/>
            </w:tabs>
            <w:rPr>
              <w:rFonts w:asciiTheme="minorHAnsi" w:hAnsiTheme="minorHAnsi" w:cstheme="minorBidi"/>
              <w:noProof/>
              <w:kern w:val="2"/>
              <w:sz w:val="24"/>
              <w:szCs w:val="24"/>
              <w14:ligatures w14:val="standardContextual"/>
            </w:rPr>
          </w:pPr>
          <w:hyperlink w:history="1" w:anchor="_Toc224569314">
            <w:r w:rsidRPr="00B92B61">
              <w:rPr>
                <w:rStyle w:val="Hyperlink"/>
                <w:noProof/>
              </w:rPr>
              <w:t>6.</w:t>
            </w:r>
            <w:r>
              <w:rPr>
                <w:rFonts w:asciiTheme="minorHAnsi" w:hAnsiTheme="minorHAnsi" w:cstheme="minorBidi"/>
                <w:noProof/>
                <w:kern w:val="2"/>
                <w:sz w:val="24"/>
                <w:szCs w:val="24"/>
                <w14:ligatures w14:val="standardContextual"/>
              </w:rPr>
              <w:tab/>
            </w:r>
            <w:r w:rsidRPr="00B92B61">
              <w:rPr>
                <w:rStyle w:val="Hyperlink"/>
                <w:noProof/>
              </w:rPr>
              <w:t>Conclusion</w:t>
            </w:r>
            <w:r>
              <w:rPr>
                <w:noProof/>
                <w:webHidden/>
              </w:rPr>
              <w:tab/>
            </w:r>
            <w:r>
              <w:rPr>
                <w:noProof/>
                <w:webHidden/>
              </w:rPr>
              <w:fldChar w:fldCharType="begin"/>
            </w:r>
            <w:r>
              <w:rPr>
                <w:noProof/>
                <w:webHidden/>
              </w:rPr>
              <w:instrText xml:space="preserve"> PAGEREF _Toc224569314 \h </w:instrText>
            </w:r>
            <w:r>
              <w:rPr>
                <w:noProof/>
                <w:webHidden/>
              </w:rPr>
            </w:r>
            <w:r>
              <w:rPr>
                <w:noProof/>
                <w:webHidden/>
              </w:rPr>
              <w:fldChar w:fldCharType="separate"/>
            </w:r>
            <w:r>
              <w:rPr>
                <w:noProof/>
                <w:webHidden/>
              </w:rPr>
              <w:t>33</w:t>
            </w:r>
            <w:r>
              <w:rPr>
                <w:noProof/>
                <w:webHidden/>
              </w:rPr>
              <w:fldChar w:fldCharType="end"/>
            </w:r>
          </w:hyperlink>
        </w:p>
        <w:p w:rsidR="00F661C5" w:rsidRDefault="00F661C5" w14:paraId="3B8A1B28" w14:textId="0DF9CEBD">
          <w:pPr>
            <w:pStyle w:val="TOC1"/>
            <w:tabs>
              <w:tab w:val="right" w:leader="dot" w:pos="9350"/>
            </w:tabs>
            <w:rPr>
              <w:rFonts w:asciiTheme="minorHAnsi" w:hAnsiTheme="minorHAnsi" w:cstheme="minorBidi"/>
              <w:noProof/>
              <w:kern w:val="2"/>
              <w:sz w:val="24"/>
              <w:szCs w:val="24"/>
              <w14:ligatures w14:val="standardContextual"/>
            </w:rPr>
          </w:pPr>
          <w:hyperlink w:history="1" w:anchor="_Toc224569315">
            <w:r w:rsidRPr="00B92B61">
              <w:rPr>
                <w:rStyle w:val="Hyperlink"/>
                <w:noProof/>
              </w:rPr>
              <w:t>7.</w:t>
            </w:r>
            <w:r>
              <w:rPr>
                <w:rFonts w:asciiTheme="minorHAnsi" w:hAnsiTheme="minorHAnsi" w:cstheme="minorBidi"/>
                <w:noProof/>
                <w:kern w:val="2"/>
                <w:sz w:val="24"/>
                <w:szCs w:val="24"/>
                <w14:ligatures w14:val="standardContextual"/>
              </w:rPr>
              <w:tab/>
            </w:r>
            <w:r w:rsidRPr="00B92B61">
              <w:rPr>
                <w:rStyle w:val="Hyperlink"/>
                <w:noProof/>
              </w:rPr>
              <w:t>Procedural Matters</w:t>
            </w:r>
            <w:r>
              <w:rPr>
                <w:noProof/>
                <w:webHidden/>
              </w:rPr>
              <w:tab/>
            </w:r>
            <w:r>
              <w:rPr>
                <w:noProof/>
                <w:webHidden/>
              </w:rPr>
              <w:fldChar w:fldCharType="begin"/>
            </w:r>
            <w:r>
              <w:rPr>
                <w:noProof/>
                <w:webHidden/>
              </w:rPr>
              <w:instrText xml:space="preserve"> PAGEREF _Toc224569315 \h </w:instrText>
            </w:r>
            <w:r>
              <w:rPr>
                <w:noProof/>
                <w:webHidden/>
              </w:rPr>
            </w:r>
            <w:r>
              <w:rPr>
                <w:noProof/>
                <w:webHidden/>
              </w:rPr>
              <w:fldChar w:fldCharType="separate"/>
            </w:r>
            <w:r>
              <w:rPr>
                <w:noProof/>
                <w:webHidden/>
              </w:rPr>
              <w:t>33</w:t>
            </w:r>
            <w:r>
              <w:rPr>
                <w:noProof/>
                <w:webHidden/>
              </w:rPr>
              <w:fldChar w:fldCharType="end"/>
            </w:r>
          </w:hyperlink>
        </w:p>
        <w:p w:rsidR="00F661C5" w:rsidRDefault="00F661C5" w14:paraId="3C40A067" w14:textId="28D693B9">
          <w:pPr>
            <w:pStyle w:val="TOC1"/>
            <w:tabs>
              <w:tab w:val="right" w:leader="dot" w:pos="9350"/>
            </w:tabs>
            <w:rPr>
              <w:rFonts w:asciiTheme="minorHAnsi" w:hAnsiTheme="minorHAnsi" w:cstheme="minorBidi"/>
              <w:noProof/>
              <w:kern w:val="2"/>
              <w:sz w:val="24"/>
              <w:szCs w:val="24"/>
              <w14:ligatures w14:val="standardContextual"/>
            </w:rPr>
          </w:pPr>
          <w:hyperlink w:history="1" w:anchor="_Toc224569316">
            <w:r w:rsidRPr="00B92B61">
              <w:rPr>
                <w:rStyle w:val="Hyperlink"/>
                <w:noProof/>
              </w:rPr>
              <w:t>8.</w:t>
            </w:r>
            <w:r>
              <w:rPr>
                <w:rFonts w:asciiTheme="minorHAnsi" w:hAnsiTheme="minorHAnsi" w:cstheme="minorBidi"/>
                <w:noProof/>
                <w:kern w:val="2"/>
                <w:sz w:val="24"/>
                <w:szCs w:val="24"/>
                <w14:ligatures w14:val="standardContextual"/>
              </w:rPr>
              <w:tab/>
            </w:r>
            <w:r w:rsidRPr="00B92B61">
              <w:rPr>
                <w:rStyle w:val="Hyperlink"/>
                <w:noProof/>
              </w:rPr>
              <w:t>Comments on Proposed Decision</w:t>
            </w:r>
            <w:r>
              <w:rPr>
                <w:noProof/>
                <w:webHidden/>
              </w:rPr>
              <w:tab/>
            </w:r>
            <w:r>
              <w:rPr>
                <w:noProof/>
                <w:webHidden/>
              </w:rPr>
              <w:fldChar w:fldCharType="begin"/>
            </w:r>
            <w:r>
              <w:rPr>
                <w:noProof/>
                <w:webHidden/>
              </w:rPr>
              <w:instrText xml:space="preserve"> PAGEREF _Toc224569316 \h </w:instrText>
            </w:r>
            <w:r>
              <w:rPr>
                <w:noProof/>
                <w:webHidden/>
              </w:rPr>
            </w:r>
            <w:r>
              <w:rPr>
                <w:noProof/>
                <w:webHidden/>
              </w:rPr>
              <w:fldChar w:fldCharType="separate"/>
            </w:r>
            <w:r>
              <w:rPr>
                <w:noProof/>
                <w:webHidden/>
              </w:rPr>
              <w:t>34</w:t>
            </w:r>
            <w:r>
              <w:rPr>
                <w:noProof/>
                <w:webHidden/>
              </w:rPr>
              <w:fldChar w:fldCharType="end"/>
            </w:r>
          </w:hyperlink>
        </w:p>
        <w:p w:rsidR="00F661C5" w:rsidRDefault="00F661C5" w14:paraId="16566537" w14:textId="256ADDDF">
          <w:pPr>
            <w:pStyle w:val="TOC1"/>
            <w:tabs>
              <w:tab w:val="right" w:leader="dot" w:pos="9350"/>
            </w:tabs>
            <w:rPr>
              <w:rFonts w:asciiTheme="minorHAnsi" w:hAnsiTheme="minorHAnsi" w:cstheme="minorBidi"/>
              <w:noProof/>
              <w:kern w:val="2"/>
              <w:sz w:val="24"/>
              <w:szCs w:val="24"/>
              <w14:ligatures w14:val="standardContextual"/>
            </w:rPr>
          </w:pPr>
          <w:hyperlink w:history="1" w:anchor="_Toc224569317">
            <w:r w:rsidRPr="00B92B61">
              <w:rPr>
                <w:rStyle w:val="Hyperlink"/>
                <w:noProof/>
              </w:rPr>
              <w:t>9.</w:t>
            </w:r>
            <w:r>
              <w:rPr>
                <w:rFonts w:asciiTheme="minorHAnsi" w:hAnsiTheme="minorHAnsi" w:cstheme="minorBidi"/>
                <w:noProof/>
                <w:kern w:val="2"/>
                <w:sz w:val="24"/>
                <w:szCs w:val="24"/>
                <w14:ligatures w14:val="standardContextual"/>
              </w:rPr>
              <w:tab/>
            </w:r>
            <w:r w:rsidRPr="00B92B61">
              <w:rPr>
                <w:rStyle w:val="Hyperlink"/>
                <w:noProof/>
              </w:rPr>
              <w:t>Assignment of Proceeding</w:t>
            </w:r>
            <w:r>
              <w:rPr>
                <w:noProof/>
                <w:webHidden/>
              </w:rPr>
              <w:tab/>
            </w:r>
            <w:r>
              <w:rPr>
                <w:noProof/>
                <w:webHidden/>
              </w:rPr>
              <w:fldChar w:fldCharType="begin"/>
            </w:r>
            <w:r>
              <w:rPr>
                <w:noProof/>
                <w:webHidden/>
              </w:rPr>
              <w:instrText xml:space="preserve"> PAGEREF _Toc224569317 \h </w:instrText>
            </w:r>
            <w:r>
              <w:rPr>
                <w:noProof/>
                <w:webHidden/>
              </w:rPr>
            </w:r>
            <w:r>
              <w:rPr>
                <w:noProof/>
                <w:webHidden/>
              </w:rPr>
              <w:fldChar w:fldCharType="separate"/>
            </w:r>
            <w:r>
              <w:rPr>
                <w:noProof/>
                <w:webHidden/>
              </w:rPr>
              <w:t>34</w:t>
            </w:r>
            <w:r>
              <w:rPr>
                <w:noProof/>
                <w:webHidden/>
              </w:rPr>
              <w:fldChar w:fldCharType="end"/>
            </w:r>
          </w:hyperlink>
        </w:p>
        <w:p w:rsidR="00F661C5" w:rsidRDefault="00F661C5" w14:paraId="0B75A1A3" w14:textId="7F2AF823">
          <w:pPr>
            <w:pStyle w:val="TOC1"/>
            <w:tabs>
              <w:tab w:val="right" w:leader="dot" w:pos="9350"/>
            </w:tabs>
            <w:rPr>
              <w:rFonts w:asciiTheme="minorHAnsi" w:hAnsiTheme="minorHAnsi" w:cstheme="minorBidi"/>
              <w:noProof/>
              <w:kern w:val="2"/>
              <w:sz w:val="24"/>
              <w:szCs w:val="24"/>
              <w14:ligatures w14:val="standardContextual"/>
            </w:rPr>
          </w:pPr>
          <w:hyperlink w:history="1" w:anchor="_Toc224569318">
            <w:r w:rsidRPr="00B92B61">
              <w:rPr>
                <w:rStyle w:val="Hyperlink"/>
                <w:noProof/>
              </w:rPr>
              <w:t>Findings of Fact</w:t>
            </w:r>
            <w:r>
              <w:rPr>
                <w:noProof/>
                <w:webHidden/>
              </w:rPr>
              <w:tab/>
            </w:r>
            <w:r>
              <w:rPr>
                <w:noProof/>
                <w:webHidden/>
              </w:rPr>
              <w:fldChar w:fldCharType="begin"/>
            </w:r>
            <w:r>
              <w:rPr>
                <w:noProof/>
                <w:webHidden/>
              </w:rPr>
              <w:instrText xml:space="preserve"> PAGEREF _Toc224569318 \h </w:instrText>
            </w:r>
            <w:r>
              <w:rPr>
                <w:noProof/>
                <w:webHidden/>
              </w:rPr>
            </w:r>
            <w:r>
              <w:rPr>
                <w:noProof/>
                <w:webHidden/>
              </w:rPr>
              <w:fldChar w:fldCharType="separate"/>
            </w:r>
            <w:r>
              <w:rPr>
                <w:noProof/>
                <w:webHidden/>
              </w:rPr>
              <w:t>34</w:t>
            </w:r>
            <w:r>
              <w:rPr>
                <w:noProof/>
                <w:webHidden/>
              </w:rPr>
              <w:fldChar w:fldCharType="end"/>
            </w:r>
          </w:hyperlink>
        </w:p>
        <w:p w:rsidR="00F661C5" w:rsidRDefault="00F661C5" w14:paraId="3AC69599" w14:textId="3CB74B20">
          <w:pPr>
            <w:pStyle w:val="TOC1"/>
            <w:tabs>
              <w:tab w:val="right" w:leader="dot" w:pos="9350"/>
            </w:tabs>
            <w:rPr>
              <w:rFonts w:asciiTheme="minorHAnsi" w:hAnsiTheme="minorHAnsi" w:cstheme="minorBidi"/>
              <w:noProof/>
              <w:kern w:val="2"/>
              <w:sz w:val="24"/>
              <w:szCs w:val="24"/>
              <w14:ligatures w14:val="standardContextual"/>
            </w:rPr>
          </w:pPr>
          <w:hyperlink w:history="1" w:anchor="_Toc224569319">
            <w:r w:rsidRPr="00B92B61">
              <w:rPr>
                <w:rStyle w:val="Hyperlink"/>
                <w:noProof/>
              </w:rPr>
              <w:t>Conclusions of Law</w:t>
            </w:r>
            <w:r>
              <w:rPr>
                <w:noProof/>
                <w:webHidden/>
              </w:rPr>
              <w:tab/>
            </w:r>
            <w:r>
              <w:rPr>
                <w:noProof/>
                <w:webHidden/>
              </w:rPr>
              <w:fldChar w:fldCharType="begin"/>
            </w:r>
            <w:r>
              <w:rPr>
                <w:noProof/>
                <w:webHidden/>
              </w:rPr>
              <w:instrText xml:space="preserve"> PAGEREF _Toc224569319 \h </w:instrText>
            </w:r>
            <w:r>
              <w:rPr>
                <w:noProof/>
                <w:webHidden/>
              </w:rPr>
            </w:r>
            <w:r>
              <w:rPr>
                <w:noProof/>
                <w:webHidden/>
              </w:rPr>
              <w:fldChar w:fldCharType="separate"/>
            </w:r>
            <w:r>
              <w:rPr>
                <w:noProof/>
                <w:webHidden/>
              </w:rPr>
              <w:t>36</w:t>
            </w:r>
            <w:r>
              <w:rPr>
                <w:noProof/>
                <w:webHidden/>
              </w:rPr>
              <w:fldChar w:fldCharType="end"/>
            </w:r>
          </w:hyperlink>
        </w:p>
        <w:p w:rsidR="00F661C5" w:rsidRDefault="00F661C5" w14:paraId="6F65EEF0" w14:textId="02121D9F">
          <w:pPr>
            <w:pStyle w:val="TOC1"/>
            <w:tabs>
              <w:tab w:val="right" w:leader="dot" w:pos="9350"/>
            </w:tabs>
            <w:rPr>
              <w:rFonts w:asciiTheme="minorHAnsi" w:hAnsiTheme="minorHAnsi" w:cstheme="minorBidi"/>
              <w:noProof/>
              <w:kern w:val="2"/>
              <w:sz w:val="24"/>
              <w:szCs w:val="24"/>
              <w14:ligatures w14:val="standardContextual"/>
            </w:rPr>
          </w:pPr>
          <w:hyperlink w:history="1" w:anchor="_Toc224569320">
            <w:r w:rsidRPr="00B92B61">
              <w:rPr>
                <w:rStyle w:val="Hyperlink"/>
                <w:noProof/>
              </w:rPr>
              <w:t>ORDER</w:t>
            </w:r>
            <w:r>
              <w:rPr>
                <w:noProof/>
                <w:webHidden/>
              </w:rPr>
              <w:tab/>
            </w:r>
            <w:r>
              <w:rPr>
                <w:noProof/>
                <w:webHidden/>
              </w:rPr>
              <w:fldChar w:fldCharType="begin"/>
            </w:r>
            <w:r>
              <w:rPr>
                <w:noProof/>
                <w:webHidden/>
              </w:rPr>
              <w:instrText xml:space="preserve"> PAGEREF _Toc224569320 \h </w:instrText>
            </w:r>
            <w:r>
              <w:rPr>
                <w:noProof/>
                <w:webHidden/>
              </w:rPr>
            </w:r>
            <w:r>
              <w:rPr>
                <w:noProof/>
                <w:webHidden/>
              </w:rPr>
              <w:fldChar w:fldCharType="separate"/>
            </w:r>
            <w:r>
              <w:rPr>
                <w:noProof/>
                <w:webHidden/>
              </w:rPr>
              <w:t>37</w:t>
            </w:r>
            <w:r>
              <w:rPr>
                <w:noProof/>
                <w:webHidden/>
              </w:rPr>
              <w:fldChar w:fldCharType="end"/>
            </w:r>
          </w:hyperlink>
        </w:p>
        <w:p w:rsidR="002C155A" w:rsidP="002C155A" w:rsidRDefault="008C7413" w14:paraId="43815E92" w14:textId="348C5DA8">
          <w:pPr>
            <w:pStyle w:val="TOC1"/>
            <w:tabs>
              <w:tab w:val="right" w:leader="dot" w:pos="9350"/>
            </w:tabs>
            <w:rPr>
              <w:b/>
              <w:bCs/>
              <w:noProof/>
            </w:rPr>
          </w:pPr>
          <w:r>
            <w:rPr>
              <w:rFonts w:asciiTheme="minorHAnsi" w:hAnsiTheme="minorHAnsi"/>
              <w:sz w:val="22"/>
            </w:rPr>
            <w:fldChar w:fldCharType="end"/>
          </w:r>
        </w:p>
      </w:sdtContent>
    </w:sdt>
    <w:p w:rsidRPr="00286CB8" w:rsidR="00CC2DE1" w:rsidP="00C945FA" w:rsidRDefault="00CC2DE1" w14:paraId="22DEDC4E" w14:textId="6A0C7BBC">
      <w:pPr>
        <w:ind w:firstLine="0"/>
        <w:rPr>
          <w:b/>
          <w:bCs/>
        </w:rPr>
      </w:pPr>
      <w:r w:rsidRPr="00286CB8">
        <w:rPr>
          <w:b/>
          <w:bCs/>
        </w:rPr>
        <w:t>A</w:t>
      </w:r>
      <w:r w:rsidR="005225DF">
        <w:rPr>
          <w:b/>
          <w:bCs/>
        </w:rPr>
        <w:t>ttachment</w:t>
      </w:r>
      <w:r w:rsidRPr="00286CB8">
        <w:rPr>
          <w:b/>
          <w:bCs/>
        </w:rPr>
        <w:t xml:space="preserve"> A</w:t>
      </w:r>
      <w:r w:rsidR="00394264">
        <w:rPr>
          <w:b/>
          <w:bCs/>
        </w:rPr>
        <w:t xml:space="preserve"> </w:t>
      </w:r>
      <w:r w:rsidRPr="00286CB8">
        <w:rPr>
          <w:b/>
          <w:bCs/>
        </w:rPr>
        <w:t>- Settlement Agreement with Amended Appendix A</w:t>
      </w:r>
    </w:p>
    <w:p w:rsidRPr="00286CB8" w:rsidR="00FC76E4" w:rsidP="00C945FA" w:rsidRDefault="002D4FE2" w14:paraId="24A0D802" w14:textId="17236714">
      <w:pPr>
        <w:ind w:firstLine="0"/>
        <w:rPr>
          <w:b/>
          <w:bCs/>
        </w:rPr>
      </w:pPr>
      <w:r w:rsidRPr="00286CB8">
        <w:rPr>
          <w:b/>
          <w:bCs/>
        </w:rPr>
        <w:t>A</w:t>
      </w:r>
      <w:r w:rsidR="005225DF">
        <w:rPr>
          <w:b/>
          <w:bCs/>
        </w:rPr>
        <w:t>ttachment</w:t>
      </w:r>
      <w:r w:rsidRPr="00286CB8">
        <w:rPr>
          <w:b/>
          <w:bCs/>
        </w:rPr>
        <w:t xml:space="preserve"> B </w:t>
      </w:r>
      <w:r w:rsidR="00394264">
        <w:rPr>
          <w:b/>
          <w:bCs/>
        </w:rPr>
        <w:t xml:space="preserve">- </w:t>
      </w:r>
      <w:r w:rsidRPr="00286CB8" w:rsidR="00FC76E4">
        <w:rPr>
          <w:b/>
          <w:bCs/>
        </w:rPr>
        <w:t>Summary of Results of Operation</w:t>
      </w:r>
      <w:r w:rsidRPr="00286CB8" w:rsidR="000A470C">
        <w:rPr>
          <w:b/>
          <w:bCs/>
        </w:rPr>
        <w:t>s</w:t>
      </w:r>
      <w:r w:rsidRPr="00286CB8" w:rsidR="00FC76E4">
        <w:rPr>
          <w:b/>
          <w:bCs/>
        </w:rPr>
        <w:t xml:space="preserve"> 2025</w:t>
      </w:r>
    </w:p>
    <w:p w:rsidRPr="002C155A" w:rsidR="00D44DB6" w:rsidP="002C155A" w:rsidRDefault="00D44DB6" w14:paraId="3BFE46C8" w14:textId="44387FB6">
      <w:pPr>
        <w:pStyle w:val="TOC1"/>
        <w:tabs>
          <w:tab w:val="right" w:leader="dot" w:pos="9350"/>
        </w:tabs>
        <w:rPr>
          <w:iCs/>
        </w:rPr>
        <w:sectPr w:rsidRPr="002C155A" w:rsidR="00D44DB6"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227177" w:rsidP="00586AF7" w:rsidRDefault="00227177" w14:paraId="498F3B8D" w14:textId="6E1BC396">
      <w:pPr>
        <w:pStyle w:val="Dummy"/>
        <w:jc w:val="center"/>
      </w:pPr>
      <w:bookmarkStart w:name="_Toc8123714" w:id="0"/>
      <w:bookmarkStart w:name="_Toc224569283" w:id="1"/>
      <w:r>
        <w:lastRenderedPageBreak/>
        <w:t xml:space="preserve">DECISION </w:t>
      </w:r>
      <w:r w:rsidR="00586AF7">
        <w:t>TO</w:t>
      </w:r>
      <w:r w:rsidR="00213138">
        <w:t xml:space="preserve"> ADOPT AND MODIF</w:t>
      </w:r>
      <w:r w:rsidR="00927764">
        <w:t>Y S</w:t>
      </w:r>
      <w:r>
        <w:t xml:space="preserve">ETTLEMENT AGREEMENT AND ADDRESS </w:t>
      </w:r>
      <w:r w:rsidR="00586AF7">
        <w:t>LIBERTY UTILIT</w:t>
      </w:r>
      <w:r w:rsidR="00DB7D03">
        <w:t>I</w:t>
      </w:r>
      <w:r w:rsidR="00586AF7">
        <w:t>ES</w:t>
      </w:r>
      <w:r w:rsidR="00BF6A7F">
        <w:t>’</w:t>
      </w:r>
      <w:r w:rsidR="00586AF7">
        <w:t xml:space="preserve"> (CALPECO ELECTRIC) </w:t>
      </w:r>
      <w:r w:rsidR="00752FC5">
        <w:br/>
      </w:r>
      <w:r>
        <w:t>TEST YEAR 2025 GENERAL RATE CASE</w:t>
      </w:r>
      <w:bookmarkEnd w:id="1"/>
      <w:r>
        <w:t xml:space="preserve"> </w:t>
      </w:r>
    </w:p>
    <w:p w:rsidR="005A148C" w:rsidP="005A148C" w:rsidRDefault="005A148C" w14:paraId="63EDC825" w14:textId="77777777">
      <w:pPr>
        <w:pStyle w:val="Dummy"/>
      </w:pPr>
      <w:bookmarkStart w:name="_Toc224569284" w:id="2"/>
      <w:r>
        <w:t>Summary</w:t>
      </w:r>
      <w:bookmarkEnd w:id="0"/>
      <w:bookmarkEnd w:id="2"/>
    </w:p>
    <w:p w:rsidRPr="00E440EA" w:rsidR="00E440EA" w:rsidP="00E440EA" w:rsidRDefault="005A148C" w14:paraId="01E6661A" w14:textId="1EC28B7A">
      <w:pPr>
        <w:pStyle w:val="OP"/>
        <w:numPr>
          <w:ilvl w:val="0"/>
          <w:numId w:val="0"/>
        </w:numPr>
        <w:ind w:firstLine="540"/>
      </w:pPr>
      <w:r>
        <w:t>Th</w:t>
      </w:r>
      <w:r w:rsidR="00F8379D">
        <w:t>is Decision adopts a</w:t>
      </w:r>
      <w:r w:rsidR="000F4476">
        <w:t>nd modifies an uncontested</w:t>
      </w:r>
      <w:r w:rsidR="00F8379D">
        <w:t xml:space="preserve"> multi-party Settlement Agreement regarding revenue requirements </w:t>
      </w:r>
      <w:r w:rsidR="00371467">
        <w:t>issues</w:t>
      </w:r>
      <w:r w:rsidR="000F4476">
        <w:t xml:space="preserve"> </w:t>
      </w:r>
      <w:r w:rsidR="00F8379D">
        <w:t>and addresses Liberty Utilities</w:t>
      </w:r>
      <w:r w:rsidR="003920B7">
        <w:t>’</w:t>
      </w:r>
      <w:r w:rsidR="00F8379D">
        <w:t xml:space="preserve"> (</w:t>
      </w:r>
      <w:proofErr w:type="spellStart"/>
      <w:r w:rsidR="00F8379D">
        <w:t>CalPeco</w:t>
      </w:r>
      <w:proofErr w:type="spellEnd"/>
      <w:r w:rsidR="00F8379D">
        <w:t xml:space="preserve"> Electric) LLC</w:t>
      </w:r>
      <w:r w:rsidR="00DB7D03">
        <w:t>’s</w:t>
      </w:r>
      <w:r w:rsidR="00F8379D">
        <w:t xml:space="preserve"> </w:t>
      </w:r>
      <w:r w:rsidR="008216D6">
        <w:t xml:space="preserve">(Liberty) </w:t>
      </w:r>
      <w:r w:rsidR="00F8379D">
        <w:t xml:space="preserve">Test Year 2025 </w:t>
      </w:r>
      <w:r w:rsidR="00DB7D03">
        <w:t xml:space="preserve">general rate case </w:t>
      </w:r>
      <w:r w:rsidR="00F8379D">
        <w:t>to increase its authorized revenues, allocate revenues and design rates.</w:t>
      </w:r>
      <w:r w:rsidR="00E27EC6">
        <w:t xml:space="preserve"> </w:t>
      </w:r>
      <w:r w:rsidR="00B03E71">
        <w:rPr>
          <w:rFonts w:eastAsia="Times New Roman" w:cs="Calibri"/>
          <w:szCs w:val="26"/>
        </w:rPr>
        <w:t>This Decision authorizes Liberty to have a revenue requirement of $231,938,000</w:t>
      </w:r>
      <w:r w:rsidR="00F67429">
        <w:rPr>
          <w:rFonts w:eastAsia="Times New Roman" w:cs="Calibri"/>
          <w:szCs w:val="26"/>
        </w:rPr>
        <w:t>, representing an</w:t>
      </w:r>
      <w:r w:rsidR="00B03E71">
        <w:rPr>
          <w:rFonts w:eastAsia="Times New Roman" w:cs="Calibri"/>
          <w:szCs w:val="26"/>
        </w:rPr>
        <w:t xml:space="preserve"> 11.4% increase over the currently authorized revenue requirement of $208,147,000. </w:t>
      </w:r>
    </w:p>
    <w:p w:rsidR="00606BC4" w:rsidP="00E440EA" w:rsidRDefault="00B03E71" w14:paraId="0F86B586" w14:textId="0E911395">
      <w:pPr>
        <w:pStyle w:val="OP"/>
        <w:numPr>
          <w:ilvl w:val="0"/>
          <w:numId w:val="0"/>
        </w:numPr>
        <w:ind w:firstLine="540"/>
        <w:rPr>
          <w:rFonts w:cs="Arial"/>
        </w:rPr>
      </w:pPr>
      <w:r>
        <w:rPr>
          <w:rFonts w:eastAsia="Times New Roman" w:cs="Calibri"/>
          <w:szCs w:val="26"/>
        </w:rPr>
        <w:t>This Decision also authorizes Liberty a</w:t>
      </w:r>
      <w:r>
        <w:t xml:space="preserve"> return on equity of 9.75</w:t>
      </w:r>
      <w:r>
        <w:rPr>
          <w:rFonts w:eastAsia="Times New Roman" w:cs="Calibri"/>
          <w:szCs w:val="26"/>
        </w:rPr>
        <w:t xml:space="preserve">%, </w:t>
      </w:r>
      <w:r>
        <w:t xml:space="preserve">a </w:t>
      </w:r>
      <w:r w:rsidRPr="00B03E71" w:rsidR="00E17133">
        <w:rPr>
          <w:rFonts w:cs="Arial"/>
        </w:rPr>
        <w:t>cost of debt of 5.87%</w:t>
      </w:r>
      <w:r w:rsidR="00E440EA">
        <w:rPr>
          <w:rFonts w:eastAsia="Times New Roman" w:cs="Calibri"/>
          <w:szCs w:val="26"/>
        </w:rPr>
        <w:t>,</w:t>
      </w:r>
      <w:r w:rsidRPr="00E440EA" w:rsidR="00E440EA">
        <w:rPr>
          <w:rFonts w:cs="Arial"/>
        </w:rPr>
        <w:t xml:space="preserve"> </w:t>
      </w:r>
      <w:r w:rsidR="00F67429">
        <w:rPr>
          <w:rFonts w:cs="Arial"/>
        </w:rPr>
        <w:t xml:space="preserve">a </w:t>
      </w:r>
      <w:r w:rsidR="00E440EA">
        <w:rPr>
          <w:rFonts w:cs="Arial"/>
        </w:rPr>
        <w:t>capital structure of 47.5% debt and 52.5% equity</w:t>
      </w:r>
      <w:r w:rsidR="00F67429">
        <w:rPr>
          <w:rFonts w:cs="Arial"/>
        </w:rPr>
        <w:t>,</w:t>
      </w:r>
      <w:r>
        <w:rPr>
          <w:rFonts w:eastAsia="Times New Roman" w:cs="Calibri"/>
          <w:szCs w:val="26"/>
        </w:rPr>
        <w:t xml:space="preserve"> and </w:t>
      </w:r>
      <w:r w:rsidR="00F67429">
        <w:rPr>
          <w:rFonts w:cs="Arial"/>
        </w:rPr>
        <w:t>a</w:t>
      </w:r>
      <w:r w:rsidRPr="00E17133" w:rsidR="00E17133">
        <w:t xml:space="preserve"> </w:t>
      </w:r>
      <w:r w:rsidR="00E17133">
        <w:t>rate of return of 7.91</w:t>
      </w:r>
      <w:r w:rsidRPr="00B03E71" w:rsidR="00E17133">
        <w:rPr>
          <w:rFonts w:eastAsia="Times New Roman" w:cs="Calibri"/>
          <w:szCs w:val="26"/>
        </w:rPr>
        <w:t>%</w:t>
      </w:r>
      <w:r w:rsidR="00E17133">
        <w:rPr>
          <w:rFonts w:eastAsia="Times New Roman" w:cs="Calibri"/>
          <w:szCs w:val="26"/>
        </w:rPr>
        <w:t>.</w:t>
      </w:r>
      <w:r w:rsidR="00E17133">
        <w:rPr>
          <w:rFonts w:cs="Arial"/>
        </w:rPr>
        <w:t xml:space="preserve"> </w:t>
      </w:r>
      <w:r>
        <w:rPr>
          <w:rFonts w:cs="Arial"/>
        </w:rPr>
        <w:t xml:space="preserve"> </w:t>
      </w:r>
    </w:p>
    <w:p w:rsidRPr="001E2A62" w:rsidR="00B03E71" w:rsidP="00E440EA" w:rsidRDefault="00B03E71" w14:paraId="4F46853D" w14:textId="05C27171">
      <w:pPr>
        <w:pStyle w:val="OP"/>
        <w:numPr>
          <w:ilvl w:val="0"/>
          <w:numId w:val="0"/>
        </w:numPr>
        <w:ind w:firstLine="540"/>
      </w:pPr>
      <w:r>
        <w:rPr>
          <w:rFonts w:cs="Arial"/>
        </w:rPr>
        <w:t xml:space="preserve">This proceeding is closed. </w:t>
      </w:r>
    </w:p>
    <w:p w:rsidRPr="00121089" w:rsidR="005A148C" w:rsidDel="006C0D11" w:rsidP="00A55ACD" w:rsidRDefault="002C7FE9" w14:paraId="0042B799" w14:textId="5A6FD868">
      <w:pPr>
        <w:pStyle w:val="Heading1"/>
        <w:numPr>
          <w:ilvl w:val="0"/>
          <w:numId w:val="1"/>
        </w:numPr>
      </w:pPr>
      <w:bookmarkStart w:name="_Toc8123715" w:id="3"/>
      <w:bookmarkStart w:name="_Toc224569285" w:id="4"/>
      <w:r w:rsidRPr="00121089" w:rsidDel="006C0D11">
        <w:t>Background</w:t>
      </w:r>
      <w:bookmarkEnd w:id="3"/>
      <w:bookmarkEnd w:id="4"/>
    </w:p>
    <w:p w:rsidR="00C615E5" w:rsidDel="006C0D11" w:rsidP="00C615E5" w:rsidRDefault="00C615E5" w14:paraId="6B9E6DE9" w14:textId="1B8B00CE">
      <w:pPr>
        <w:pStyle w:val="Standard"/>
      </w:pPr>
      <w:r w:rsidDel="006C0D11">
        <w:t>On September 20, 2024, Liberty Utilities</w:t>
      </w:r>
      <w:r w:rsidDel="006C0D11" w:rsidR="003920B7">
        <w:t xml:space="preserve"> (</w:t>
      </w:r>
      <w:proofErr w:type="spellStart"/>
      <w:r w:rsidDel="006C0D11" w:rsidR="003920B7">
        <w:t>CalPeco</w:t>
      </w:r>
      <w:proofErr w:type="spellEnd"/>
      <w:r w:rsidDel="006C0D11" w:rsidR="003920B7">
        <w:t xml:space="preserve"> Electric)</w:t>
      </w:r>
      <w:r w:rsidDel="006C0D11">
        <w:t xml:space="preserve"> LLC (Liberty/</w:t>
      </w:r>
      <w:r w:rsidDel="006C0D11" w:rsidR="00744E40">
        <w:t>A</w:t>
      </w:r>
      <w:r w:rsidDel="006C0D11">
        <w:t xml:space="preserve">pplicant) filed Application (A.) 24-09-010 (Application) with the California Public Utilities Commission (Commission) and initiated this proceeding. The Application is a </w:t>
      </w:r>
      <w:r w:rsidDel="006C0D11" w:rsidR="002F696C">
        <w:t>g</w:t>
      </w:r>
      <w:r w:rsidDel="006C0D11">
        <w:t xml:space="preserve">eneral </w:t>
      </w:r>
      <w:r w:rsidDel="006C0D11" w:rsidR="002F696C">
        <w:t>g</w:t>
      </w:r>
      <w:r w:rsidDel="006C0D11">
        <w:t xml:space="preserve">ate </w:t>
      </w:r>
      <w:r w:rsidDel="006C0D11" w:rsidR="002F696C">
        <w:t>c</w:t>
      </w:r>
      <w:r w:rsidDel="006C0D11">
        <w:t>ase (GRC) that requests the Commission authorize Liberty to increase its revenue requirement and customers’ electric rates starting in 2025.</w:t>
      </w:r>
    </w:p>
    <w:p w:rsidR="00C615E5" w:rsidDel="006C0D11" w:rsidP="00C615E5" w:rsidRDefault="00C615E5" w14:paraId="37EB80ED" w14:textId="6FA402F6">
      <w:pPr>
        <w:pStyle w:val="Standard"/>
      </w:pPr>
      <w:r w:rsidDel="006C0D11">
        <w:t>The Notice of the Filing of the Application appeared on the Commission’s Daily Calendar on September 25, 2024.</w:t>
      </w:r>
    </w:p>
    <w:p w:rsidR="00C615E5" w:rsidDel="006C0D11" w:rsidP="00C615E5" w:rsidRDefault="00C615E5" w14:paraId="60BDD28C" w14:textId="699126F6">
      <w:pPr>
        <w:pStyle w:val="xstandard"/>
      </w:pPr>
      <w:r w:rsidDel="006C0D11">
        <w:t xml:space="preserve">On October 3, 2024, Liberty filed a </w:t>
      </w:r>
      <w:bookmarkStart w:name="_Hlk191627435" w:id="5"/>
      <w:r w:rsidDel="006C0D11">
        <w:t>Motion to Track Costs in its General Rate Case Memorandum Account (GRCMA).</w:t>
      </w:r>
      <w:bookmarkEnd w:id="5"/>
    </w:p>
    <w:p w:rsidR="00C615E5" w:rsidDel="006C0D11" w:rsidP="00C615E5" w:rsidRDefault="00C615E5" w14:paraId="6D432584" w14:textId="48F05343">
      <w:pPr>
        <w:pStyle w:val="xstandard"/>
      </w:pPr>
      <w:r w:rsidDel="006C0D11">
        <w:lastRenderedPageBreak/>
        <w:t xml:space="preserve">On October 21, 2024, the Tahoe Energy Ratepayer Group (TERG) filed a Response to the Application. </w:t>
      </w:r>
    </w:p>
    <w:p w:rsidR="00C615E5" w:rsidDel="006C0D11" w:rsidP="00C615E5" w:rsidRDefault="00C615E5" w14:paraId="44031EEE" w14:textId="78CCEE7B">
      <w:pPr>
        <w:pStyle w:val="xstandard"/>
      </w:pPr>
      <w:r w:rsidDel="006C0D11">
        <w:t>On October 25, 2024, individual Protests were filed by The Utility Reform Network (TURN), A</w:t>
      </w:r>
      <w:r w:rsidDel="006C0D11">
        <w:noBreakHyphen/>
        <w:t>3 Customer Coalition (A</w:t>
      </w:r>
      <w:r w:rsidDel="006C0D11">
        <w:noBreakHyphen/>
        <w:t xml:space="preserve">3 CC) and the Public Advocates Office at the California Public Utilities Commission (Cal Advocates). </w:t>
      </w:r>
    </w:p>
    <w:p w:rsidR="00C615E5" w:rsidDel="006C0D11" w:rsidP="00C615E5" w:rsidRDefault="00C615E5" w14:paraId="46C6728B" w14:textId="53D02990">
      <w:pPr>
        <w:pStyle w:val="xstandard"/>
      </w:pPr>
      <w:r w:rsidDel="006C0D11">
        <w:t>On November 7, 2024, ALJ Resolution 176</w:t>
      </w:r>
      <w:r w:rsidDel="006C0D11">
        <w:noBreakHyphen/>
        <w:t xml:space="preserve">3554 issued and preliminarily categorized this proceeding as </w:t>
      </w:r>
      <w:proofErr w:type="spellStart"/>
      <w:r w:rsidDel="006C0D11">
        <w:t>ratesetting</w:t>
      </w:r>
      <w:proofErr w:type="spellEnd"/>
      <w:r w:rsidDel="006C0D11">
        <w:t>.</w:t>
      </w:r>
    </w:p>
    <w:p w:rsidR="00C615E5" w:rsidDel="006C0D11" w:rsidP="00C615E5" w:rsidRDefault="00C615E5" w14:paraId="46250F6B" w14:textId="2724EAC3">
      <w:pPr>
        <w:pStyle w:val="xstandard"/>
      </w:pPr>
      <w:r w:rsidDel="006C0D11">
        <w:t>On December 19, 2024, Small Business Utility Advocates (SBUA) filed a Motion for Party Status.</w:t>
      </w:r>
    </w:p>
    <w:p w:rsidR="00C615E5" w:rsidDel="006C0D11" w:rsidP="00C615E5" w:rsidRDefault="00C615E5" w14:paraId="16CD5C4F" w14:textId="300A0AF9">
      <w:pPr>
        <w:pStyle w:val="xstandard"/>
      </w:pPr>
      <w:r w:rsidDel="006C0D11">
        <w:t>On December 23, 2024, a ruling</w:t>
      </w:r>
      <w:r w:rsidDel="006C0D11" w:rsidR="00E470A5">
        <w:t xml:space="preserve"> by the assigned Administrative Law Judge (ALJ) </w:t>
      </w:r>
      <w:r w:rsidDel="006C0D11">
        <w:t>issued granting Liberty’</w:t>
      </w:r>
      <w:r w:rsidDel="006C0D11" w:rsidR="00BF6A7F">
        <w:t>s</w:t>
      </w:r>
      <w:r w:rsidDel="006C0D11">
        <w:t xml:space="preserve"> Motion to Track Costs in its GRCMA.</w:t>
      </w:r>
    </w:p>
    <w:p w:rsidR="005E1FC0" w:rsidDel="006C0D11" w:rsidP="00C615E5" w:rsidRDefault="005E1FC0" w14:paraId="70045D4C" w14:textId="053EB7E1">
      <w:pPr>
        <w:pStyle w:val="xstandard"/>
      </w:pPr>
      <w:r w:rsidDel="006C0D11">
        <w:t>On December 26, 2024, an ALJ ruling granted SBUA’s Motion for Party Status.</w:t>
      </w:r>
    </w:p>
    <w:p w:rsidR="00C96CC6" w:rsidDel="006C0D11" w:rsidP="00C615E5" w:rsidRDefault="00C96CC6" w14:paraId="1433E1C0" w14:textId="16BBF091">
      <w:pPr>
        <w:pStyle w:val="xstandard"/>
      </w:pPr>
      <w:r w:rsidDel="006C0D11">
        <w:t xml:space="preserve">On January 8, 2025, the Alliance for Housing Opportunities in Energy Supporting Permanent Affordable </w:t>
      </w:r>
      <w:r w:rsidDel="006C0D11" w:rsidR="00026BF1">
        <w:t>Housing for Residential Kilowatts (Tahoe S</w:t>
      </w:r>
      <w:r w:rsidDel="006C0D11" w:rsidR="00DB7D03">
        <w:t>PARK</w:t>
      </w:r>
      <w:r w:rsidDel="006C0D11" w:rsidR="009A4F0A">
        <w:t>) filed a Motion for Party Status</w:t>
      </w:r>
      <w:r w:rsidDel="006C0D11" w:rsidR="00026BF1">
        <w:t>.</w:t>
      </w:r>
    </w:p>
    <w:p w:rsidR="00026BF1" w:rsidDel="006C0D11" w:rsidP="00C615E5" w:rsidRDefault="00C615E5" w14:paraId="5CDDA623" w14:textId="6758DE78">
      <w:pPr>
        <w:pStyle w:val="Standard"/>
      </w:pPr>
      <w:r w:rsidDel="006C0D11">
        <w:t xml:space="preserve">On January 9, 2025, </w:t>
      </w:r>
      <w:r w:rsidDel="006C0D11" w:rsidR="00026BF1">
        <w:t>a Joint Case Management Statement was filed by Liberty, Cal Advocates, A-3</w:t>
      </w:r>
      <w:r w:rsidDel="006C0D11" w:rsidR="009A4F0A">
        <w:t xml:space="preserve"> CC</w:t>
      </w:r>
      <w:r w:rsidDel="006C0D11" w:rsidR="00026BF1">
        <w:t>, TE</w:t>
      </w:r>
      <w:r w:rsidDel="006C0D11" w:rsidR="009A4F0A">
        <w:t>R</w:t>
      </w:r>
      <w:r w:rsidDel="006C0D11" w:rsidR="00026BF1">
        <w:t xml:space="preserve">G, SBUA and TURN. </w:t>
      </w:r>
    </w:p>
    <w:p w:rsidR="00C615E5" w:rsidDel="006C0D11" w:rsidP="00C615E5" w:rsidRDefault="00026BF1" w14:paraId="2EF82D21" w14:textId="1A0F2A5A">
      <w:pPr>
        <w:pStyle w:val="Standard"/>
      </w:pPr>
      <w:r w:rsidDel="006C0D11">
        <w:t xml:space="preserve">On January </w:t>
      </w:r>
      <w:r w:rsidDel="006C0D11" w:rsidR="003117EF">
        <w:t>16</w:t>
      </w:r>
      <w:r w:rsidDel="006C0D11">
        <w:t xml:space="preserve">, 2025, the </w:t>
      </w:r>
      <w:r w:rsidDel="006C0D11" w:rsidR="002F696C">
        <w:t>p</w:t>
      </w:r>
      <w:r w:rsidDel="006C0D11" w:rsidR="00DB7D03">
        <w:t xml:space="preserve">rehearing </w:t>
      </w:r>
      <w:r w:rsidDel="006C0D11" w:rsidR="002F696C">
        <w:t>c</w:t>
      </w:r>
      <w:r w:rsidDel="006C0D11" w:rsidR="00DB7D03">
        <w:t>onference (</w:t>
      </w:r>
      <w:r w:rsidDel="006C0D11" w:rsidR="00C615E5">
        <w:t>PHC</w:t>
      </w:r>
      <w:r w:rsidDel="006C0D11" w:rsidR="00DB7D03">
        <w:t>)</w:t>
      </w:r>
      <w:r w:rsidDel="006C0D11" w:rsidR="00C615E5">
        <w:t xml:space="preserve"> was held to address the issues of law and fact, determine the need for hearing, set the schedule for resolving the matter, and address other matters as necessary. </w:t>
      </w:r>
    </w:p>
    <w:p w:rsidR="00717881" w:rsidDel="006C0D11" w:rsidP="00C615E5" w:rsidRDefault="00717881" w14:paraId="28AD6E16" w14:textId="55E89E69">
      <w:pPr>
        <w:pStyle w:val="Standard"/>
      </w:pPr>
      <w:r w:rsidDel="006C0D11">
        <w:t>On January 22, 2025</w:t>
      </w:r>
      <w:r w:rsidDel="006C0D11" w:rsidR="005D612F">
        <w:t>,</w:t>
      </w:r>
      <w:r w:rsidDel="006C0D11">
        <w:t xml:space="preserve"> TERG filed a Response to Tahoe S</w:t>
      </w:r>
      <w:r w:rsidDel="006C0D11" w:rsidR="00DB7D03">
        <w:t>PARK</w:t>
      </w:r>
      <w:r w:rsidDel="006C0D11">
        <w:t>’</w:t>
      </w:r>
      <w:r w:rsidDel="006C0D11" w:rsidR="005D612F">
        <w:t>s</w:t>
      </w:r>
      <w:r w:rsidDel="006C0D11">
        <w:t xml:space="preserve"> Motion for Party Status. </w:t>
      </w:r>
    </w:p>
    <w:p w:rsidR="009A4F0A" w:rsidDel="006C0D11" w:rsidP="00C615E5" w:rsidRDefault="009A4F0A" w14:paraId="5261C226" w14:textId="73E65ABC">
      <w:pPr>
        <w:pStyle w:val="Standard"/>
      </w:pPr>
      <w:r w:rsidDel="006C0D11">
        <w:t>On January 30, 2025</w:t>
      </w:r>
      <w:r w:rsidDel="006C0D11" w:rsidR="00876579">
        <w:t>,</w:t>
      </w:r>
      <w:r w:rsidDel="006C0D11">
        <w:t xml:space="preserve"> </w:t>
      </w:r>
      <w:r w:rsidDel="006C0D11" w:rsidR="00876579">
        <w:t xml:space="preserve">Liberty, Cal Advocates, A-3 CC, TERG, SBUA and TURN filed a Motion for Protective Order. </w:t>
      </w:r>
    </w:p>
    <w:p w:rsidR="00370B15" w:rsidDel="006C0D11" w:rsidP="00C615E5" w:rsidRDefault="00370B15" w14:paraId="3EE7590A" w14:textId="29557D57">
      <w:pPr>
        <w:pStyle w:val="Standard"/>
      </w:pPr>
      <w:r w:rsidDel="006C0D11">
        <w:lastRenderedPageBreak/>
        <w:t xml:space="preserve">On February 13, 2025, </w:t>
      </w:r>
      <w:proofErr w:type="gramStart"/>
      <w:r w:rsidDel="006C0D11">
        <w:t>a</w:t>
      </w:r>
      <w:r w:rsidDel="006C0D11" w:rsidR="00E470A5">
        <w:t>n ALJ</w:t>
      </w:r>
      <w:proofErr w:type="gramEnd"/>
      <w:r w:rsidDel="006C0D11">
        <w:t xml:space="preserve"> ruling denied Tahoe S</w:t>
      </w:r>
      <w:r w:rsidDel="006C0D11" w:rsidR="007B7398">
        <w:t>PARK</w:t>
      </w:r>
      <w:r w:rsidDel="006C0D11">
        <w:t>’s Motion for Party Status</w:t>
      </w:r>
      <w:r w:rsidDel="006C0D11" w:rsidR="005D612F">
        <w:t>.</w:t>
      </w:r>
    </w:p>
    <w:p w:rsidR="00717881" w:rsidDel="006C0D11" w:rsidP="00C615E5" w:rsidRDefault="00717881" w14:paraId="1F514536" w14:textId="084A9DC0">
      <w:pPr>
        <w:pStyle w:val="Standard"/>
      </w:pPr>
      <w:r w:rsidDel="006C0D11">
        <w:t xml:space="preserve"> </w:t>
      </w:r>
      <w:r w:rsidDel="006C0D11" w:rsidR="00AF458D">
        <w:t>On February 20, 2025, a</w:t>
      </w:r>
      <w:r w:rsidDel="006C0D11" w:rsidR="00E470A5">
        <w:t>n ALJ</w:t>
      </w:r>
      <w:r w:rsidDel="006C0D11" w:rsidR="00AF458D">
        <w:t xml:space="preserve"> ruling granted the Motion for Protective Order. </w:t>
      </w:r>
    </w:p>
    <w:p w:rsidR="003117EF" w:rsidDel="006C0D11" w:rsidP="00C615E5" w:rsidRDefault="003117EF" w14:paraId="25BD8F00" w14:textId="2408EBCE">
      <w:pPr>
        <w:pStyle w:val="Standard"/>
      </w:pPr>
      <w:r w:rsidDel="006C0D11">
        <w:t>On February 21, 2025, a</w:t>
      </w:r>
      <w:r w:rsidDel="006C0D11" w:rsidR="00E470A5">
        <w:t>n ALJ</w:t>
      </w:r>
      <w:r w:rsidDel="006C0D11">
        <w:t xml:space="preserve"> ruling ordered Liberty to file amended workpapers. </w:t>
      </w:r>
    </w:p>
    <w:p w:rsidR="003117EF" w:rsidDel="006C0D11" w:rsidP="00C615E5" w:rsidRDefault="003117EF" w14:paraId="2AD3FFAD" w14:textId="56D595C9">
      <w:pPr>
        <w:pStyle w:val="Standard"/>
      </w:pPr>
      <w:r w:rsidDel="006C0D11">
        <w:t xml:space="preserve">On March 5, 2025, Liberty </w:t>
      </w:r>
      <w:r w:rsidDel="006C0D11" w:rsidR="00F67429">
        <w:t>f</w:t>
      </w:r>
      <w:r w:rsidDel="006C0D11">
        <w:t>iled a Motion for Interim Rate Relief and Request for Expedited Treatment</w:t>
      </w:r>
      <w:r w:rsidDel="006C0D11" w:rsidR="00513722">
        <w:t xml:space="preserve"> (Interim Rate Motion)</w:t>
      </w:r>
      <w:r w:rsidDel="006C0D11">
        <w:t>.</w:t>
      </w:r>
    </w:p>
    <w:p w:rsidR="003117EF" w:rsidDel="006C0D11" w:rsidP="005E1FC0" w:rsidRDefault="003117EF" w14:paraId="28BEA52F" w14:textId="4CD2A376">
      <w:pPr>
        <w:pStyle w:val="Standard"/>
      </w:pPr>
      <w:r w:rsidDel="006C0D11">
        <w:t>On March 6, 2025, Tahoe S</w:t>
      </w:r>
      <w:r w:rsidDel="006C0D11" w:rsidR="007B7398">
        <w:t>PARK</w:t>
      </w:r>
      <w:r w:rsidDel="006C0D11">
        <w:t xml:space="preserve"> filed a second Motion for Party Status. </w:t>
      </w:r>
    </w:p>
    <w:p w:rsidR="00513722" w:rsidDel="006C0D11" w:rsidP="00C615E5" w:rsidRDefault="00513722" w14:paraId="4E96754A" w14:textId="299C41C5">
      <w:pPr>
        <w:pStyle w:val="Standard"/>
      </w:pPr>
      <w:r w:rsidDel="006C0D11">
        <w:t xml:space="preserve">On March 17, 2025, A-3 CC filed a Response </w:t>
      </w:r>
      <w:r w:rsidDel="006C0D11" w:rsidR="00A83071">
        <w:t xml:space="preserve">and TURN filed an Opposition </w:t>
      </w:r>
      <w:r w:rsidDel="006C0D11">
        <w:t>to Liberty’s Interim Rate Motion.</w:t>
      </w:r>
    </w:p>
    <w:p w:rsidR="00A83071" w:rsidDel="006C0D11" w:rsidP="00C615E5" w:rsidRDefault="00A83071" w14:paraId="3E64612E" w14:textId="4769F46E">
      <w:pPr>
        <w:pStyle w:val="Standard"/>
      </w:pPr>
      <w:r w:rsidDel="006C0D11">
        <w:t>On March 21, 2025, TERG filed a Response to Liberty’s Interim Rate Motion.</w:t>
      </w:r>
    </w:p>
    <w:p w:rsidR="00A83071" w:rsidDel="006C0D11" w:rsidP="00C615E5" w:rsidRDefault="00A83071" w14:paraId="243C7F39" w14:textId="0E8C5C26">
      <w:pPr>
        <w:pStyle w:val="Standard"/>
      </w:pPr>
      <w:r w:rsidDel="006C0D11">
        <w:t>On March 25, 2025, an ALJ ruling granted Tahoe S</w:t>
      </w:r>
      <w:r w:rsidDel="006C0D11" w:rsidR="007B7398">
        <w:t>PARK</w:t>
      </w:r>
      <w:r w:rsidDel="006C0D11">
        <w:t>’s Motion for Party Status.</w:t>
      </w:r>
    </w:p>
    <w:p w:rsidR="00A83071" w:rsidDel="006C0D11" w:rsidP="00C615E5" w:rsidRDefault="00A83071" w14:paraId="1EDE0DE9" w14:textId="5A5ABA8B">
      <w:pPr>
        <w:pStyle w:val="Standard"/>
      </w:pPr>
      <w:r w:rsidDel="006C0D11">
        <w:t xml:space="preserve">On April 1, 2025, Liberty filed a Reply in Support of Its Interim Rate Motion. </w:t>
      </w:r>
    </w:p>
    <w:p w:rsidR="006E4BA4" w:rsidDel="006C0D11" w:rsidP="00C615E5" w:rsidRDefault="006E4BA4" w14:paraId="34EE5E26" w14:textId="2CC5A63B">
      <w:pPr>
        <w:pStyle w:val="Standard"/>
      </w:pPr>
      <w:r w:rsidDel="006C0D11">
        <w:t xml:space="preserve">On May 29, 2025. Commissioner Matthew Baker’s Scoping Memorandum and Ruling (Scoping Ruling) issued. The Scoping Ruling scheduled evidentiary hearings and designated ALJ Patrick Petersen as the Presiding Officer. </w:t>
      </w:r>
    </w:p>
    <w:p w:rsidR="00E77619" w:rsidDel="006C0D11" w:rsidP="00C615E5" w:rsidRDefault="00E77619" w14:paraId="4B49B0A7" w14:textId="503605D9">
      <w:pPr>
        <w:pStyle w:val="Standard"/>
      </w:pPr>
      <w:r w:rsidDel="006C0D11">
        <w:t>On June 19, 2025, Tahoe S</w:t>
      </w:r>
      <w:r w:rsidDel="006C0D11" w:rsidR="007B7398">
        <w:t>PARK</w:t>
      </w:r>
      <w:r w:rsidDel="006C0D11">
        <w:t xml:space="preserve"> filed a Motion to Be Added to the Protective Order. </w:t>
      </w:r>
    </w:p>
    <w:p w:rsidR="00E77619" w:rsidDel="006C0D11" w:rsidP="00C615E5" w:rsidRDefault="00E77619" w14:paraId="1C7055D5" w14:textId="40620D77">
      <w:pPr>
        <w:pStyle w:val="Standard"/>
      </w:pPr>
      <w:r w:rsidDel="006C0D11">
        <w:t xml:space="preserve"> On June 25, </w:t>
      </w:r>
      <w:r w:rsidDel="006C0D11" w:rsidR="00262752">
        <w:t xml:space="preserve">2025, </w:t>
      </w:r>
      <w:r w:rsidDel="006C0D11">
        <w:t>an ALJ ruling granted Tahoe S</w:t>
      </w:r>
      <w:r w:rsidDel="006C0D11" w:rsidR="007B7398">
        <w:t>PARK</w:t>
      </w:r>
      <w:r w:rsidDel="006C0D11">
        <w:t xml:space="preserve">’s Motion to Be Added to the Protective Order. </w:t>
      </w:r>
    </w:p>
    <w:p w:rsidR="00262752" w:rsidDel="006C0D11" w:rsidP="00C615E5" w:rsidRDefault="00262752" w14:paraId="50584267" w14:textId="57F52BBE">
      <w:pPr>
        <w:pStyle w:val="Standard"/>
      </w:pPr>
      <w:r w:rsidDel="006C0D11">
        <w:t>On July 8, 2025, an ALJ ruling noticed Public Participation Hearings</w:t>
      </w:r>
      <w:r w:rsidDel="006C0D11" w:rsidR="008A6C8A">
        <w:t xml:space="preserve"> (PPH</w:t>
      </w:r>
      <w:r w:rsidDel="006C0D11" w:rsidR="00862C5E">
        <w:t>s</w:t>
      </w:r>
      <w:r w:rsidDel="006C0D11" w:rsidR="008A6C8A">
        <w:t>)</w:t>
      </w:r>
      <w:r w:rsidDel="006C0D11">
        <w:t xml:space="preserve">. </w:t>
      </w:r>
    </w:p>
    <w:p w:rsidR="008A6C8A" w:rsidDel="006C0D11" w:rsidP="00C615E5" w:rsidRDefault="008A6C8A" w14:paraId="223942A0" w14:textId="364A29D5">
      <w:pPr>
        <w:pStyle w:val="Standard"/>
      </w:pPr>
      <w:r w:rsidDel="006C0D11">
        <w:lastRenderedPageBreak/>
        <w:t xml:space="preserve"> On July 29, 2025, a Joint Status </w:t>
      </w:r>
      <w:r w:rsidDel="006C0D11" w:rsidR="00AD4187">
        <w:t xml:space="preserve">Conference </w:t>
      </w:r>
      <w:r w:rsidDel="006C0D11">
        <w:t>Statement was filed by Liberty, Cal</w:t>
      </w:r>
      <w:r w:rsidDel="006C0D11" w:rsidR="002F696C">
        <w:t> </w:t>
      </w:r>
      <w:r w:rsidDel="006C0D11">
        <w:t>Advocates, A-3 CC, TERG, TURN, SBUA and Tahoe S</w:t>
      </w:r>
      <w:r w:rsidDel="006C0D11" w:rsidR="00F70F80">
        <w:t>PARK</w:t>
      </w:r>
      <w:r w:rsidDel="006C0D11">
        <w:t xml:space="preserve"> (collectively the Parties). </w:t>
      </w:r>
    </w:p>
    <w:p w:rsidR="008A6C8A" w:rsidDel="006C0D11" w:rsidP="00C615E5" w:rsidRDefault="008A6C8A" w14:paraId="604290BF" w14:textId="50282CB7">
      <w:pPr>
        <w:pStyle w:val="Standard"/>
      </w:pPr>
      <w:r w:rsidDel="006C0D11">
        <w:t>On August 7, 2025, a</w:t>
      </w:r>
      <w:r w:rsidDel="006C0D11" w:rsidR="00E470A5">
        <w:t>n ALJ</w:t>
      </w:r>
      <w:r w:rsidDel="006C0D11">
        <w:t xml:space="preserve"> ruling </w:t>
      </w:r>
      <w:r w:rsidR="194A3A07">
        <w:t>cancell</w:t>
      </w:r>
      <w:r w:rsidR="4EC024DA">
        <w:t>ed</w:t>
      </w:r>
      <w:r w:rsidDel="006C0D11">
        <w:t xml:space="preserve"> the two in person PPHs.</w:t>
      </w:r>
    </w:p>
    <w:p w:rsidR="00F25B29" w:rsidDel="006C0D11" w:rsidP="00C615E5" w:rsidRDefault="00F25B29" w14:paraId="08994087" w14:textId="406345E4">
      <w:pPr>
        <w:pStyle w:val="Standard"/>
      </w:pPr>
      <w:r w:rsidDel="006C0D11">
        <w:t>On August 22, 2025, Tahoe S</w:t>
      </w:r>
      <w:r w:rsidDel="006C0D11" w:rsidR="007B7398">
        <w:t>PARK</w:t>
      </w:r>
      <w:r w:rsidDel="006C0D11">
        <w:t xml:space="preserve"> filed a Motion to Freeze Liberty’s Rate Increase (Motion to Freeze Rates).</w:t>
      </w:r>
    </w:p>
    <w:p w:rsidR="00F25B29" w:rsidDel="006C0D11" w:rsidP="00C615E5" w:rsidRDefault="00F25B29" w14:paraId="47771ABE" w14:textId="4775135A">
      <w:pPr>
        <w:pStyle w:val="Standard"/>
      </w:pPr>
      <w:r w:rsidDel="006C0D11">
        <w:t xml:space="preserve">On August 29, 2025, the Parties filed a Supplemental Joint </w:t>
      </w:r>
      <w:r w:rsidDel="006C0D11" w:rsidR="00AD4187">
        <w:t>Status Conference</w:t>
      </w:r>
      <w:r w:rsidDel="006C0D11">
        <w:t xml:space="preserve"> Statement. </w:t>
      </w:r>
    </w:p>
    <w:p w:rsidR="00F25B29" w:rsidDel="006C0D11" w:rsidP="00C615E5" w:rsidRDefault="00F25B29" w14:paraId="77EE6430" w14:textId="10F9BE82">
      <w:pPr>
        <w:pStyle w:val="Standard"/>
      </w:pPr>
      <w:r w:rsidDel="006C0D11">
        <w:t xml:space="preserve">On September 2, 2025, Liberty filed a Response to the Motion to Freeze Rates. </w:t>
      </w:r>
    </w:p>
    <w:p w:rsidR="00F25B29" w:rsidDel="006C0D11" w:rsidP="00C615E5" w:rsidRDefault="00F25B29" w14:paraId="59EB8CA2" w14:textId="03E52259">
      <w:pPr>
        <w:pStyle w:val="Standard"/>
      </w:pPr>
      <w:r w:rsidDel="006C0D11">
        <w:t>On September 5, 2025</w:t>
      </w:r>
      <w:r w:rsidDel="006C0D11" w:rsidR="00456606">
        <w:t>,</w:t>
      </w:r>
      <w:r w:rsidDel="006C0D11">
        <w:t xml:space="preserve"> a Notice of Evidentiary Hearings issued.</w:t>
      </w:r>
    </w:p>
    <w:p w:rsidR="00F25B29" w:rsidDel="006C0D11" w:rsidP="00C615E5" w:rsidRDefault="00F25B29" w14:paraId="35701671" w14:textId="65132F3C">
      <w:pPr>
        <w:pStyle w:val="Standard"/>
      </w:pPr>
      <w:r w:rsidDel="006C0D11">
        <w:t xml:space="preserve">On September 8, 2025, Liberty filed a Supplemental Report Regarding Evidentiary Hearings. </w:t>
      </w:r>
    </w:p>
    <w:p w:rsidR="00F25B29" w:rsidDel="006C0D11" w:rsidP="00C615E5" w:rsidRDefault="00F25B29" w14:paraId="4E187CC2" w14:textId="11E8067F">
      <w:pPr>
        <w:pStyle w:val="Standard"/>
      </w:pPr>
      <w:r w:rsidDel="006C0D11">
        <w:t xml:space="preserve"> </w:t>
      </w:r>
      <w:r w:rsidDel="006C0D11" w:rsidR="00456606">
        <w:t xml:space="preserve">On September 8, 2025, an ALJ ruling issued regarding the Evidentiary Hearings. </w:t>
      </w:r>
    </w:p>
    <w:p w:rsidR="00456606" w:rsidDel="006C0D11" w:rsidP="00C615E5" w:rsidRDefault="00456606" w14:paraId="6A9A631C" w14:textId="471A99C5">
      <w:pPr>
        <w:pStyle w:val="Standard"/>
      </w:pPr>
      <w:r w:rsidDel="006C0D11">
        <w:t>On September 15, 18 and 19, 2025</w:t>
      </w:r>
      <w:r w:rsidDel="006C0D11" w:rsidR="006D1045">
        <w:t>,</w:t>
      </w:r>
      <w:r w:rsidDel="006C0D11">
        <w:t xml:space="preserve"> virtual Evidentiary Hearings were held. </w:t>
      </w:r>
    </w:p>
    <w:p w:rsidR="00456606" w:rsidDel="006C0D11" w:rsidP="00C615E5" w:rsidRDefault="00456606" w14:paraId="12019AB2" w14:textId="62BF7C73">
      <w:pPr>
        <w:pStyle w:val="Standard"/>
      </w:pPr>
      <w:r w:rsidDel="006C0D11">
        <w:t xml:space="preserve">On September 19, 2025, an ALJ ruling modified the procedural schedule and due dates to file opening and </w:t>
      </w:r>
      <w:proofErr w:type="gramStart"/>
      <w:r w:rsidDel="006C0D11">
        <w:t>reply</w:t>
      </w:r>
      <w:proofErr w:type="gramEnd"/>
      <w:r w:rsidDel="006C0D11">
        <w:t xml:space="preserve"> briefs. </w:t>
      </w:r>
    </w:p>
    <w:p w:rsidR="00456606" w:rsidDel="006C0D11" w:rsidP="00C615E5" w:rsidRDefault="00456606" w14:paraId="5AFB47A2" w14:textId="3B95EA6F">
      <w:pPr>
        <w:pStyle w:val="Standard"/>
      </w:pPr>
      <w:r w:rsidDel="006C0D11">
        <w:t>On October 1, 2025, Liberty, Cal Advocates, TURN, TERG</w:t>
      </w:r>
      <w:r w:rsidDel="006C0D11" w:rsidR="00C47203">
        <w:t>, A-3 CC,</w:t>
      </w:r>
      <w:r w:rsidDel="006C0D11">
        <w:t xml:space="preserve"> and SBUA (collectively Settling Parties) filed a Joint Motion for Approval and Adoption of the Multiparty Settlement Agreement.</w:t>
      </w:r>
    </w:p>
    <w:p w:rsidR="008B6623" w:rsidDel="006C0D11" w:rsidP="008B6623" w:rsidRDefault="008B6623" w14:paraId="2E375150" w14:textId="3B49FA30">
      <w:pPr>
        <w:pStyle w:val="Standard"/>
      </w:pPr>
      <w:r w:rsidDel="006C0D11">
        <w:t>On October 1, 2025, the Settling Parties filed an Amended Joint Motion</w:t>
      </w:r>
      <w:r w:rsidDel="006C0D11" w:rsidR="00161FEA">
        <w:t xml:space="preserve"> </w:t>
      </w:r>
      <w:r w:rsidDel="006C0D11" w:rsidR="00DC1FA3">
        <w:t xml:space="preserve">(Amended </w:t>
      </w:r>
      <w:r w:rsidDel="006C0D11" w:rsidR="00C91476">
        <w:t>Settlement</w:t>
      </w:r>
      <w:r w:rsidDel="006C0D11" w:rsidR="00DC1FA3">
        <w:t xml:space="preserve"> Motion)</w:t>
      </w:r>
      <w:r w:rsidDel="006C0D11" w:rsidR="00161FEA">
        <w:t xml:space="preserve"> </w:t>
      </w:r>
      <w:r w:rsidDel="006C0D11">
        <w:t xml:space="preserve">for Approval and Adoption of the Multiparty Settlement Agreement </w:t>
      </w:r>
      <w:r w:rsidDel="006C0D11" w:rsidR="006E4273">
        <w:t>on Revenue Requirement Issues</w:t>
      </w:r>
      <w:r w:rsidDel="006C0D11">
        <w:t xml:space="preserve">. </w:t>
      </w:r>
      <w:r w:rsidDel="006C0D11" w:rsidR="00252B1E">
        <w:t xml:space="preserve"> </w:t>
      </w:r>
    </w:p>
    <w:p w:rsidR="00456606" w:rsidDel="006C0D11" w:rsidP="00C615E5" w:rsidRDefault="008B6623" w14:paraId="60FC44FE" w14:textId="552F79BC">
      <w:pPr>
        <w:pStyle w:val="Standard"/>
      </w:pPr>
      <w:r w:rsidDel="006C0D11">
        <w:lastRenderedPageBreak/>
        <w:t>On October 9, 2025</w:t>
      </w:r>
      <w:r w:rsidDel="006C0D11" w:rsidR="003065CB">
        <w:t>,</w:t>
      </w:r>
      <w:r w:rsidDel="006C0D11">
        <w:t xml:space="preserve"> the </w:t>
      </w:r>
      <w:r w:rsidDel="006C0D11" w:rsidR="003173FB">
        <w:t xml:space="preserve">Settling </w:t>
      </w:r>
      <w:r w:rsidDel="006C0D11">
        <w:t xml:space="preserve">Parties filed a Joint Motion for Admission of Prepared Testimony and Exhibits </w:t>
      </w:r>
      <w:r w:rsidDel="006C0D11" w:rsidR="001923B6">
        <w:t>i</w:t>
      </w:r>
      <w:r w:rsidDel="006C0D11">
        <w:t>nto the Evidentiary Record</w:t>
      </w:r>
      <w:r w:rsidDel="006C0D11" w:rsidR="00371467">
        <w:t xml:space="preserve"> (Motion to Admit Evidence)</w:t>
      </w:r>
      <w:r w:rsidDel="006C0D11">
        <w:t>.</w:t>
      </w:r>
    </w:p>
    <w:p w:rsidR="008B6623" w:rsidDel="006C0D11" w:rsidP="00C615E5" w:rsidRDefault="008B6623" w14:paraId="1C9A0B3B" w14:textId="0F9BE272">
      <w:pPr>
        <w:pStyle w:val="Standard"/>
      </w:pPr>
      <w:r w:rsidDel="006C0D11">
        <w:t>On October 10, 2025, Opening Briefs were filed by Liberty, Cal Advocates, A</w:t>
      </w:r>
      <w:r w:rsidDel="006C0D11" w:rsidR="006D1045">
        <w:t>-</w:t>
      </w:r>
      <w:r w:rsidDel="006C0D11">
        <w:t>3</w:t>
      </w:r>
      <w:r w:rsidDel="006C0D11" w:rsidR="006D1045">
        <w:t xml:space="preserve"> </w:t>
      </w:r>
      <w:r w:rsidDel="006C0D11">
        <w:t>CC, TURN, Tahoe S</w:t>
      </w:r>
      <w:r w:rsidDel="006C0D11" w:rsidR="00C91476">
        <w:t>PARK</w:t>
      </w:r>
      <w:r w:rsidDel="006C0D11">
        <w:t xml:space="preserve">, TERG and SBUA. </w:t>
      </w:r>
    </w:p>
    <w:p w:rsidR="002F696C" w:rsidDel="006C0D11" w:rsidP="008B6623" w:rsidRDefault="008B6623" w14:paraId="3AF319C3" w14:textId="56238D51">
      <w:pPr>
        <w:pStyle w:val="Standard"/>
      </w:pPr>
      <w:r w:rsidDel="006C0D11">
        <w:t>On October 24, 2025</w:t>
      </w:r>
      <w:r w:rsidDel="006C0D11" w:rsidR="003065CB">
        <w:t>,</w:t>
      </w:r>
      <w:r w:rsidDel="006C0D11">
        <w:t xml:space="preserve"> Reply Briefs were filed by Liberty, Cal Advocates, </w:t>
      </w:r>
    </w:p>
    <w:p w:rsidR="008B6623" w:rsidDel="006C0D11" w:rsidP="002F696C" w:rsidRDefault="008B6623" w14:paraId="609BD63D" w14:textId="2A46EB19">
      <w:pPr>
        <w:pStyle w:val="Standard"/>
        <w:ind w:firstLine="0"/>
      </w:pPr>
      <w:r w:rsidDel="006C0D11">
        <w:t>A</w:t>
      </w:r>
      <w:r w:rsidDel="006C0D11" w:rsidR="006D1045">
        <w:t>-</w:t>
      </w:r>
      <w:r w:rsidDel="006C0D11">
        <w:t>3</w:t>
      </w:r>
      <w:r w:rsidDel="006C0D11" w:rsidR="006D1045">
        <w:t xml:space="preserve"> </w:t>
      </w:r>
      <w:r w:rsidDel="006C0D11">
        <w:t>CC, TURN, Tahoe S</w:t>
      </w:r>
      <w:r w:rsidDel="006C0D11" w:rsidR="00C91476">
        <w:t>PARK</w:t>
      </w:r>
      <w:r w:rsidDel="006C0D11">
        <w:t xml:space="preserve">, TERG and SBUA. </w:t>
      </w:r>
    </w:p>
    <w:p w:rsidR="004D7269" w:rsidDel="006C0D11" w:rsidP="008B6623" w:rsidRDefault="004D7269" w14:paraId="10527F7E" w14:textId="1CD63132">
      <w:pPr>
        <w:pStyle w:val="Standard"/>
      </w:pPr>
      <w:r w:rsidDel="006C0D11">
        <w:t>On October 31, 2025, the Settling Parties filed an Amendment to</w:t>
      </w:r>
      <w:r w:rsidDel="006C0D11" w:rsidR="00073CCA">
        <w:t xml:space="preserve"> A</w:t>
      </w:r>
      <w:r w:rsidDel="006C0D11">
        <w:t>ppendix</w:t>
      </w:r>
      <w:r w:rsidDel="006C0D11" w:rsidR="002F696C">
        <w:t> </w:t>
      </w:r>
      <w:r w:rsidDel="006C0D11">
        <w:t xml:space="preserve">A to </w:t>
      </w:r>
      <w:r w:rsidDel="006C0D11" w:rsidR="00073CCA">
        <w:t xml:space="preserve">the Settlement </w:t>
      </w:r>
      <w:r w:rsidDel="006C0D11" w:rsidR="00554169">
        <w:t>Agreement</w:t>
      </w:r>
      <w:r w:rsidDel="006C0D11" w:rsidR="00C672E2">
        <w:t xml:space="preserve"> </w:t>
      </w:r>
      <w:r w:rsidDel="006C0D11" w:rsidR="00073CCA">
        <w:t xml:space="preserve">to </w:t>
      </w:r>
      <w:r w:rsidDel="006C0D11">
        <w:t xml:space="preserve">correct typographical errors.  </w:t>
      </w:r>
      <w:r w:rsidDel="006C0D11" w:rsidR="00C672E2">
        <w:t>Appendix A describes and compares the Settling Parties’ positions on the settled issues.</w:t>
      </w:r>
      <w:r w:rsidDel="006C0D11" w:rsidR="00252B1E">
        <w:t xml:space="preserve"> </w:t>
      </w:r>
      <w:r w:rsidDel="006C0D11" w:rsidR="00904909">
        <w:t>The Settlement Agreement, including the amendment to Appendix A to the Settlement Agreement, is Attachment A</w:t>
      </w:r>
      <w:r w:rsidDel="006C0D11" w:rsidR="00252B1E">
        <w:t xml:space="preserve"> to this Decision. </w:t>
      </w:r>
    </w:p>
    <w:p w:rsidR="00862C5E" w:rsidDel="006C0D11" w:rsidP="008B6623" w:rsidRDefault="008B6623" w14:paraId="4EB61DAB" w14:textId="0F61C521">
      <w:pPr>
        <w:pStyle w:val="Standard"/>
      </w:pPr>
      <w:r w:rsidDel="006C0D11">
        <w:t>On November 3, 2025, an ALJ ruling Adopt</w:t>
      </w:r>
      <w:r w:rsidDel="006C0D11" w:rsidR="006477A0">
        <w:t>ing</w:t>
      </w:r>
      <w:r w:rsidDel="006C0D11">
        <w:t xml:space="preserve"> Confidential Modeling Procedures</w:t>
      </w:r>
      <w:r w:rsidDel="006C0D11" w:rsidR="006477A0">
        <w:t xml:space="preserve"> was issued</w:t>
      </w:r>
      <w:r w:rsidDel="006C0D11">
        <w:t>.</w:t>
      </w:r>
    </w:p>
    <w:p w:rsidR="008B6623" w:rsidDel="006C0D11" w:rsidP="008B6623" w:rsidRDefault="00862C5E" w14:paraId="3E9F346B" w14:textId="57DCBDD6">
      <w:pPr>
        <w:pStyle w:val="Standard"/>
      </w:pPr>
      <w:r w:rsidDel="006C0D11">
        <w:t xml:space="preserve">On </w:t>
      </w:r>
      <w:r w:rsidRPr="00B31512" w:rsidDel="006C0D11">
        <w:t xml:space="preserve">January </w:t>
      </w:r>
      <w:r w:rsidDel="006C0D11" w:rsidR="00D66E83">
        <w:t>30</w:t>
      </w:r>
      <w:r w:rsidRPr="00B31512" w:rsidDel="006C0D11">
        <w:t>, 2026</w:t>
      </w:r>
      <w:r w:rsidDel="006C0D11">
        <w:t>, an ALJ ruling issued granting the Motion to Admit Evidence.</w:t>
      </w:r>
      <w:r w:rsidDel="006C0D11" w:rsidR="008B6623">
        <w:t xml:space="preserve"> </w:t>
      </w:r>
    </w:p>
    <w:p w:rsidR="00683B2C" w:rsidDel="006C0D11" w:rsidP="006D71A8" w:rsidRDefault="00683B2C" w14:paraId="57851533" w14:textId="526D36CF">
      <w:pPr>
        <w:pStyle w:val="Heading2"/>
      </w:pPr>
      <w:bookmarkStart w:name="_Toc224569286" w:id="6"/>
      <w:r w:rsidRPr="006D71A8" w:rsidDel="006C0D11">
        <w:t>Submission</w:t>
      </w:r>
      <w:r w:rsidDel="006C0D11">
        <w:t xml:space="preserve"> Date</w:t>
      </w:r>
      <w:bookmarkEnd w:id="6"/>
    </w:p>
    <w:p w:rsidR="00683B2C" w:rsidDel="006C0D11" w:rsidP="00683B2C" w:rsidRDefault="00683B2C" w14:paraId="278B382B" w14:textId="2E8AAA34">
      <w:pPr>
        <w:pStyle w:val="Standard"/>
      </w:pPr>
      <w:r w:rsidRPr="00FF0265" w:rsidDel="006C0D11">
        <w:t xml:space="preserve">This matter was submitted on </w:t>
      </w:r>
      <w:r w:rsidRPr="00B31512" w:rsidDel="006C0D11" w:rsidR="00075DB9">
        <w:t xml:space="preserve">January </w:t>
      </w:r>
      <w:r w:rsidDel="006C0D11" w:rsidR="00D66E83">
        <w:t>30</w:t>
      </w:r>
      <w:r w:rsidRPr="00B31512" w:rsidDel="006C0D11" w:rsidR="00075DB9">
        <w:t xml:space="preserve">, </w:t>
      </w:r>
      <w:proofErr w:type="gramStart"/>
      <w:r w:rsidRPr="00B31512" w:rsidDel="006C0D11" w:rsidR="00075DB9">
        <w:t>2026</w:t>
      </w:r>
      <w:proofErr w:type="gramEnd"/>
      <w:r w:rsidRPr="00FF0265" w:rsidDel="006C0D11">
        <w:t xml:space="preserve"> upon </w:t>
      </w:r>
      <w:r w:rsidDel="006C0D11" w:rsidR="00371467">
        <w:t xml:space="preserve">the granting of the </w:t>
      </w:r>
      <w:r w:rsidDel="006C0D11" w:rsidR="00793B99">
        <w:t xml:space="preserve">Motion to Admit Evidence. </w:t>
      </w:r>
    </w:p>
    <w:p w:rsidR="005A148C" w:rsidP="005939A5" w:rsidRDefault="005939A5" w14:paraId="5F3E3393" w14:textId="77777777">
      <w:pPr>
        <w:pStyle w:val="Heading1"/>
      </w:pPr>
      <w:bookmarkStart w:name="_Toc8123719" w:id="7"/>
      <w:bookmarkStart w:name="_Toc224569287" w:id="8"/>
      <w:r>
        <w:t xml:space="preserve">Issues Before the </w:t>
      </w:r>
      <w:bookmarkEnd w:id="7"/>
      <w:r w:rsidR="008A08BF">
        <w:t>Commission</w:t>
      </w:r>
      <w:bookmarkEnd w:id="8"/>
    </w:p>
    <w:p w:rsidR="00C863C8" w:rsidP="00C863C8" w:rsidRDefault="00371467" w14:paraId="7A7C0D68" w14:textId="4F4D5C43">
      <w:pPr>
        <w:pStyle w:val="ListNum"/>
        <w:numPr>
          <w:ilvl w:val="0"/>
          <w:numId w:val="0"/>
        </w:numPr>
        <w:spacing w:line="360" w:lineRule="auto"/>
        <w:ind w:firstLine="720"/>
      </w:pPr>
      <w:r>
        <w:t xml:space="preserve">This Decision </w:t>
      </w:r>
      <w:r w:rsidR="00E708D9">
        <w:t>resolves the entire proceeding</w:t>
      </w:r>
      <w:r w:rsidR="00C863C8">
        <w:t xml:space="preserve"> and </w:t>
      </w:r>
      <w:proofErr w:type="gramStart"/>
      <w:r w:rsidR="00C863C8">
        <w:t>all of</w:t>
      </w:r>
      <w:proofErr w:type="gramEnd"/>
      <w:r w:rsidR="00C863C8">
        <w:t xml:space="preserve"> the Scoped Issues listed below. </w:t>
      </w:r>
      <w:r w:rsidR="00E708D9">
        <w:t xml:space="preserve"> </w:t>
      </w:r>
      <w:r w:rsidR="00C863C8">
        <w:t xml:space="preserve">However, the Decision is bifurcated into two parts. The first part determines whether the Commission should adopt the Settlement Agreement regarding Liberty’s revenue requirements for this proceeding. Specifically, the first section corresponds to and resolves Scoped Issues 1, 6, 7, 9, 13 and 14 in </w:t>
      </w:r>
      <w:r w:rsidR="00C863C8">
        <w:lastRenderedPageBreak/>
        <w:t xml:space="preserve">their entirety and partially resolves 8. The second section resolves the remaining </w:t>
      </w:r>
      <w:r w:rsidR="002E0333">
        <w:t xml:space="preserve">disputed </w:t>
      </w:r>
      <w:r w:rsidR="00C863C8">
        <w:t xml:space="preserve">Scoped Issues 2, 3, 4, 5, 8, </w:t>
      </w:r>
      <w:r w:rsidR="00862C5E">
        <w:t xml:space="preserve">10, 11, </w:t>
      </w:r>
      <w:r w:rsidR="00C863C8">
        <w:t xml:space="preserve">12, and 15. </w:t>
      </w:r>
    </w:p>
    <w:p w:rsidR="00C863C8" w:rsidP="002F696C" w:rsidRDefault="00C863C8" w14:paraId="70F68285" w14:textId="62938885">
      <w:pPr>
        <w:pStyle w:val="ListNum"/>
        <w:numPr>
          <w:ilvl w:val="0"/>
          <w:numId w:val="0"/>
        </w:numPr>
        <w:spacing w:after="0" w:line="360" w:lineRule="auto"/>
        <w:ind w:firstLine="720"/>
      </w:pPr>
      <w:r>
        <w:t>The Scoped Issues in this proceeding are:</w:t>
      </w:r>
    </w:p>
    <w:p w:rsidR="0054756B" w:rsidP="002F696C" w:rsidRDefault="0054756B" w14:paraId="7005692A" w14:textId="37183A58">
      <w:pPr>
        <w:pStyle w:val="ListNum"/>
        <w:ind w:right="1440"/>
      </w:pPr>
      <w:r>
        <w:t>Whether Liberty</w:t>
      </w:r>
      <w:r w:rsidR="003065CB">
        <w:t>’s</w:t>
      </w:r>
      <w:r>
        <w:t xml:space="preserve"> request to increase its authorized revenues for electric service, effective January 1, 2025, is just and </w:t>
      </w:r>
      <w:proofErr w:type="gramStart"/>
      <w:r>
        <w:t>reasonable;</w:t>
      </w:r>
      <w:proofErr w:type="gramEnd"/>
      <w:r>
        <w:t xml:space="preserve"> </w:t>
      </w:r>
    </w:p>
    <w:p w:rsidR="0054756B" w:rsidP="002F696C" w:rsidRDefault="0054756B" w14:paraId="1AA058A3" w14:textId="20333012">
      <w:pPr>
        <w:pStyle w:val="ListNum"/>
        <w:ind w:right="1440"/>
      </w:pPr>
      <w:r>
        <w:t>Whether Liberty</w:t>
      </w:r>
      <w:r w:rsidR="003065CB">
        <w:t>’s</w:t>
      </w:r>
      <w:r>
        <w:t xml:space="preserve"> proposals to allocate revenues and design rates are </w:t>
      </w:r>
      <w:proofErr w:type="gramStart"/>
      <w:r>
        <w:t>reasonable;</w:t>
      </w:r>
      <w:proofErr w:type="gramEnd"/>
      <w:r>
        <w:t xml:space="preserve"> </w:t>
      </w:r>
    </w:p>
    <w:p w:rsidR="0054756B" w:rsidP="002F696C" w:rsidRDefault="0054756B" w14:paraId="147519BE" w14:textId="66C7F03D">
      <w:pPr>
        <w:pStyle w:val="ListNum"/>
        <w:numPr>
          <w:ilvl w:val="6"/>
          <w:numId w:val="0"/>
        </w:numPr>
        <w:ind w:left="1080" w:right="1440" w:hanging="360"/>
      </w:pPr>
      <w:r>
        <w:t>3</w:t>
      </w:r>
      <w:proofErr w:type="gramStart"/>
      <w:r>
        <w:t>.  Whether</w:t>
      </w:r>
      <w:proofErr w:type="gramEnd"/>
      <w:r>
        <w:t xml:space="preserve"> Liberty</w:t>
      </w:r>
      <w:r w:rsidR="003065CB">
        <w:t>’s</w:t>
      </w:r>
      <w:r>
        <w:t xml:space="preserve"> proposed rates are just and </w:t>
      </w:r>
      <w:proofErr w:type="gramStart"/>
      <w:r>
        <w:t>reasonable;</w:t>
      </w:r>
      <w:proofErr w:type="gramEnd"/>
      <w:r>
        <w:t xml:space="preserve"> </w:t>
      </w:r>
    </w:p>
    <w:p w:rsidR="0054756B" w:rsidP="002F696C" w:rsidRDefault="0054756B" w14:paraId="6B694E29" w14:textId="5C9CC148">
      <w:pPr>
        <w:pStyle w:val="ListNum"/>
        <w:numPr>
          <w:ilvl w:val="6"/>
          <w:numId w:val="0"/>
        </w:numPr>
        <w:ind w:left="1080" w:right="1440" w:hanging="360"/>
      </w:pPr>
      <w:r>
        <w:t>4</w:t>
      </w:r>
      <w:proofErr w:type="gramStart"/>
      <w:r>
        <w:t>.  Whether</w:t>
      </w:r>
      <w:proofErr w:type="gramEnd"/>
      <w:r>
        <w:t xml:space="preserve"> Liberty should propose a residential electrification </w:t>
      </w:r>
      <w:proofErr w:type="gramStart"/>
      <w:r>
        <w:t>rate;</w:t>
      </w:r>
      <w:proofErr w:type="gramEnd"/>
    </w:p>
    <w:p w:rsidR="0054756B" w:rsidP="002F696C" w:rsidRDefault="0054756B" w14:paraId="41E86751" w14:textId="1F583BDD">
      <w:pPr>
        <w:pStyle w:val="ListNum"/>
        <w:numPr>
          <w:ilvl w:val="6"/>
          <w:numId w:val="0"/>
        </w:numPr>
        <w:ind w:left="1080" w:right="1440" w:hanging="360"/>
      </w:pPr>
      <w:r>
        <w:t>5. Whether the methodology employed for Liberty</w:t>
      </w:r>
      <w:r w:rsidR="003065CB">
        <w:t>’s</w:t>
      </w:r>
      <w:r>
        <w:t xml:space="preserve"> marginal cost study and the results of its marginal cost study are </w:t>
      </w:r>
      <w:proofErr w:type="gramStart"/>
      <w:r>
        <w:t>reasonable;</w:t>
      </w:r>
      <w:proofErr w:type="gramEnd"/>
    </w:p>
    <w:p w:rsidR="0054756B" w:rsidP="002F696C" w:rsidRDefault="0054756B" w14:paraId="0BD061F9" w14:textId="16FD4FC0">
      <w:pPr>
        <w:pStyle w:val="ListNum"/>
        <w:numPr>
          <w:ilvl w:val="6"/>
          <w:numId w:val="0"/>
        </w:numPr>
        <w:ind w:left="1080" w:right="1440" w:hanging="360"/>
      </w:pPr>
      <w:r>
        <w:t>6. Whether Liberty</w:t>
      </w:r>
      <w:r w:rsidR="003065CB">
        <w:t>’s</w:t>
      </w:r>
      <w:r>
        <w:t xml:space="preserve"> forecast of Operations and Maintenance, and Administrative and General expenses for Test Year (TY) 2025 is supported and </w:t>
      </w:r>
      <w:proofErr w:type="gramStart"/>
      <w:r>
        <w:t>reasonable;</w:t>
      </w:r>
      <w:proofErr w:type="gramEnd"/>
    </w:p>
    <w:p w:rsidR="0054756B" w:rsidP="002F696C" w:rsidRDefault="0054756B" w14:paraId="544B553D" w14:textId="0EE930A6">
      <w:pPr>
        <w:pStyle w:val="ListNum"/>
        <w:numPr>
          <w:ilvl w:val="6"/>
          <w:numId w:val="0"/>
        </w:numPr>
        <w:ind w:left="1080" w:right="1440" w:hanging="360"/>
      </w:pPr>
      <w:r>
        <w:t xml:space="preserve">7. </w:t>
      </w:r>
      <w:bookmarkStart w:name="_Hlk191648257" w:id="9"/>
      <w:r>
        <w:t>Whether Liberty</w:t>
      </w:r>
      <w:r w:rsidR="003065CB">
        <w:t>’s</w:t>
      </w:r>
      <w:r>
        <w:t xml:space="preserve"> </w:t>
      </w:r>
      <w:bookmarkEnd w:id="9"/>
      <w:r>
        <w:t>capital forecasts for 2025, 2026, 2027, and 2028 in the major categories of (</w:t>
      </w:r>
      <w:proofErr w:type="spellStart"/>
      <w:r>
        <w:t>i</w:t>
      </w:r>
      <w:proofErr w:type="spellEnd"/>
      <w:r>
        <w:t xml:space="preserve">) Safety and Reliability – Distribution, (ii) Safety and Reliability – Substation, (iii) Safety and Reliability – Wildfire Mitigation, (iv) Customer Driven, and (v) Others are supported and </w:t>
      </w:r>
      <w:proofErr w:type="gramStart"/>
      <w:r>
        <w:t>reasonable;</w:t>
      </w:r>
      <w:proofErr w:type="gramEnd"/>
    </w:p>
    <w:p w:rsidR="0054756B" w:rsidP="002F696C" w:rsidRDefault="0054756B" w14:paraId="6911DF72" w14:textId="3B538EA1">
      <w:pPr>
        <w:pStyle w:val="ListNum"/>
        <w:numPr>
          <w:ilvl w:val="6"/>
          <w:numId w:val="0"/>
        </w:numPr>
        <w:ind w:left="1080" w:right="1440" w:hanging="360"/>
      </w:pPr>
      <w:r>
        <w:t>8</w:t>
      </w:r>
      <w:proofErr w:type="gramStart"/>
      <w:r>
        <w:t>.  Whether</w:t>
      </w:r>
      <w:proofErr w:type="gramEnd"/>
      <w:r>
        <w:t xml:space="preserve"> Liberty</w:t>
      </w:r>
      <w:r w:rsidR="003065CB">
        <w:t>’s</w:t>
      </w:r>
      <w:r>
        <w:t xml:space="preserve"> proposed Rate of Return (ROR) on rate base of 8.568%; a Return of Equity (ROE) of 11.0%; and a capital structure of 47.5% debt and 52.5% equity are </w:t>
      </w:r>
      <w:proofErr w:type="gramStart"/>
      <w:r>
        <w:t>reasonable;</w:t>
      </w:r>
      <w:proofErr w:type="gramEnd"/>
    </w:p>
    <w:p w:rsidR="0054756B" w:rsidP="002F696C" w:rsidRDefault="0054756B" w14:paraId="6DB613E5" w14:textId="0F937AFA">
      <w:pPr>
        <w:pStyle w:val="ListNum"/>
        <w:numPr>
          <w:ilvl w:val="6"/>
          <w:numId w:val="0"/>
        </w:numPr>
        <w:ind w:left="1080" w:right="1440" w:hanging="360"/>
      </w:pPr>
      <w:r>
        <w:t>9. Whether Liberty</w:t>
      </w:r>
      <w:r w:rsidR="003065CB">
        <w:t>’s</w:t>
      </w:r>
      <w:r>
        <w:t xml:space="preserve"> proposals of $247.920 million in rate base for TY 2025, and an increase in rate base of $39.773 million or 19.1% over currently authorized revenues, effective January 1, 2025, are </w:t>
      </w:r>
      <w:proofErr w:type="gramStart"/>
      <w:r>
        <w:t>reasonable;</w:t>
      </w:r>
      <w:proofErr w:type="gramEnd"/>
    </w:p>
    <w:p w:rsidR="0054756B" w:rsidP="009F063C" w:rsidRDefault="0054756B" w14:paraId="7D261F37" w14:textId="27E17D0C">
      <w:pPr>
        <w:pStyle w:val="ListNum"/>
        <w:numPr>
          <w:ilvl w:val="6"/>
          <w:numId w:val="0"/>
        </w:numPr>
        <w:ind w:left="1080" w:right="1440" w:hanging="540"/>
      </w:pPr>
      <w:r>
        <w:t>10. Whether Liberty adequately implemented its risk-</w:t>
      </w:r>
      <w:r>
        <w:noBreakHyphen/>
        <w:t>based decision</w:t>
      </w:r>
      <w:r>
        <w:noBreakHyphen/>
        <w:t xml:space="preserve">making process and </w:t>
      </w:r>
      <w:proofErr w:type="gramStart"/>
      <w:r>
        <w:t>framework;</w:t>
      </w:r>
      <w:proofErr w:type="gramEnd"/>
      <w:r>
        <w:t xml:space="preserve"> </w:t>
      </w:r>
    </w:p>
    <w:p w:rsidR="0054756B" w:rsidP="009F063C" w:rsidRDefault="0054756B" w14:paraId="3A8877E4" w14:textId="26176374">
      <w:pPr>
        <w:pStyle w:val="ListNum"/>
        <w:numPr>
          <w:ilvl w:val="6"/>
          <w:numId w:val="0"/>
        </w:numPr>
        <w:ind w:left="1080" w:right="1440" w:hanging="540"/>
      </w:pPr>
      <w:r>
        <w:lastRenderedPageBreak/>
        <w:t>11. Whether Liberty</w:t>
      </w:r>
      <w:r w:rsidR="003065CB">
        <w:t>’s</w:t>
      </w:r>
      <w:r>
        <w:t xml:space="preserve"> proposal to eliminate the nonpermanent residential class is </w:t>
      </w:r>
      <w:proofErr w:type="gramStart"/>
      <w:r>
        <w:t>reasonable;</w:t>
      </w:r>
      <w:proofErr w:type="gramEnd"/>
    </w:p>
    <w:p w:rsidR="0054756B" w:rsidP="009F063C" w:rsidRDefault="0054756B" w14:paraId="206C49DC" w14:textId="6A4F2B1C">
      <w:pPr>
        <w:pStyle w:val="ListNum"/>
        <w:numPr>
          <w:ilvl w:val="6"/>
          <w:numId w:val="0"/>
        </w:numPr>
        <w:ind w:left="1080" w:right="1440" w:hanging="540"/>
      </w:pPr>
      <w:r>
        <w:t>12. Whether Liberty</w:t>
      </w:r>
      <w:r w:rsidR="003065CB">
        <w:t>’s</w:t>
      </w:r>
      <w:r>
        <w:t xml:space="preserve"> proposals to increase funding for wildfire insurance and mitigation could be recovered through alternative non-volumetric mechanisms, such as a demand charge or demand differentiated service </w:t>
      </w:r>
      <w:proofErr w:type="gramStart"/>
      <w:r>
        <w:t>fee;</w:t>
      </w:r>
      <w:proofErr w:type="gramEnd"/>
    </w:p>
    <w:p w:rsidR="0054756B" w:rsidP="009F063C" w:rsidRDefault="0054756B" w14:paraId="755A4334" w14:textId="7A35C66E">
      <w:pPr>
        <w:pStyle w:val="ListNum"/>
        <w:numPr>
          <w:ilvl w:val="6"/>
          <w:numId w:val="0"/>
        </w:numPr>
        <w:ind w:left="1080" w:right="1440" w:hanging="540"/>
      </w:pPr>
      <w:r>
        <w:t>13. Whether Liberty</w:t>
      </w:r>
      <w:r w:rsidR="003065CB">
        <w:t>’s</w:t>
      </w:r>
      <w:r>
        <w:t xml:space="preserve"> request to continue use of the Post Test-Year Adjustment Mechanism (PTAM) in 2026 and 2027 to include authorized capital project and revenue requirement escalation in rates in 2026 and 2027 is </w:t>
      </w:r>
      <w:proofErr w:type="gramStart"/>
      <w:r>
        <w:t>reasonable;</w:t>
      </w:r>
      <w:proofErr w:type="gramEnd"/>
    </w:p>
    <w:p w:rsidR="0054756B" w:rsidP="009F063C" w:rsidRDefault="0054756B" w14:paraId="22D10A45" w14:textId="7C0A746D">
      <w:pPr>
        <w:pStyle w:val="ListNum"/>
        <w:numPr>
          <w:ilvl w:val="6"/>
          <w:numId w:val="0"/>
        </w:numPr>
        <w:ind w:left="1080" w:right="1440" w:hanging="540"/>
      </w:pPr>
      <w:r>
        <w:t>14. Whether Liberty</w:t>
      </w:r>
      <w:r w:rsidR="003065CB">
        <w:t>’s</w:t>
      </w:r>
      <w:r>
        <w:t xml:space="preserve"> proposed Storm Balancing Account to track the difference between authorized and recorded storm costs is reasonable; and</w:t>
      </w:r>
    </w:p>
    <w:p w:rsidR="0054756B" w:rsidP="009F063C" w:rsidRDefault="0054756B" w14:paraId="4883AD97" w14:textId="38216D36">
      <w:pPr>
        <w:pStyle w:val="ListNum"/>
        <w:numPr>
          <w:ilvl w:val="6"/>
          <w:numId w:val="0"/>
        </w:numPr>
        <w:ind w:left="1080" w:right="1440" w:hanging="540"/>
        <w:rPr>
          <w:szCs w:val="26"/>
        </w:rPr>
      </w:pPr>
      <w:r>
        <w:t>15. Whether the impact of Liberty</w:t>
      </w:r>
      <w:r w:rsidR="003065CB">
        <w:t>’s</w:t>
      </w:r>
      <w:r>
        <w:t xml:space="preserve"> proposed rate increase on affordability and disconnection for non</w:t>
      </w:r>
      <w:r>
        <w:rPr>
          <w:szCs w:val="26"/>
        </w:rPr>
        <w:noBreakHyphen/>
      </w:r>
      <w:r>
        <w:t>payment is reasonable</w:t>
      </w:r>
      <w:r>
        <w:rPr>
          <w:szCs w:val="26"/>
        </w:rPr>
        <w:t>.</w:t>
      </w:r>
    </w:p>
    <w:p w:rsidR="00371467" w:rsidP="005939A5" w:rsidRDefault="003B781C" w14:paraId="36094E7F" w14:textId="201C73D9">
      <w:pPr>
        <w:pStyle w:val="Heading1"/>
      </w:pPr>
      <w:bookmarkStart w:name="_Toc8123720" w:id="10"/>
      <w:bookmarkStart w:name="_Toc224569288" w:id="11"/>
      <w:r>
        <w:t xml:space="preserve">Amended </w:t>
      </w:r>
      <w:r w:rsidR="00371467">
        <w:t xml:space="preserve">Settlement Motion </w:t>
      </w:r>
      <w:r w:rsidR="009F063C">
        <w:br/>
      </w:r>
      <w:r w:rsidR="00761CE8">
        <w:t xml:space="preserve">and </w:t>
      </w:r>
      <w:r w:rsidR="00904909">
        <w:t xml:space="preserve">Settlement </w:t>
      </w:r>
      <w:r w:rsidR="00761CE8">
        <w:t>Agreement</w:t>
      </w:r>
      <w:bookmarkEnd w:id="11"/>
    </w:p>
    <w:p w:rsidRPr="004D7269" w:rsidR="004D7269" w:rsidP="006D71A8" w:rsidRDefault="003B781C" w14:paraId="2B21637F" w14:textId="01BA4116">
      <w:pPr>
        <w:pStyle w:val="Heading2"/>
      </w:pPr>
      <w:bookmarkStart w:name="_Toc224569289" w:id="12"/>
      <w:r>
        <w:t>Background</w:t>
      </w:r>
      <w:bookmarkEnd w:id="12"/>
      <w:r w:rsidRPr="004D7269" w:rsidR="004D7269">
        <w:t xml:space="preserve"> </w:t>
      </w:r>
    </w:p>
    <w:p w:rsidR="00773E23" w:rsidP="00773E23" w:rsidRDefault="003B781C" w14:paraId="18873CD2" w14:textId="4D4ECB90">
      <w:pPr>
        <w:pStyle w:val="Standard"/>
      </w:pPr>
      <w:r>
        <w:t xml:space="preserve">The Settling Parties filed the Amended Settlement Motion </w:t>
      </w:r>
      <w:r w:rsidR="00DB0BBE">
        <w:t xml:space="preserve">that requests </w:t>
      </w:r>
      <w:r>
        <w:t>the Commission</w:t>
      </w:r>
      <w:r w:rsidR="00DB0BBE">
        <w:t xml:space="preserve"> </w:t>
      </w:r>
      <w:r>
        <w:t xml:space="preserve">adopt the Settlement Agreement. </w:t>
      </w:r>
      <w:r w:rsidR="00773E23">
        <w:t>The Settling Parties</w:t>
      </w:r>
      <w:r w:rsidR="008B34CC">
        <w:t xml:space="preserve">’ </w:t>
      </w:r>
      <w:r>
        <w:t xml:space="preserve">Amended </w:t>
      </w:r>
      <w:r w:rsidR="00E3642E">
        <w:t xml:space="preserve">Settlement Motion </w:t>
      </w:r>
      <w:r w:rsidR="00232A50">
        <w:t>resolve</w:t>
      </w:r>
      <w:r w:rsidR="00773E23">
        <w:t>s</w:t>
      </w:r>
      <w:r w:rsidR="00E3642E">
        <w:t xml:space="preserve"> some</w:t>
      </w:r>
      <w:r w:rsidR="00502060">
        <w:t>,</w:t>
      </w:r>
      <w:r w:rsidR="00E3642E">
        <w:t xml:space="preserve"> but not all</w:t>
      </w:r>
      <w:r w:rsidR="00502060">
        <w:t>,</w:t>
      </w:r>
      <w:r w:rsidR="00E3642E">
        <w:t xml:space="preserve"> of </w:t>
      </w:r>
      <w:r w:rsidR="00773E23">
        <w:t xml:space="preserve">Liberty’s </w:t>
      </w:r>
      <w:r w:rsidR="00E3642E">
        <w:t>revenue requirement issues in this proceeding.</w:t>
      </w:r>
      <w:r w:rsidR="00E3642E">
        <w:rPr>
          <w:rStyle w:val="FootnoteReference"/>
        </w:rPr>
        <w:footnoteReference w:id="2"/>
      </w:r>
      <w:r w:rsidR="00773E23">
        <w:t xml:space="preserve"> Tahoe SPARK </w:t>
      </w:r>
      <w:r w:rsidR="004D7269">
        <w:t xml:space="preserve">was the only party that </w:t>
      </w:r>
      <w:r w:rsidR="00773E23">
        <w:t xml:space="preserve">did not join the Settling Parties. Tahoe SPARK </w:t>
      </w:r>
      <w:r w:rsidR="000F4476">
        <w:t>served an untimely response to the</w:t>
      </w:r>
      <w:r w:rsidR="00773E23">
        <w:t xml:space="preserve"> </w:t>
      </w:r>
      <w:r>
        <w:t xml:space="preserve">Amended </w:t>
      </w:r>
      <w:r w:rsidR="00773E23">
        <w:t>Settlement Motion</w:t>
      </w:r>
      <w:r w:rsidR="00420EC5">
        <w:t xml:space="preserve"> that was</w:t>
      </w:r>
      <w:r w:rsidR="00773E23">
        <w:t xml:space="preserve"> not accepted by the Commission’s Docket</w:t>
      </w:r>
      <w:r w:rsidR="00C672E2">
        <w:t xml:space="preserve"> </w:t>
      </w:r>
      <w:r>
        <w:t xml:space="preserve">Office </w:t>
      </w:r>
      <w:r w:rsidR="00C672E2">
        <w:t xml:space="preserve">and </w:t>
      </w:r>
      <w:r w:rsidR="00C672E2">
        <w:lastRenderedPageBreak/>
        <w:t>is not part of the record</w:t>
      </w:r>
      <w:r w:rsidR="00773E23">
        <w:t>.</w:t>
      </w:r>
      <w:r w:rsidR="008B34CC">
        <w:rPr>
          <w:rStyle w:val="FootnoteReference"/>
        </w:rPr>
        <w:footnoteReference w:id="3"/>
      </w:r>
      <w:r w:rsidR="006623DA">
        <w:t xml:space="preserve"> </w:t>
      </w:r>
      <w:r w:rsidR="00C672E2">
        <w:t xml:space="preserve">Therefore, the </w:t>
      </w:r>
      <w:r>
        <w:t xml:space="preserve">Amended </w:t>
      </w:r>
      <w:r w:rsidR="00C672E2">
        <w:t xml:space="preserve">Settlement Motion </w:t>
      </w:r>
      <w:r>
        <w:t>and the Settlement Agreement are</w:t>
      </w:r>
      <w:r w:rsidR="00C672E2">
        <w:t xml:space="preserve"> uncontested. </w:t>
      </w:r>
    </w:p>
    <w:p w:rsidR="00095B57" w:rsidP="00095B57" w:rsidRDefault="00095B57" w14:paraId="111D8B4B" w14:textId="71F8C38A">
      <w:pPr>
        <w:pStyle w:val="Standard"/>
      </w:pPr>
      <w:r>
        <w:t>In the Amended Settlement Motion, the Settling Parties agreed on</w:t>
      </w:r>
      <w:r w:rsidR="007748EB">
        <w:t xml:space="preserve"> a</w:t>
      </w:r>
      <w:r>
        <w:t xml:space="preserve"> </w:t>
      </w:r>
      <w:r w:rsidR="312F66C9">
        <w:t>Test</w:t>
      </w:r>
      <w:r w:rsidR="009F063C">
        <w:t> </w:t>
      </w:r>
      <w:r>
        <w:t>Year (TY) 2025 revenue requirement for Liberty of $232,956,000 that increases authorized revenues by 11.92</w:t>
      </w:r>
      <w:r w:rsidR="312F66C9">
        <w:t>%.</w:t>
      </w:r>
      <w:r w:rsidR="00075DB9">
        <w:rPr>
          <w:rStyle w:val="FootnoteReference"/>
        </w:rPr>
        <w:footnoteReference w:id="4"/>
      </w:r>
      <w:r>
        <w:t xml:space="preserve"> The Settling Parties also agreed on other major terms including: (1) capital expenditures of $51,035,000 for 2024 and $70,109,000 in 2025, for a total of $121,144,000, (2) Liberty’s continued use of the Post Test Year Adjustment Mechanism (PTAM) to recover a total of $104,511,000 in combined 2026 and 2027 capital expenditures, (3) a debt to equity structure of 47.5%/52.5%, and (4) up to $24,000,000 in individual costs for Meyers Substation and Stateline Substation projects.</w:t>
      </w:r>
      <w:r w:rsidR="00075DB9">
        <w:rPr>
          <w:rStyle w:val="FootnoteReference"/>
        </w:rPr>
        <w:footnoteReference w:id="5"/>
      </w:r>
    </w:p>
    <w:p w:rsidR="005939A5" w:rsidP="006D71A8" w:rsidRDefault="00761CE8" w14:paraId="698FEB8C" w14:textId="7514E53E">
      <w:pPr>
        <w:pStyle w:val="Heading2"/>
      </w:pPr>
      <w:bookmarkStart w:name="_Toc224569290" w:id="13"/>
      <w:r>
        <w:t xml:space="preserve">Commission’s </w:t>
      </w:r>
      <w:r w:rsidR="00371467">
        <w:t>Standard of Review</w:t>
      </w:r>
      <w:bookmarkEnd w:id="13"/>
      <w:r w:rsidR="00371467">
        <w:t xml:space="preserve"> </w:t>
      </w:r>
      <w:bookmarkEnd w:id="10"/>
    </w:p>
    <w:p w:rsidR="00371467" w:rsidP="00371467" w:rsidRDefault="00371467" w14:paraId="2D6784BA" w14:textId="0072EADA">
      <w:pPr>
        <w:pStyle w:val="Standard"/>
      </w:pPr>
      <w:r>
        <w:t xml:space="preserve">To determine if the </w:t>
      </w:r>
      <w:r w:rsidRPr="00BA1535">
        <w:rPr>
          <w:rFonts w:cs="TimesNewRomanPS-ItalicMT"/>
          <w:szCs w:val="26"/>
        </w:rPr>
        <w:t xml:space="preserve">Settlement Agreement </w:t>
      </w:r>
      <w:r>
        <w:rPr>
          <w:rFonts w:ascii="TimesNewRomanPSMT" w:hAnsi="TimesNewRomanPSMT" w:cs="TimesNewRomanPSMT"/>
          <w:sz w:val="24"/>
          <w:szCs w:val="24"/>
        </w:rPr>
        <w:t>s</w:t>
      </w:r>
      <w:r>
        <w:t xml:space="preserve">hould be approved in whole or in part, or rejected outright, this Decision analyzes the settlement in accordance with Article 12 of the Commission’s </w:t>
      </w:r>
      <w:r w:rsidRPr="0007486D">
        <w:t xml:space="preserve">Rules of Practice and Procedure </w:t>
      </w:r>
      <w:r>
        <w:t>(</w:t>
      </w:r>
      <w:r w:rsidRPr="0007486D">
        <w:t>Rules</w:t>
      </w:r>
      <w:r>
        <w:t xml:space="preserve">), which applies to contested and uncontested settlements. The </w:t>
      </w:r>
      <w:r w:rsidRPr="007139C5">
        <w:t>Settlement</w:t>
      </w:r>
      <w:r>
        <w:t xml:space="preserve"> Agreement is uncontested. The Commission has long favored the settlement of disputes. Under Rule 12.1(d), the Commission will not approve a settlement unless it is reasonable </w:t>
      </w:r>
      <w:proofErr w:type="gramStart"/>
      <w:r>
        <w:t>in light of</w:t>
      </w:r>
      <w:proofErr w:type="gramEnd"/>
      <w:r>
        <w:t xml:space="preserve"> the whole record, consistent with law, and in the public interest.</w:t>
      </w:r>
    </w:p>
    <w:p w:rsidR="00371467" w:rsidP="00371467" w:rsidRDefault="00371467" w14:paraId="775BB19A" w14:textId="26749EC1">
      <w:pPr>
        <w:pStyle w:val="Standard"/>
      </w:pPr>
      <w:r w:rsidRPr="00530172">
        <w:lastRenderedPageBreak/>
        <w:t>California courts have long recognized that the evaluation of a settlement is not an exercise in deciding the underlying merits of the case but an assessment of whether the agreement as a whole is fair and reasonable.</w:t>
      </w:r>
      <w:r>
        <w:rPr>
          <w:rStyle w:val="FootnoteReference"/>
        </w:rPr>
        <w:footnoteReference w:id="6"/>
      </w:r>
      <w:r w:rsidRPr="00530172">
        <w:t xml:space="preserve"> The trial court, or in this context the Commission, “does not try out or attempt to decide the merits of the controversy” but instead determines whether the settlement meets established fairness criteria.</w:t>
      </w:r>
      <w:r>
        <w:rPr>
          <w:rStyle w:val="FootnoteReference"/>
        </w:rPr>
        <w:footnoteReference w:id="7"/>
      </w:r>
      <w:r w:rsidRPr="00530172">
        <w:t xml:space="preserve"> As explained in </w:t>
      </w:r>
      <w:r w:rsidRPr="00530172">
        <w:rPr>
          <w:i/>
          <w:iCs/>
        </w:rPr>
        <w:t>7-Eleven Owners for Fair Franchising v. Southland Corp.</w:t>
      </w:r>
      <w:r w:rsidRPr="00530172">
        <w:t xml:space="preserve"> (2000) 85 Cal.App.4th 1135, 1146, courts exercise broad discretion in evaluating settlements and consider a range of factors, including the strength of the parties’ positions, the risks and expense of further litigation, the extent of discovery, and the experience and views of counsel. Similarly, in </w:t>
      </w:r>
      <w:r w:rsidRPr="00530172">
        <w:rPr>
          <w:i/>
          <w:iCs/>
        </w:rPr>
        <w:t>Dunk v. Ford Motor Co.</w:t>
      </w:r>
      <w:r w:rsidRPr="00530172">
        <w:t xml:space="preserve"> (1996) 48 Cal.App.4th 1794, the court recognized a presumption of fairness when: (1) the settlement is reached through arm’s-length bargaining; (2) investigation and discovery are sufficient to allow counsel and the tribunal to act intelligently; (3) counsel are experienced in similar matters; and (4) there is little or no opposition to the settlement.</w:t>
      </w:r>
    </w:p>
    <w:p w:rsidRPr="00530172" w:rsidR="00371467" w:rsidP="00371467" w:rsidRDefault="00371467" w14:paraId="5E998DE3" w14:textId="77777777">
      <w:pPr>
        <w:pStyle w:val="Standard"/>
      </w:pPr>
      <w:r w:rsidRPr="00CB729D">
        <w:t>Federal precedent is to the same effect. As the Ninth Circuit observed</w:t>
      </w:r>
      <w:r>
        <w:t xml:space="preserve"> in </w:t>
      </w:r>
      <w:r w:rsidRPr="00CB729D">
        <w:rPr>
          <w:i/>
          <w:iCs/>
        </w:rPr>
        <w:t>Hanlon v. Chrysler Corp.</w:t>
      </w:r>
      <w:r w:rsidRPr="00CB729D">
        <w:t xml:space="preserve"> (9th Cir. 1998) 150 F.3d 1011, 1027, “Settlement is the offspring of compromise; the question we address is not whether the final product could be prettier, smarter or snazzier, but whether it is fair, adequate and free from collusion.” This pragmatic approach aligns with the Commission’s policy favoring settlements as efficient, equitable, and resource-conserving resolutions of complex regulatory disputes. The focus is not on whether the agreement achieves the optimal result for any one party, but whether the </w:t>
      </w:r>
      <w:r w:rsidRPr="00CB729D">
        <w:lastRenderedPageBreak/>
        <w:t xml:space="preserve">negotiated outcome </w:t>
      </w:r>
      <w:proofErr w:type="gramStart"/>
      <w:r w:rsidRPr="00CB729D">
        <w:t>as a whole advances</w:t>
      </w:r>
      <w:proofErr w:type="gramEnd"/>
      <w:r w:rsidRPr="00CB729D">
        <w:t xml:space="preserve"> fairness, reasonableness, and the public interest.</w:t>
      </w:r>
    </w:p>
    <w:p w:rsidRPr="00530172" w:rsidR="00371467" w:rsidP="00371467" w:rsidRDefault="00371467" w14:paraId="43E5265D" w14:textId="6C84C2EE">
      <w:pPr>
        <w:pStyle w:val="Standard"/>
      </w:pPr>
      <w:r w:rsidRPr="00530172">
        <w:t>Applying these principles, the Commission concludes that the Settlement Agreement satisfies Rule 12.1(d)</w:t>
      </w:r>
      <w:r w:rsidR="00EC28CF">
        <w:t xml:space="preserve">, except </w:t>
      </w:r>
      <w:r w:rsidR="009639EE">
        <w:t>for Section</w:t>
      </w:r>
      <w:r w:rsidR="00EC28CF">
        <w:t xml:space="preserve"> 4.16 t</w:t>
      </w:r>
      <w:r w:rsidR="009639EE">
        <w:t>hat</w:t>
      </w:r>
      <w:r w:rsidR="00EC28CF">
        <w:t xml:space="preserve"> set</w:t>
      </w:r>
      <w:r w:rsidR="009639EE">
        <w:t>s</w:t>
      </w:r>
      <w:r w:rsidR="00EC28CF">
        <w:t xml:space="preserve"> a residential fixed charge of $31.7</w:t>
      </w:r>
      <w:r w:rsidR="00005130">
        <w:t>0</w:t>
      </w:r>
      <w:r w:rsidRPr="00530172" w:rsidR="6043F7EA">
        <w:t>.</w:t>
      </w:r>
      <w:r w:rsidRPr="00530172">
        <w:t xml:space="preserve"> The record demonstrates that the settlement was the product of arm’s-length negotiations between knowledgeable and well-represented parties, each with extensive experience in Commission proceedings.</w:t>
      </w:r>
      <w:r w:rsidR="00EC28CF">
        <w:rPr>
          <w:rStyle w:val="FootnoteReference"/>
        </w:rPr>
        <w:footnoteReference w:id="8"/>
      </w:r>
      <w:r w:rsidRPr="00530172">
        <w:t xml:space="preserve"> The </w:t>
      </w:r>
      <w:r>
        <w:t>S</w:t>
      </w:r>
      <w:r w:rsidRPr="00530172">
        <w:t xml:space="preserve">ettling </w:t>
      </w:r>
      <w:r>
        <w:t>P</w:t>
      </w:r>
      <w:r w:rsidRPr="00530172">
        <w:t>arties</w:t>
      </w:r>
      <w:r>
        <w:t xml:space="preserve"> </w:t>
      </w:r>
      <w:r w:rsidRPr="00530172">
        <w:t xml:space="preserve">collectively represent a broad and balanced range of interests, including those of </w:t>
      </w:r>
      <w:r>
        <w:t xml:space="preserve">various </w:t>
      </w:r>
      <w:r w:rsidRPr="00530172">
        <w:t>ratepayer</w:t>
      </w:r>
      <w:r>
        <w:t xml:space="preserve"> classes. </w:t>
      </w:r>
    </w:p>
    <w:p w:rsidRPr="00530172" w:rsidR="00371467" w:rsidP="00371467" w:rsidRDefault="00371467" w14:paraId="48FDA303" w14:textId="393F6B6F">
      <w:pPr>
        <w:pStyle w:val="Standard"/>
      </w:pPr>
      <w:r w:rsidRPr="00530172">
        <w:t xml:space="preserve">The Commission finds </w:t>
      </w:r>
      <w:r w:rsidR="00761CE8">
        <w:t>the</w:t>
      </w:r>
      <w:r w:rsidR="006623DA">
        <w:t xml:space="preserve"> </w:t>
      </w:r>
      <w:r w:rsidRPr="00530172">
        <w:t>Settlement Agreement</w:t>
      </w:r>
      <w:r w:rsidR="00D85BE6">
        <w:t xml:space="preserve">, </w:t>
      </w:r>
      <w:proofErr w:type="gramStart"/>
      <w:r w:rsidR="00D85BE6">
        <w:t>with the exception of</w:t>
      </w:r>
      <w:proofErr w:type="gramEnd"/>
      <w:r w:rsidR="00D85BE6">
        <w:t xml:space="preserve"> Section 4.16 regarding a fixed residential charge, </w:t>
      </w:r>
      <w:r w:rsidRPr="00530172">
        <w:t xml:space="preserve">to be reasonable </w:t>
      </w:r>
      <w:proofErr w:type="gramStart"/>
      <w:r w:rsidRPr="00530172">
        <w:t>in light of</w:t>
      </w:r>
      <w:proofErr w:type="gramEnd"/>
      <w:r w:rsidRPr="00530172">
        <w:t xml:space="preserve"> the whole record. The settlement was reached after discovery, evidentiary hearings, and submission of extensive written testimony. It resolves numerous issues supported by the evidentiary record and narrows the scope of remaining disputes. The </w:t>
      </w:r>
      <w:r>
        <w:t>Settlement Agreement</w:t>
      </w:r>
      <w:r w:rsidRPr="00530172">
        <w:t xml:space="preserve"> reflects compromises grounded in the data and testimony presented, resulting in rate and policy outcomes that are balanced and supported by the </w:t>
      </w:r>
      <w:proofErr w:type="gramStart"/>
      <w:r w:rsidRPr="00530172">
        <w:t>record as a whole</w:t>
      </w:r>
      <w:proofErr w:type="gramEnd"/>
      <w:r w:rsidRPr="00530172">
        <w:t>.</w:t>
      </w:r>
    </w:p>
    <w:p w:rsidRPr="00530172" w:rsidR="00371467" w:rsidP="00371467" w:rsidRDefault="00371467" w14:paraId="45639324" w14:textId="40A45260">
      <w:pPr>
        <w:pStyle w:val="Standard"/>
      </w:pPr>
      <w:r w:rsidRPr="00530172">
        <w:t xml:space="preserve">The </w:t>
      </w:r>
      <w:r>
        <w:t>Settlement Agreement</w:t>
      </w:r>
      <w:r w:rsidR="00D85BE6">
        <w:t xml:space="preserve">, </w:t>
      </w:r>
      <w:proofErr w:type="gramStart"/>
      <w:r w:rsidR="00D85BE6">
        <w:t>with the exception of</w:t>
      </w:r>
      <w:proofErr w:type="gramEnd"/>
      <w:r w:rsidR="00D85BE6">
        <w:t xml:space="preserve"> Section 4.16 regarding a fixed residential charge,</w:t>
      </w:r>
      <w:r w:rsidRPr="00530172" w:rsidR="6043F7EA">
        <w:t xml:space="preserve"> is also consistent with law.</w:t>
      </w:r>
      <w:r w:rsidRPr="00530172">
        <w:t xml:space="preserve"> The </w:t>
      </w:r>
      <w:r>
        <w:t>S</w:t>
      </w:r>
      <w:r w:rsidRPr="00530172">
        <w:t xml:space="preserve">ettling </w:t>
      </w:r>
      <w:r>
        <w:t>P</w:t>
      </w:r>
      <w:r w:rsidRPr="00530172">
        <w:t>arties represent that no term of the agreement contravenes any statute or prior Commission decision, and the Commission’s independent review finds no conflict with governing law.</w:t>
      </w:r>
      <w:r w:rsidR="00EC28CF">
        <w:rPr>
          <w:rStyle w:val="FootnoteReference"/>
        </w:rPr>
        <w:footnoteReference w:id="9"/>
      </w:r>
      <w:r w:rsidRPr="00530172">
        <w:t xml:space="preserve"> The settlement complies with </w:t>
      </w:r>
      <w:r w:rsidR="004B7D24">
        <w:t>Public Utilities Code (</w:t>
      </w:r>
      <w:r>
        <w:t>Pub. Util. Code</w:t>
      </w:r>
      <w:r w:rsidR="004B7D24">
        <w:t>)</w:t>
      </w:r>
      <w:r w:rsidRPr="00530172">
        <w:t xml:space="preserve"> </w:t>
      </w:r>
      <w:r w:rsidR="009639EE">
        <w:t>S</w:t>
      </w:r>
      <w:r w:rsidRPr="00530172">
        <w:t xml:space="preserve">ections 451 and 454, which require that all rates be just and reasonable </w:t>
      </w:r>
      <w:r w:rsidRPr="00530172">
        <w:lastRenderedPageBreak/>
        <w:t>and that no rate change occur without Commission authorization. The settlement also aligns with longstanding Commission pr</w:t>
      </w:r>
      <w:r>
        <w:t>actice</w:t>
      </w:r>
      <w:r w:rsidRPr="00530172">
        <w:t xml:space="preserve"> approving settlements that advance administrative efficiency and conserve public and party resources.</w:t>
      </w:r>
    </w:p>
    <w:p w:rsidRPr="00530172" w:rsidR="00371467" w:rsidP="00371467" w:rsidRDefault="00371467" w14:paraId="181098E2" w14:textId="38B05A25">
      <w:pPr>
        <w:pStyle w:val="Standard"/>
      </w:pPr>
      <w:r w:rsidRPr="00530172">
        <w:t>Finally, the Settlement Agreement</w:t>
      </w:r>
      <w:r w:rsidR="00D85BE6">
        <w:t xml:space="preserve">, </w:t>
      </w:r>
      <w:proofErr w:type="gramStart"/>
      <w:r w:rsidR="00D85BE6">
        <w:t>with the exception of</w:t>
      </w:r>
      <w:proofErr w:type="gramEnd"/>
      <w:r w:rsidR="00D85BE6">
        <w:t xml:space="preserve"> Section 4.16 regarding a fixed residential charge,</w:t>
      </w:r>
      <w:r w:rsidRPr="00530172">
        <w:t xml:space="preserve"> is in the public interest. </w:t>
      </w:r>
      <w:r w:rsidR="6043F7EA">
        <w:t xml:space="preserve">It </w:t>
      </w:r>
      <w:r w:rsidR="08B6C857">
        <w:t xml:space="preserve">ultimately </w:t>
      </w:r>
      <w:r w:rsidR="6043F7EA">
        <w:t>provides</w:t>
      </w:r>
      <w:r w:rsidRPr="00530172">
        <w:t xml:space="preserve"> rate and policy outcomes that will reduce litigation costs, conserve regulatory resources, and enhance regulatory certainty for both the utility and customers. The settlement results in a reduction of </w:t>
      </w:r>
      <w:r w:rsidR="006623DA">
        <w:t>Liberty’</w:t>
      </w:r>
      <w:r w:rsidRPr="00530172">
        <w:t xml:space="preserve">s requested revenue requirement while still ensuring the utility can continue to provide safe and reliable </w:t>
      </w:r>
      <w:r w:rsidR="006623DA">
        <w:t>electric</w:t>
      </w:r>
      <w:r w:rsidRPr="00530172">
        <w:t xml:space="preserve"> service at reasonable rates. The participation of Cal Advocates—the Commission’s independent consumer advocate—further supports the conclusion that the settlement protects the interests of ratepayers, including residential and low-income customers.</w:t>
      </w:r>
    </w:p>
    <w:p w:rsidR="0073353F" w:rsidP="00371467" w:rsidRDefault="00371467" w14:paraId="514C57AA" w14:textId="0D35E58B">
      <w:pPr>
        <w:pStyle w:val="Standard"/>
      </w:pPr>
      <w:r w:rsidRPr="00530172">
        <w:t xml:space="preserve">Consistent with judicial and administrative precedent, the Commission’s review of the settlement does not require </w:t>
      </w:r>
      <w:proofErr w:type="gramStart"/>
      <w:r w:rsidRPr="00530172">
        <w:t>parceling</w:t>
      </w:r>
      <w:proofErr w:type="gramEnd"/>
      <w:r w:rsidRPr="00530172">
        <w:t xml:space="preserve"> each fact or issue resolved therein.</w:t>
      </w:r>
      <w:r>
        <w:rPr>
          <w:rStyle w:val="FootnoteReference"/>
        </w:rPr>
        <w:footnoteReference w:id="10"/>
      </w:r>
      <w:r w:rsidRPr="00530172">
        <w:t xml:space="preserve"> The Commission’s role is to ensure that the agreement </w:t>
      </w:r>
      <w:proofErr w:type="gramStart"/>
      <w:r w:rsidRPr="00530172">
        <w:t>as a whole meets</w:t>
      </w:r>
      <w:proofErr w:type="gramEnd"/>
      <w:r w:rsidRPr="00530172">
        <w:t xml:space="preserve"> the criteria of Rule 12.1(d). Having conducted a comprehensive, high-level assessment of the settlement and the corresponding evidentiary record, the Commission concludes that the Settlement Agreement, taken in its entirety</w:t>
      </w:r>
      <w:r w:rsidR="00547F94">
        <w:t xml:space="preserve"> and excepting the fixed charge amount listed </w:t>
      </w:r>
      <w:r w:rsidR="009639EE">
        <w:t>in</w:t>
      </w:r>
      <w:r w:rsidR="00547F94">
        <w:t xml:space="preserve"> </w:t>
      </w:r>
      <w:r w:rsidR="009639EE">
        <w:t>S</w:t>
      </w:r>
      <w:r w:rsidR="00547F94">
        <w:t>ection 4.16</w:t>
      </w:r>
      <w:r w:rsidRPr="00530172">
        <w:t xml:space="preserve">, is reasonable </w:t>
      </w:r>
      <w:proofErr w:type="gramStart"/>
      <w:r w:rsidRPr="00530172">
        <w:t>in light of</w:t>
      </w:r>
      <w:proofErr w:type="gramEnd"/>
      <w:r w:rsidRPr="00530172">
        <w:t xml:space="preserve"> the whole record, consistent with law, and in </w:t>
      </w:r>
      <w:proofErr w:type="gramStart"/>
      <w:r w:rsidRPr="00530172">
        <w:t>the public</w:t>
      </w:r>
      <w:proofErr w:type="gramEnd"/>
      <w:r w:rsidRPr="00530172">
        <w:t xml:space="preserve"> interest.</w:t>
      </w:r>
    </w:p>
    <w:p w:rsidR="00EA36C6" w:rsidP="006D71A8" w:rsidRDefault="00501AC3" w14:paraId="78CBED9F" w14:textId="60ABF7B7">
      <w:pPr>
        <w:pStyle w:val="Heading2"/>
      </w:pPr>
      <w:bookmarkStart w:name="_Toc224569291" w:id="14"/>
      <w:r>
        <w:lastRenderedPageBreak/>
        <w:t xml:space="preserve">Modification of Settlement Agreement by </w:t>
      </w:r>
      <w:r w:rsidR="00AD2BE5">
        <w:t>Rejection</w:t>
      </w:r>
      <w:r w:rsidR="00E708D9">
        <w:t xml:space="preserve"> of Fixed </w:t>
      </w:r>
      <w:r w:rsidR="00AD2BE5">
        <w:t xml:space="preserve">Residential </w:t>
      </w:r>
      <w:r w:rsidR="00E708D9">
        <w:t>Charge</w:t>
      </w:r>
      <w:bookmarkEnd w:id="14"/>
    </w:p>
    <w:p w:rsidR="00383293" w:rsidP="00E708D9" w:rsidRDefault="00383293" w14:paraId="6E02F86C" w14:textId="3713C199">
      <w:pPr>
        <w:rPr>
          <w:rFonts w:eastAsia="Times New Roman"/>
          <w:color w:val="000000"/>
        </w:rPr>
      </w:pPr>
      <w:r>
        <w:rPr>
          <w:rFonts w:eastAsia="Times New Roman"/>
          <w:color w:val="000000"/>
        </w:rPr>
        <w:t xml:space="preserve">The Commission analyzes the Settlement Agreement in accordance with Article 12 of </w:t>
      </w:r>
      <w:r w:rsidR="006F742E">
        <w:rPr>
          <w:rFonts w:eastAsia="Times New Roman"/>
          <w:color w:val="000000"/>
        </w:rPr>
        <w:t xml:space="preserve">the </w:t>
      </w:r>
      <w:r>
        <w:rPr>
          <w:rFonts w:eastAsia="Times New Roman"/>
          <w:color w:val="000000"/>
        </w:rPr>
        <w:t>Commission</w:t>
      </w:r>
      <w:r w:rsidR="00C71AC0">
        <w:rPr>
          <w:rFonts w:eastAsia="Times New Roman"/>
          <w:color w:val="000000"/>
        </w:rPr>
        <w:t>’</w:t>
      </w:r>
      <w:r>
        <w:rPr>
          <w:rFonts w:eastAsia="Times New Roman"/>
          <w:color w:val="000000"/>
        </w:rPr>
        <w:t xml:space="preserve">s Rules. Specifically, Rule 12.4 enables the Commission to reject any part of the settlement that is not in </w:t>
      </w:r>
      <w:proofErr w:type="gramStart"/>
      <w:r>
        <w:rPr>
          <w:rFonts w:eastAsia="Times New Roman"/>
          <w:color w:val="000000"/>
        </w:rPr>
        <w:t>the public</w:t>
      </w:r>
      <w:proofErr w:type="gramEnd"/>
      <w:r>
        <w:rPr>
          <w:rFonts w:eastAsia="Times New Roman"/>
          <w:color w:val="000000"/>
        </w:rPr>
        <w:t xml:space="preserve"> interest </w:t>
      </w:r>
      <w:proofErr w:type="gramStart"/>
      <w:r>
        <w:rPr>
          <w:rFonts w:eastAsia="Times New Roman"/>
          <w:color w:val="000000"/>
        </w:rPr>
        <w:t>provided</w:t>
      </w:r>
      <w:proofErr w:type="gramEnd"/>
      <w:r>
        <w:rPr>
          <w:rFonts w:eastAsia="Times New Roman"/>
          <w:color w:val="000000"/>
        </w:rPr>
        <w:t xml:space="preserve"> the parties have an opportunity to respond to the Commission’s rejection of a settlement provision. Rule 12.2 allows parties to file comments </w:t>
      </w:r>
      <w:proofErr w:type="gramStart"/>
      <w:r>
        <w:rPr>
          <w:rFonts w:eastAsia="Times New Roman"/>
          <w:color w:val="000000"/>
        </w:rPr>
        <w:t>to</w:t>
      </w:r>
      <w:proofErr w:type="gramEnd"/>
      <w:r>
        <w:rPr>
          <w:rFonts w:eastAsia="Times New Roman"/>
          <w:color w:val="000000"/>
        </w:rPr>
        <w:t xml:space="preserve"> the </w:t>
      </w:r>
      <w:r w:rsidR="006F742E">
        <w:rPr>
          <w:rFonts w:eastAsia="Times New Roman"/>
          <w:color w:val="000000"/>
        </w:rPr>
        <w:t xml:space="preserve">Amended </w:t>
      </w:r>
      <w:r>
        <w:rPr>
          <w:rFonts w:eastAsia="Times New Roman"/>
          <w:color w:val="000000"/>
        </w:rPr>
        <w:t>Settlement Motion. However, no timely comments were filed.</w:t>
      </w:r>
      <w:r>
        <w:rPr>
          <w:rStyle w:val="FootnoteReference"/>
          <w:rFonts w:eastAsia="Times New Roman"/>
          <w:color w:val="000000"/>
        </w:rPr>
        <w:footnoteReference w:id="11"/>
      </w:r>
    </w:p>
    <w:p w:rsidR="00AD2BE5" w:rsidP="00E708D9" w:rsidRDefault="00AD2BE5" w14:paraId="1764D648" w14:textId="6C097613">
      <w:pPr>
        <w:rPr>
          <w:rFonts w:eastAsia="Times New Roman"/>
          <w:color w:val="000000"/>
        </w:rPr>
      </w:pPr>
      <w:r w:rsidRPr="3D3140B7">
        <w:rPr>
          <w:rFonts w:eastAsia="Times New Roman"/>
          <w:color w:val="000000" w:themeColor="text1"/>
        </w:rPr>
        <w:t>Prior to this proceeding, t</w:t>
      </w:r>
      <w:r w:rsidRPr="3D3140B7" w:rsidR="00E708D9">
        <w:rPr>
          <w:rFonts w:eastAsia="Times New Roman"/>
          <w:color w:val="000000" w:themeColor="text1"/>
        </w:rPr>
        <w:t xml:space="preserve">he fixed charge was approved by the Commission in </w:t>
      </w:r>
      <w:r w:rsidRPr="3D3140B7" w:rsidR="006376F6">
        <w:rPr>
          <w:rFonts w:eastAsia="Times New Roman"/>
          <w:color w:val="000000" w:themeColor="text1"/>
        </w:rPr>
        <w:t>Decision (</w:t>
      </w:r>
      <w:r w:rsidRPr="3D3140B7" w:rsidR="00E708D9">
        <w:rPr>
          <w:rFonts w:eastAsia="Times New Roman"/>
          <w:color w:val="000000" w:themeColor="text1"/>
        </w:rPr>
        <w:t>D.</w:t>
      </w:r>
      <w:r w:rsidRPr="3D3140B7" w:rsidR="006376F6">
        <w:rPr>
          <w:rFonts w:eastAsia="Times New Roman"/>
          <w:color w:val="000000" w:themeColor="text1"/>
        </w:rPr>
        <w:t xml:space="preserve">) </w:t>
      </w:r>
      <w:r w:rsidRPr="3D3140B7" w:rsidR="00E708D9">
        <w:rPr>
          <w:rFonts w:eastAsia="Times New Roman"/>
          <w:color w:val="000000" w:themeColor="text1"/>
        </w:rPr>
        <w:t>24-05-028 for all California Investor-Owned Utilities</w:t>
      </w:r>
      <w:r w:rsidR="00D85BE6">
        <w:rPr>
          <w:rFonts w:eastAsia="Times New Roman"/>
          <w:color w:val="000000" w:themeColor="text1"/>
        </w:rPr>
        <w:t xml:space="preserve"> (IOUs)</w:t>
      </w:r>
      <w:r w:rsidRPr="3D3140B7" w:rsidR="00E708D9">
        <w:rPr>
          <w:rFonts w:eastAsia="Times New Roman"/>
          <w:color w:val="000000" w:themeColor="text1"/>
        </w:rPr>
        <w:t>. In O</w:t>
      </w:r>
      <w:r w:rsidRPr="3D3140B7" w:rsidR="002C2ADC">
        <w:rPr>
          <w:rFonts w:eastAsia="Times New Roman"/>
          <w:color w:val="000000" w:themeColor="text1"/>
        </w:rPr>
        <w:t>rdering Paragraph</w:t>
      </w:r>
      <w:r w:rsidRPr="3D3140B7" w:rsidR="00E708D9">
        <w:rPr>
          <w:rFonts w:eastAsia="Times New Roman"/>
          <w:color w:val="000000" w:themeColor="text1"/>
        </w:rPr>
        <w:t xml:space="preserve"> 10</w:t>
      </w:r>
      <w:r w:rsidRPr="3D3140B7" w:rsidR="002C2ADC">
        <w:rPr>
          <w:rFonts w:eastAsia="Times New Roman"/>
          <w:color w:val="000000" w:themeColor="text1"/>
        </w:rPr>
        <w:t xml:space="preserve"> of</w:t>
      </w:r>
      <w:r w:rsidRPr="3D3140B7" w:rsidR="00E708D9">
        <w:rPr>
          <w:rFonts w:eastAsia="Times New Roman"/>
          <w:color w:val="000000" w:themeColor="text1"/>
        </w:rPr>
        <w:t xml:space="preserve"> D</w:t>
      </w:r>
      <w:r w:rsidRPr="3D3140B7" w:rsidR="00BC0026">
        <w:rPr>
          <w:rFonts w:eastAsia="Times New Roman"/>
          <w:color w:val="000000" w:themeColor="text1"/>
        </w:rPr>
        <w:t xml:space="preserve">.24-05-028, </w:t>
      </w:r>
      <w:r w:rsidRPr="3D3140B7" w:rsidR="00E708D9">
        <w:rPr>
          <w:rFonts w:eastAsia="Times New Roman"/>
          <w:color w:val="000000" w:themeColor="text1"/>
        </w:rPr>
        <w:t>the Small Multi-Jurisdictional Utilities</w:t>
      </w:r>
      <w:r w:rsidRPr="3D3140B7">
        <w:rPr>
          <w:rFonts w:eastAsia="Times New Roman"/>
          <w:color w:val="000000" w:themeColor="text1"/>
        </w:rPr>
        <w:t xml:space="preserve">, including Liberty, </w:t>
      </w:r>
      <w:r w:rsidRPr="3D3140B7" w:rsidR="00BC0026">
        <w:rPr>
          <w:rFonts w:eastAsia="Times New Roman"/>
          <w:color w:val="000000" w:themeColor="text1"/>
        </w:rPr>
        <w:t xml:space="preserve">were ordered </w:t>
      </w:r>
      <w:r w:rsidRPr="3D3140B7" w:rsidR="00E708D9">
        <w:rPr>
          <w:rFonts w:eastAsia="Times New Roman"/>
          <w:color w:val="000000" w:themeColor="text1"/>
        </w:rPr>
        <w:t xml:space="preserve">to submit a Tier 3 </w:t>
      </w:r>
      <w:r w:rsidRPr="3D3140B7" w:rsidR="00321F59">
        <w:rPr>
          <w:rFonts w:eastAsia="Times New Roman"/>
          <w:color w:val="000000" w:themeColor="text1"/>
        </w:rPr>
        <w:t>A</w:t>
      </w:r>
      <w:r w:rsidRPr="3D3140B7" w:rsidR="00E708D9">
        <w:rPr>
          <w:rFonts w:eastAsia="Times New Roman"/>
          <w:color w:val="000000" w:themeColor="text1"/>
        </w:rPr>
        <w:t xml:space="preserve">dvice </w:t>
      </w:r>
      <w:r w:rsidRPr="3D3140B7" w:rsidR="00321F59">
        <w:rPr>
          <w:rFonts w:eastAsia="Times New Roman"/>
          <w:color w:val="000000" w:themeColor="text1"/>
        </w:rPr>
        <w:t>L</w:t>
      </w:r>
      <w:r w:rsidRPr="3D3140B7" w:rsidR="00E708D9">
        <w:rPr>
          <w:rFonts w:eastAsia="Times New Roman"/>
          <w:color w:val="000000" w:themeColor="text1"/>
        </w:rPr>
        <w:t xml:space="preserve">etter to, amongst other things, provide for Commission approval </w:t>
      </w:r>
      <w:r w:rsidRPr="3D3140B7" w:rsidR="00F957D9">
        <w:rPr>
          <w:rFonts w:eastAsia="Times New Roman"/>
          <w:color w:val="000000" w:themeColor="text1"/>
        </w:rPr>
        <w:t>”</w:t>
      </w:r>
      <w:r w:rsidRPr="3D3140B7" w:rsidR="00E708D9">
        <w:rPr>
          <w:rFonts w:eastAsia="Times New Roman"/>
          <w:color w:val="000000" w:themeColor="text1"/>
        </w:rPr>
        <w:t>a list of all base revenue cost categories that the utility proposes to recover through its income-graduated fixed charges and the revenue requirement associated with each cost category</w:t>
      </w:r>
      <w:r w:rsidRPr="3D3140B7" w:rsidR="00321F59">
        <w:rPr>
          <w:rFonts w:eastAsia="Times New Roman"/>
          <w:color w:val="000000" w:themeColor="text1"/>
        </w:rPr>
        <w:t>,”</w:t>
      </w:r>
      <w:r w:rsidRPr="3D3140B7" w:rsidR="00E708D9">
        <w:rPr>
          <w:rFonts w:eastAsia="Times New Roman"/>
          <w:color w:val="000000" w:themeColor="text1"/>
        </w:rPr>
        <w:t xml:space="preserve"> and the actual </w:t>
      </w:r>
      <w:r w:rsidRPr="3D3140B7" w:rsidR="00F957D9">
        <w:rPr>
          <w:rFonts w:eastAsia="Times New Roman"/>
          <w:color w:val="000000" w:themeColor="text1"/>
        </w:rPr>
        <w:t>”</w:t>
      </w:r>
      <w:r w:rsidRPr="3D3140B7" w:rsidR="00E708D9">
        <w:rPr>
          <w:rFonts w:eastAsia="Times New Roman"/>
          <w:color w:val="000000" w:themeColor="text1"/>
        </w:rPr>
        <w:t>proposed fixed charge levels</w:t>
      </w:r>
      <w:r w:rsidRPr="3D3140B7" w:rsidR="00321F59">
        <w:rPr>
          <w:rFonts w:eastAsia="Times New Roman"/>
          <w:color w:val="000000" w:themeColor="text1"/>
        </w:rPr>
        <w:t>.”</w:t>
      </w:r>
      <w:r w:rsidRPr="3D3140B7" w:rsidR="00E708D9">
        <w:rPr>
          <w:rFonts w:eastAsia="Times New Roman"/>
          <w:color w:val="000000" w:themeColor="text1"/>
        </w:rPr>
        <w:t xml:space="preserve"> </w:t>
      </w:r>
    </w:p>
    <w:p w:rsidR="0020206D" w:rsidP="00E708D9" w:rsidRDefault="1D5BF4CD" w14:paraId="34ADC6EE" w14:textId="4ACFC17A">
      <w:pPr>
        <w:rPr>
          <w:rFonts w:eastAsia="Times New Roman"/>
          <w:color w:val="000000"/>
        </w:rPr>
      </w:pPr>
      <w:r w:rsidRPr="3D3140B7">
        <w:rPr>
          <w:rFonts w:eastAsia="Times New Roman"/>
          <w:color w:val="000000" w:themeColor="text1"/>
        </w:rPr>
        <w:t xml:space="preserve">First, the Settlement Agreement language is unclear whether the residential fixed charge of $31.70 is intended to be applied on a monthly, annual, or another timeframe. Second, </w:t>
      </w:r>
      <w:r w:rsidRPr="67BA35C4" w:rsidR="13392D1C">
        <w:rPr>
          <w:rFonts w:eastAsia="Times New Roman"/>
          <w:color w:val="000000" w:themeColor="text1"/>
        </w:rPr>
        <w:t>t</w:t>
      </w:r>
      <w:r w:rsidRPr="67BA35C4" w:rsidR="5048F8C5">
        <w:rPr>
          <w:rFonts w:eastAsia="Times New Roman"/>
          <w:color w:val="000000" w:themeColor="text1"/>
        </w:rPr>
        <w:t>h</w:t>
      </w:r>
      <w:r w:rsidRPr="67BA35C4" w:rsidR="0FF6D2CE">
        <w:rPr>
          <w:rFonts w:eastAsia="Times New Roman"/>
          <w:color w:val="000000" w:themeColor="text1"/>
        </w:rPr>
        <w:t>e</w:t>
      </w:r>
      <w:r w:rsidRPr="3D93D712" w:rsidR="00E708D9">
        <w:rPr>
          <w:rFonts w:eastAsia="Times New Roman"/>
          <w:color w:val="000000" w:themeColor="text1"/>
        </w:rPr>
        <w:t xml:space="preserve"> drafting and approval process is currently </w:t>
      </w:r>
      <w:r w:rsidRPr="3D93D712" w:rsidR="27399015">
        <w:rPr>
          <w:rFonts w:eastAsia="Times New Roman"/>
          <w:color w:val="000000" w:themeColor="text1"/>
        </w:rPr>
        <w:t>underway</w:t>
      </w:r>
      <w:r w:rsidRPr="3D93D712" w:rsidR="00E708D9">
        <w:rPr>
          <w:rFonts w:eastAsia="Times New Roman"/>
          <w:color w:val="000000" w:themeColor="text1"/>
        </w:rPr>
        <w:t xml:space="preserve"> </w:t>
      </w:r>
      <w:r w:rsidRPr="3D93D712" w:rsidR="00F957D9">
        <w:rPr>
          <w:rFonts w:eastAsia="Times New Roman"/>
          <w:color w:val="000000" w:themeColor="text1"/>
        </w:rPr>
        <w:t xml:space="preserve">for Liberty’s </w:t>
      </w:r>
      <w:r w:rsidRPr="3D93D712" w:rsidR="009476C8">
        <w:rPr>
          <w:rFonts w:eastAsia="Times New Roman"/>
          <w:color w:val="000000" w:themeColor="text1"/>
        </w:rPr>
        <w:t>Advice Letter</w:t>
      </w:r>
      <w:r w:rsidRPr="3D93D712" w:rsidR="00E708D9">
        <w:rPr>
          <w:rFonts w:eastAsia="Times New Roman"/>
          <w:color w:val="000000" w:themeColor="text1"/>
        </w:rPr>
        <w:t xml:space="preserve"> 248-E and its supplements</w:t>
      </w:r>
      <w:r w:rsidRPr="3D93D712" w:rsidR="00F957D9">
        <w:rPr>
          <w:rFonts w:eastAsia="Times New Roman"/>
          <w:color w:val="000000" w:themeColor="text1"/>
        </w:rPr>
        <w:t xml:space="preserve"> as required under D</w:t>
      </w:r>
      <w:r w:rsidRPr="3D93D712" w:rsidR="001A10D7">
        <w:rPr>
          <w:rFonts w:eastAsia="Times New Roman"/>
          <w:color w:val="000000" w:themeColor="text1"/>
        </w:rPr>
        <w:t>.</w:t>
      </w:r>
      <w:r w:rsidRPr="3D93D712" w:rsidR="00F957D9">
        <w:rPr>
          <w:rFonts w:eastAsia="Times New Roman"/>
          <w:color w:val="000000" w:themeColor="text1"/>
        </w:rPr>
        <w:t>24-05-028</w:t>
      </w:r>
      <w:r w:rsidRPr="3D93D712" w:rsidR="00E708D9">
        <w:rPr>
          <w:rFonts w:eastAsia="Times New Roman"/>
          <w:color w:val="000000" w:themeColor="text1"/>
        </w:rPr>
        <w:t>. </w:t>
      </w:r>
      <w:r w:rsidRPr="3D93D712" w:rsidR="00AD2BE5">
        <w:rPr>
          <w:rFonts w:eastAsia="Times New Roman"/>
          <w:color w:val="000000" w:themeColor="text1"/>
        </w:rPr>
        <w:t>It would be</w:t>
      </w:r>
      <w:r w:rsidR="00FE6696">
        <w:rPr>
          <w:rFonts w:eastAsia="Times New Roman"/>
          <w:color w:val="000000" w:themeColor="text1"/>
        </w:rPr>
        <w:t xml:space="preserve"> an</w:t>
      </w:r>
      <w:r w:rsidRPr="3D93D712" w:rsidR="00AD2BE5">
        <w:rPr>
          <w:rFonts w:eastAsia="Times New Roman"/>
          <w:color w:val="000000" w:themeColor="text1"/>
        </w:rPr>
        <w:t xml:space="preserve"> error for the Commission to usurp the resolution process and accept the Settlement Agreement’s fixed residential charge in this proceeding</w:t>
      </w:r>
      <w:r w:rsidRPr="5594D8E4" w:rsidR="00AD2BE5">
        <w:rPr>
          <w:rFonts w:eastAsia="Times New Roman"/>
          <w:color w:val="000000" w:themeColor="text1"/>
        </w:rPr>
        <w:t xml:space="preserve">. </w:t>
      </w:r>
      <w:r w:rsidRPr="1ADC7530" w:rsidR="42AFF5FB">
        <w:rPr>
          <w:rFonts w:eastAsia="Times New Roman"/>
          <w:color w:val="000000" w:themeColor="text1"/>
        </w:rPr>
        <w:t xml:space="preserve"> </w:t>
      </w:r>
      <w:r w:rsidRPr="44E55188" w:rsidR="42AFF5FB">
        <w:rPr>
          <w:rFonts w:eastAsia="Times New Roman"/>
          <w:color w:val="000000" w:themeColor="text1"/>
        </w:rPr>
        <w:t xml:space="preserve">Therefore, </w:t>
      </w:r>
      <w:r w:rsidRPr="44E55188" w:rsidR="2980F801">
        <w:rPr>
          <w:rFonts w:eastAsia="Times New Roman"/>
          <w:color w:val="000000" w:themeColor="text1"/>
        </w:rPr>
        <w:t>it</w:t>
      </w:r>
      <w:r w:rsidRPr="3D93D712" w:rsidR="00043748">
        <w:rPr>
          <w:rFonts w:eastAsia="Times New Roman"/>
          <w:color w:val="000000" w:themeColor="text1"/>
        </w:rPr>
        <w:t xml:space="preserve"> is consistent with law for the </w:t>
      </w:r>
      <w:r w:rsidRPr="3D93D712" w:rsidR="00043748">
        <w:rPr>
          <w:rFonts w:eastAsia="Times New Roman"/>
          <w:color w:val="000000" w:themeColor="text1"/>
        </w:rPr>
        <w:lastRenderedPageBreak/>
        <w:t xml:space="preserve">Commission to allow the fixed charge to be resolved in accordance </w:t>
      </w:r>
      <w:r w:rsidRPr="3D93D712" w:rsidR="004F4753">
        <w:rPr>
          <w:rFonts w:eastAsia="Times New Roman"/>
          <w:color w:val="000000" w:themeColor="text1"/>
        </w:rPr>
        <w:t>with</w:t>
      </w:r>
      <w:r w:rsidRPr="3D93D712" w:rsidR="001A10D7">
        <w:rPr>
          <w:rFonts w:eastAsia="Times New Roman"/>
          <w:color w:val="000000" w:themeColor="text1"/>
        </w:rPr>
        <w:t xml:space="preserve"> D.24-05-0</w:t>
      </w:r>
      <w:r w:rsidRPr="3D93D712" w:rsidR="00F54A2A">
        <w:rPr>
          <w:rFonts w:eastAsia="Times New Roman"/>
          <w:color w:val="000000" w:themeColor="text1"/>
        </w:rPr>
        <w:t>2</w:t>
      </w:r>
      <w:r w:rsidRPr="3D93D712" w:rsidR="001A10D7">
        <w:rPr>
          <w:rFonts w:eastAsia="Times New Roman"/>
          <w:color w:val="000000" w:themeColor="text1"/>
        </w:rPr>
        <w:t>8.</w:t>
      </w:r>
    </w:p>
    <w:p w:rsidR="007509C6" w:rsidP="00E708D9" w:rsidRDefault="00C22F27" w14:paraId="711020F2" w14:textId="77BBEC13">
      <w:pPr>
        <w:rPr>
          <w:rFonts w:eastAsia="Times New Roman"/>
          <w:color w:val="000000"/>
        </w:rPr>
      </w:pPr>
      <w:r>
        <w:rPr>
          <w:rFonts w:eastAsia="Times New Roman"/>
          <w:color w:val="000000"/>
        </w:rPr>
        <w:t xml:space="preserve">Pursuant to Rule 12.4(c), the Commission </w:t>
      </w:r>
      <w:r w:rsidR="00501AC3">
        <w:rPr>
          <w:rFonts w:eastAsia="Times New Roman"/>
          <w:color w:val="000000"/>
        </w:rPr>
        <w:t xml:space="preserve">modifies the Settlement Agreement by </w:t>
      </w:r>
      <w:r>
        <w:rPr>
          <w:rFonts w:eastAsia="Times New Roman"/>
          <w:color w:val="000000"/>
        </w:rPr>
        <w:t>reject</w:t>
      </w:r>
      <w:r w:rsidR="00501AC3">
        <w:rPr>
          <w:rFonts w:eastAsia="Times New Roman"/>
          <w:color w:val="000000"/>
        </w:rPr>
        <w:t>ing</w:t>
      </w:r>
      <w:r>
        <w:rPr>
          <w:rFonts w:eastAsia="Times New Roman"/>
          <w:color w:val="000000"/>
        </w:rPr>
        <w:t xml:space="preserve"> Section 4.16 of the Settlement Agreement that proposes a residential fixed charge of $31.70 because it is not </w:t>
      </w:r>
      <w:r w:rsidR="00A4462F">
        <w:rPr>
          <w:rFonts w:eastAsia="Times New Roman"/>
          <w:color w:val="000000"/>
        </w:rPr>
        <w:t xml:space="preserve">reasonable </w:t>
      </w:r>
      <w:proofErr w:type="gramStart"/>
      <w:r w:rsidR="00A4462F">
        <w:rPr>
          <w:rFonts w:eastAsia="Times New Roman"/>
          <w:color w:val="000000"/>
        </w:rPr>
        <w:t>in light of</w:t>
      </w:r>
      <w:proofErr w:type="gramEnd"/>
      <w:r w:rsidR="00A4462F">
        <w:rPr>
          <w:rFonts w:eastAsia="Times New Roman"/>
          <w:color w:val="000000"/>
        </w:rPr>
        <w:t xml:space="preserve"> the whole record, is not consistent with law, and is not </w:t>
      </w:r>
      <w:r w:rsidR="00383E2F">
        <w:rPr>
          <w:rFonts w:eastAsia="Times New Roman"/>
          <w:color w:val="000000"/>
        </w:rPr>
        <w:t>in the public interest</w:t>
      </w:r>
      <w:r>
        <w:rPr>
          <w:rFonts w:eastAsia="Times New Roman"/>
          <w:color w:val="000000"/>
        </w:rPr>
        <w:t xml:space="preserve">. </w:t>
      </w:r>
      <w:r w:rsidR="00BA0063">
        <w:rPr>
          <w:rFonts w:eastAsia="Times New Roman"/>
          <w:color w:val="000000"/>
        </w:rPr>
        <w:t>It is not reasonable</w:t>
      </w:r>
      <w:r w:rsidR="00F72842">
        <w:rPr>
          <w:rFonts w:eastAsia="Times New Roman"/>
          <w:color w:val="000000"/>
        </w:rPr>
        <w:t>, it is not consistent with the Commission’s decision in D.24-05-028, and it is not in the public interest</w:t>
      </w:r>
      <w:r w:rsidR="00BA0063">
        <w:rPr>
          <w:rFonts w:eastAsia="Times New Roman"/>
          <w:color w:val="000000"/>
        </w:rPr>
        <w:t xml:space="preserve"> for the Settling Parties</w:t>
      </w:r>
      <w:r w:rsidR="00F72842">
        <w:rPr>
          <w:rFonts w:eastAsia="Times New Roman"/>
          <w:color w:val="000000"/>
        </w:rPr>
        <w:t>, without any explanation,</w:t>
      </w:r>
      <w:r w:rsidR="00BA0063">
        <w:rPr>
          <w:rFonts w:eastAsia="Times New Roman"/>
          <w:color w:val="000000"/>
        </w:rPr>
        <w:t xml:space="preserve"> to purport to set a residential fixed charge </w:t>
      </w:r>
      <w:r w:rsidR="00F72842">
        <w:rPr>
          <w:rFonts w:eastAsia="Times New Roman"/>
          <w:color w:val="000000"/>
        </w:rPr>
        <w:t>without following</w:t>
      </w:r>
      <w:r w:rsidR="00BA0063">
        <w:rPr>
          <w:rFonts w:eastAsia="Times New Roman"/>
          <w:color w:val="000000"/>
        </w:rPr>
        <w:t xml:space="preserve"> the</w:t>
      </w:r>
      <w:r w:rsidR="00F72842">
        <w:rPr>
          <w:rFonts w:eastAsia="Times New Roman"/>
          <w:color w:val="000000"/>
        </w:rPr>
        <w:t xml:space="preserve"> resolution process</w:t>
      </w:r>
      <w:r w:rsidR="00BA0063">
        <w:rPr>
          <w:rFonts w:eastAsia="Times New Roman"/>
          <w:color w:val="000000"/>
        </w:rPr>
        <w:t xml:space="preserve"> approved by the Commission in</w:t>
      </w:r>
      <w:r w:rsidR="00F72842">
        <w:rPr>
          <w:rFonts w:eastAsia="Times New Roman"/>
          <w:color w:val="000000"/>
        </w:rPr>
        <w:t xml:space="preserve"> that 2024 decision</w:t>
      </w:r>
      <w:r w:rsidR="00BA0063">
        <w:rPr>
          <w:rFonts w:eastAsia="Times New Roman"/>
          <w:color w:val="000000"/>
        </w:rPr>
        <w:t>, a proce</w:t>
      </w:r>
      <w:r w:rsidR="00F72842">
        <w:rPr>
          <w:rFonts w:eastAsia="Times New Roman"/>
          <w:color w:val="000000"/>
        </w:rPr>
        <w:t>ss</w:t>
      </w:r>
      <w:r w:rsidR="00BA0063">
        <w:rPr>
          <w:rFonts w:eastAsia="Times New Roman"/>
          <w:color w:val="000000"/>
        </w:rPr>
        <w:t xml:space="preserve"> that allows for a thorough </w:t>
      </w:r>
      <w:r w:rsidR="007509C6">
        <w:rPr>
          <w:rFonts w:eastAsia="Times New Roman"/>
          <w:color w:val="000000"/>
        </w:rPr>
        <w:t>consideration of the issues regarding a residential fixed charge. Reason, the law, and t</w:t>
      </w:r>
      <w:r w:rsidR="00383E2F">
        <w:rPr>
          <w:rFonts w:eastAsia="Times New Roman"/>
          <w:color w:val="000000"/>
        </w:rPr>
        <w:t xml:space="preserve">he public interest are best served by </w:t>
      </w:r>
      <w:r w:rsidR="007B0948">
        <w:rPr>
          <w:rFonts w:eastAsia="Times New Roman"/>
          <w:color w:val="000000"/>
        </w:rPr>
        <w:t xml:space="preserve">allowing the fixed charge to be addressed through the resolution process established by the Commission. </w:t>
      </w:r>
    </w:p>
    <w:p w:rsidR="00C22F27" w:rsidP="00E708D9" w:rsidRDefault="4294A30B" w14:paraId="675DA388" w14:textId="363D847B">
      <w:pPr>
        <w:rPr>
          <w:rFonts w:eastAsia="Times New Roman"/>
          <w:color w:val="000000"/>
        </w:rPr>
      </w:pPr>
      <w:r>
        <w:rPr>
          <w:rFonts w:eastAsia="Times New Roman"/>
          <w:color w:val="000000"/>
        </w:rPr>
        <w:t>The</w:t>
      </w:r>
      <w:r w:rsidR="00C22F27">
        <w:rPr>
          <w:rFonts w:eastAsia="Times New Roman"/>
          <w:color w:val="000000"/>
        </w:rPr>
        <w:t xml:space="preserve"> Settling Parties reserved their rights to rescind the Settlement Agreement in the event of alteration or modification by the Commission.</w:t>
      </w:r>
      <w:r w:rsidR="00C22F27">
        <w:rPr>
          <w:rStyle w:val="FootnoteReference"/>
          <w:rFonts w:eastAsia="Times New Roman"/>
          <w:color w:val="000000"/>
        </w:rPr>
        <w:footnoteReference w:id="12"/>
      </w:r>
      <w:r w:rsidR="00C22F27">
        <w:rPr>
          <w:rFonts w:eastAsia="Times New Roman"/>
          <w:color w:val="000000"/>
        </w:rPr>
        <w:t xml:space="preserve"> The Settling Parties </w:t>
      </w:r>
      <w:r w:rsidR="00501AC3">
        <w:rPr>
          <w:rFonts w:eastAsia="Times New Roman"/>
          <w:color w:val="000000"/>
        </w:rPr>
        <w:t>are directed to state in their</w:t>
      </w:r>
      <w:r w:rsidR="00C22F27">
        <w:rPr>
          <w:rFonts w:eastAsia="Times New Roman"/>
          <w:color w:val="000000"/>
        </w:rPr>
        <w:t xml:space="preserve"> Comments to th</w:t>
      </w:r>
      <w:r w:rsidR="00685C72">
        <w:rPr>
          <w:rFonts w:eastAsia="Times New Roman"/>
          <w:color w:val="000000"/>
        </w:rPr>
        <w:t>e Proposed</w:t>
      </w:r>
      <w:r w:rsidR="00C22F27">
        <w:rPr>
          <w:rFonts w:eastAsia="Times New Roman"/>
          <w:color w:val="000000"/>
        </w:rPr>
        <w:t xml:space="preserve"> Decision t</w:t>
      </w:r>
      <w:r w:rsidR="00501AC3">
        <w:rPr>
          <w:rFonts w:eastAsia="Times New Roman"/>
          <w:color w:val="000000"/>
        </w:rPr>
        <w:t>hat they</w:t>
      </w:r>
      <w:r w:rsidR="00C22F27">
        <w:rPr>
          <w:rFonts w:eastAsia="Times New Roman"/>
          <w:color w:val="000000"/>
        </w:rPr>
        <w:t xml:space="preserve"> either accept the Commission’s modification</w:t>
      </w:r>
      <w:r w:rsidR="00B6117D">
        <w:rPr>
          <w:rFonts w:eastAsia="Times New Roman"/>
          <w:color w:val="000000"/>
        </w:rPr>
        <w:t xml:space="preserve"> or request other relief</w:t>
      </w:r>
      <w:r w:rsidR="00C22F27">
        <w:rPr>
          <w:rFonts w:eastAsia="Times New Roman"/>
          <w:color w:val="000000"/>
        </w:rPr>
        <w:t xml:space="preserve">.  </w:t>
      </w:r>
    </w:p>
    <w:p w:rsidR="00C22F27" w:rsidP="00E708D9" w:rsidRDefault="00C22F27" w14:paraId="4FB1DF6C" w14:textId="05178FE5">
      <w:pPr>
        <w:rPr>
          <w:rFonts w:eastAsia="Times New Roman"/>
          <w:color w:val="000000"/>
        </w:rPr>
      </w:pPr>
      <w:r>
        <w:t xml:space="preserve">The Commission’s </w:t>
      </w:r>
      <w:r w:rsidR="00B93990">
        <w:t>approval of the Settlement Agreement</w:t>
      </w:r>
      <w:r>
        <w:t xml:space="preserve"> with modification resolves Liberty’s revenue requirements and Scoped Issues 1, 6, 7, 9, 13, and 14</w:t>
      </w:r>
      <w:r w:rsidR="00EF0E56">
        <w:t xml:space="preserve"> entirely. The Settlement Agreement </w:t>
      </w:r>
      <w:r w:rsidR="00B93990">
        <w:t>also sets Liberty’s debt to equity ratio at 47.5% debt to 52.</w:t>
      </w:r>
      <w:r w:rsidR="00263B16">
        <w:t>5</w:t>
      </w:r>
      <w:r w:rsidR="00B93990">
        <w:t xml:space="preserve">% equity. This results in a partial resolution of Scoped Issue 8 that contains additional disputed sections. </w:t>
      </w:r>
    </w:p>
    <w:p w:rsidR="00D50050" w:rsidRDefault="00035F82" w14:paraId="235D2F11" w14:textId="1C059278">
      <w:pPr>
        <w:pStyle w:val="Heading1"/>
        <w:rPr>
          <w:rFonts w:eastAsia="Times New Roman"/>
        </w:rPr>
      </w:pPr>
      <w:bookmarkStart w:name="_Toc224569292" w:id="15"/>
      <w:r w:rsidRPr="00C22F27">
        <w:rPr>
          <w:rFonts w:eastAsia="Times New Roman"/>
        </w:rPr>
        <w:lastRenderedPageBreak/>
        <w:t>Determination</w:t>
      </w:r>
      <w:r w:rsidRPr="00C22F27" w:rsidR="00C22F27">
        <w:rPr>
          <w:rFonts w:eastAsia="Times New Roman"/>
        </w:rPr>
        <w:t xml:space="preserve"> </w:t>
      </w:r>
      <w:r w:rsidR="00F40FEE">
        <w:rPr>
          <w:rFonts w:eastAsia="Times New Roman"/>
        </w:rPr>
        <w:t xml:space="preserve">of </w:t>
      </w:r>
      <w:r w:rsidRPr="00C22F27" w:rsidR="009835F0">
        <w:rPr>
          <w:rFonts w:eastAsia="Times New Roman"/>
        </w:rPr>
        <w:t>D</w:t>
      </w:r>
      <w:r w:rsidRPr="00C22F27" w:rsidR="00C22F27">
        <w:rPr>
          <w:rFonts w:eastAsia="Times New Roman"/>
        </w:rPr>
        <w:t>isp</w:t>
      </w:r>
      <w:r w:rsidRPr="00C22F27" w:rsidR="009835F0">
        <w:rPr>
          <w:rFonts w:eastAsia="Times New Roman"/>
        </w:rPr>
        <w:t xml:space="preserve">uted </w:t>
      </w:r>
      <w:r w:rsidRPr="00C22F27" w:rsidR="00C22F27">
        <w:rPr>
          <w:rFonts w:eastAsia="Times New Roman"/>
        </w:rPr>
        <w:t>Scoped Issues</w:t>
      </w:r>
      <w:bookmarkEnd w:id="15"/>
    </w:p>
    <w:p w:rsidR="00D50050" w:rsidP="006D71A8" w:rsidRDefault="00035F82" w14:paraId="2EE9A785" w14:textId="220499E1">
      <w:pPr>
        <w:pStyle w:val="Heading2"/>
      </w:pPr>
      <w:bookmarkStart w:name="_Toc224569293" w:id="16"/>
      <w:r w:rsidRPr="006D71A8">
        <w:t>Overview</w:t>
      </w:r>
      <w:bookmarkEnd w:id="16"/>
      <w:r>
        <w:t xml:space="preserve"> </w:t>
      </w:r>
    </w:p>
    <w:p w:rsidR="00D50050" w:rsidRDefault="00A642F4" w14:paraId="0FDC94C6" w14:textId="07278695">
      <w:pPr>
        <w:pStyle w:val="Standard"/>
      </w:pPr>
      <w:r>
        <w:t>The Settlement Agreement</w:t>
      </w:r>
      <w:r w:rsidR="00D70BA9">
        <w:t xml:space="preserve"> </w:t>
      </w:r>
      <w:r>
        <w:t>resolved Liberty’s revenue requirements</w:t>
      </w:r>
      <w:r w:rsidR="00D70BA9">
        <w:t xml:space="preserve"> and several Scoped Issues</w:t>
      </w:r>
      <w:r>
        <w:t xml:space="preserve">. </w:t>
      </w:r>
      <w:r w:rsidR="00035F82">
        <w:t xml:space="preserve">This </w:t>
      </w:r>
      <w:r w:rsidR="009A593A">
        <w:t xml:space="preserve">section </w:t>
      </w:r>
      <w:r w:rsidR="00035F82">
        <w:t xml:space="preserve">determines the </w:t>
      </w:r>
      <w:r w:rsidR="00D97521">
        <w:t xml:space="preserve">remaining </w:t>
      </w:r>
      <w:r w:rsidR="00B93990">
        <w:t>disputed</w:t>
      </w:r>
      <w:r w:rsidR="00035F82">
        <w:t xml:space="preserve"> Scoped Issues 2, 3, 4, 5, 10, 11</w:t>
      </w:r>
      <w:r w:rsidR="00B6117D">
        <w:t>, 12,</w:t>
      </w:r>
      <w:r w:rsidR="00035F82">
        <w:t xml:space="preserve"> and 15</w:t>
      </w:r>
      <w:r w:rsidR="009A593A">
        <w:t xml:space="preserve"> in their entirety and the </w:t>
      </w:r>
      <w:r w:rsidR="00B93990">
        <w:t>disputed</w:t>
      </w:r>
      <w:r w:rsidR="009A593A">
        <w:t xml:space="preserve"> </w:t>
      </w:r>
      <w:r w:rsidR="0057537E">
        <w:t>part</w:t>
      </w:r>
      <w:r w:rsidR="009A593A">
        <w:t xml:space="preserve"> of </w:t>
      </w:r>
      <w:r w:rsidR="00F536EB">
        <w:t xml:space="preserve">Scoped </w:t>
      </w:r>
      <w:r w:rsidR="0057537E">
        <w:t>Issue</w:t>
      </w:r>
      <w:r w:rsidR="009A593A">
        <w:t xml:space="preserve"> 8</w:t>
      </w:r>
      <w:r w:rsidR="00B93990">
        <w:t xml:space="preserve"> </w:t>
      </w:r>
      <w:r w:rsidR="0082304F">
        <w:t>not covered by</w:t>
      </w:r>
      <w:r w:rsidR="00B93990">
        <w:t xml:space="preserve"> the Settlement Agreement. </w:t>
      </w:r>
    </w:p>
    <w:p w:rsidRPr="00566363" w:rsidR="00566363" w:rsidP="006D71A8" w:rsidRDefault="00566363" w14:paraId="10EA1929" w14:textId="5A515103">
      <w:pPr>
        <w:pStyle w:val="Heading2"/>
      </w:pPr>
      <w:bookmarkStart w:name="_Toc224569294" w:id="17"/>
      <w:r w:rsidRPr="00566363">
        <w:t>Standard of Review</w:t>
      </w:r>
      <w:bookmarkEnd w:id="17"/>
    </w:p>
    <w:p w:rsidR="00566363" w:rsidP="00566363" w:rsidRDefault="00566363" w14:paraId="62695190" w14:textId="539D4693">
      <w:pPr>
        <w:pStyle w:val="Standard"/>
        <w:rPr>
          <w:rFonts w:cs="Arial"/>
        </w:rPr>
      </w:pPr>
      <w:r>
        <w:rPr>
          <w:rFonts w:cs="Arial"/>
        </w:rPr>
        <w:t xml:space="preserve">Pursuant to Pub. Util. Code </w:t>
      </w:r>
      <w:r w:rsidR="00263B16">
        <w:rPr>
          <w:rFonts w:cs="Arial"/>
        </w:rPr>
        <w:t>S</w:t>
      </w:r>
      <w:r>
        <w:rPr>
          <w:rFonts w:cs="Arial"/>
        </w:rPr>
        <w:t xml:space="preserve">ection 451, the Commission is obligated to ensure that the </w:t>
      </w:r>
      <w:proofErr w:type="gramStart"/>
      <w:r>
        <w:rPr>
          <w:rFonts w:cs="Arial"/>
        </w:rPr>
        <w:t>electric</w:t>
      </w:r>
      <w:proofErr w:type="gramEnd"/>
      <w:r>
        <w:rPr>
          <w:rFonts w:cs="Arial"/>
        </w:rPr>
        <w:t xml:space="preserve"> rates Liberty charges its customers are just and reasonable. In addition, Pub. Util. Code </w:t>
      </w:r>
      <w:r w:rsidR="00263B16">
        <w:rPr>
          <w:rFonts w:cs="Arial"/>
        </w:rPr>
        <w:t>S</w:t>
      </w:r>
      <w:r>
        <w:rPr>
          <w:rFonts w:cs="Arial"/>
        </w:rPr>
        <w:t xml:space="preserve">ection 453(c) prohibits Liberty from maintaining unreasonable differences as to rates between localities and classes of service. </w:t>
      </w:r>
    </w:p>
    <w:p w:rsidRPr="005343BA" w:rsidR="00BF1437" w:rsidP="006D71A8" w:rsidRDefault="00BF1437" w14:paraId="625C5A0B" w14:textId="29A0827E">
      <w:pPr>
        <w:pStyle w:val="Heading2"/>
      </w:pPr>
      <w:bookmarkStart w:name="_Toc224569295" w:id="18"/>
      <w:r w:rsidRPr="006D71A8">
        <w:t>Insufficient</w:t>
      </w:r>
      <w:r w:rsidRPr="005343BA">
        <w:t xml:space="preserve"> </w:t>
      </w:r>
      <w:r w:rsidRPr="005343BA" w:rsidR="00D97521">
        <w:t xml:space="preserve">Factual </w:t>
      </w:r>
      <w:r w:rsidRPr="005343BA">
        <w:t>Record</w:t>
      </w:r>
      <w:r w:rsidR="009577FC">
        <w:t xml:space="preserve"> t</w:t>
      </w:r>
      <w:r w:rsidRPr="005343BA">
        <w:t xml:space="preserve">o </w:t>
      </w:r>
      <w:r w:rsidR="006D71A8">
        <w:br/>
      </w:r>
      <w:r w:rsidRPr="005343BA">
        <w:t xml:space="preserve">Determine </w:t>
      </w:r>
      <w:r w:rsidRPr="005343BA" w:rsidR="00AF1308">
        <w:t xml:space="preserve">Scoped </w:t>
      </w:r>
      <w:r w:rsidRPr="005343BA">
        <w:t>Issues 4</w:t>
      </w:r>
      <w:r w:rsidR="000D7BE7">
        <w:t xml:space="preserve"> and </w:t>
      </w:r>
      <w:r w:rsidRPr="005343BA">
        <w:t>12</w:t>
      </w:r>
      <w:bookmarkEnd w:id="18"/>
      <w:r w:rsidR="000D7BE7">
        <w:t xml:space="preserve"> </w:t>
      </w:r>
      <w:r w:rsidRPr="005343BA" w:rsidR="00C22F27">
        <w:t xml:space="preserve"> </w:t>
      </w:r>
    </w:p>
    <w:p w:rsidR="00BF1437" w:rsidRDefault="009C4DAD" w14:paraId="38E0A09B" w14:textId="7E5C4914">
      <w:pPr>
        <w:pStyle w:val="Standard"/>
      </w:pPr>
      <w:r>
        <w:t xml:space="preserve">The Commission requires a sufficient factual record </w:t>
      </w:r>
      <w:r w:rsidR="006E7A17">
        <w:t xml:space="preserve">in its proceedings as the foundation to </w:t>
      </w:r>
      <w:r>
        <w:t xml:space="preserve">determine issues. </w:t>
      </w:r>
      <w:r w:rsidR="0096523A">
        <w:t xml:space="preserve">The factual record in this proceeding does not contain sufficient facts to inform the </w:t>
      </w:r>
      <w:r>
        <w:t xml:space="preserve">Commission to reach a </w:t>
      </w:r>
      <w:r w:rsidR="0096523A">
        <w:t>reasonable</w:t>
      </w:r>
      <w:r w:rsidR="006E7A17">
        <w:t xml:space="preserve"> </w:t>
      </w:r>
      <w:r>
        <w:t>determination for Scoped Issues 4</w:t>
      </w:r>
      <w:r w:rsidR="000D7BE7">
        <w:t xml:space="preserve"> and</w:t>
      </w:r>
      <w:r w:rsidR="00C22F27">
        <w:t xml:space="preserve"> </w:t>
      </w:r>
      <w:r>
        <w:t>12</w:t>
      </w:r>
      <w:r w:rsidR="000D7BE7">
        <w:t>.</w:t>
      </w:r>
      <w:r w:rsidR="00C22F27">
        <w:t xml:space="preserve">  </w:t>
      </w:r>
    </w:p>
    <w:p w:rsidR="00BF1437" w:rsidRDefault="00BF1437" w14:paraId="23804A7D" w14:textId="6FD7A3E0">
      <w:pPr>
        <w:pStyle w:val="Standard"/>
      </w:pPr>
      <w:r>
        <w:t xml:space="preserve">Scoped Issue 4 </w:t>
      </w:r>
      <w:r w:rsidR="0057537E">
        <w:t>is</w:t>
      </w:r>
      <w:r>
        <w:t xml:space="preserve"> whether Liberty should propose a residential electrification rate.</w:t>
      </w:r>
      <w:r w:rsidR="009C4DAD">
        <w:rPr>
          <w:rStyle w:val="FootnoteReference"/>
        </w:rPr>
        <w:footnoteReference w:id="13"/>
      </w:r>
      <w:r>
        <w:t xml:space="preserve"> Liberty did not propose a </w:t>
      </w:r>
      <w:r w:rsidR="00263B16">
        <w:t xml:space="preserve">residential </w:t>
      </w:r>
      <w:r>
        <w:t>electri</w:t>
      </w:r>
      <w:r w:rsidR="00263B16">
        <w:t>fication</w:t>
      </w:r>
      <w:r>
        <w:t xml:space="preserve"> rate in this proceeding </w:t>
      </w:r>
      <w:r w:rsidR="009C4DAD">
        <w:t xml:space="preserve">and neither </w:t>
      </w:r>
      <w:r>
        <w:t xml:space="preserve">did any of the Parties. The factual record </w:t>
      </w:r>
      <w:r w:rsidR="009C4DAD">
        <w:t>in</w:t>
      </w:r>
      <w:r>
        <w:t xml:space="preserve"> this proceeding is insufficient </w:t>
      </w:r>
      <w:r w:rsidR="009C4DAD">
        <w:t xml:space="preserve">and lacks foundation </w:t>
      </w:r>
      <w:r>
        <w:t xml:space="preserve">for the Commission to determine this issue. Therefore, the Commission declines to determine Scoped Issue 4. </w:t>
      </w:r>
    </w:p>
    <w:p w:rsidRPr="00DA7752" w:rsidR="008331E2" w:rsidP="3D93D712" w:rsidRDefault="002245A1" w14:paraId="224F8A7F" w14:textId="1BDCAF3D">
      <w:pPr>
        <w:rPr>
          <w:rFonts w:eastAsia="Times New Roman" w:cs="Times New Roman"/>
        </w:rPr>
      </w:pPr>
      <w:r w:rsidRPr="00DA7752">
        <w:t xml:space="preserve">Scoped Issue 12 </w:t>
      </w:r>
      <w:r w:rsidRPr="00DA7752" w:rsidR="008331E2">
        <w:t xml:space="preserve">is </w:t>
      </w:r>
      <w:r w:rsidRPr="00DA7752">
        <w:t xml:space="preserve">whether Liberty’s proposals </w:t>
      </w:r>
      <w:r w:rsidRPr="00DA7752" w:rsidR="008331E2">
        <w:t xml:space="preserve">to increase funding for wildfire insurance and mitigation could be recovered through </w:t>
      </w:r>
      <w:r w:rsidRPr="00DA7752" w:rsidR="00EF5A3C">
        <w:t xml:space="preserve">a </w:t>
      </w:r>
      <w:r w:rsidRPr="00DA7752" w:rsidR="008331E2">
        <w:t xml:space="preserve">non-volumetric </w:t>
      </w:r>
      <w:r w:rsidRPr="00DA7752" w:rsidR="008331E2">
        <w:lastRenderedPageBreak/>
        <w:t>mechanism such as a demand fee.</w:t>
      </w:r>
      <w:r w:rsidRPr="00DA7752">
        <w:rPr>
          <w:rStyle w:val="FootnoteReference"/>
        </w:rPr>
        <w:footnoteReference w:id="14"/>
      </w:r>
      <w:r w:rsidRPr="00DA7752" w:rsidR="008331E2">
        <w:t xml:space="preserve"> </w:t>
      </w:r>
      <w:r w:rsidRPr="00DA7752" w:rsidR="00DA7752">
        <w:rPr>
          <w:rFonts w:eastAsia="Times New Roman" w:cs="Times New Roman"/>
        </w:rPr>
        <w:t xml:space="preserve">In its </w:t>
      </w:r>
      <w:r w:rsidR="00DA7752">
        <w:rPr>
          <w:rFonts w:eastAsia="Times New Roman" w:cs="Times New Roman"/>
        </w:rPr>
        <w:t>A</w:t>
      </w:r>
      <w:r w:rsidRPr="00DA7752" w:rsidR="00DA7752">
        <w:rPr>
          <w:rFonts w:eastAsia="Times New Roman" w:cs="Times New Roman"/>
        </w:rPr>
        <w:t>pplication, Liberty did not propose a demand charge or other demand differentiated service fee or other non-volumetric rate mechanisms to recover wildfire insurance and mitigation costs. Additionally, no other party to the proceeding proposed a demand charge or demand-differentiated fee in testimony.</w:t>
      </w:r>
      <w:r w:rsidR="00DA7752">
        <w:rPr>
          <w:rFonts w:eastAsia="Times New Roman" w:cs="Times New Roman"/>
        </w:rPr>
        <w:t xml:space="preserve"> </w:t>
      </w:r>
      <w:r w:rsidR="007B0948">
        <w:t xml:space="preserve">Again, </w:t>
      </w:r>
      <w:r w:rsidR="008331E2">
        <w:t>the factual record in this proceeding is</w:t>
      </w:r>
      <w:r w:rsidR="6E365C2E">
        <w:t xml:space="preserve"> nevertheless</w:t>
      </w:r>
      <w:r w:rsidR="008331E2">
        <w:t xml:space="preserve"> insufficient and lacks foundation for the Commission to determine this issue</w:t>
      </w:r>
      <w:r w:rsidR="6AF3C3BA">
        <w:t xml:space="preserve"> </w:t>
      </w:r>
      <w:proofErr w:type="gramStart"/>
      <w:r w:rsidR="6AF3C3BA">
        <w:t>at this time</w:t>
      </w:r>
      <w:proofErr w:type="gramEnd"/>
      <w:r w:rsidR="008331E2">
        <w:t>.  Absent a sufficient factual record</w:t>
      </w:r>
      <w:r w:rsidR="00AF0492">
        <w:t>,</w:t>
      </w:r>
      <w:r w:rsidR="008331E2">
        <w:t xml:space="preserve"> the Commission </w:t>
      </w:r>
      <w:r w:rsidR="00AF0492">
        <w:t>is unable</w:t>
      </w:r>
      <w:r w:rsidR="008331E2">
        <w:t xml:space="preserve"> to resolve this issue based on speculation and declines to determine Scoped Issue 12.</w:t>
      </w:r>
      <w:r w:rsidR="008331E2">
        <w:rPr>
          <w:rStyle w:val="FootnoteReference"/>
        </w:rPr>
        <w:footnoteReference w:id="15"/>
      </w:r>
      <w:r w:rsidR="008331E2">
        <w:t xml:space="preserve"> </w:t>
      </w:r>
    </w:p>
    <w:p w:rsidRPr="005343BA" w:rsidR="00BF1437" w:rsidP="006D71A8" w:rsidRDefault="00AF1308" w14:paraId="66AC1E34" w14:textId="0DBAF551">
      <w:pPr>
        <w:pStyle w:val="Heading2"/>
      </w:pPr>
      <w:bookmarkStart w:name="_Toc224569296" w:id="19"/>
      <w:r w:rsidRPr="005343BA">
        <w:t>Scoped Issue</w:t>
      </w:r>
      <w:r w:rsidR="009849F0">
        <w:t>s</w:t>
      </w:r>
      <w:r w:rsidRPr="005343BA">
        <w:t xml:space="preserve"> 2</w:t>
      </w:r>
      <w:r w:rsidR="000D7BE7">
        <w:t>,</w:t>
      </w:r>
      <w:r w:rsidR="00D96122">
        <w:t xml:space="preserve"> </w:t>
      </w:r>
      <w:r w:rsidR="000D7BE7">
        <w:t>3 and 15</w:t>
      </w:r>
      <w:bookmarkEnd w:id="19"/>
    </w:p>
    <w:p w:rsidR="005343BA" w:rsidP="00AB0E97" w:rsidRDefault="00AB0E97" w14:paraId="4F5F8C85" w14:textId="6EA8EF20">
      <w:pPr>
        <w:pStyle w:val="Standard"/>
      </w:pPr>
      <w:r>
        <w:t>Scoped Issues 2</w:t>
      </w:r>
      <w:r w:rsidR="0020206D">
        <w:t>,</w:t>
      </w:r>
      <w:r>
        <w:t xml:space="preserve"> 3</w:t>
      </w:r>
      <w:r w:rsidR="0020206D">
        <w:t>, and 15</w:t>
      </w:r>
      <w:r>
        <w:t xml:space="preserve"> are intertwined. </w:t>
      </w:r>
      <w:r w:rsidR="005343BA">
        <w:t>Scoped Issue 2 is whether Liberty’s proposals to allocate revenues and design rates are reasonable.</w:t>
      </w:r>
      <w:r>
        <w:t xml:space="preserve"> </w:t>
      </w:r>
      <w:r w:rsidR="005343BA">
        <w:t xml:space="preserve">Scoped Issue 3 is whether Liberty’s proposed rates are just and reasonable. </w:t>
      </w:r>
      <w:r w:rsidR="00F54A2A">
        <w:t>Scoped Issue 15 considers whether the impact of Liberty’s proposed rate increase</w:t>
      </w:r>
      <w:r w:rsidR="008C1CFE">
        <w:t xml:space="preserve"> on affordability and disconnection for non-payment is reasonable.</w:t>
      </w:r>
      <w:r w:rsidR="005343BA">
        <w:t xml:space="preserve">  </w:t>
      </w:r>
    </w:p>
    <w:p w:rsidRPr="006D71A8" w:rsidR="00AB0E97" w:rsidP="006D71A8" w:rsidRDefault="00AB0E97" w14:paraId="48D9715D" w14:textId="518DE46F">
      <w:pPr>
        <w:pStyle w:val="Heading3"/>
        <w:numPr>
          <w:ilvl w:val="2"/>
          <w:numId w:val="24"/>
        </w:numPr>
        <w:rPr>
          <w:rFonts w:eastAsia="Times New Roman"/>
        </w:rPr>
      </w:pPr>
      <w:bookmarkStart w:name="_Toc224569297" w:id="20"/>
      <w:r w:rsidRPr="006D71A8">
        <w:rPr>
          <w:rFonts w:eastAsia="Times New Roman"/>
        </w:rPr>
        <w:t>Revenue Allocation</w:t>
      </w:r>
      <w:bookmarkEnd w:id="20"/>
      <w:r w:rsidRPr="006D71A8">
        <w:rPr>
          <w:rFonts w:eastAsia="Times New Roman"/>
        </w:rPr>
        <w:t xml:space="preserve"> </w:t>
      </w:r>
    </w:p>
    <w:p w:rsidRPr="00AB0E97" w:rsidR="00AB0E97" w:rsidP="0020794B" w:rsidRDefault="00AB0E97" w14:paraId="58DEC983" w14:textId="236FA189">
      <w:pPr>
        <w:rPr>
          <w:rFonts w:eastAsia="Times New Roman" w:cs="Times New Roman"/>
          <w:szCs w:val="26"/>
        </w:rPr>
      </w:pPr>
      <w:r w:rsidRPr="00AB0E97">
        <w:rPr>
          <w:rFonts w:eastAsia="Times New Roman" w:cs="Times New Roman"/>
          <w:szCs w:val="26"/>
        </w:rPr>
        <w:t>Scoping Ruling</w:t>
      </w:r>
      <w:r>
        <w:rPr>
          <w:rFonts w:eastAsia="Times New Roman" w:cs="Times New Roman"/>
          <w:szCs w:val="26"/>
        </w:rPr>
        <w:t xml:space="preserve"> </w:t>
      </w:r>
      <w:r w:rsidRPr="00AB0E97">
        <w:rPr>
          <w:rFonts w:eastAsia="Times New Roman" w:cs="Times New Roman"/>
          <w:szCs w:val="26"/>
        </w:rPr>
        <w:t>Issue 2 directed parties to determine or otherwise consider whether Liberty</w:t>
      </w:r>
      <w:r w:rsidR="00B8614A">
        <w:rPr>
          <w:rFonts w:eastAsia="Times New Roman" w:cs="Times New Roman"/>
          <w:szCs w:val="26"/>
        </w:rPr>
        <w:t xml:space="preserve">’s </w:t>
      </w:r>
      <w:r w:rsidRPr="00AB0E97">
        <w:rPr>
          <w:rFonts w:eastAsia="Times New Roman" w:cs="Times New Roman"/>
          <w:szCs w:val="26"/>
        </w:rPr>
        <w:t>proposals to allocate revenues and design rates are reasonable</w:t>
      </w:r>
      <w:r w:rsidR="00FB3538">
        <w:rPr>
          <w:rFonts w:eastAsia="Times New Roman" w:cs="Times New Roman"/>
          <w:szCs w:val="26"/>
        </w:rPr>
        <w:t>.</w:t>
      </w:r>
      <w:r w:rsidRPr="00AB0E97">
        <w:rPr>
          <w:rFonts w:eastAsia="Times New Roman" w:cs="Times New Roman"/>
          <w:szCs w:val="26"/>
        </w:rPr>
        <w:t xml:space="preserve"> Liberty proposed to allocate base rate revenues among customer classes using the results of its Marginal Cost of Service (MCOS) study as the analytical starting point. The MCOS results were used to identify each class’s marginal responsibility for generation, distribution demand, and customer-related costs, and these marginal cost responsibilities were translated into cost-based class </w:t>
      </w:r>
      <w:r w:rsidRPr="00AB0E97">
        <w:rPr>
          <w:rFonts w:eastAsia="Times New Roman" w:cs="Times New Roman"/>
          <w:szCs w:val="26"/>
        </w:rPr>
        <w:lastRenderedPageBreak/>
        <w:t xml:space="preserve">revenue shares. Liberty then compared each class’s current revenue contribution to its marginal cost responsibility to determine the direction and magnitude of revenue allocation needed to move rates toward cost causation. </w:t>
      </w:r>
    </w:p>
    <w:p w:rsidRPr="00AB0E97" w:rsidR="00AB0E97" w:rsidP="0020794B" w:rsidRDefault="00AB0E97" w14:paraId="75E58BE4" w14:textId="427BCF01">
      <w:pPr>
        <w:rPr>
          <w:rFonts w:eastAsia="Times New Roman" w:cs="Times New Roman"/>
        </w:rPr>
      </w:pPr>
      <w:r w:rsidRPr="6A1264BA">
        <w:rPr>
          <w:rFonts w:eastAsia="Times New Roman" w:cs="Times New Roman"/>
        </w:rPr>
        <w:t xml:space="preserve">To promote rate continuity and address bill impact concerns, Liberty did not propose an immediate, full movement to marginal-cost-based </w:t>
      </w:r>
      <w:r w:rsidRPr="6A1264BA" w:rsidR="6D59B631">
        <w:rPr>
          <w:rFonts w:eastAsia="Times New Roman" w:cs="Times New Roman"/>
        </w:rPr>
        <w:t>revenue</w:t>
      </w:r>
      <w:r w:rsidRPr="6A1264BA" w:rsidR="578EA62D">
        <w:rPr>
          <w:rFonts w:eastAsia="Times New Roman" w:cs="Times New Roman"/>
        </w:rPr>
        <w:t xml:space="preserve"> </w:t>
      </w:r>
      <w:r w:rsidRPr="2F3B3F07" w:rsidR="578EA62D">
        <w:rPr>
          <w:rFonts w:eastAsia="Times New Roman" w:cs="Times New Roman"/>
        </w:rPr>
        <w:t>allocation</w:t>
      </w:r>
      <w:r w:rsidRPr="2F3B3F07" w:rsidR="6D59B631">
        <w:rPr>
          <w:rFonts w:eastAsia="Times New Roman" w:cs="Times New Roman"/>
        </w:rPr>
        <w:t>.</w:t>
      </w:r>
      <w:r w:rsidRPr="6A1264BA">
        <w:rPr>
          <w:rFonts w:eastAsia="Times New Roman" w:cs="Times New Roman"/>
        </w:rPr>
        <w:t xml:space="preserve"> Instead, it proposed a partial movement toward cost-based revenue allocation.</w:t>
      </w:r>
      <w:r w:rsidRPr="6A1264BA">
        <w:rPr>
          <w:rStyle w:val="FootnoteReference"/>
          <w:rFonts w:eastAsia="Times New Roman" w:cs="Times New Roman"/>
        </w:rPr>
        <w:footnoteReference w:id="16"/>
      </w:r>
      <w:r w:rsidRPr="6A1264BA">
        <w:rPr>
          <w:rFonts w:eastAsia="Times New Roman" w:cs="Times New Roman"/>
        </w:rPr>
        <w:t xml:space="preserve"> Under this approach, 10 percent of each customer class’s revenue requirement increase is allocated based on the results of the MCOS study, while the remaining 90 percent is allocated on a uniform, system-average basis across all customer classes.</w:t>
      </w:r>
      <w:r w:rsidRPr="6A1264BA">
        <w:rPr>
          <w:rStyle w:val="FootnoteReference"/>
          <w:rFonts w:eastAsia="Times New Roman" w:cs="Times New Roman"/>
        </w:rPr>
        <w:footnoteReference w:id="17"/>
      </w:r>
      <w:r w:rsidRPr="6A1264BA">
        <w:rPr>
          <w:rFonts w:eastAsia="Times New Roman" w:cs="Times New Roman"/>
        </w:rPr>
        <w:t xml:space="preserve"> Liberty argued that this would moderate shifts that would otherwise produce large inter-class bill impacts.</w:t>
      </w:r>
      <w:r w:rsidRPr="6A1264BA">
        <w:rPr>
          <w:rStyle w:val="FootnoteReference"/>
          <w:rFonts w:eastAsia="Times New Roman" w:cs="Times New Roman"/>
        </w:rPr>
        <w:footnoteReference w:id="18"/>
      </w:r>
      <w:r w:rsidRPr="6A1264BA">
        <w:rPr>
          <w:rFonts w:eastAsia="Times New Roman" w:cs="Times New Roman"/>
        </w:rPr>
        <w:t xml:space="preserve"> This approach was presented as a balance between improving fairness and cost causation over time while maintaining reasonable rate stability for customers.</w:t>
      </w:r>
    </w:p>
    <w:p w:rsidRPr="00AB0E97" w:rsidR="00AB0E97" w:rsidP="0020794B" w:rsidRDefault="00AB0E97" w14:paraId="023499DA" w14:textId="0C94C62F">
      <w:pPr>
        <w:rPr>
          <w:rFonts w:eastAsia="Times New Roman" w:cs="Times New Roman"/>
          <w:szCs w:val="26"/>
        </w:rPr>
      </w:pPr>
      <w:r w:rsidRPr="00AB0E97">
        <w:rPr>
          <w:rFonts w:eastAsia="Times New Roman" w:cs="Times New Roman"/>
          <w:szCs w:val="26"/>
        </w:rPr>
        <w:t>The S</w:t>
      </w:r>
      <w:r>
        <w:rPr>
          <w:rFonts w:eastAsia="Times New Roman" w:cs="Times New Roman"/>
          <w:szCs w:val="26"/>
        </w:rPr>
        <w:t>ettlement Agreement</w:t>
      </w:r>
      <w:r w:rsidRPr="00AB0E97">
        <w:rPr>
          <w:rFonts w:eastAsia="Times New Roman" w:cs="Times New Roman"/>
          <w:szCs w:val="26"/>
        </w:rPr>
        <w:t xml:space="preserve"> did not resolve issues relating to revenue allocation, as parties sought to address this issue in evidentiary hearings and briefs. Accordingly, this Decision provides the Commission’s consideration and determination on this revenue allocation issue.</w:t>
      </w:r>
    </w:p>
    <w:p w:rsidRPr="006D71A8" w:rsidR="00AB0E97" w:rsidP="006D71A8" w:rsidRDefault="00AB0E97" w14:paraId="6B477CA4" w14:textId="0EF7F864">
      <w:pPr>
        <w:pStyle w:val="Heading3"/>
        <w:numPr>
          <w:ilvl w:val="2"/>
          <w:numId w:val="24"/>
        </w:numPr>
        <w:rPr>
          <w:rFonts w:eastAsia="Times New Roman"/>
        </w:rPr>
      </w:pPr>
      <w:bookmarkStart w:name="_Toc224569298" w:id="21"/>
      <w:r w:rsidRPr="006D71A8">
        <w:rPr>
          <w:rFonts w:eastAsia="Times New Roman"/>
        </w:rPr>
        <w:t>Rate Design</w:t>
      </w:r>
      <w:bookmarkEnd w:id="21"/>
      <w:r w:rsidRPr="006D71A8">
        <w:rPr>
          <w:rFonts w:eastAsia="Times New Roman"/>
        </w:rPr>
        <w:t xml:space="preserve"> </w:t>
      </w:r>
    </w:p>
    <w:p w:rsidRPr="0020794B" w:rsidR="00AB0E97" w:rsidP="0020794B" w:rsidRDefault="00AB0E97" w14:paraId="11C56807" w14:textId="4283C281">
      <w:pPr>
        <w:rPr>
          <w:rFonts w:eastAsia="Times New Roman" w:cs="Times New Roman"/>
          <w:szCs w:val="26"/>
        </w:rPr>
      </w:pPr>
      <w:r w:rsidRPr="0020794B">
        <w:rPr>
          <w:rFonts w:eastAsia="Times New Roman" w:cs="Times New Roman"/>
          <w:szCs w:val="26"/>
        </w:rPr>
        <w:t xml:space="preserve">In its </w:t>
      </w:r>
      <w:r w:rsidRPr="0020794B" w:rsidR="0020794B">
        <w:rPr>
          <w:rFonts w:eastAsia="Times New Roman" w:cs="Times New Roman"/>
          <w:szCs w:val="26"/>
        </w:rPr>
        <w:t>A</w:t>
      </w:r>
      <w:r w:rsidRPr="0020794B">
        <w:rPr>
          <w:rFonts w:eastAsia="Times New Roman" w:cs="Times New Roman"/>
          <w:szCs w:val="26"/>
        </w:rPr>
        <w:t xml:space="preserve">pplication, Liberty provided a range of rate design proposals for different customer classes, </w:t>
      </w:r>
      <w:r w:rsidRPr="0020794B" w:rsidR="006F1E32">
        <w:rPr>
          <w:rFonts w:eastAsia="Times New Roman" w:cs="Times New Roman"/>
          <w:szCs w:val="26"/>
        </w:rPr>
        <w:t>de</w:t>
      </w:r>
      <w:r w:rsidR="006F1E32">
        <w:rPr>
          <w:rFonts w:eastAsia="Times New Roman" w:cs="Times New Roman"/>
          <w:szCs w:val="26"/>
        </w:rPr>
        <w:t>scrib</w:t>
      </w:r>
      <w:r w:rsidRPr="0020794B" w:rsidR="006F1E32">
        <w:rPr>
          <w:rFonts w:eastAsia="Times New Roman" w:cs="Times New Roman"/>
          <w:szCs w:val="26"/>
        </w:rPr>
        <w:t xml:space="preserve">ed </w:t>
      </w:r>
      <w:r w:rsidRPr="0020794B">
        <w:rPr>
          <w:rFonts w:eastAsia="Times New Roman" w:cs="Times New Roman"/>
          <w:szCs w:val="26"/>
        </w:rPr>
        <w:t>below.</w:t>
      </w:r>
    </w:p>
    <w:p w:rsidRPr="003907D9" w:rsidR="00AB0E97" w:rsidP="006D71A8" w:rsidRDefault="00AB0E97" w14:paraId="5D349E6C" w14:textId="03410CF5">
      <w:pPr>
        <w:pStyle w:val="Heading4"/>
        <w:rPr>
          <w:rFonts w:eastAsia="Times New Roman"/>
        </w:rPr>
      </w:pPr>
      <w:bookmarkStart w:name="_Toc224569299" w:id="22"/>
      <w:r w:rsidRPr="00553D55">
        <w:rPr>
          <w:rFonts w:eastAsia="Times New Roman"/>
        </w:rPr>
        <w:t>Residential Customers</w:t>
      </w:r>
      <w:bookmarkEnd w:id="22"/>
    </w:p>
    <w:p w:rsidRPr="0020794B" w:rsidR="00AB0E97" w:rsidP="0020794B" w:rsidRDefault="00AB0E97" w14:paraId="46AE72D2" w14:textId="2EB77D3C">
      <w:pPr>
        <w:rPr>
          <w:rStyle w:val="EndnoteReference"/>
          <w:rFonts w:eastAsia="Times New Roman" w:cs="Times New Roman"/>
          <w:szCs w:val="26"/>
        </w:rPr>
      </w:pPr>
      <w:r w:rsidRPr="0020794B">
        <w:rPr>
          <w:rFonts w:eastAsia="Times New Roman" w:cs="Times New Roman"/>
          <w:szCs w:val="26"/>
        </w:rPr>
        <w:t xml:space="preserve">Liberty proposed to consolidate the permanent and non-permanent residential rate schedules into a single residential class, based on MCOS study </w:t>
      </w:r>
      <w:r w:rsidRPr="0020794B">
        <w:rPr>
          <w:rFonts w:eastAsia="Times New Roman" w:cs="Times New Roman"/>
          <w:szCs w:val="26"/>
        </w:rPr>
        <w:lastRenderedPageBreak/>
        <w:t>results showing no material cost differences between the two groups.</w:t>
      </w:r>
      <w:r w:rsidRPr="0020794B">
        <w:rPr>
          <w:rStyle w:val="FootnoteReference"/>
          <w:rFonts w:eastAsia="Times New Roman" w:cs="Times New Roman"/>
          <w:szCs w:val="26"/>
        </w:rPr>
        <w:footnoteReference w:id="19"/>
      </w:r>
      <w:r w:rsidRPr="0020794B">
        <w:rPr>
          <w:rFonts w:eastAsia="Times New Roman" w:cs="Times New Roman"/>
          <w:szCs w:val="26"/>
        </w:rPr>
        <w:t xml:space="preserve"> In addition, Liberty proposed that residential rates should also include an increased fixed customer charge as required by Assembly Bill (AB) 205. The remaining revenue requirement would be recovered through volumetric TOU energy rates, with TOU periods retained to reflect marginal generation and distribution cost differences by season and time of day.</w:t>
      </w:r>
      <w:r w:rsidRPr="0020794B">
        <w:rPr>
          <w:rStyle w:val="FootnoteReference"/>
          <w:rFonts w:eastAsia="Times New Roman" w:cs="Times New Roman"/>
          <w:szCs w:val="26"/>
        </w:rPr>
        <w:footnoteReference w:id="20"/>
      </w:r>
    </w:p>
    <w:p w:rsidR="00163A4D" w:rsidP="006D71A8" w:rsidRDefault="00AB0E97" w14:paraId="1F4ADA63" w14:textId="1D02D1C7">
      <w:pPr>
        <w:pStyle w:val="Heading4"/>
        <w:rPr>
          <w:rFonts w:eastAsia="Times New Roman"/>
        </w:rPr>
      </w:pPr>
      <w:bookmarkStart w:name="_Toc224569300" w:id="23"/>
      <w:r w:rsidRPr="00553D55">
        <w:rPr>
          <w:rFonts w:eastAsia="Times New Roman"/>
        </w:rPr>
        <w:t xml:space="preserve">Small Commercial and </w:t>
      </w:r>
      <w:r w:rsidR="00163A4D">
        <w:rPr>
          <w:rFonts w:eastAsia="Times New Roman"/>
        </w:rPr>
        <w:br/>
      </w:r>
      <w:r w:rsidRPr="00553D55">
        <w:rPr>
          <w:rFonts w:eastAsia="Times New Roman"/>
        </w:rPr>
        <w:t>Industrial (Small C&amp;I)</w:t>
      </w:r>
      <w:bookmarkEnd w:id="23"/>
    </w:p>
    <w:p w:rsidRPr="0020794B" w:rsidR="00AB0E97" w:rsidP="00163A4D" w:rsidRDefault="00AB0E97" w14:paraId="2D77B71C" w14:textId="2F7D6A97">
      <w:pPr>
        <w:pStyle w:val="Standard"/>
      </w:pPr>
      <w:r w:rsidRPr="0020794B">
        <w:t xml:space="preserve">For </w:t>
      </w:r>
      <w:r w:rsidR="0002563C">
        <w:t>S</w:t>
      </w:r>
      <w:r w:rsidRPr="0020794B">
        <w:t>mall C&amp;I customers, Liberty proposed to continue recovering revenues primarily through a combination of customer charges and volumetric energy rates, informed by MCOS study results. Customer charges were increased to better align with marginal customer costs, while energy charges were adjusted upward on a generally uniform basis to recover remaining revenues. TOU volumetric rate differentiation was maintained where applicable to reflect marginal cost patterns across different peak periods.</w:t>
      </w:r>
      <w:r w:rsidRPr="0020794B">
        <w:rPr>
          <w:rStyle w:val="FootnoteReference"/>
          <w:rFonts w:eastAsia="Times New Roman" w:cs="Times New Roman"/>
          <w:szCs w:val="26"/>
        </w:rPr>
        <w:footnoteReference w:id="21"/>
      </w:r>
    </w:p>
    <w:p w:rsidR="00D841D2" w:rsidP="006D71A8" w:rsidRDefault="00AB0E97" w14:paraId="4C64F5D6" w14:textId="0130DDBB">
      <w:pPr>
        <w:pStyle w:val="Heading4"/>
      </w:pPr>
      <w:bookmarkStart w:name="_Toc224569301" w:id="24"/>
      <w:r w:rsidRPr="00553D55">
        <w:t xml:space="preserve">Medium and Large Commercial and </w:t>
      </w:r>
      <w:r w:rsidR="00D841D2">
        <w:br/>
      </w:r>
      <w:r w:rsidRPr="00553D55">
        <w:t>Industrial (Medium and Large C&amp;I)</w:t>
      </w:r>
      <w:bookmarkEnd w:id="24"/>
    </w:p>
    <w:p w:rsidRPr="0020794B" w:rsidR="00AB0E97" w:rsidP="00D841D2" w:rsidRDefault="00AB0E97" w14:paraId="64B87853" w14:textId="390693E8">
      <w:pPr>
        <w:pStyle w:val="Standard"/>
      </w:pPr>
      <w:r w:rsidRPr="0020794B">
        <w:t xml:space="preserve">For </w:t>
      </w:r>
      <w:r w:rsidR="0002563C">
        <w:t>M</w:t>
      </w:r>
      <w:r w:rsidRPr="0020794B">
        <w:t xml:space="preserve">edium and </w:t>
      </w:r>
      <w:r w:rsidR="0002563C">
        <w:t>L</w:t>
      </w:r>
      <w:r w:rsidRPr="0020794B">
        <w:t xml:space="preserve">arge C&amp;I customers, Liberty proposed rates that rely more heavily on demand charges and TOU-based energy charges, reflecting these classes’ higher contribution to marginal distribution demand and generation capacity costs. Demand charges were designed to better align with marginal distribution demand costs identified in the MCOS study, while energy charges recover marginal generation energy costs by TOU period. Customer </w:t>
      </w:r>
      <w:r w:rsidRPr="0020794B">
        <w:lastRenderedPageBreak/>
        <w:t>charges were also increased to reflect higher class-specific customer-related costs.</w:t>
      </w:r>
      <w:r w:rsidRPr="0020794B">
        <w:rPr>
          <w:rStyle w:val="FootnoteReference"/>
          <w:rFonts w:eastAsia="Times New Roman" w:cs="Times New Roman"/>
          <w:szCs w:val="26"/>
        </w:rPr>
        <w:footnoteReference w:id="22"/>
      </w:r>
    </w:p>
    <w:p w:rsidR="00880D18" w:rsidP="006D71A8" w:rsidRDefault="00A314DF" w14:paraId="366D2A24" w14:textId="1C1C8DC4">
      <w:pPr>
        <w:pStyle w:val="Heading4"/>
        <w:rPr>
          <w:rFonts w:eastAsia="Times New Roman"/>
        </w:rPr>
      </w:pPr>
      <w:bookmarkStart w:name="_Toc224569302" w:id="25"/>
      <w:r>
        <w:rPr>
          <w:rFonts w:eastAsia="Times New Roman"/>
        </w:rPr>
        <w:t>Rate Design Methodology</w:t>
      </w:r>
      <w:bookmarkEnd w:id="25"/>
      <w:r>
        <w:rPr>
          <w:rFonts w:eastAsia="Times New Roman"/>
        </w:rPr>
        <w:t xml:space="preserve"> </w:t>
      </w:r>
    </w:p>
    <w:p w:rsidRPr="0020794B" w:rsidR="00AB0E97" w:rsidP="00880D18" w:rsidRDefault="00AB0E97" w14:paraId="13ECE91D" w14:textId="52533867">
      <w:pPr>
        <w:pStyle w:val="Standard"/>
      </w:pPr>
      <w:r w:rsidRPr="0020794B">
        <w:t xml:space="preserve"> Liberty proposed rate adjustments </w:t>
      </w:r>
      <w:r w:rsidR="0002563C">
        <w:t xml:space="preserve">that </w:t>
      </w:r>
      <w:r w:rsidR="0056404E">
        <w:t xml:space="preserve">are </w:t>
      </w:r>
      <w:r w:rsidRPr="0020794B">
        <w:t>consistent with MCOS-derived cost responsibilities</w:t>
      </w:r>
      <w:r w:rsidR="0002563C">
        <w:t xml:space="preserve"> and</w:t>
      </w:r>
      <w:r w:rsidRPr="0020794B">
        <w:t xml:space="preserve"> generally maintain existing rate structures while updating customer, demand, and energy charges as needed to recover allocated revenues and reflect marginal cost relationships.</w:t>
      </w:r>
      <w:r w:rsidRPr="0020794B">
        <w:rPr>
          <w:rStyle w:val="FootnoteReference"/>
          <w:rFonts w:eastAsia="Times New Roman" w:cs="Times New Roman"/>
          <w:szCs w:val="26"/>
        </w:rPr>
        <w:footnoteReference w:id="23"/>
      </w:r>
    </w:p>
    <w:p w:rsidRPr="0020794B" w:rsidR="00AB0E97" w:rsidP="00366E8C" w:rsidRDefault="00AB0E97" w14:paraId="02B7B2AA" w14:textId="61EAA113">
      <w:r w:rsidRPr="0020794B">
        <w:t>The S</w:t>
      </w:r>
      <w:r w:rsidR="0056404E">
        <w:t>ettlement Agreement</w:t>
      </w:r>
      <w:r w:rsidRPr="0020794B">
        <w:t xml:space="preserve"> did not explicitly address Issues 2 and 3 of the Scoping Ruling by determining whether the rate design proposals were reasonable. Moreover, the S</w:t>
      </w:r>
      <w:r w:rsidR="0056404E">
        <w:t>ettlement Agreement</w:t>
      </w:r>
      <w:r w:rsidRPr="0020794B">
        <w:t xml:space="preserve"> did not resolve all issues relating to rate design, as parties were divided over Liberty’s proposal to consolidate the permanent and non-permanent customer classes. As such, </w:t>
      </w:r>
      <w:r w:rsidR="0020794B">
        <w:t xml:space="preserve">the Parties </w:t>
      </w:r>
      <w:r w:rsidRPr="0020794B">
        <w:t xml:space="preserve">sought to address this specific issue in </w:t>
      </w:r>
      <w:r w:rsidR="00BC02B8">
        <w:t>e</w:t>
      </w:r>
      <w:r w:rsidRPr="0020794B">
        <w:t xml:space="preserve">videntiary </w:t>
      </w:r>
      <w:r w:rsidR="00BC02B8">
        <w:t>h</w:t>
      </w:r>
      <w:r w:rsidRPr="0020794B">
        <w:t xml:space="preserve">earings and briefs. </w:t>
      </w:r>
      <w:r w:rsidR="00FD1110">
        <w:rPr>
          <w:rFonts w:eastAsia="Times New Roman" w:cs="Times New Roman"/>
          <w:szCs w:val="26"/>
        </w:rPr>
        <w:t xml:space="preserve"> </w:t>
      </w:r>
    </w:p>
    <w:p w:rsidR="00EA4D1C" w:rsidP="00EA4D1C" w:rsidRDefault="000D7BE7" w14:paraId="6B228EA1" w14:textId="05AF63BC">
      <w:pPr>
        <w:pStyle w:val="Heading3"/>
      </w:pPr>
      <w:bookmarkStart w:name="_Toc224569303" w:id="26"/>
      <w:r>
        <w:t xml:space="preserve">Affordability and Disconnection </w:t>
      </w:r>
      <w:r w:rsidR="00A42CC5">
        <w:br/>
      </w:r>
      <w:r>
        <w:t>for Non-Payment Impacts</w:t>
      </w:r>
      <w:bookmarkEnd w:id="26"/>
      <w:r>
        <w:t xml:space="preserve"> </w:t>
      </w:r>
    </w:p>
    <w:p w:rsidRPr="00FC6D1F" w:rsidR="00D96122" w:rsidP="00D96122" w:rsidRDefault="00D96122" w14:paraId="1FDBC4D1" w14:textId="77777777">
      <w:pPr>
        <w:rPr>
          <w:szCs w:val="26"/>
        </w:rPr>
      </w:pPr>
      <w:r w:rsidRPr="00FC6D1F">
        <w:rPr>
          <w:szCs w:val="26"/>
        </w:rPr>
        <w:t xml:space="preserve">Scoped Issue 15 considers whether the impact of Liberty’s proposed rate increase on affordability and disconnection for non-payment is reasonable. </w:t>
      </w:r>
      <w:r w:rsidRPr="00FC6D1F">
        <w:rPr>
          <w:rFonts w:eastAsia="Aptos" w:cs="Aptos"/>
          <w:szCs w:val="26"/>
        </w:rPr>
        <w:t>In prepared testimony, several parties took positions on affordability and non-payment impacts. TURN argued that Liberty</w:t>
      </w:r>
      <w:r>
        <w:rPr>
          <w:rFonts w:eastAsia="Aptos" w:cs="Aptos"/>
          <w:szCs w:val="26"/>
        </w:rPr>
        <w:t>’s</w:t>
      </w:r>
      <w:r w:rsidRPr="00FC6D1F">
        <w:rPr>
          <w:rFonts w:eastAsia="Aptos" w:cs="Aptos"/>
          <w:szCs w:val="26"/>
        </w:rPr>
        <w:t xml:space="preserve"> proposed rate increase would materially worsen affordability for already financially stressed households, increasing arrearages and the risk of disconnection for non-payment, and therefore urged the Commission to reduce Liberty’s requested revenue requirement. </w:t>
      </w:r>
    </w:p>
    <w:p w:rsidRPr="00FC6D1F" w:rsidR="00D96122" w:rsidP="00D96122" w:rsidRDefault="00D96122" w14:paraId="4D1A4910" w14:textId="77777777">
      <w:pPr>
        <w:rPr>
          <w:szCs w:val="26"/>
        </w:rPr>
      </w:pPr>
      <w:r w:rsidRPr="00FC6D1F">
        <w:rPr>
          <w:rFonts w:eastAsia="Aptos" w:cs="Aptos"/>
          <w:szCs w:val="26"/>
        </w:rPr>
        <w:lastRenderedPageBreak/>
        <w:t>Tahoe S</w:t>
      </w:r>
      <w:r>
        <w:rPr>
          <w:rFonts w:eastAsia="Aptos" w:cs="Aptos"/>
          <w:szCs w:val="26"/>
        </w:rPr>
        <w:t>PARK</w:t>
      </w:r>
      <w:r w:rsidRPr="00FC6D1F">
        <w:rPr>
          <w:rFonts w:eastAsia="Aptos" w:cs="Aptos"/>
          <w:szCs w:val="26"/>
        </w:rPr>
        <w:t xml:space="preserve"> emphasized community-level impacts, arguing that higher rates would disproportionately burden permanent residents</w:t>
      </w:r>
      <w:r>
        <w:rPr>
          <w:rFonts w:eastAsia="Aptos" w:cs="Aptos"/>
          <w:szCs w:val="26"/>
        </w:rPr>
        <w:t>,</w:t>
      </w:r>
      <w:r w:rsidRPr="00FC6D1F">
        <w:rPr>
          <w:rFonts w:eastAsia="Aptos" w:cs="Aptos"/>
          <w:szCs w:val="26"/>
        </w:rPr>
        <w:t xml:space="preserve"> threatening housing stability and increasing the likelihood of bill non-payment, especially in </w:t>
      </w:r>
      <w:proofErr w:type="gramStart"/>
      <w:r w:rsidRPr="00FC6D1F">
        <w:rPr>
          <w:rFonts w:eastAsia="Aptos" w:cs="Aptos"/>
          <w:szCs w:val="26"/>
        </w:rPr>
        <w:t>a tourism</w:t>
      </w:r>
      <w:proofErr w:type="gramEnd"/>
      <w:r w:rsidRPr="00FC6D1F">
        <w:rPr>
          <w:rFonts w:eastAsia="Aptos" w:cs="Aptos"/>
          <w:szCs w:val="26"/>
        </w:rPr>
        <w:t xml:space="preserve">-driven service territory. </w:t>
      </w:r>
    </w:p>
    <w:p w:rsidRPr="00FC6D1F" w:rsidR="00D96122" w:rsidP="00D96122" w:rsidRDefault="00D96122" w14:paraId="0471BB11" w14:textId="77777777">
      <w:pPr>
        <w:rPr>
          <w:szCs w:val="26"/>
        </w:rPr>
      </w:pPr>
      <w:r>
        <w:rPr>
          <w:rFonts w:eastAsia="Aptos" w:cs="Aptos"/>
          <w:szCs w:val="26"/>
        </w:rPr>
        <w:t xml:space="preserve">Cal Advocates </w:t>
      </w:r>
      <w:r w:rsidRPr="00FC6D1F">
        <w:rPr>
          <w:rFonts w:eastAsia="Aptos" w:cs="Aptos"/>
          <w:szCs w:val="26"/>
        </w:rPr>
        <w:t xml:space="preserve">focused on cost reasonableness and moderation of rate impacts, supporting adjustments to Liberty’s forecasts to limit bill increases and protect customers from excessive affordability pressures. </w:t>
      </w:r>
    </w:p>
    <w:p w:rsidR="00D96122" w:rsidP="00D96122" w:rsidRDefault="00D96122" w14:paraId="1A221CE5" w14:textId="1A29A21F">
      <w:pPr>
        <w:pStyle w:val="Standard"/>
        <w:rPr>
          <w:rFonts w:eastAsia="Aptos" w:cs="Aptos"/>
        </w:rPr>
      </w:pPr>
      <w:r w:rsidRPr="714694C6">
        <w:rPr>
          <w:rFonts w:eastAsia="Aptos" w:cs="Aptos"/>
        </w:rPr>
        <w:t>Liberty also acknowledged general affordability concerns and proposed structural mitigations (such as rate design changes and low-income protections) but maintained that its requested increase is necessary to recover prudent costs and did not present a detailed analysis of disconnections or non-payment outcomes associated with its propos</w:t>
      </w:r>
      <w:r w:rsidR="00C737EB">
        <w:rPr>
          <w:rFonts w:eastAsia="Aptos" w:cs="Aptos"/>
        </w:rPr>
        <w:t>ed rate design.</w:t>
      </w:r>
    </w:p>
    <w:p w:rsidR="00D96122" w:rsidP="00D96122" w:rsidRDefault="00FF17A5" w14:paraId="3EC08917" w14:textId="1F53DDF2">
      <w:pPr>
        <w:pStyle w:val="Standard"/>
        <w:rPr>
          <w:rFonts w:eastAsia="Aptos" w:cs="Aptos"/>
        </w:rPr>
      </w:pPr>
      <w:r>
        <w:rPr>
          <w:rFonts w:eastAsia="Aptos" w:cs="Aptos"/>
        </w:rPr>
        <w:t>Although the Parties provided diverse perspectives regarding affordability and disconnection impacts, it is significant that this Decision’s adopted revenue requirements are based on an uncontested Settlement Agreement of the Settling Parties. Based u</w:t>
      </w:r>
      <w:r w:rsidRPr="4DFD566C" w:rsidR="00D96122">
        <w:rPr>
          <w:rFonts w:eastAsia="Aptos" w:cs="Aptos"/>
        </w:rPr>
        <w:t xml:space="preserve">pon </w:t>
      </w:r>
      <w:r>
        <w:rPr>
          <w:rFonts w:eastAsia="Aptos" w:cs="Aptos"/>
        </w:rPr>
        <w:t xml:space="preserve">our </w:t>
      </w:r>
      <w:r w:rsidRPr="4DFD566C" w:rsidR="00D96122">
        <w:rPr>
          <w:rFonts w:eastAsia="Aptos" w:cs="Aptos"/>
        </w:rPr>
        <w:t xml:space="preserve">review of the evidence in this proceeding, </w:t>
      </w:r>
      <w:r w:rsidRPr="4DFD566C" w:rsidR="008C1CFE">
        <w:rPr>
          <w:rFonts w:eastAsia="Aptos" w:cs="Aptos"/>
        </w:rPr>
        <w:t>w</w:t>
      </w:r>
      <w:r w:rsidRPr="4DFD566C" w:rsidR="00D96122">
        <w:rPr>
          <w:rFonts w:eastAsia="Aptos" w:cs="Aptos"/>
        </w:rPr>
        <w:t>e find th</w:t>
      </w:r>
      <w:r w:rsidRPr="4DFD566C" w:rsidR="00D44FD3">
        <w:rPr>
          <w:rFonts w:eastAsia="Aptos" w:cs="Aptos"/>
        </w:rPr>
        <w:t>is Decision’s</w:t>
      </w:r>
      <w:r w:rsidRPr="4DFD566C" w:rsidR="00D96122">
        <w:rPr>
          <w:rFonts w:eastAsia="Aptos" w:cs="Aptos"/>
        </w:rPr>
        <w:t xml:space="preserve"> impacts on affordability and </w:t>
      </w:r>
      <w:proofErr w:type="gramStart"/>
      <w:r w:rsidRPr="4DFD566C" w:rsidR="00D96122">
        <w:rPr>
          <w:rFonts w:eastAsia="Aptos" w:cs="Aptos"/>
        </w:rPr>
        <w:t>disconnection</w:t>
      </w:r>
      <w:proofErr w:type="gramEnd"/>
      <w:r w:rsidRPr="4DFD566C" w:rsidR="00D96122">
        <w:rPr>
          <w:rFonts w:eastAsia="Aptos" w:cs="Aptos"/>
        </w:rPr>
        <w:t xml:space="preserve"> for non-payment </w:t>
      </w:r>
      <w:r>
        <w:rPr>
          <w:rFonts w:eastAsia="Aptos" w:cs="Aptos"/>
        </w:rPr>
        <w:t xml:space="preserve">are </w:t>
      </w:r>
      <w:r w:rsidRPr="4DFD566C" w:rsidR="00D96122">
        <w:rPr>
          <w:rFonts w:eastAsia="Aptos" w:cs="Aptos"/>
        </w:rPr>
        <w:t>reasonable</w:t>
      </w:r>
      <w:r>
        <w:rPr>
          <w:rFonts w:eastAsia="Aptos" w:cs="Aptos"/>
        </w:rPr>
        <w:t>, balancing objectives including rate stability, bill impact, and cost causation</w:t>
      </w:r>
      <w:r w:rsidRPr="439F232C" w:rsidR="4915A22F">
        <w:rPr>
          <w:rFonts w:eastAsia="Aptos" w:cs="Aptos"/>
        </w:rPr>
        <w:t>.</w:t>
      </w:r>
      <w:r w:rsidRPr="4DFD566C" w:rsidR="00D96122">
        <w:rPr>
          <w:rFonts w:eastAsia="Aptos" w:cs="Aptos"/>
        </w:rPr>
        <w:t xml:space="preserve"> </w:t>
      </w:r>
    </w:p>
    <w:p w:rsidRPr="00A93F04" w:rsidR="00D96122" w:rsidP="00A42CC5" w:rsidRDefault="00BE311F" w14:paraId="0B6489CE" w14:textId="56445ACC">
      <w:pPr>
        <w:pStyle w:val="Standard"/>
        <w:spacing w:after="120" w:line="240" w:lineRule="auto"/>
        <w:ind w:left="1354" w:hanging="634"/>
        <w:rPr>
          <w:rFonts w:ascii="Arial" w:hAnsi="Arial" w:eastAsia="Aptos" w:cs="Arial"/>
          <w:b/>
          <w:bCs/>
          <w:szCs w:val="26"/>
        </w:rPr>
      </w:pPr>
      <w:r w:rsidRPr="00A93F04">
        <w:rPr>
          <w:rFonts w:ascii="Arial" w:hAnsi="Arial" w:eastAsia="Aptos" w:cs="Arial"/>
          <w:b/>
          <w:bCs/>
          <w:szCs w:val="26"/>
        </w:rPr>
        <w:t xml:space="preserve">4.4.4 </w:t>
      </w:r>
      <w:r w:rsidR="00A93F04">
        <w:rPr>
          <w:rFonts w:ascii="Arial" w:hAnsi="Arial" w:eastAsia="Aptos" w:cs="Arial"/>
          <w:b/>
          <w:bCs/>
          <w:szCs w:val="26"/>
        </w:rPr>
        <w:t xml:space="preserve">Adopted Revenue </w:t>
      </w:r>
      <w:r w:rsidR="00A42CC5">
        <w:rPr>
          <w:rFonts w:ascii="Arial" w:hAnsi="Arial" w:eastAsia="Aptos" w:cs="Arial"/>
          <w:b/>
          <w:bCs/>
          <w:szCs w:val="26"/>
        </w:rPr>
        <w:br/>
      </w:r>
      <w:r w:rsidR="00A93F04">
        <w:rPr>
          <w:rFonts w:ascii="Arial" w:hAnsi="Arial" w:eastAsia="Aptos" w:cs="Arial"/>
          <w:b/>
          <w:bCs/>
          <w:szCs w:val="26"/>
        </w:rPr>
        <w:t>Allocation and Rate Design</w:t>
      </w:r>
    </w:p>
    <w:p w:rsidRPr="0020794B" w:rsidR="00AB0E97" w:rsidP="00880D18" w:rsidRDefault="00AB0E97" w14:paraId="1AB3FB56" w14:textId="42CA681E">
      <w:pPr>
        <w:rPr>
          <w:rFonts w:eastAsia="Times New Roman" w:cs="Times New Roman"/>
        </w:rPr>
      </w:pPr>
      <w:r w:rsidRPr="0020794B">
        <w:rPr>
          <w:rFonts w:eastAsia="Times New Roman" w:cs="Times New Roman"/>
        </w:rPr>
        <w:t>Liberty proposed to allocate customer class revenues using a 10/90 split, under which 10 percent of the revenue requirement would be allocated based on Equal Percentage of Marginal Cost (EPMC), and the remaining 90 percent would be allocated using a System Average Percentage Change (SAPC) methodology.</w:t>
      </w:r>
      <w:r w:rsidRPr="0020794B">
        <w:rPr>
          <w:rStyle w:val="FootnoteReference"/>
          <w:rFonts w:eastAsia="Times New Roman" w:cs="Times New Roman"/>
        </w:rPr>
        <w:footnoteReference w:id="24"/>
      </w:r>
      <w:r w:rsidRPr="0020794B">
        <w:rPr>
          <w:rFonts w:eastAsia="Times New Roman" w:cs="Times New Roman"/>
        </w:rPr>
        <w:t xml:space="preserve"> </w:t>
      </w:r>
      <w:r w:rsidRPr="0020794B">
        <w:rPr>
          <w:rFonts w:eastAsia="Times New Roman" w:cs="Times New Roman"/>
        </w:rPr>
        <w:lastRenderedPageBreak/>
        <w:t>Liberty characterized this approach as a prudent, incremental step toward cost-based pricing that prioritizes bill continuity and affordability, particularly given the magnitude of the overall rate increase and ongoing economic pressures on customers.</w:t>
      </w:r>
      <w:r w:rsidRPr="0020794B">
        <w:rPr>
          <w:rStyle w:val="FootnoteReference"/>
          <w:rFonts w:eastAsia="Times New Roman" w:cs="Times New Roman"/>
        </w:rPr>
        <w:footnoteReference w:id="25"/>
      </w:r>
    </w:p>
    <w:p w:rsidRPr="0020794B" w:rsidR="00AB0E97" w:rsidP="00F022EF" w:rsidRDefault="00AB0E97" w14:paraId="05BDC8B8" w14:textId="44EE1158">
      <w:pPr>
        <w:rPr>
          <w:rFonts w:eastAsia="Times New Roman" w:cs="Times New Roman"/>
        </w:rPr>
      </w:pPr>
      <w:r w:rsidRPr="0020794B">
        <w:rPr>
          <w:rFonts w:eastAsia="Times New Roman" w:cs="Times New Roman"/>
        </w:rPr>
        <w:t xml:space="preserve">EPMC is a longstanding revenue allocation method that spreads a utility’s required revenues across customer classes in proportion to each class’s marginal cost of service. </w:t>
      </w:r>
      <w:r w:rsidR="002F7E33">
        <w:rPr>
          <w:rFonts w:eastAsia="Times New Roman" w:cs="Times New Roman"/>
        </w:rPr>
        <w:t>E</w:t>
      </w:r>
      <w:r w:rsidRPr="557E4C2D" w:rsidR="2C45C2FD">
        <w:rPr>
          <w:rFonts w:eastAsia="Times New Roman" w:cs="Times New Roman"/>
        </w:rPr>
        <w:t>PMC is grounded in the principle of cost causation</w:t>
      </w:r>
      <w:r w:rsidRPr="6936C2A9" w:rsidR="3D9613DD">
        <w:rPr>
          <w:rFonts w:eastAsia="Times New Roman" w:cs="Times New Roman"/>
        </w:rPr>
        <w:t>:</w:t>
      </w:r>
      <w:r w:rsidRPr="0020794B">
        <w:rPr>
          <w:rFonts w:eastAsia="Times New Roman" w:cs="Times New Roman"/>
        </w:rPr>
        <w:t xml:space="preserve"> customer classes that impose higher incremental costs on the system (for example, by driving peak demand) </w:t>
      </w:r>
      <w:r w:rsidRPr="391E8454" w:rsidR="14706C83">
        <w:rPr>
          <w:rFonts w:eastAsia="Times New Roman" w:cs="Times New Roman"/>
        </w:rPr>
        <w:t>cover</w:t>
      </w:r>
      <w:r w:rsidRPr="0020794B">
        <w:rPr>
          <w:rFonts w:eastAsia="Times New Roman" w:cs="Times New Roman"/>
        </w:rPr>
        <w:t xml:space="preserve"> a higher share of </w:t>
      </w:r>
      <w:r w:rsidRPr="2C98FB52" w:rsidR="37A7A8C3">
        <w:rPr>
          <w:rFonts w:eastAsia="Times New Roman" w:cs="Times New Roman"/>
        </w:rPr>
        <w:t xml:space="preserve">the </w:t>
      </w:r>
      <w:r w:rsidRPr="2C98FB52" w:rsidR="6D59B631">
        <w:rPr>
          <w:rFonts w:eastAsia="Times New Roman" w:cs="Times New Roman"/>
        </w:rPr>
        <w:t>revenue</w:t>
      </w:r>
      <w:r w:rsidRPr="2C98FB52" w:rsidR="1675EF10">
        <w:rPr>
          <w:rFonts w:eastAsia="Times New Roman" w:cs="Times New Roman"/>
        </w:rPr>
        <w:t xml:space="preserve"> requirement</w:t>
      </w:r>
      <w:r w:rsidRPr="0020794B">
        <w:rPr>
          <w:rFonts w:eastAsia="Times New Roman" w:cs="Times New Roman"/>
        </w:rPr>
        <w:t xml:space="preserve">, while lower-cost classes pay </w:t>
      </w:r>
      <w:r w:rsidRPr="0FF007E5" w:rsidR="67C6017B">
        <w:rPr>
          <w:rFonts w:eastAsia="Times New Roman" w:cs="Times New Roman"/>
        </w:rPr>
        <w:t>a</w:t>
      </w:r>
      <w:r w:rsidRPr="312F298E" w:rsidR="67C6017B">
        <w:rPr>
          <w:rFonts w:eastAsia="Times New Roman" w:cs="Times New Roman"/>
        </w:rPr>
        <w:t xml:space="preserve"> lower share</w:t>
      </w:r>
      <w:r w:rsidRPr="312F298E" w:rsidR="6D59B631">
        <w:rPr>
          <w:rFonts w:eastAsia="Times New Roman" w:cs="Times New Roman"/>
        </w:rPr>
        <w:t>.</w:t>
      </w:r>
      <w:r w:rsidRPr="0020794B">
        <w:rPr>
          <w:rFonts w:eastAsia="Times New Roman" w:cs="Times New Roman"/>
        </w:rPr>
        <w:t xml:space="preserve"> </w:t>
      </w:r>
      <w:r w:rsidRPr="0245971E" w:rsidR="164443FF">
        <w:rPr>
          <w:rFonts w:eastAsia="Times New Roman" w:cs="Times New Roman"/>
        </w:rPr>
        <w:t>Put simply</w:t>
      </w:r>
      <w:r w:rsidRPr="0020794B">
        <w:rPr>
          <w:rFonts w:eastAsia="Times New Roman" w:cs="Times New Roman"/>
        </w:rPr>
        <w:t xml:space="preserve"> the idea </w:t>
      </w:r>
      <w:r w:rsidR="004909FA">
        <w:rPr>
          <w:rFonts w:eastAsia="Times New Roman" w:cs="Times New Roman"/>
        </w:rPr>
        <w:t xml:space="preserve">is </w:t>
      </w:r>
      <w:r w:rsidRPr="0020794B">
        <w:rPr>
          <w:rFonts w:eastAsia="Times New Roman" w:cs="Times New Roman"/>
        </w:rPr>
        <w:t xml:space="preserve">that customers should pay in proportion to the costs they cause the utility to incur. Conversely, System Average Percentage Change (SAPC) is a revenue allocation method that applies the same percentage rate increase (or decrease) to all customer classes, regardless of their marginal cost responsibility. Under SAPC, </w:t>
      </w:r>
      <w:proofErr w:type="gramStart"/>
      <w:r w:rsidRPr="0020794B">
        <w:rPr>
          <w:rFonts w:eastAsia="Times New Roman" w:cs="Times New Roman"/>
        </w:rPr>
        <w:t>every</w:t>
      </w:r>
      <w:proofErr w:type="gramEnd"/>
      <w:r w:rsidRPr="0020794B">
        <w:rPr>
          <w:rFonts w:eastAsia="Times New Roman" w:cs="Times New Roman"/>
        </w:rPr>
        <w:t xml:space="preserve"> class’s revenues grow at the system-wide average rate, which helps maintain rate stability and bill continuity, but does not move rates toward cost-based outcomes. </w:t>
      </w:r>
    </w:p>
    <w:p w:rsidRPr="0020794B" w:rsidR="00AB0E97" w:rsidP="00A10ACE" w:rsidRDefault="00AB0E97" w14:paraId="5CC9F057" w14:textId="39D7D6CF">
      <w:pPr>
        <w:rPr>
          <w:rFonts w:eastAsia="Times New Roman" w:cs="Times New Roman"/>
        </w:rPr>
      </w:pPr>
      <w:r w:rsidRPr="0020794B">
        <w:rPr>
          <w:rFonts w:eastAsia="Times New Roman" w:cs="Times New Roman"/>
        </w:rPr>
        <w:t xml:space="preserve">A-3 </w:t>
      </w:r>
      <w:r w:rsidR="00B8614A">
        <w:rPr>
          <w:rFonts w:eastAsia="Times New Roman" w:cs="Times New Roman"/>
        </w:rPr>
        <w:t xml:space="preserve">CC </w:t>
      </w:r>
      <w:r w:rsidRPr="0020794B">
        <w:rPr>
          <w:rFonts w:eastAsia="Times New Roman" w:cs="Times New Roman"/>
        </w:rPr>
        <w:t>opposed Liberty’s proposal and advocated instead for a 30/70 split, arguing that marginal cost-based pricing has long been the Commission’s preferred benchmark and that Liberty’s 10% EPMC movement is overly conservative.</w:t>
      </w:r>
      <w:r w:rsidRPr="0020794B">
        <w:rPr>
          <w:rStyle w:val="FootnoteReference"/>
          <w:rFonts w:eastAsia="Times New Roman" w:cs="Times New Roman"/>
        </w:rPr>
        <w:footnoteReference w:id="26"/>
      </w:r>
      <w:r w:rsidRPr="0020794B">
        <w:rPr>
          <w:rFonts w:eastAsia="Times New Roman" w:cs="Times New Roman"/>
        </w:rPr>
        <w:t xml:space="preserve"> A-3 </w:t>
      </w:r>
      <w:r w:rsidR="00B8614A">
        <w:rPr>
          <w:rFonts w:eastAsia="Times New Roman" w:cs="Times New Roman"/>
        </w:rPr>
        <w:t xml:space="preserve">CC </w:t>
      </w:r>
      <w:r w:rsidRPr="0020794B">
        <w:rPr>
          <w:rFonts w:eastAsia="Times New Roman" w:cs="Times New Roman"/>
        </w:rPr>
        <w:t xml:space="preserve">contended that the Settlement </w:t>
      </w:r>
      <w:r w:rsidR="007E0B1B">
        <w:rPr>
          <w:rFonts w:eastAsia="Times New Roman" w:cs="Times New Roman"/>
        </w:rPr>
        <w:t xml:space="preserve">Agreement </w:t>
      </w:r>
      <w:r w:rsidRPr="0020794B">
        <w:rPr>
          <w:rFonts w:eastAsia="Times New Roman" w:cs="Times New Roman"/>
        </w:rPr>
        <w:t>reduced Liberty’s overall revenue increase, creating opportunities to move further toward cost causation without causing undue bill shock.</w:t>
      </w:r>
      <w:r w:rsidRPr="0020794B">
        <w:rPr>
          <w:rStyle w:val="FootnoteReference"/>
          <w:rFonts w:eastAsia="Times New Roman" w:cs="Times New Roman"/>
        </w:rPr>
        <w:footnoteReference w:id="27"/>
      </w:r>
      <w:r w:rsidRPr="0020794B">
        <w:rPr>
          <w:rFonts w:eastAsia="Times New Roman" w:cs="Times New Roman"/>
        </w:rPr>
        <w:t xml:space="preserve"> </w:t>
      </w:r>
      <w:r w:rsidR="007E0B1B">
        <w:rPr>
          <w:rFonts w:eastAsia="Times New Roman" w:cs="Times New Roman"/>
        </w:rPr>
        <w:t>A-3 CC</w:t>
      </w:r>
      <w:r w:rsidRPr="0020794B">
        <w:rPr>
          <w:rFonts w:eastAsia="Times New Roman" w:cs="Times New Roman"/>
        </w:rPr>
        <w:t xml:space="preserve"> emphasized that </w:t>
      </w:r>
      <w:r w:rsidRPr="0020794B">
        <w:rPr>
          <w:rFonts w:eastAsia="Times New Roman" w:cs="Times New Roman"/>
        </w:rPr>
        <w:lastRenderedPageBreak/>
        <w:t>under Liberty’s 10/90 split, medium and large commercial customers continue to bear a disproportionate share of costs relative to their marginal responsibility, thus subsidizing other customer classes.</w:t>
      </w:r>
      <w:r w:rsidRPr="0020794B">
        <w:rPr>
          <w:rStyle w:val="FootnoteReference"/>
          <w:rFonts w:eastAsia="Times New Roman" w:cs="Times New Roman"/>
        </w:rPr>
        <w:footnoteReference w:id="28"/>
      </w:r>
    </w:p>
    <w:p w:rsidRPr="0020794B" w:rsidR="00AB0E97" w:rsidP="00A10ACE" w:rsidRDefault="00AB0E97" w14:paraId="4A162DF8" w14:textId="2AF5FEEA">
      <w:pPr>
        <w:rPr>
          <w:rFonts w:eastAsia="Times New Roman" w:cs="Times New Roman"/>
        </w:rPr>
      </w:pPr>
      <w:r w:rsidRPr="0020794B">
        <w:rPr>
          <w:rFonts w:eastAsia="Times New Roman" w:cs="Times New Roman"/>
        </w:rPr>
        <w:t>SBUA and other parties raised concerns that increasing the EPMC share to 30% would exacerbate affordability impacts, particularly for residential and small commercial customers already facing substantial bill increases.</w:t>
      </w:r>
      <w:r w:rsidRPr="0020794B">
        <w:rPr>
          <w:rStyle w:val="FootnoteReference"/>
          <w:rFonts w:eastAsia="Times New Roman" w:cs="Times New Roman"/>
        </w:rPr>
        <w:footnoteReference w:id="29"/>
      </w:r>
      <w:r w:rsidRPr="0020794B">
        <w:rPr>
          <w:rFonts w:eastAsia="Times New Roman" w:cs="Times New Roman"/>
        </w:rPr>
        <w:t xml:space="preserve"> SBUA argued that A-3 </w:t>
      </w:r>
      <w:r w:rsidR="00B8614A">
        <w:rPr>
          <w:rFonts w:eastAsia="Times New Roman" w:cs="Times New Roman"/>
        </w:rPr>
        <w:t xml:space="preserve">CC’s </w:t>
      </w:r>
      <w:r w:rsidRPr="0020794B">
        <w:rPr>
          <w:rFonts w:eastAsia="Times New Roman" w:cs="Times New Roman"/>
        </w:rPr>
        <w:t>proposed 30/70 split is itself arbitrary and unsupported by a clear affordability threshold.</w:t>
      </w:r>
      <w:r w:rsidRPr="0020794B">
        <w:rPr>
          <w:rStyle w:val="FootnoteReference"/>
          <w:rFonts w:eastAsia="Times New Roman" w:cs="Times New Roman"/>
        </w:rPr>
        <w:footnoteReference w:id="30"/>
      </w:r>
      <w:r w:rsidRPr="0020794B">
        <w:rPr>
          <w:rFonts w:eastAsia="Times New Roman" w:cs="Times New Roman"/>
        </w:rPr>
        <w:t xml:space="preserve"> </w:t>
      </w:r>
      <w:r w:rsidR="007E0B1B">
        <w:rPr>
          <w:rFonts w:eastAsia="Times New Roman" w:cs="Times New Roman"/>
        </w:rPr>
        <w:t>SBUA</w:t>
      </w:r>
      <w:r w:rsidRPr="0020794B">
        <w:rPr>
          <w:rFonts w:eastAsia="Times New Roman" w:cs="Times New Roman"/>
        </w:rPr>
        <w:t xml:space="preserve"> warned that shifting more costs onto residential customers could affect households negatively, undermining the local workforce that small businesses depend upon.</w:t>
      </w:r>
      <w:r w:rsidRPr="0020794B">
        <w:rPr>
          <w:rStyle w:val="FootnoteReference"/>
          <w:rFonts w:eastAsia="Times New Roman" w:cs="Times New Roman"/>
        </w:rPr>
        <w:footnoteReference w:id="31"/>
      </w:r>
    </w:p>
    <w:p w:rsidRPr="0020794B" w:rsidR="00AB0E97" w:rsidP="00A10ACE" w:rsidRDefault="00AB0E97" w14:paraId="4FEE604E" w14:textId="423A8FB5">
      <w:pPr>
        <w:rPr>
          <w:rFonts w:eastAsia="Times New Roman" w:cs="Times New Roman"/>
        </w:rPr>
      </w:pPr>
      <w:r w:rsidRPr="0020794B">
        <w:rPr>
          <w:rFonts w:eastAsia="Times New Roman" w:cs="Times New Roman"/>
        </w:rPr>
        <w:t>The Commission acknowledges the competing equity and affordability considerations but conclude</w:t>
      </w:r>
      <w:r w:rsidR="001630F2">
        <w:rPr>
          <w:rFonts w:eastAsia="Times New Roman" w:cs="Times New Roman"/>
        </w:rPr>
        <w:t>s</w:t>
      </w:r>
      <w:r w:rsidRPr="0020794B">
        <w:rPr>
          <w:rFonts w:eastAsia="Times New Roman" w:cs="Times New Roman"/>
        </w:rPr>
        <w:t xml:space="preserve"> that continued reliance on a 10/90 split delays meaningful progress toward cost-based revenue allocation.  </w:t>
      </w:r>
      <w:r w:rsidR="004306E7">
        <w:rPr>
          <w:rFonts w:eastAsia="Times New Roman" w:cs="Times New Roman"/>
        </w:rPr>
        <w:t>R</w:t>
      </w:r>
      <w:r w:rsidRPr="0020794B">
        <w:rPr>
          <w:rFonts w:eastAsia="Times New Roman" w:cs="Times New Roman"/>
        </w:rPr>
        <w:t xml:space="preserve">evenue allocation is inherently a zero-sum exercise and that sustained inter-class subsidies, particularly those shouldered by medium and large commercial customers, are inconsistent with long-standing Commission policy favoring marginal-cost principles. At the same time, </w:t>
      </w:r>
      <w:r w:rsidR="00E63779">
        <w:rPr>
          <w:rFonts w:eastAsia="Times New Roman" w:cs="Times New Roman"/>
        </w:rPr>
        <w:t xml:space="preserve">the Commission recognizes </w:t>
      </w:r>
      <w:r w:rsidRPr="0020794B">
        <w:rPr>
          <w:rFonts w:eastAsia="Times New Roman" w:cs="Times New Roman"/>
        </w:rPr>
        <w:t>the need to temper impacts on residential customers, noting that residential classes have a broader base over which to spread incremental costs.</w:t>
      </w:r>
    </w:p>
    <w:p w:rsidR="00AB0E97" w:rsidP="00511A57" w:rsidRDefault="00AB0E97" w14:paraId="06F168AE" w14:textId="6A2EB1A0">
      <w:pPr>
        <w:rPr>
          <w:rFonts w:eastAsia="Times New Roman" w:cs="Times New Roman"/>
        </w:rPr>
      </w:pPr>
      <w:r w:rsidRPr="0020794B">
        <w:rPr>
          <w:rFonts w:eastAsia="Times New Roman" w:cs="Times New Roman"/>
        </w:rPr>
        <w:t xml:space="preserve">The Commission determines that a </w:t>
      </w:r>
      <w:r w:rsidRPr="500B6B31" w:rsidR="7D23E34D">
        <w:rPr>
          <w:rFonts w:eastAsia="Times New Roman" w:cs="Times New Roman"/>
        </w:rPr>
        <w:t>30/70 split</w:t>
      </w:r>
      <w:r w:rsidRPr="500B6B31" w:rsidR="6D59B631">
        <w:rPr>
          <w:rFonts w:eastAsia="Times New Roman" w:cs="Times New Roman"/>
        </w:rPr>
        <w:t xml:space="preserve"> </w:t>
      </w:r>
      <w:r w:rsidRPr="0020794B">
        <w:rPr>
          <w:rFonts w:eastAsia="Times New Roman" w:cs="Times New Roman"/>
        </w:rPr>
        <w:t>represents a reasonable and balanced outcome in this proceeding</w:t>
      </w:r>
      <w:r w:rsidRPr="60329C3D" w:rsidR="070AA731">
        <w:rPr>
          <w:rFonts w:eastAsia="Times New Roman" w:cs="Times New Roman"/>
        </w:rPr>
        <w:t xml:space="preserve">. </w:t>
      </w:r>
      <w:r w:rsidRPr="19AC6E9B" w:rsidR="3327AF17">
        <w:rPr>
          <w:rFonts w:eastAsia="Times New Roman" w:cs="Times New Roman"/>
        </w:rPr>
        <w:t>The</w:t>
      </w:r>
      <w:r w:rsidRPr="60329C3D" w:rsidR="3327AF17">
        <w:rPr>
          <w:rFonts w:eastAsia="Times New Roman" w:cs="Times New Roman"/>
        </w:rPr>
        <w:t xml:space="preserve"> 30/70 split</w:t>
      </w:r>
      <w:r w:rsidRPr="2C0B8095" w:rsidR="3327AF17">
        <w:rPr>
          <w:rFonts w:eastAsia="Times New Roman" w:cs="Times New Roman"/>
        </w:rPr>
        <w:t xml:space="preserve"> </w:t>
      </w:r>
      <w:r w:rsidRPr="7290876D" w:rsidR="64C2FC7D">
        <w:rPr>
          <w:rFonts w:eastAsia="Times New Roman" w:cs="Times New Roman"/>
        </w:rPr>
        <w:t xml:space="preserve">is a step </w:t>
      </w:r>
      <w:r w:rsidRPr="1FE4FDCA" w:rsidR="64C2FC7D">
        <w:rPr>
          <w:rFonts w:eastAsia="Times New Roman" w:cs="Times New Roman"/>
        </w:rPr>
        <w:t>toward</w:t>
      </w:r>
      <w:r w:rsidRPr="1FE4FDCA" w:rsidR="3327AF17">
        <w:rPr>
          <w:rFonts w:eastAsia="Times New Roman" w:cs="Times New Roman"/>
        </w:rPr>
        <w:t xml:space="preserve"> rebalanc</w:t>
      </w:r>
      <w:r w:rsidRPr="1FE4FDCA" w:rsidR="1A28EAB0">
        <w:rPr>
          <w:rFonts w:eastAsia="Times New Roman" w:cs="Times New Roman"/>
        </w:rPr>
        <w:t>ing</w:t>
      </w:r>
      <w:r w:rsidRPr="60329C3D" w:rsidR="3327AF17">
        <w:rPr>
          <w:rFonts w:eastAsia="Times New Roman" w:cs="Times New Roman"/>
        </w:rPr>
        <w:t xml:space="preserve"> cross subsidies between customer classes</w:t>
      </w:r>
      <w:r w:rsidRPr="3594BD99" w:rsidR="3327AF17">
        <w:rPr>
          <w:rFonts w:eastAsia="Times New Roman" w:cs="Times New Roman"/>
        </w:rPr>
        <w:t>.</w:t>
      </w:r>
      <w:r w:rsidRPr="0020794B">
        <w:rPr>
          <w:rFonts w:eastAsia="Times New Roman" w:cs="Times New Roman"/>
        </w:rPr>
        <w:t xml:space="preserve"> The Commission finds </w:t>
      </w:r>
      <w:r w:rsidRPr="0020794B">
        <w:rPr>
          <w:rFonts w:eastAsia="Times New Roman" w:cs="Times New Roman"/>
        </w:rPr>
        <w:lastRenderedPageBreak/>
        <w:t xml:space="preserve">that this approach makes a meaningful step toward cost-based revenue allocation consistent with Commission precedent, while avoiding severe rate shocks and preserving affordability considerations. The </w:t>
      </w:r>
      <w:proofErr w:type="gramStart"/>
      <w:r w:rsidRPr="0020794B">
        <w:rPr>
          <w:rFonts w:eastAsia="Times New Roman" w:cs="Times New Roman"/>
        </w:rPr>
        <w:t>Commission further</w:t>
      </w:r>
      <w:proofErr w:type="gramEnd"/>
      <w:r w:rsidRPr="0020794B">
        <w:rPr>
          <w:rFonts w:eastAsia="Times New Roman" w:cs="Times New Roman"/>
        </w:rPr>
        <w:t xml:space="preserve"> concludes that adopting Liberty’s proposed 10/90 split would unduly delay progress toward equitable cost causation. Accordingly, the Commission adopts the 30/70 split and reiterates that future GRCs should continue evaluating opportunities to move closer to full marginal cost-based revenue allocation.</w:t>
      </w:r>
    </w:p>
    <w:p w:rsidRPr="0020794B" w:rsidR="00A314DF" w:rsidP="00511A57" w:rsidRDefault="002D3FD6" w14:paraId="4833289D" w14:textId="6273D4BD">
      <w:pPr>
        <w:rPr>
          <w:rFonts w:eastAsia="Times New Roman" w:cs="Times New Roman"/>
        </w:rPr>
      </w:pPr>
      <w:r>
        <w:rPr>
          <w:rFonts w:eastAsia="Times New Roman" w:cs="Times New Roman"/>
        </w:rPr>
        <w:t xml:space="preserve">Upon review of the evidence in this proceeding and based upon the analysis above, we find that </w:t>
      </w:r>
      <w:r w:rsidR="005649D7">
        <w:rPr>
          <w:rFonts w:eastAsia="Times New Roman" w:cs="Times New Roman"/>
        </w:rPr>
        <w:t>this Decision’s resolution of the revenue allocation and rate design issues presented is reasonable.</w:t>
      </w:r>
    </w:p>
    <w:p w:rsidRPr="00195465" w:rsidR="00BF1437" w:rsidP="005B5C7E" w:rsidRDefault="005343BA" w14:paraId="1A0FFFD1" w14:textId="3DB9A6DA">
      <w:pPr>
        <w:pStyle w:val="Heading2"/>
      </w:pPr>
      <w:bookmarkStart w:name="_Toc224569304" w:id="27"/>
      <w:r w:rsidRPr="00195465">
        <w:t xml:space="preserve">Scoped Issues </w:t>
      </w:r>
      <w:r w:rsidRPr="00195465" w:rsidR="00C00C4F">
        <w:t>5</w:t>
      </w:r>
      <w:r w:rsidRPr="00195465">
        <w:t xml:space="preserve"> and 11</w:t>
      </w:r>
      <w:bookmarkEnd w:id="27"/>
    </w:p>
    <w:p w:rsidR="00BF0B39" w:rsidP="00BF46B3" w:rsidRDefault="00BF0B39" w14:paraId="0F22F84E" w14:textId="05CEBBA6">
      <w:pPr>
        <w:pStyle w:val="Standard"/>
        <w:rPr>
          <w:rFonts w:cs="Arial"/>
        </w:rPr>
      </w:pPr>
      <w:r w:rsidRPr="00BF0B39">
        <w:rPr>
          <w:rFonts w:cs="Arial"/>
        </w:rPr>
        <w:t xml:space="preserve"> </w:t>
      </w:r>
      <w:r>
        <w:rPr>
          <w:rFonts w:cs="Arial"/>
        </w:rPr>
        <w:t xml:space="preserve">Scoped Issue </w:t>
      </w:r>
      <w:r w:rsidR="00C00C4F">
        <w:rPr>
          <w:rFonts w:cs="Arial"/>
        </w:rPr>
        <w:t>5</w:t>
      </w:r>
      <w:r>
        <w:rPr>
          <w:rFonts w:cs="Arial"/>
        </w:rPr>
        <w:t xml:space="preserve"> is whether the methodology employed for Liberty’ s marginal cost study and the results of its marginal cost </w:t>
      </w:r>
      <w:r w:rsidR="00CE64EE">
        <w:rPr>
          <w:rFonts w:cs="Arial"/>
        </w:rPr>
        <w:t xml:space="preserve">of service (MCOS) </w:t>
      </w:r>
      <w:r>
        <w:rPr>
          <w:rFonts w:cs="Arial"/>
        </w:rPr>
        <w:t>are reasonable.</w:t>
      </w:r>
      <w:r w:rsidR="00C00C4F">
        <w:rPr>
          <w:rStyle w:val="FootnoteReference"/>
          <w:rFonts w:cs="Arial"/>
        </w:rPr>
        <w:footnoteReference w:id="32"/>
      </w:r>
      <w:r>
        <w:rPr>
          <w:rFonts w:cs="Arial"/>
        </w:rPr>
        <w:t xml:space="preserve"> The reasonableness of the marginal cost study forms the </w:t>
      </w:r>
      <w:r w:rsidR="00AF0492">
        <w:rPr>
          <w:rFonts w:cs="Arial"/>
        </w:rPr>
        <w:t>evidentiary</w:t>
      </w:r>
      <w:r>
        <w:rPr>
          <w:rFonts w:cs="Arial"/>
        </w:rPr>
        <w:t xml:space="preserve"> basis to </w:t>
      </w:r>
      <w:r w:rsidR="00AF0492">
        <w:rPr>
          <w:rFonts w:cs="Arial"/>
        </w:rPr>
        <w:t>evaluate</w:t>
      </w:r>
      <w:r>
        <w:rPr>
          <w:rFonts w:cs="Arial"/>
        </w:rPr>
        <w:t xml:space="preserve"> Scoped Issue 11.</w:t>
      </w:r>
      <w:r w:rsidR="002D5ACB">
        <w:rPr>
          <w:rFonts w:cs="Arial"/>
        </w:rPr>
        <w:t xml:space="preserve"> Scoped Issue 11 is whether Liberty’s proposal to eliminate the nonpermanent residential class is reasonable.</w:t>
      </w:r>
      <w:r>
        <w:rPr>
          <w:rFonts w:cs="Arial"/>
        </w:rPr>
        <w:t xml:space="preserve"> </w:t>
      </w:r>
    </w:p>
    <w:p w:rsidRPr="00A52A6C" w:rsidR="00CE64EE" w:rsidP="000C0F1A" w:rsidRDefault="00CE64EE" w14:paraId="789E2270" w14:textId="57A20878">
      <w:pPr>
        <w:pStyle w:val="Heading3"/>
      </w:pPr>
      <w:bookmarkStart w:name="_Toc224569305" w:id="28"/>
      <w:r w:rsidRPr="00A52A6C">
        <w:t>Marginal Cost of Service</w:t>
      </w:r>
      <w:r w:rsidRPr="00A52A6C" w:rsidR="00FB3538">
        <w:t xml:space="preserve"> Study</w:t>
      </w:r>
      <w:bookmarkEnd w:id="28"/>
    </w:p>
    <w:p w:rsidRPr="00CE64EE" w:rsidR="00CE64EE" w:rsidP="00CE64EE" w:rsidRDefault="00CE64EE" w14:paraId="659C2CEE" w14:textId="0AEEEE7C">
      <w:pPr>
        <w:rPr>
          <w:rFonts w:eastAsia="Times New Roman" w:cs="Times New Roman"/>
          <w:szCs w:val="26"/>
        </w:rPr>
      </w:pPr>
      <w:r w:rsidRPr="00CE64EE">
        <w:rPr>
          <w:rFonts w:eastAsia="Times New Roman" w:cs="Times New Roman"/>
          <w:szCs w:val="26"/>
        </w:rPr>
        <w:t>Liberty proposed a MCOS study designed to measure the incremental costs of serving additional customers, load, and energy, and to use those results as the primary analytical foundation for revenue allocation and rate design. The study estimates four major marginal cost components: generation capacity, generation energy, distribution demand, and customer-related costs, and allocates these costs by TOU period and customer class, as follows:</w:t>
      </w:r>
    </w:p>
    <w:p w:rsidRPr="00CE64EE" w:rsidR="00CE64EE" w:rsidP="00195465" w:rsidRDefault="00CE64EE" w14:paraId="3374853F" w14:textId="5A46B125">
      <w:pPr>
        <w:pStyle w:val="ListParagraph"/>
        <w:numPr>
          <w:ilvl w:val="0"/>
          <w:numId w:val="20"/>
        </w:numPr>
        <w:spacing w:after="120"/>
        <w:ind w:left="1080" w:right="1440"/>
        <w:rPr>
          <w:rFonts w:ascii="Book Antiqua" w:hAnsi="Book Antiqua" w:eastAsia="Times New Roman" w:cs="Times New Roman"/>
          <w:sz w:val="26"/>
          <w:szCs w:val="26"/>
        </w:rPr>
      </w:pPr>
      <w:r w:rsidRPr="00CE64EE">
        <w:rPr>
          <w:rFonts w:ascii="Book Antiqua" w:hAnsi="Book Antiqua" w:eastAsia="Times New Roman" w:cs="Times New Roman"/>
          <w:b/>
          <w:bCs/>
          <w:sz w:val="26"/>
          <w:szCs w:val="26"/>
        </w:rPr>
        <w:t>Generation capacity marginal costs</w:t>
      </w:r>
      <w:r w:rsidRPr="00CE64EE">
        <w:rPr>
          <w:rFonts w:ascii="Book Antiqua" w:hAnsi="Book Antiqua" w:eastAsia="Times New Roman" w:cs="Times New Roman"/>
          <w:sz w:val="26"/>
          <w:szCs w:val="26"/>
        </w:rPr>
        <w:t xml:space="preserve"> were based on the deferral value of a utility-scale battery energy storage </w:t>
      </w:r>
      <w:r w:rsidRPr="00CE64EE">
        <w:rPr>
          <w:rFonts w:ascii="Book Antiqua" w:hAnsi="Book Antiqua" w:eastAsia="Times New Roman" w:cs="Times New Roman"/>
          <w:sz w:val="26"/>
          <w:szCs w:val="26"/>
        </w:rPr>
        <w:lastRenderedPageBreak/>
        <w:t>resource, using the Real Economic Carrying Charge (RECC or “Rental” methodology) to represent the annualized cost of deferring generation capacity investment. Generation energy marginal costs were derived from Integrated Resource Plan-based energy price forecasts by TOU period.</w:t>
      </w:r>
      <w:r w:rsidRPr="00CE64EE">
        <w:rPr>
          <w:rStyle w:val="FootnoteReference"/>
          <w:rFonts w:ascii="Book Antiqua" w:hAnsi="Book Antiqua" w:eastAsia="Times New Roman" w:cs="Times New Roman"/>
          <w:sz w:val="26"/>
          <w:szCs w:val="26"/>
        </w:rPr>
        <w:footnoteReference w:id="33"/>
      </w:r>
      <w:r w:rsidRPr="00CE64EE">
        <w:rPr>
          <w:rFonts w:ascii="Book Antiqua" w:hAnsi="Book Antiqua" w:eastAsia="Times New Roman" w:cs="Times New Roman"/>
          <w:sz w:val="26"/>
          <w:szCs w:val="26"/>
        </w:rPr>
        <w:t xml:space="preserve"> </w:t>
      </w:r>
    </w:p>
    <w:p w:rsidRPr="00CE64EE" w:rsidR="00CE64EE" w:rsidP="00195465" w:rsidRDefault="00CE64EE" w14:paraId="67A06F1D" w14:textId="77777777">
      <w:pPr>
        <w:pStyle w:val="ListParagraph"/>
        <w:numPr>
          <w:ilvl w:val="0"/>
          <w:numId w:val="20"/>
        </w:numPr>
        <w:spacing w:after="120"/>
        <w:ind w:left="1080" w:right="1440"/>
        <w:rPr>
          <w:rFonts w:ascii="Book Antiqua" w:hAnsi="Book Antiqua" w:eastAsia="Times New Roman" w:cs="Times New Roman"/>
          <w:sz w:val="26"/>
          <w:szCs w:val="26"/>
        </w:rPr>
      </w:pPr>
      <w:r w:rsidRPr="00CE64EE">
        <w:rPr>
          <w:rFonts w:ascii="Book Antiqua" w:hAnsi="Book Antiqua" w:eastAsia="Times New Roman" w:cs="Times New Roman"/>
          <w:b/>
          <w:bCs/>
          <w:sz w:val="26"/>
          <w:szCs w:val="26"/>
        </w:rPr>
        <w:t>Distribution marginal demand costs</w:t>
      </w:r>
      <w:r w:rsidRPr="00CE64EE">
        <w:rPr>
          <w:rFonts w:ascii="Book Antiqua" w:hAnsi="Book Antiqua" w:eastAsia="Times New Roman" w:cs="Times New Roman"/>
          <w:sz w:val="26"/>
          <w:szCs w:val="26"/>
        </w:rPr>
        <w:t xml:space="preserve"> were estimated using the cost of incremental distribution and substation investments, with a refined methodology that relies on recent projects rather than long-term historical trends. These distribution costs were then split between TOU volumetric and non-volumetric rate components.</w:t>
      </w:r>
      <w:r w:rsidRPr="00CE64EE">
        <w:rPr>
          <w:rStyle w:val="FootnoteReference"/>
          <w:rFonts w:ascii="Book Antiqua" w:hAnsi="Book Antiqua" w:eastAsia="Times New Roman" w:cs="Times New Roman"/>
          <w:sz w:val="26"/>
          <w:szCs w:val="26"/>
        </w:rPr>
        <w:footnoteReference w:id="34"/>
      </w:r>
    </w:p>
    <w:p w:rsidRPr="00E440EA" w:rsidR="00CE64EE" w:rsidP="00195465" w:rsidRDefault="00CE64EE" w14:paraId="1FA78EEB" w14:textId="77777777">
      <w:pPr>
        <w:pStyle w:val="ListParagraph"/>
        <w:numPr>
          <w:ilvl w:val="0"/>
          <w:numId w:val="20"/>
        </w:numPr>
        <w:spacing w:after="120"/>
        <w:ind w:left="1080" w:right="1440"/>
        <w:rPr>
          <w:rFonts w:ascii="Book Antiqua" w:hAnsi="Book Antiqua" w:eastAsia="Times New Roman" w:cs="Times New Roman"/>
          <w:sz w:val="26"/>
          <w:szCs w:val="26"/>
        </w:rPr>
      </w:pPr>
      <w:r w:rsidRPr="00E440EA">
        <w:rPr>
          <w:rFonts w:ascii="Book Antiqua" w:hAnsi="Book Antiqua" w:eastAsia="Times New Roman" w:cs="Times New Roman"/>
          <w:b/>
          <w:bCs/>
          <w:sz w:val="26"/>
          <w:szCs w:val="26"/>
        </w:rPr>
        <w:t>Marginal customer costs</w:t>
      </w:r>
      <w:r w:rsidRPr="00E440EA">
        <w:rPr>
          <w:rFonts w:ascii="Book Antiqua" w:hAnsi="Book Antiqua" w:eastAsia="Times New Roman" w:cs="Times New Roman"/>
          <w:sz w:val="26"/>
          <w:szCs w:val="26"/>
        </w:rPr>
        <w:t xml:space="preserve"> reflect the cost of access to the distribution grid, and were divided into common customer costs (e.g., billing and customer service) and specific customer costs (e.g., meters, service drops, transformers), with the latter based solely on new customer hookups to better reflect incremental cost causation.</w:t>
      </w:r>
      <w:r w:rsidRPr="00E440EA">
        <w:rPr>
          <w:rStyle w:val="FootnoteReference"/>
          <w:rFonts w:ascii="Book Antiqua" w:hAnsi="Book Antiqua" w:eastAsia="Times New Roman" w:cs="Times New Roman"/>
          <w:sz w:val="26"/>
          <w:szCs w:val="26"/>
        </w:rPr>
        <w:footnoteReference w:id="35"/>
      </w:r>
      <w:r w:rsidRPr="00E440EA">
        <w:rPr>
          <w:rFonts w:ascii="Book Antiqua" w:hAnsi="Book Antiqua" w:eastAsia="Times New Roman" w:cs="Times New Roman"/>
          <w:sz w:val="26"/>
          <w:szCs w:val="26"/>
        </w:rPr>
        <w:t xml:space="preserve"> </w:t>
      </w:r>
    </w:p>
    <w:p w:rsidRPr="00E440EA" w:rsidR="00CE64EE" w:rsidP="00E440EA" w:rsidRDefault="00CE64EE" w14:paraId="7A22881D" w14:textId="77777777">
      <w:pPr>
        <w:rPr>
          <w:rFonts w:eastAsia="Times New Roman" w:cs="Times New Roman"/>
          <w:szCs w:val="26"/>
        </w:rPr>
      </w:pPr>
      <w:r w:rsidRPr="00E440EA">
        <w:rPr>
          <w:rFonts w:eastAsia="Times New Roman" w:cs="Times New Roman"/>
          <w:szCs w:val="26"/>
        </w:rPr>
        <w:t>Liberty emphasized that the methodology is generally consistent with its prior GRC settlement but includes targeted refinements to improve alignment with current system conditions and cost causation principles.</w:t>
      </w:r>
      <w:r w:rsidRPr="00E440EA">
        <w:rPr>
          <w:rStyle w:val="FootnoteReference"/>
          <w:rFonts w:eastAsia="Times New Roman" w:cs="Times New Roman"/>
          <w:szCs w:val="26"/>
        </w:rPr>
        <w:footnoteReference w:id="36"/>
      </w:r>
    </w:p>
    <w:p w:rsidRPr="00E440EA" w:rsidR="00CE64EE" w:rsidP="00D56DCF" w:rsidRDefault="004306E7" w14:paraId="19CCA9F6" w14:textId="5E307D49">
      <w:pPr>
        <w:rPr>
          <w:rStyle w:val="FootnoteReference"/>
          <w:rFonts w:eastAsia="Times New Roman" w:cs="Times New Roman"/>
          <w:szCs w:val="26"/>
        </w:rPr>
      </w:pPr>
      <w:r>
        <w:rPr>
          <w:rFonts w:eastAsia="Times New Roman" w:cs="Times New Roman"/>
          <w:szCs w:val="26"/>
        </w:rPr>
        <w:t>T</w:t>
      </w:r>
      <w:r w:rsidRPr="00E440EA" w:rsidR="00CE64EE">
        <w:rPr>
          <w:rFonts w:eastAsia="Times New Roman" w:cs="Times New Roman"/>
          <w:szCs w:val="26"/>
        </w:rPr>
        <w:t>ERG highlighted data limitations, such as estimated class-level hourly usage, lack of account-level TOU histories, and lingering pre-2022 class coding issues, to argue that these shortcomings undermine the reliability of using the MCOS to justify maintaining separate classes.</w:t>
      </w:r>
      <w:r w:rsidRPr="00E440EA" w:rsidR="00CE64EE">
        <w:rPr>
          <w:rStyle w:val="FootnoteReference"/>
          <w:rFonts w:eastAsia="Times New Roman" w:cs="Times New Roman"/>
          <w:szCs w:val="26"/>
        </w:rPr>
        <w:footnoteReference w:id="37"/>
      </w:r>
      <w:r w:rsidRPr="00E440EA" w:rsidR="00CE64EE">
        <w:rPr>
          <w:rFonts w:eastAsia="Times New Roman" w:cs="Times New Roman"/>
          <w:szCs w:val="26"/>
        </w:rPr>
        <w:t xml:space="preserve"> </w:t>
      </w:r>
      <w:r w:rsidR="00F022EF">
        <w:rPr>
          <w:rFonts w:eastAsia="Times New Roman" w:cs="Times New Roman"/>
          <w:szCs w:val="26"/>
        </w:rPr>
        <w:t xml:space="preserve">TERG’s position is unconvincing and </w:t>
      </w:r>
      <w:r w:rsidR="009D40A0">
        <w:rPr>
          <w:rFonts w:eastAsia="Times New Roman" w:cs="Times New Roman"/>
          <w:szCs w:val="26"/>
        </w:rPr>
        <w:t>th</w:t>
      </w:r>
      <w:r w:rsidR="00972EC4">
        <w:rPr>
          <w:rFonts w:eastAsia="Times New Roman" w:cs="Times New Roman"/>
          <w:szCs w:val="26"/>
        </w:rPr>
        <w:t xml:space="preserve">is </w:t>
      </w:r>
      <w:r w:rsidR="005F5724">
        <w:rPr>
          <w:rFonts w:eastAsia="Times New Roman" w:cs="Times New Roman"/>
          <w:szCs w:val="26"/>
        </w:rPr>
        <w:t>Proposed D</w:t>
      </w:r>
      <w:r w:rsidR="00972EC4">
        <w:rPr>
          <w:rFonts w:eastAsia="Times New Roman" w:cs="Times New Roman"/>
          <w:szCs w:val="26"/>
        </w:rPr>
        <w:t>ecision declines to</w:t>
      </w:r>
      <w:r w:rsidR="00330C5F">
        <w:rPr>
          <w:rFonts w:eastAsia="Times New Roman" w:cs="Times New Roman"/>
          <w:szCs w:val="26"/>
        </w:rPr>
        <w:t xml:space="preserve"> deviate</w:t>
      </w:r>
      <w:r w:rsidR="00F022EF">
        <w:rPr>
          <w:rFonts w:eastAsia="Times New Roman" w:cs="Times New Roman"/>
          <w:szCs w:val="26"/>
        </w:rPr>
        <w:t xml:space="preserve"> from Liberty’s robust MCOS. </w:t>
      </w:r>
    </w:p>
    <w:p w:rsidRPr="00E440EA" w:rsidR="00CE64EE" w:rsidP="00E440EA" w:rsidRDefault="00CE64EE" w14:paraId="5BA10BB8" w14:textId="595BF326">
      <w:pPr>
        <w:rPr>
          <w:rFonts w:eastAsia="Times New Roman" w:cs="Times New Roman"/>
          <w:szCs w:val="26"/>
        </w:rPr>
      </w:pPr>
      <w:r w:rsidRPr="00E440EA">
        <w:rPr>
          <w:rFonts w:eastAsia="Times New Roman" w:cs="Times New Roman"/>
          <w:szCs w:val="26"/>
        </w:rPr>
        <w:lastRenderedPageBreak/>
        <w:t xml:space="preserve">While the Settlement Agreement proposed by </w:t>
      </w:r>
      <w:r w:rsidR="00B8614A">
        <w:rPr>
          <w:rFonts w:eastAsia="Times New Roman" w:cs="Times New Roman"/>
          <w:szCs w:val="26"/>
        </w:rPr>
        <w:t>S</w:t>
      </w:r>
      <w:r w:rsidRPr="00E440EA">
        <w:rPr>
          <w:rFonts w:eastAsia="Times New Roman" w:cs="Times New Roman"/>
          <w:szCs w:val="26"/>
        </w:rPr>
        <w:t xml:space="preserve">ettling </w:t>
      </w:r>
      <w:r w:rsidR="00B8614A">
        <w:rPr>
          <w:rFonts w:eastAsia="Times New Roman" w:cs="Times New Roman"/>
          <w:szCs w:val="26"/>
        </w:rPr>
        <w:t>P</w:t>
      </w:r>
      <w:r w:rsidRPr="00E440EA">
        <w:rPr>
          <w:rFonts w:eastAsia="Times New Roman" w:cs="Times New Roman"/>
          <w:szCs w:val="26"/>
        </w:rPr>
        <w:t>arties did not explicitly address Issue 5 of the Scoping Ruling by determining whether the marginal cost study and its results were reasonable, parties did reach consensus on the overall revenue requirement, which draws heavily on the outputs and findings of the MCOS study. The S</w:t>
      </w:r>
      <w:r w:rsidR="00B8614A">
        <w:rPr>
          <w:rFonts w:eastAsia="Times New Roman" w:cs="Times New Roman"/>
          <w:szCs w:val="26"/>
        </w:rPr>
        <w:t>ettlement Agreement</w:t>
      </w:r>
      <w:r w:rsidRPr="00E440EA">
        <w:rPr>
          <w:rFonts w:eastAsia="Times New Roman" w:cs="Times New Roman"/>
          <w:szCs w:val="26"/>
        </w:rPr>
        <w:t xml:space="preserve"> also noted that it was based on the position on revenue requirement demonstrated in Direct Testimony and Workpapers of Liberty, Chapter 9 of which includes the MCOS study.</w:t>
      </w:r>
      <w:r w:rsidRPr="00E440EA">
        <w:rPr>
          <w:rStyle w:val="FootnoteReference"/>
          <w:rFonts w:eastAsia="Times New Roman" w:cs="Times New Roman"/>
          <w:szCs w:val="26"/>
        </w:rPr>
        <w:footnoteReference w:id="38"/>
      </w:r>
      <w:r w:rsidRPr="00E440EA">
        <w:rPr>
          <w:rFonts w:eastAsia="Times New Roman" w:cs="Times New Roman"/>
          <w:szCs w:val="26"/>
        </w:rPr>
        <w:t xml:space="preserve"> In light of the adopted MCOS study </w:t>
      </w:r>
      <w:r w:rsidR="006B5395">
        <w:rPr>
          <w:rFonts w:eastAsia="Times New Roman" w:cs="Times New Roman"/>
          <w:szCs w:val="26"/>
        </w:rPr>
        <w:t>i</w:t>
      </w:r>
      <w:r w:rsidRPr="00E440EA">
        <w:rPr>
          <w:rFonts w:eastAsia="Times New Roman" w:cs="Times New Roman"/>
          <w:szCs w:val="26"/>
        </w:rPr>
        <w:t xml:space="preserve">n the record and the reliance on its outputs by parties to the </w:t>
      </w:r>
      <w:r w:rsidR="006B5395">
        <w:rPr>
          <w:rFonts w:eastAsia="Times New Roman" w:cs="Times New Roman"/>
          <w:szCs w:val="26"/>
        </w:rPr>
        <w:t>Settlement Agreement</w:t>
      </w:r>
      <w:r w:rsidRPr="00E440EA">
        <w:rPr>
          <w:rFonts w:eastAsia="Times New Roman" w:cs="Times New Roman"/>
          <w:szCs w:val="26"/>
        </w:rPr>
        <w:t xml:space="preserve">, the Commission finds the available data and the methodology employed by Liberty in its MCOS study and its results to be reasonable. </w:t>
      </w:r>
    </w:p>
    <w:p w:rsidR="00E440EA" w:rsidP="00CE64EE" w:rsidRDefault="00CE64EE" w14:paraId="12D21125" w14:textId="1F0156DF">
      <w:pPr>
        <w:pStyle w:val="Standard"/>
        <w:rPr>
          <w:rFonts w:eastAsia="Times New Roman" w:cs="Times New Roman"/>
        </w:rPr>
      </w:pPr>
      <w:r w:rsidRPr="53FB40AF">
        <w:rPr>
          <w:rFonts w:eastAsia="Times New Roman" w:cs="Times New Roman"/>
        </w:rPr>
        <w:t xml:space="preserve">Additionally, the Commission directs Liberty in its next </w:t>
      </w:r>
      <w:r w:rsidRPr="53FB40AF" w:rsidR="00D56DCF">
        <w:rPr>
          <w:rFonts w:eastAsia="Times New Roman" w:cs="Times New Roman"/>
        </w:rPr>
        <w:t>GRC</w:t>
      </w:r>
      <w:r w:rsidRPr="53FB40AF">
        <w:rPr>
          <w:rFonts w:eastAsia="Times New Roman" w:cs="Times New Roman"/>
        </w:rPr>
        <w:t xml:space="preserve"> to conduct a more comprehensive and data-driven MCOS study that leverages Advanced Metering Infrastructure (AMI) interval data </w:t>
      </w:r>
      <w:r w:rsidRPr="0CE6E9D9" w:rsidR="13BFD0E9">
        <w:rPr>
          <w:rFonts w:eastAsia="Times New Roman" w:cs="Times New Roman"/>
        </w:rPr>
        <w:t>in</w:t>
      </w:r>
      <w:r w:rsidRPr="42D7A8A2" w:rsidR="13BFD0E9">
        <w:rPr>
          <w:rFonts w:eastAsia="Times New Roman" w:cs="Times New Roman"/>
        </w:rPr>
        <w:t xml:space="preserve"> consultation </w:t>
      </w:r>
      <w:r w:rsidRPr="7C610F41" w:rsidR="13BFD0E9">
        <w:rPr>
          <w:rFonts w:eastAsia="Times New Roman" w:cs="Times New Roman"/>
        </w:rPr>
        <w:t>with Energy Division</w:t>
      </w:r>
      <w:r w:rsidRPr="53FB40AF">
        <w:rPr>
          <w:rFonts w:eastAsia="Times New Roman" w:cs="Times New Roman"/>
        </w:rPr>
        <w:t xml:space="preserve">. The Commission recognizes that current MCOS results are constrained by estimated load shapes, limited account-level TOU information, and legacy customer classification issues. As AMI implementation expands, it is reasonable to expect Liberty to develop sufficiently detailed and empirically grounded analyses of billing determinants, including customer load profiles, peak demand contributions, and hourly and seasonal usage patterns at a level of granularity not currently possible with analog meters. </w:t>
      </w:r>
    </w:p>
    <w:p w:rsidR="002D5ACB" w:rsidP="00CE64EE" w:rsidRDefault="00CE64EE" w14:paraId="2DFAE5C8" w14:textId="55CB5AF2">
      <w:pPr>
        <w:pStyle w:val="Standard"/>
        <w:rPr>
          <w:rFonts w:eastAsia="Times New Roman" w:cs="Times New Roman"/>
        </w:rPr>
      </w:pPr>
      <w:r w:rsidRPr="0838D1B8">
        <w:rPr>
          <w:rFonts w:eastAsia="Times New Roman" w:cs="Times New Roman"/>
        </w:rPr>
        <w:t xml:space="preserve">The Commission therefore expects Liberty to use this enhanced data capability to produce a more detailed, transparent, auditable, and analytically </w:t>
      </w:r>
      <w:r w:rsidRPr="0838D1B8">
        <w:rPr>
          <w:rFonts w:eastAsia="Times New Roman" w:cs="Times New Roman"/>
        </w:rPr>
        <w:lastRenderedPageBreak/>
        <w:t>robust MCOS study that better informs customer class structure, revenue allocation, and rate design features and options</w:t>
      </w:r>
      <w:proofErr w:type="gramStart"/>
      <w:r w:rsidRPr="0838D1B8">
        <w:rPr>
          <w:rFonts w:eastAsia="Times New Roman" w:cs="Times New Roman"/>
        </w:rPr>
        <w:t>. .</w:t>
      </w:r>
      <w:proofErr w:type="gramEnd"/>
    </w:p>
    <w:p w:rsidRPr="00A52A6C" w:rsidR="00E440EA" w:rsidP="000C0F1A" w:rsidRDefault="00E440EA" w14:paraId="346C71EE" w14:textId="70C22F36">
      <w:pPr>
        <w:pStyle w:val="Heading3"/>
      </w:pPr>
      <w:bookmarkStart w:name="_Toc224569306" w:id="29"/>
      <w:r w:rsidRPr="000C0F1A">
        <w:t>Non</w:t>
      </w:r>
      <w:r w:rsidRPr="000C0F1A" w:rsidR="0098214E">
        <w:t>p</w:t>
      </w:r>
      <w:r w:rsidRPr="000C0F1A">
        <w:t>ermanent</w:t>
      </w:r>
      <w:r w:rsidRPr="00A52A6C">
        <w:t xml:space="preserve"> Residential Class</w:t>
      </w:r>
      <w:bookmarkEnd w:id="29"/>
    </w:p>
    <w:p w:rsidRPr="0098214E" w:rsidR="0098214E" w:rsidP="0028399C" w:rsidRDefault="0098214E" w14:paraId="759BCD29" w14:textId="20CC33E4">
      <w:pPr>
        <w:rPr>
          <w:rFonts w:eastAsia="Times New Roman" w:cs="Times New Roman"/>
        </w:rPr>
      </w:pPr>
      <w:r w:rsidRPr="0098214E">
        <w:rPr>
          <w:rFonts w:eastAsia="Times New Roman" w:cs="Times New Roman"/>
        </w:rPr>
        <w:t xml:space="preserve">Liberty proposed to consolidate the </w:t>
      </w:r>
      <w:r w:rsidR="003A0890">
        <w:rPr>
          <w:rFonts w:eastAsia="Times New Roman" w:cs="Times New Roman"/>
        </w:rPr>
        <w:t>r</w:t>
      </w:r>
      <w:r w:rsidRPr="0098214E">
        <w:rPr>
          <w:rFonts w:eastAsia="Times New Roman" w:cs="Times New Roman"/>
        </w:rPr>
        <w:t>esidential permanent and non-permanent rate classes into a single residential class, arguing that its MCOS study shows insufficient cost differences to justify maintaining separate tariffs.</w:t>
      </w:r>
      <w:r w:rsidRPr="0098214E">
        <w:rPr>
          <w:rStyle w:val="FootnoteReference"/>
          <w:rFonts w:eastAsia="Times New Roman" w:cs="Times New Roman"/>
        </w:rPr>
        <w:footnoteReference w:id="39"/>
      </w:r>
      <w:r w:rsidRPr="0098214E">
        <w:rPr>
          <w:rFonts w:eastAsia="Times New Roman" w:cs="Times New Roman"/>
        </w:rPr>
        <w:t xml:space="preserve"> Liberty emphasized that differences in marginal cost per </w:t>
      </w:r>
      <w:r w:rsidR="006B5395">
        <w:rPr>
          <w:rFonts w:eastAsia="Times New Roman" w:cs="Times New Roman"/>
        </w:rPr>
        <w:t>kilowatt-hour</w:t>
      </w:r>
      <w:r w:rsidRPr="0098214E">
        <w:rPr>
          <w:rFonts w:eastAsia="Times New Roman" w:cs="Times New Roman"/>
        </w:rPr>
        <w:t xml:space="preserve"> between the two groups were relatively small and contended that consolidation would improve administrative clarity, reduce disputes over customer qualification, and align with the Commission’s direction to recover more fixed costs through customer charges rather than volumetric rates.</w:t>
      </w:r>
      <w:r w:rsidRPr="0098214E">
        <w:rPr>
          <w:rStyle w:val="FootnoteReference"/>
          <w:rFonts w:eastAsia="Times New Roman" w:cs="Times New Roman"/>
        </w:rPr>
        <w:footnoteReference w:id="40"/>
      </w:r>
      <w:r w:rsidRPr="0098214E">
        <w:rPr>
          <w:rFonts w:eastAsia="Times New Roman" w:cs="Times New Roman"/>
        </w:rPr>
        <w:t xml:space="preserve"> Liberty also linked consolidation to the introduction of higher fixed charges, asserting that once fixed, non-usage driven costs are recovered uniformly, the rationale for separate residential subclasses diminishes.</w:t>
      </w:r>
      <w:r w:rsidRPr="0098214E">
        <w:rPr>
          <w:rStyle w:val="FootnoteReference"/>
          <w:rFonts w:eastAsia="Times New Roman" w:cs="Times New Roman"/>
        </w:rPr>
        <w:footnoteReference w:id="41"/>
      </w:r>
    </w:p>
    <w:p w:rsidR="0098214E" w:rsidP="00180AC3" w:rsidRDefault="0098214E" w14:paraId="6970449E" w14:textId="63D12290">
      <w:pPr>
        <w:rPr>
          <w:rFonts w:eastAsia="Times New Roman" w:cs="Times New Roman"/>
        </w:rPr>
      </w:pPr>
      <w:r w:rsidRPr="0098214E">
        <w:rPr>
          <w:rFonts w:eastAsia="Times New Roman" w:cs="Times New Roman"/>
        </w:rPr>
        <w:t xml:space="preserve">Opposing parties, notably TURN, </w:t>
      </w:r>
      <w:r w:rsidR="00FB3538">
        <w:rPr>
          <w:rFonts w:eastAsia="Times New Roman" w:cs="Times New Roman"/>
        </w:rPr>
        <w:t xml:space="preserve">Tahoe </w:t>
      </w:r>
      <w:r w:rsidRPr="0098214E">
        <w:rPr>
          <w:rFonts w:eastAsia="Times New Roman" w:cs="Times New Roman"/>
        </w:rPr>
        <w:t xml:space="preserve">SPARK, and SBUA, argued that consolidation would improperly shift costs onto permanent residents and undermine cost causation in a system characterized by tourism-driven seasonal peaks. TURN pointed to Liberty’s own MCOS study results showing an approximately 15.7 percent difference in cost to serve permanent versus non-permanent customers, which </w:t>
      </w:r>
      <w:r w:rsidR="006B5395">
        <w:rPr>
          <w:rFonts w:eastAsia="Times New Roman" w:cs="Times New Roman"/>
        </w:rPr>
        <w:t>it</w:t>
      </w:r>
      <w:r w:rsidRPr="0098214E">
        <w:rPr>
          <w:rFonts w:eastAsia="Times New Roman" w:cs="Times New Roman"/>
        </w:rPr>
        <w:t xml:space="preserve"> argued is material rather than de minimis.</w:t>
      </w:r>
      <w:r w:rsidRPr="0098214E">
        <w:rPr>
          <w:rStyle w:val="FootnoteReference"/>
          <w:rFonts w:eastAsia="Times New Roman" w:cs="Times New Roman"/>
        </w:rPr>
        <w:footnoteReference w:id="42"/>
      </w:r>
      <w:r w:rsidRPr="0098214E">
        <w:rPr>
          <w:rFonts w:eastAsia="Times New Roman" w:cs="Times New Roman"/>
        </w:rPr>
        <w:t xml:space="preserve"> Additionally, </w:t>
      </w:r>
      <w:r w:rsidR="006B5395">
        <w:rPr>
          <w:rFonts w:eastAsia="Times New Roman" w:cs="Times New Roman"/>
        </w:rPr>
        <w:t xml:space="preserve">Tahoe </w:t>
      </w:r>
      <w:r w:rsidRPr="0098214E">
        <w:rPr>
          <w:rFonts w:eastAsia="Times New Roman" w:cs="Times New Roman"/>
        </w:rPr>
        <w:t xml:space="preserve">SPARK asserted that non-permanent customers disproportionately drive winter peak demand, wildfire risk exposure, and capital </w:t>
      </w:r>
      <w:r w:rsidRPr="0098214E">
        <w:rPr>
          <w:rFonts w:eastAsia="Times New Roman" w:cs="Times New Roman"/>
        </w:rPr>
        <w:lastRenderedPageBreak/>
        <w:t>investment needs, and that collapsing the classes would dilute signals intended to reflect those impacts and worsen affordability for year-round residents.</w:t>
      </w:r>
      <w:r w:rsidRPr="0098214E">
        <w:rPr>
          <w:rStyle w:val="FootnoteReference"/>
          <w:rFonts w:eastAsia="Times New Roman" w:cs="Times New Roman"/>
        </w:rPr>
        <w:footnoteReference w:id="43"/>
      </w:r>
    </w:p>
    <w:p w:rsidRPr="0098214E" w:rsidR="0098214E" w:rsidP="00E94A7A" w:rsidRDefault="0098214E" w14:paraId="16FC902E" w14:textId="490233D7">
      <w:pPr>
        <w:rPr>
          <w:rFonts w:eastAsia="Times New Roman" w:cs="Times New Roman"/>
        </w:rPr>
      </w:pPr>
      <w:r w:rsidRPr="0098214E">
        <w:rPr>
          <w:rFonts w:eastAsia="Times New Roman" w:cs="Times New Roman"/>
        </w:rPr>
        <w:t>T</w:t>
      </w:r>
      <w:r w:rsidR="00FB3538">
        <w:rPr>
          <w:rFonts w:eastAsia="Times New Roman" w:cs="Times New Roman"/>
        </w:rPr>
        <w:t>ERG</w:t>
      </w:r>
      <w:r w:rsidRPr="0098214E">
        <w:rPr>
          <w:rFonts w:eastAsia="Times New Roman" w:cs="Times New Roman"/>
        </w:rPr>
        <w:t xml:space="preserve"> supported consolidation, asserting that the MCOS-derived cost differences are modest when viewed relative to the overall residential average and that the study’s fixed-cost allocations between the two residential subclasses are inherently arbitrary and difficult to audit.</w:t>
      </w:r>
      <w:r w:rsidRPr="0098214E">
        <w:rPr>
          <w:rStyle w:val="FootnoteReference"/>
          <w:rFonts w:eastAsia="Times New Roman" w:cs="Times New Roman"/>
        </w:rPr>
        <w:footnoteReference w:id="44"/>
      </w:r>
      <w:r w:rsidRPr="0098214E">
        <w:rPr>
          <w:rFonts w:eastAsia="Times New Roman" w:cs="Times New Roman"/>
        </w:rPr>
        <w:t xml:space="preserve"> T</w:t>
      </w:r>
      <w:r w:rsidR="00FB3538">
        <w:rPr>
          <w:rFonts w:eastAsia="Times New Roman" w:cs="Times New Roman"/>
        </w:rPr>
        <w:t>ERG</w:t>
      </w:r>
      <w:r w:rsidRPr="0098214E">
        <w:rPr>
          <w:rFonts w:eastAsia="Times New Roman" w:cs="Times New Roman"/>
        </w:rPr>
        <w:t xml:space="preserve"> highlighted data limitations, such as estimated class-level hourly usage, lack of account-level TOU histories, and lingering pre-2022 class coding issues, to argue that these shortcomings undermine the reliability of using the MCOS study to justify maintaining separate classes.</w:t>
      </w:r>
      <w:r w:rsidRPr="0098214E">
        <w:rPr>
          <w:rStyle w:val="FootnoteReference"/>
          <w:rFonts w:eastAsia="Times New Roman" w:cs="Times New Roman"/>
        </w:rPr>
        <w:footnoteReference w:id="45"/>
      </w:r>
      <w:r w:rsidRPr="0098214E">
        <w:rPr>
          <w:rFonts w:eastAsia="Times New Roman" w:cs="Times New Roman"/>
        </w:rPr>
        <w:t xml:space="preserve"> However, T</w:t>
      </w:r>
      <w:r w:rsidR="00FB3538">
        <w:rPr>
          <w:rFonts w:eastAsia="Times New Roman" w:cs="Times New Roman"/>
        </w:rPr>
        <w:t xml:space="preserve">ERG </w:t>
      </w:r>
      <w:r w:rsidRPr="0098214E">
        <w:rPr>
          <w:rFonts w:eastAsia="Times New Roman" w:cs="Times New Roman"/>
        </w:rPr>
        <w:t>did not propose an alternative analytical framework to replace Liberty’s MCOS study approach.</w:t>
      </w:r>
    </w:p>
    <w:p w:rsidRPr="0098214E" w:rsidR="0098214E" w:rsidP="0098214E" w:rsidRDefault="0098214E" w14:paraId="119AD40E" w14:textId="6F4A5A02">
      <w:pPr>
        <w:pStyle w:val="Standard"/>
        <w:rPr>
          <w:rFonts w:eastAsia="Times New Roman" w:cs="Times New Roman"/>
        </w:rPr>
      </w:pPr>
      <w:r w:rsidRPr="0098214E">
        <w:rPr>
          <w:rFonts w:eastAsia="Times New Roman" w:cs="Times New Roman"/>
        </w:rPr>
        <w:t>While</w:t>
      </w:r>
      <w:r w:rsidRPr="71407953" w:rsidR="089A8677">
        <w:rPr>
          <w:rFonts w:eastAsia="Times New Roman" w:cs="Times New Roman"/>
        </w:rPr>
        <w:t xml:space="preserve"> </w:t>
      </w:r>
      <w:r w:rsidR="00F45B36">
        <w:rPr>
          <w:rFonts w:eastAsia="Times New Roman" w:cs="Times New Roman"/>
        </w:rPr>
        <w:t>P</w:t>
      </w:r>
      <w:r w:rsidRPr="3F5E655A" w:rsidR="089A8677">
        <w:rPr>
          <w:rFonts w:eastAsia="Times New Roman" w:cs="Times New Roman"/>
        </w:rPr>
        <w:t xml:space="preserve">arties raise </w:t>
      </w:r>
      <w:r w:rsidRPr="534B790F" w:rsidR="089A8677">
        <w:rPr>
          <w:rFonts w:eastAsia="Times New Roman" w:cs="Times New Roman"/>
        </w:rPr>
        <w:t xml:space="preserve">legitimate </w:t>
      </w:r>
      <w:r w:rsidRPr="7C442513" w:rsidR="089A8677">
        <w:rPr>
          <w:rFonts w:eastAsia="Times New Roman" w:cs="Times New Roman"/>
        </w:rPr>
        <w:t>methodological</w:t>
      </w:r>
      <w:r w:rsidRPr="0140E399" w:rsidR="089A8677">
        <w:rPr>
          <w:rFonts w:eastAsia="Times New Roman" w:cs="Times New Roman"/>
        </w:rPr>
        <w:t xml:space="preserve"> questions </w:t>
      </w:r>
      <w:r w:rsidRPr="7AA30ADD" w:rsidR="089A8677">
        <w:rPr>
          <w:rFonts w:eastAsia="Times New Roman" w:cs="Times New Roman"/>
        </w:rPr>
        <w:t>in response to</w:t>
      </w:r>
      <w:r w:rsidRPr="0098214E">
        <w:rPr>
          <w:rFonts w:eastAsia="Times New Roman" w:cs="Times New Roman"/>
        </w:rPr>
        <w:t xml:space="preserve"> Liberty’s MCOS study analysis, including </w:t>
      </w:r>
      <w:r w:rsidRPr="2D370B42" w:rsidR="4C5E2548">
        <w:rPr>
          <w:rFonts w:eastAsia="Times New Roman" w:cs="Times New Roman"/>
        </w:rPr>
        <w:t xml:space="preserve">concerns regarding </w:t>
      </w:r>
      <w:r w:rsidRPr="2D370B42" w:rsidR="42268461">
        <w:rPr>
          <w:rFonts w:eastAsia="Times New Roman" w:cs="Times New Roman"/>
        </w:rPr>
        <w:t>data</w:t>
      </w:r>
      <w:r w:rsidRPr="0098214E">
        <w:rPr>
          <w:rFonts w:eastAsia="Times New Roman" w:cs="Times New Roman"/>
        </w:rPr>
        <w:t xml:space="preserve"> </w:t>
      </w:r>
      <w:r w:rsidRPr="3399763D" w:rsidR="43695EA9">
        <w:rPr>
          <w:rFonts w:eastAsia="Times New Roman" w:cs="Times New Roman"/>
        </w:rPr>
        <w:t>robustness</w:t>
      </w:r>
      <w:r w:rsidRPr="0098214E">
        <w:rPr>
          <w:rFonts w:eastAsia="Times New Roman" w:cs="Times New Roman"/>
        </w:rPr>
        <w:t xml:space="preserve"> and allocation assumptions, we are not persuaded </w:t>
      </w:r>
      <w:r w:rsidRPr="3C71B45D" w:rsidR="4B5564AE">
        <w:rPr>
          <w:rFonts w:eastAsia="Times New Roman" w:cs="Times New Roman"/>
        </w:rPr>
        <w:t xml:space="preserve">it is prudent </w:t>
      </w:r>
      <w:r w:rsidRPr="3C71B45D" w:rsidR="42268461">
        <w:rPr>
          <w:rFonts w:eastAsia="Times New Roman" w:cs="Times New Roman"/>
        </w:rPr>
        <w:t>to</w:t>
      </w:r>
      <w:r w:rsidRPr="0098214E">
        <w:rPr>
          <w:rFonts w:eastAsia="Times New Roman" w:cs="Times New Roman"/>
        </w:rPr>
        <w:t xml:space="preserve"> make a permanent structural </w:t>
      </w:r>
      <w:r w:rsidRPr="67B9A0F3" w:rsidR="42268461">
        <w:rPr>
          <w:rFonts w:eastAsia="Times New Roman" w:cs="Times New Roman"/>
        </w:rPr>
        <w:t>change</w:t>
      </w:r>
      <w:r w:rsidRPr="67B9A0F3" w:rsidR="596949AD">
        <w:rPr>
          <w:rFonts w:eastAsia="Times New Roman" w:cs="Times New Roman"/>
        </w:rPr>
        <w:t xml:space="preserve"> in rates</w:t>
      </w:r>
      <w:r w:rsidRPr="0098214E">
        <w:rPr>
          <w:rFonts w:eastAsia="Times New Roman" w:cs="Times New Roman"/>
        </w:rPr>
        <w:t xml:space="preserve"> by consolidating these residential classes based on incomplete and contested evidence. The 15.7 percent differential in cost to serve permanent versus non-permanent customers is indeed a material difference that merits maintaining this separation for the time being.  Further, </w:t>
      </w:r>
      <w:r w:rsidR="006E4DA0">
        <w:rPr>
          <w:rFonts w:eastAsia="Times New Roman" w:cs="Times New Roman"/>
        </w:rPr>
        <w:t>T</w:t>
      </w:r>
      <w:r w:rsidRPr="0098214E">
        <w:rPr>
          <w:rFonts w:eastAsia="Times New Roman" w:cs="Times New Roman"/>
        </w:rPr>
        <w:t>ERG’s observation of a lack of robustness of the underlying data for the MCOS and the absence of an alternative methodology by parties in general supports maintaining the separation in permanent and non-permanent residential classes until a more granular, transparent, and defensible analysis of these determinants can be conducted. It is reasonable to</w:t>
      </w:r>
      <w:r>
        <w:rPr>
          <w:rFonts w:eastAsia="Times New Roman" w:cs="Times New Roman"/>
        </w:rPr>
        <w:t xml:space="preserve"> </w:t>
      </w:r>
      <w:r w:rsidRPr="0098214E">
        <w:rPr>
          <w:rFonts w:eastAsia="Times New Roman" w:cs="Times New Roman"/>
        </w:rPr>
        <w:t xml:space="preserve">conclude that a more conclusive analysis </w:t>
      </w:r>
      <w:r w:rsidRPr="0098214E">
        <w:rPr>
          <w:rFonts w:eastAsia="Times New Roman" w:cs="Times New Roman"/>
        </w:rPr>
        <w:lastRenderedPageBreak/>
        <w:t>will be possible once smart meters are more widely proliferated amongst residential customers in Liberty’s service territory and widespread interval usage data can support a more thorough MCOS</w:t>
      </w:r>
      <w:r w:rsidRPr="485F698E" w:rsidR="2E4F4691">
        <w:rPr>
          <w:rFonts w:eastAsia="Times New Roman" w:cs="Times New Roman"/>
        </w:rPr>
        <w:t xml:space="preserve"> </w:t>
      </w:r>
      <w:r w:rsidRPr="666EC018" w:rsidR="2E4F4691">
        <w:rPr>
          <w:rFonts w:eastAsia="Times New Roman" w:cs="Times New Roman"/>
        </w:rPr>
        <w:t>study</w:t>
      </w:r>
      <w:r w:rsidRPr="666EC018" w:rsidR="42268461">
        <w:rPr>
          <w:rFonts w:eastAsia="Times New Roman" w:cs="Times New Roman"/>
        </w:rPr>
        <w:t>.</w:t>
      </w:r>
    </w:p>
    <w:p w:rsidRPr="0098214E" w:rsidR="0098214E" w:rsidP="00C2030F" w:rsidRDefault="0098214E" w14:paraId="7BC5CF22" w14:textId="6BEB8A3B">
      <w:pPr>
        <w:rPr>
          <w:rFonts w:eastAsia="Times New Roman" w:cs="Times New Roman"/>
        </w:rPr>
      </w:pPr>
      <w:r w:rsidRPr="0098214E">
        <w:rPr>
          <w:rFonts w:eastAsia="Times New Roman" w:cs="Times New Roman"/>
        </w:rPr>
        <w:t xml:space="preserve">We therefore determine that the residential permanent and non-permanent rate classes should remain separate in this </w:t>
      </w:r>
      <w:r w:rsidR="00B6279D">
        <w:rPr>
          <w:rFonts w:eastAsia="Times New Roman" w:cs="Times New Roman"/>
        </w:rPr>
        <w:t>rate case period</w:t>
      </w:r>
      <w:r w:rsidRPr="0098214E">
        <w:rPr>
          <w:rFonts w:eastAsia="Times New Roman" w:cs="Times New Roman"/>
        </w:rPr>
        <w:t>. The Commission finds that neither Liberty nor T</w:t>
      </w:r>
      <w:r w:rsidR="00FB3538">
        <w:rPr>
          <w:rFonts w:eastAsia="Times New Roman" w:cs="Times New Roman"/>
        </w:rPr>
        <w:t>ERG</w:t>
      </w:r>
      <w:r w:rsidRPr="0098214E">
        <w:rPr>
          <w:rFonts w:eastAsia="Times New Roman" w:cs="Times New Roman"/>
        </w:rPr>
        <w:t xml:space="preserve"> ha</w:t>
      </w:r>
      <w:r w:rsidR="006E4DA0">
        <w:rPr>
          <w:rFonts w:eastAsia="Times New Roman" w:cs="Times New Roman"/>
        </w:rPr>
        <w:t>s</w:t>
      </w:r>
      <w:r w:rsidRPr="0098214E">
        <w:rPr>
          <w:rFonts w:eastAsia="Times New Roman" w:cs="Times New Roman"/>
        </w:rPr>
        <w:t xml:space="preserve"> demonstrated that consolidation would be </w:t>
      </w:r>
      <w:proofErr w:type="gramStart"/>
      <w:r w:rsidRPr="0098214E">
        <w:rPr>
          <w:rFonts w:eastAsia="Times New Roman" w:cs="Times New Roman"/>
        </w:rPr>
        <w:t>just,</w:t>
      </w:r>
      <w:proofErr w:type="gramEnd"/>
      <w:r w:rsidRPr="0098214E">
        <w:rPr>
          <w:rFonts w:eastAsia="Times New Roman" w:cs="Times New Roman"/>
        </w:rPr>
        <w:t xml:space="preserve"> reasonable, and consistent with cost causation principles, particularly </w:t>
      </w:r>
      <w:proofErr w:type="gramStart"/>
      <w:r w:rsidRPr="0098214E">
        <w:rPr>
          <w:rFonts w:eastAsia="Times New Roman" w:cs="Times New Roman"/>
        </w:rPr>
        <w:t>in light of</w:t>
      </w:r>
      <w:proofErr w:type="gramEnd"/>
      <w:r w:rsidRPr="0098214E">
        <w:rPr>
          <w:rFonts w:eastAsia="Times New Roman" w:cs="Times New Roman"/>
        </w:rPr>
        <w:t xml:space="preserve"> acknowledged MCOS </w:t>
      </w:r>
      <w:r w:rsidRPr="7AC44293" w:rsidR="003E1BA4">
        <w:rPr>
          <w:rFonts w:eastAsia="Times New Roman" w:cs="Times New Roman"/>
        </w:rPr>
        <w:t xml:space="preserve">study </w:t>
      </w:r>
      <w:r w:rsidRPr="7AC44293" w:rsidR="42268461">
        <w:rPr>
          <w:rFonts w:eastAsia="Times New Roman" w:cs="Times New Roman"/>
        </w:rPr>
        <w:t>limitations</w:t>
      </w:r>
      <w:r w:rsidRPr="0098214E">
        <w:rPr>
          <w:rFonts w:eastAsia="Times New Roman" w:cs="Times New Roman"/>
        </w:rPr>
        <w:t xml:space="preserve"> and unresolved data concerns. The Commission directs Liberty to conduct a more thorough and granular analysis of residential customer demographics, usage patterns, and cost drivers in its next GRC </w:t>
      </w:r>
      <w:r w:rsidRPr="4E9E172D" w:rsidR="0B1FAE89">
        <w:rPr>
          <w:rFonts w:eastAsia="Times New Roman" w:cs="Times New Roman"/>
        </w:rPr>
        <w:t>application</w:t>
      </w:r>
      <w:r w:rsidRPr="0098214E">
        <w:rPr>
          <w:rFonts w:eastAsia="Times New Roman" w:cs="Times New Roman"/>
        </w:rPr>
        <w:t>.</w:t>
      </w:r>
    </w:p>
    <w:p w:rsidRPr="00C2030F" w:rsidR="00C00C4F" w:rsidP="000C0F1A" w:rsidRDefault="00C00C4F" w14:paraId="7C160E48" w14:textId="669E8FEC">
      <w:pPr>
        <w:pStyle w:val="Heading2"/>
      </w:pPr>
      <w:bookmarkStart w:name="_Toc224569307" w:id="30"/>
      <w:r w:rsidRPr="00C2030F">
        <w:t>Scoped Issue 8</w:t>
      </w:r>
      <w:r w:rsidRPr="00C2030F" w:rsidR="00103DAF">
        <w:t>:</w:t>
      </w:r>
      <w:r w:rsidRPr="00C2030F">
        <w:t xml:space="preserve"> </w:t>
      </w:r>
      <w:r w:rsidRPr="00C2030F" w:rsidR="005A5773">
        <w:t xml:space="preserve">Return on </w:t>
      </w:r>
      <w:r w:rsidR="00C2030F">
        <w:br/>
      </w:r>
      <w:r w:rsidRPr="00C2030F" w:rsidR="005A5773">
        <w:t>Equity</w:t>
      </w:r>
      <w:r w:rsidRPr="00C2030F" w:rsidR="00103DAF">
        <w:t xml:space="preserve"> and Rate of Return</w:t>
      </w:r>
      <w:bookmarkEnd w:id="30"/>
      <w:r w:rsidRPr="00C2030F" w:rsidR="00103DAF">
        <w:t xml:space="preserve"> </w:t>
      </w:r>
    </w:p>
    <w:p w:rsidR="008E6B99" w:rsidP="008E6B99" w:rsidRDefault="00ED2062" w14:paraId="715716D3" w14:textId="5BE72342">
      <w:pPr>
        <w:pStyle w:val="Standard"/>
        <w:rPr>
          <w:rFonts w:cs="Arial"/>
        </w:rPr>
      </w:pPr>
      <w:r>
        <w:rPr>
          <w:rFonts w:cs="Arial"/>
        </w:rPr>
        <w:t>Scoped Issue 8 is whether Liberty’s proposed base rate of return (ROR) on rate base of 8.568%</w:t>
      </w:r>
      <w:r w:rsidR="00B80D8C">
        <w:rPr>
          <w:rFonts w:cs="Arial"/>
        </w:rPr>
        <w:t>,</w:t>
      </w:r>
      <w:r>
        <w:rPr>
          <w:rFonts w:cs="Arial"/>
        </w:rPr>
        <w:t xml:space="preserve"> a ROE of 11.0%, and a capital structure of 47.5% debt and 52.5% equity are reasonable. </w:t>
      </w:r>
      <w:r w:rsidR="00B6279D">
        <w:rPr>
          <w:rFonts w:cs="Arial"/>
        </w:rPr>
        <w:t>The cost of debt of 5.87%</w:t>
      </w:r>
      <w:r w:rsidR="0020206D">
        <w:rPr>
          <w:rFonts w:cs="Arial"/>
        </w:rPr>
        <w:t xml:space="preserve"> </w:t>
      </w:r>
      <w:r w:rsidR="00B6279D">
        <w:rPr>
          <w:rFonts w:cs="Arial"/>
        </w:rPr>
        <w:t xml:space="preserve">was not disputed. </w:t>
      </w:r>
      <w:r w:rsidR="00103DAF">
        <w:rPr>
          <w:rFonts w:cs="Arial"/>
        </w:rPr>
        <w:t>As noted above</w:t>
      </w:r>
      <w:r w:rsidR="005A5773">
        <w:rPr>
          <w:rFonts w:cs="Arial"/>
        </w:rPr>
        <w:t xml:space="preserve">, </w:t>
      </w:r>
      <w:r w:rsidR="00317235">
        <w:rPr>
          <w:rFonts w:cs="Arial"/>
        </w:rPr>
        <w:t xml:space="preserve">the </w:t>
      </w:r>
      <w:r w:rsidR="005A5773">
        <w:rPr>
          <w:rFonts w:cs="Arial"/>
        </w:rPr>
        <w:t xml:space="preserve">Settling Parties agreed on the 47.5% </w:t>
      </w:r>
      <w:r w:rsidR="00B6279D">
        <w:rPr>
          <w:rFonts w:cs="Arial"/>
        </w:rPr>
        <w:t xml:space="preserve">debt </w:t>
      </w:r>
      <w:r w:rsidR="005A5773">
        <w:rPr>
          <w:rFonts w:cs="Arial"/>
        </w:rPr>
        <w:t xml:space="preserve">and 52.5% </w:t>
      </w:r>
      <w:r w:rsidR="00B6279D">
        <w:rPr>
          <w:rFonts w:cs="Arial"/>
        </w:rPr>
        <w:t>equity capital structure</w:t>
      </w:r>
      <w:r w:rsidR="00317235">
        <w:rPr>
          <w:rFonts w:cs="Arial"/>
        </w:rPr>
        <w:t xml:space="preserve"> and therefore this analysis is limited to the disputed issue</w:t>
      </w:r>
      <w:r w:rsidR="003C66E0">
        <w:rPr>
          <w:rFonts w:cs="Arial"/>
        </w:rPr>
        <w:t>s</w:t>
      </w:r>
      <w:r w:rsidR="00317235">
        <w:rPr>
          <w:rFonts w:cs="Arial"/>
        </w:rPr>
        <w:t xml:space="preserve"> of the ROR and ROE. </w:t>
      </w:r>
    </w:p>
    <w:p w:rsidRPr="00A52A6C" w:rsidR="00E7020D" w:rsidP="003F28E1" w:rsidRDefault="00E7020D" w14:paraId="4D3DDBCE" w14:textId="2CAC6FC1">
      <w:pPr>
        <w:pStyle w:val="Heading3"/>
      </w:pPr>
      <w:bookmarkStart w:name="_Toc224569308" w:id="31"/>
      <w:r w:rsidRPr="003F28E1">
        <w:t>Standard</w:t>
      </w:r>
      <w:r w:rsidRPr="00A52A6C">
        <w:t xml:space="preserve"> of Review</w:t>
      </w:r>
      <w:bookmarkEnd w:id="31"/>
      <w:r w:rsidRPr="00A52A6C">
        <w:t xml:space="preserve"> </w:t>
      </w:r>
    </w:p>
    <w:p w:rsidR="00103DAF" w:rsidP="00611C71" w:rsidRDefault="00A20B1A" w14:paraId="1A65AF5F" w14:textId="2DB6C825">
      <w:pPr>
        <w:pStyle w:val="Standard"/>
        <w:rPr>
          <w:rFonts w:cs="Arial"/>
        </w:rPr>
      </w:pPr>
      <w:r>
        <w:rPr>
          <w:rFonts w:cs="Arial"/>
        </w:rPr>
        <w:t>T</w:t>
      </w:r>
      <w:r w:rsidR="00395896">
        <w:rPr>
          <w:rFonts w:cs="Arial"/>
        </w:rPr>
        <w:t xml:space="preserve">he Commission has </w:t>
      </w:r>
      <w:r w:rsidR="00C34BE6">
        <w:rPr>
          <w:rFonts w:cs="Arial"/>
        </w:rPr>
        <w:t>stated</w:t>
      </w:r>
      <w:r w:rsidR="00395896">
        <w:rPr>
          <w:rFonts w:cs="Arial"/>
        </w:rPr>
        <w:t xml:space="preserve"> that “</w:t>
      </w:r>
      <w:r w:rsidR="006E4DA0">
        <w:rPr>
          <w:rFonts w:cs="Arial"/>
        </w:rPr>
        <w:t>[o]</w:t>
      </w:r>
      <w:proofErr w:type="spellStart"/>
      <w:r w:rsidR="00395896">
        <w:rPr>
          <w:rFonts w:cs="Arial"/>
        </w:rPr>
        <w:t>ur</w:t>
      </w:r>
      <w:proofErr w:type="spellEnd"/>
      <w:r w:rsidR="00395896">
        <w:rPr>
          <w:rFonts w:cs="Arial"/>
        </w:rPr>
        <w:t xml:space="preserve"> basic objective in a cost of capital proceeding is to set the equity return at the lowest level that meets reasonableness.</w:t>
      </w:r>
      <w:r w:rsidR="00395896">
        <w:rPr>
          <w:rStyle w:val="FootnoteReference"/>
          <w:rFonts w:cs="Arial"/>
        </w:rPr>
        <w:footnoteReference w:id="46"/>
      </w:r>
      <w:r w:rsidR="00395896">
        <w:rPr>
          <w:rFonts w:cs="Arial"/>
        </w:rPr>
        <w:t xml:space="preserve"> </w:t>
      </w:r>
    </w:p>
    <w:p w:rsidR="00103DAF" w:rsidP="00611C71" w:rsidRDefault="00103DAF" w14:paraId="54B7C4F4" w14:textId="0D6F9769">
      <w:pPr>
        <w:pStyle w:val="Standard"/>
        <w:rPr>
          <w:szCs w:val="26"/>
        </w:rPr>
      </w:pPr>
      <w:r w:rsidRPr="00103DAF">
        <w:rPr>
          <w:szCs w:val="26"/>
        </w:rPr>
        <w:t xml:space="preserve">In D.18-03-035, the Commission emphasized that the adopted ROE must allow a utility to maintain credit quality and attract capital, but that ratepayer </w:t>
      </w:r>
      <w:r w:rsidRPr="00103DAF">
        <w:rPr>
          <w:szCs w:val="26"/>
        </w:rPr>
        <w:lastRenderedPageBreak/>
        <w:t>affordability and market conditions require minimizing returns to the extent consistent with financial integrity. Similarly, D.19-12-056 reinforced that fairness to customers is paramount and that a utility is not entitled to the highest possible return, only one sufficient to attract capital at reasonable cost.</w:t>
      </w:r>
      <w:r w:rsidR="001C042F">
        <w:rPr>
          <w:rStyle w:val="FootnoteReference"/>
          <w:szCs w:val="26"/>
        </w:rPr>
        <w:footnoteReference w:id="47"/>
      </w:r>
    </w:p>
    <w:p w:rsidRPr="007917A9" w:rsidR="007917A9" w:rsidP="007917A9" w:rsidRDefault="007917A9" w14:paraId="7642B15E" w14:textId="6F853D33">
      <w:pPr>
        <w:pStyle w:val="Standard"/>
        <w:rPr>
          <w:szCs w:val="26"/>
        </w:rPr>
      </w:pPr>
      <w:r w:rsidRPr="007917A9">
        <w:rPr>
          <w:szCs w:val="26"/>
        </w:rPr>
        <w:t xml:space="preserve">The Application included two chapters of testimony on Liberty’s cost </w:t>
      </w:r>
      <w:r w:rsidR="007B031D">
        <w:rPr>
          <w:szCs w:val="26"/>
        </w:rPr>
        <w:t>of</w:t>
      </w:r>
      <w:r w:rsidR="002D1F4A">
        <w:rPr>
          <w:szCs w:val="26"/>
        </w:rPr>
        <w:t xml:space="preserve"> </w:t>
      </w:r>
      <w:r w:rsidRPr="007917A9">
        <w:rPr>
          <w:szCs w:val="26"/>
        </w:rPr>
        <w:t xml:space="preserve">capital structure and requests an 11% ROE for Test Year 2025 and an overall ROR of 8.57% with a cost </w:t>
      </w:r>
      <w:r w:rsidR="007B031D">
        <w:rPr>
          <w:szCs w:val="26"/>
        </w:rPr>
        <w:t>of</w:t>
      </w:r>
      <w:r w:rsidRPr="007917A9">
        <w:rPr>
          <w:szCs w:val="26"/>
        </w:rPr>
        <w:t xml:space="preserve"> debt of 5.87%</w:t>
      </w:r>
      <w:r w:rsidR="0051788F">
        <w:rPr>
          <w:szCs w:val="26"/>
        </w:rPr>
        <w:t>.</w:t>
      </w:r>
      <w:r w:rsidRPr="007917A9">
        <w:rPr>
          <w:szCs w:val="26"/>
          <w:vertAlign w:val="superscript"/>
        </w:rPr>
        <w:footnoteReference w:id="48"/>
      </w:r>
      <w:r w:rsidRPr="007917A9">
        <w:rPr>
          <w:szCs w:val="26"/>
        </w:rPr>
        <w:t xml:space="preserve"> Liberty and Cal Advocates were the only </w:t>
      </w:r>
      <w:r w:rsidR="00354AE1">
        <w:rPr>
          <w:szCs w:val="26"/>
        </w:rPr>
        <w:t>P</w:t>
      </w:r>
      <w:r w:rsidRPr="007917A9">
        <w:rPr>
          <w:szCs w:val="26"/>
        </w:rPr>
        <w:t>arties to offer witness testimony regarding the ROE and ROR.</w:t>
      </w:r>
      <w:r w:rsidR="00B9181D">
        <w:rPr>
          <w:rStyle w:val="FootnoteReference"/>
          <w:szCs w:val="26"/>
        </w:rPr>
        <w:footnoteReference w:id="49"/>
      </w:r>
      <w:r w:rsidRPr="007917A9">
        <w:rPr>
          <w:szCs w:val="26"/>
        </w:rPr>
        <w:t xml:space="preserve"> </w:t>
      </w:r>
      <w:r w:rsidR="00F67844">
        <w:rPr>
          <w:szCs w:val="26"/>
        </w:rPr>
        <w:t>The o</w:t>
      </w:r>
      <w:r w:rsidR="003F6873">
        <w:rPr>
          <w:szCs w:val="26"/>
        </w:rPr>
        <w:t>ther Parties present</w:t>
      </w:r>
      <w:r w:rsidR="00A26779">
        <w:rPr>
          <w:szCs w:val="26"/>
        </w:rPr>
        <w:t xml:space="preserve">ed </w:t>
      </w:r>
      <w:r w:rsidR="003F6873">
        <w:rPr>
          <w:szCs w:val="26"/>
        </w:rPr>
        <w:t xml:space="preserve">arguments </w:t>
      </w:r>
      <w:r w:rsidR="00A26779">
        <w:rPr>
          <w:szCs w:val="26"/>
        </w:rPr>
        <w:t xml:space="preserve">in their respective briefs, </w:t>
      </w:r>
      <w:r w:rsidR="00781004">
        <w:rPr>
          <w:szCs w:val="26"/>
        </w:rPr>
        <w:t xml:space="preserve">but </w:t>
      </w:r>
      <w:r w:rsidR="00F67844">
        <w:rPr>
          <w:szCs w:val="26"/>
        </w:rPr>
        <w:t xml:space="preserve">did </w:t>
      </w:r>
      <w:r w:rsidR="00781004">
        <w:rPr>
          <w:szCs w:val="26"/>
        </w:rPr>
        <w:t xml:space="preserve">not </w:t>
      </w:r>
      <w:r w:rsidR="0051788F">
        <w:rPr>
          <w:szCs w:val="26"/>
        </w:rPr>
        <w:t xml:space="preserve">provide </w:t>
      </w:r>
      <w:r w:rsidR="00781004">
        <w:rPr>
          <w:szCs w:val="26"/>
        </w:rPr>
        <w:t xml:space="preserve">a sponsoring witness nor testimony. </w:t>
      </w:r>
      <w:r w:rsidRPr="007917A9">
        <w:rPr>
          <w:szCs w:val="26"/>
        </w:rPr>
        <w:t xml:space="preserve">Here, Liberty represents its investors’ interests while Cal Advocates represents Liberty ratepayers’ interests. </w:t>
      </w:r>
      <w:r w:rsidR="003F6873">
        <w:rPr>
          <w:szCs w:val="26"/>
        </w:rPr>
        <w:t>Liberty</w:t>
      </w:r>
      <w:r w:rsidR="00D6100B">
        <w:rPr>
          <w:szCs w:val="26"/>
        </w:rPr>
        <w:t>’s</w:t>
      </w:r>
      <w:r w:rsidR="003F6873">
        <w:rPr>
          <w:szCs w:val="26"/>
        </w:rPr>
        <w:t xml:space="preserve"> and Cal Advocates</w:t>
      </w:r>
      <w:r w:rsidR="00D6100B">
        <w:rPr>
          <w:szCs w:val="26"/>
        </w:rPr>
        <w:t>’</w:t>
      </w:r>
      <w:r w:rsidRPr="007917A9">
        <w:rPr>
          <w:szCs w:val="26"/>
        </w:rPr>
        <w:t xml:space="preserve"> active engagement</w:t>
      </w:r>
      <w:r w:rsidR="00781004">
        <w:rPr>
          <w:szCs w:val="26"/>
        </w:rPr>
        <w:t xml:space="preserve"> and </w:t>
      </w:r>
      <w:r w:rsidR="003F6873">
        <w:rPr>
          <w:szCs w:val="26"/>
        </w:rPr>
        <w:t xml:space="preserve">witness testimony provide a robust record to </w:t>
      </w:r>
      <w:r w:rsidRPr="007917A9">
        <w:rPr>
          <w:szCs w:val="26"/>
        </w:rPr>
        <w:t>represent</w:t>
      </w:r>
      <w:r w:rsidR="003F6873">
        <w:rPr>
          <w:szCs w:val="26"/>
        </w:rPr>
        <w:t xml:space="preserve"> and balance </w:t>
      </w:r>
      <w:r w:rsidRPr="007917A9">
        <w:rPr>
          <w:szCs w:val="26"/>
        </w:rPr>
        <w:t xml:space="preserve">the interests of Liberty’s ratepayers and investors. </w:t>
      </w:r>
    </w:p>
    <w:p w:rsidRPr="00611C71" w:rsidR="00611C71" w:rsidP="003F28E1" w:rsidRDefault="00D053DD" w14:paraId="763D30EA" w14:textId="2AB4AD94">
      <w:pPr>
        <w:pStyle w:val="Heading3"/>
      </w:pPr>
      <w:bookmarkStart w:name="_Toc224569309" w:id="32"/>
      <w:r>
        <w:t xml:space="preserve">Cost </w:t>
      </w:r>
      <w:r w:rsidRPr="003F28E1">
        <w:t>of</w:t>
      </w:r>
      <w:r>
        <w:t xml:space="preserve"> Debt</w:t>
      </w:r>
      <w:bookmarkEnd w:id="32"/>
    </w:p>
    <w:p w:rsidR="003351DA" w:rsidP="00BF46B3" w:rsidRDefault="00710026" w14:paraId="4BD27192" w14:textId="63995C1C">
      <w:pPr>
        <w:pStyle w:val="Standard"/>
        <w:rPr>
          <w:rFonts w:cs="Arial"/>
        </w:rPr>
      </w:pPr>
      <w:r>
        <w:rPr>
          <w:rFonts w:cs="Arial"/>
        </w:rPr>
        <w:t xml:space="preserve">In this proceeding, Cal Advocates </w:t>
      </w:r>
      <w:r w:rsidR="00244253">
        <w:rPr>
          <w:rFonts w:cs="Arial"/>
        </w:rPr>
        <w:t xml:space="preserve">did not dispute </w:t>
      </w:r>
      <w:r>
        <w:rPr>
          <w:rFonts w:cs="Arial"/>
        </w:rPr>
        <w:t>Liberty’s proposed cost o</w:t>
      </w:r>
      <w:r w:rsidR="00550938">
        <w:rPr>
          <w:rFonts w:cs="Arial"/>
        </w:rPr>
        <w:t>f</w:t>
      </w:r>
      <w:r>
        <w:rPr>
          <w:rFonts w:cs="Arial"/>
        </w:rPr>
        <w:t xml:space="preserve"> debt of 5.87%.</w:t>
      </w:r>
      <w:r w:rsidR="00C71AC0">
        <w:rPr>
          <w:rFonts w:cs="Arial"/>
        </w:rPr>
        <w:t xml:space="preserve"> </w:t>
      </w:r>
      <w:r>
        <w:rPr>
          <w:rFonts w:cs="Arial"/>
        </w:rPr>
        <w:t>This accord</w:t>
      </w:r>
      <w:r w:rsidR="00F24479">
        <w:rPr>
          <w:rFonts w:cs="Arial"/>
        </w:rPr>
        <w:t>,</w:t>
      </w:r>
      <w:r>
        <w:rPr>
          <w:rFonts w:cs="Arial"/>
        </w:rPr>
        <w:t xml:space="preserve"> and lack of dispute</w:t>
      </w:r>
      <w:r w:rsidR="00F24479">
        <w:rPr>
          <w:rFonts w:cs="Arial"/>
        </w:rPr>
        <w:t xml:space="preserve"> amongst the other Parties,</w:t>
      </w:r>
      <w:r>
        <w:rPr>
          <w:rFonts w:cs="Arial"/>
        </w:rPr>
        <w:t xml:space="preserve"> su</w:t>
      </w:r>
      <w:r w:rsidR="00F24479">
        <w:rPr>
          <w:rFonts w:cs="Arial"/>
        </w:rPr>
        <w:t xml:space="preserve">pports </w:t>
      </w:r>
      <w:r>
        <w:rPr>
          <w:rFonts w:cs="Arial"/>
        </w:rPr>
        <w:t>the Commission</w:t>
      </w:r>
      <w:r w:rsidR="00F24479">
        <w:rPr>
          <w:rFonts w:cs="Arial"/>
        </w:rPr>
        <w:t xml:space="preserve">’s </w:t>
      </w:r>
      <w:r>
        <w:rPr>
          <w:rFonts w:cs="Arial"/>
        </w:rPr>
        <w:t>determin</w:t>
      </w:r>
      <w:r w:rsidR="00F24479">
        <w:rPr>
          <w:rFonts w:cs="Arial"/>
        </w:rPr>
        <w:t>ation</w:t>
      </w:r>
      <w:r>
        <w:rPr>
          <w:rFonts w:cs="Arial"/>
        </w:rPr>
        <w:t xml:space="preserve"> that Liberty’s proposed cost </w:t>
      </w:r>
      <w:r w:rsidR="00550938">
        <w:rPr>
          <w:rFonts w:cs="Arial"/>
        </w:rPr>
        <w:t>of</w:t>
      </w:r>
      <w:r>
        <w:rPr>
          <w:rFonts w:cs="Arial"/>
        </w:rPr>
        <w:t xml:space="preserve"> debt </w:t>
      </w:r>
      <w:r w:rsidR="00611C71">
        <w:rPr>
          <w:rFonts w:cs="Arial"/>
        </w:rPr>
        <w:t xml:space="preserve">of 5.87% is </w:t>
      </w:r>
      <w:r>
        <w:rPr>
          <w:rFonts w:cs="Arial"/>
        </w:rPr>
        <w:t xml:space="preserve">reasonable. </w:t>
      </w:r>
    </w:p>
    <w:p w:rsidRPr="00A52A6C" w:rsidR="00611C71" w:rsidP="003F28E1" w:rsidRDefault="00611C71" w14:paraId="4FD2EB0C" w14:textId="32E52FB7">
      <w:pPr>
        <w:pStyle w:val="Heading3"/>
        <w:numPr>
          <w:ilvl w:val="2"/>
          <w:numId w:val="27"/>
        </w:numPr>
      </w:pPr>
      <w:r w:rsidRPr="00A52A6C">
        <w:t xml:space="preserve"> </w:t>
      </w:r>
      <w:bookmarkStart w:name="_Toc224569310" w:id="33"/>
      <w:r w:rsidRPr="003F28E1">
        <w:t>Return</w:t>
      </w:r>
      <w:r w:rsidRPr="00A52A6C">
        <w:t xml:space="preserve"> </w:t>
      </w:r>
      <w:proofErr w:type="gramStart"/>
      <w:r w:rsidRPr="00A52A6C">
        <w:t>on</w:t>
      </w:r>
      <w:proofErr w:type="gramEnd"/>
      <w:r w:rsidRPr="00A52A6C">
        <w:t xml:space="preserve"> Equity (ROE)</w:t>
      </w:r>
      <w:bookmarkEnd w:id="33"/>
      <w:r w:rsidRPr="00A52A6C">
        <w:t xml:space="preserve"> </w:t>
      </w:r>
    </w:p>
    <w:p w:rsidR="007917A9" w:rsidP="007917A9" w:rsidRDefault="001831C8" w14:paraId="4F979784" w14:textId="235AC3F4">
      <w:pPr>
        <w:pStyle w:val="Standard"/>
        <w:rPr>
          <w:rFonts w:cs="Arial"/>
        </w:rPr>
      </w:pPr>
      <w:r>
        <w:rPr>
          <w:rFonts w:cs="Arial"/>
        </w:rPr>
        <w:t xml:space="preserve">The Commission authorized Liberty to have a ROE of 10% in </w:t>
      </w:r>
      <w:r w:rsidR="00D6100B">
        <w:rPr>
          <w:rFonts w:cs="Arial"/>
        </w:rPr>
        <w:t>its</w:t>
      </w:r>
      <w:r w:rsidR="00420FBC">
        <w:rPr>
          <w:rFonts w:cs="Arial"/>
        </w:rPr>
        <w:t xml:space="preserve"> prior general rate proceeding</w:t>
      </w:r>
      <w:r>
        <w:rPr>
          <w:rFonts w:cs="Arial"/>
        </w:rPr>
        <w:t xml:space="preserve">. </w:t>
      </w:r>
      <w:r w:rsidR="007917A9">
        <w:rPr>
          <w:rFonts w:cs="Arial"/>
        </w:rPr>
        <w:t xml:space="preserve">Liberty’s Application requests an increase to 11% ROE </w:t>
      </w:r>
      <w:r w:rsidR="007917A9">
        <w:rPr>
          <w:rFonts w:cs="Arial"/>
        </w:rPr>
        <w:lastRenderedPageBreak/>
        <w:t>for TY 2025. Liberty witness Bourassa</w:t>
      </w:r>
      <w:r w:rsidR="00D64359">
        <w:rPr>
          <w:rFonts w:cs="Arial"/>
        </w:rPr>
        <w:t xml:space="preserve">’s </w:t>
      </w:r>
      <w:r w:rsidR="007917A9">
        <w:rPr>
          <w:rFonts w:cs="Arial"/>
        </w:rPr>
        <w:t xml:space="preserve">testimony </w:t>
      </w:r>
      <w:r w:rsidR="00D64359">
        <w:rPr>
          <w:rFonts w:cs="Arial"/>
        </w:rPr>
        <w:t>included</w:t>
      </w:r>
      <w:r w:rsidR="007917A9">
        <w:rPr>
          <w:rFonts w:cs="Arial"/>
        </w:rPr>
        <w:t xml:space="preserve"> models </w:t>
      </w:r>
      <w:r w:rsidR="00D64359">
        <w:rPr>
          <w:rFonts w:cs="Arial"/>
        </w:rPr>
        <w:t xml:space="preserve">that </w:t>
      </w:r>
      <w:r w:rsidR="007917A9">
        <w:rPr>
          <w:rFonts w:cs="Arial"/>
        </w:rPr>
        <w:t xml:space="preserve">show a range of 9.7% to 11.5% </w:t>
      </w:r>
      <w:r w:rsidR="00822B9F">
        <w:rPr>
          <w:rFonts w:cs="Arial"/>
        </w:rPr>
        <w:t xml:space="preserve">for </w:t>
      </w:r>
      <w:r w:rsidR="007917A9">
        <w:rPr>
          <w:rFonts w:cs="Arial"/>
        </w:rPr>
        <w:t xml:space="preserve">ROE </w:t>
      </w:r>
      <w:r w:rsidR="00FB6CA2">
        <w:rPr>
          <w:rFonts w:cs="Arial"/>
        </w:rPr>
        <w:t xml:space="preserve">with </w:t>
      </w:r>
      <w:r w:rsidR="007917A9">
        <w:rPr>
          <w:rFonts w:cs="Arial"/>
        </w:rPr>
        <w:t xml:space="preserve">40 </w:t>
      </w:r>
      <w:r w:rsidR="00FB6CA2">
        <w:rPr>
          <w:rFonts w:cs="Arial"/>
        </w:rPr>
        <w:t xml:space="preserve">additional </w:t>
      </w:r>
      <w:r w:rsidR="007917A9">
        <w:rPr>
          <w:rFonts w:cs="Arial"/>
        </w:rPr>
        <w:t>basis points for premium risk</w:t>
      </w:r>
      <w:r w:rsidR="00FB6CA2">
        <w:rPr>
          <w:rFonts w:cs="Arial"/>
        </w:rPr>
        <w:t>.</w:t>
      </w:r>
      <w:r w:rsidR="00420FBC">
        <w:rPr>
          <w:rStyle w:val="FootnoteReference"/>
          <w:rFonts w:cs="Arial"/>
        </w:rPr>
        <w:footnoteReference w:id="50"/>
      </w:r>
      <w:r w:rsidR="00420FBC">
        <w:rPr>
          <w:rFonts w:cs="Arial"/>
        </w:rPr>
        <w:t xml:space="preserve"> Cal Advocates witness Woolridge </w:t>
      </w:r>
      <w:r w:rsidR="00D64359">
        <w:rPr>
          <w:rFonts w:cs="Arial"/>
        </w:rPr>
        <w:t>presented models and testified</w:t>
      </w:r>
      <w:r w:rsidR="00420FBC">
        <w:rPr>
          <w:rFonts w:cs="Arial"/>
        </w:rPr>
        <w:t xml:space="preserve"> that Liberty’s ROE should be 9.25%</w:t>
      </w:r>
      <w:r w:rsidR="00FB6CA2">
        <w:rPr>
          <w:rFonts w:cs="Arial"/>
        </w:rPr>
        <w:t>.</w:t>
      </w:r>
      <w:r w:rsidR="007917A9">
        <w:rPr>
          <w:rStyle w:val="FootnoteReference"/>
          <w:rFonts w:cs="Arial"/>
        </w:rPr>
        <w:footnoteReference w:id="51"/>
      </w:r>
      <w:r w:rsidRPr="00881851" w:rsidR="007917A9">
        <w:rPr>
          <w:rFonts w:cs="Arial"/>
        </w:rPr>
        <w:t xml:space="preserve"> </w:t>
      </w:r>
      <w:r w:rsidR="00913974">
        <w:rPr>
          <w:rFonts w:cs="Arial"/>
        </w:rPr>
        <w:t xml:space="preserve">Woolridge </w:t>
      </w:r>
      <w:r w:rsidR="00D64359">
        <w:rPr>
          <w:rFonts w:cs="Arial"/>
        </w:rPr>
        <w:t xml:space="preserve">also </w:t>
      </w:r>
      <w:r w:rsidR="00913974">
        <w:rPr>
          <w:rFonts w:cs="Arial"/>
        </w:rPr>
        <w:t xml:space="preserve">testified that in 2025 the national average ROE is 9.7% for regulated entities. </w:t>
      </w:r>
      <w:r w:rsidR="00913974">
        <w:rPr>
          <w:rStyle w:val="FootnoteReference"/>
          <w:rFonts w:cs="Arial"/>
        </w:rPr>
        <w:footnoteReference w:id="52"/>
      </w:r>
      <w:r w:rsidR="00D64359">
        <w:rPr>
          <w:rFonts w:cs="Arial"/>
        </w:rPr>
        <w:t xml:space="preserve"> </w:t>
      </w:r>
    </w:p>
    <w:p w:rsidR="00BC0AFA" w:rsidP="00BF46B3" w:rsidRDefault="00D64359" w14:paraId="5C092168" w14:textId="422E7408">
      <w:pPr>
        <w:pStyle w:val="Standard"/>
        <w:rPr>
          <w:rFonts w:cs="Arial"/>
        </w:rPr>
      </w:pPr>
      <w:r>
        <w:rPr>
          <w:rFonts w:cs="Arial"/>
        </w:rPr>
        <w:t>T</w:t>
      </w:r>
      <w:r w:rsidR="00262C84">
        <w:rPr>
          <w:rFonts w:cs="Arial"/>
        </w:rPr>
        <w:t xml:space="preserve">he Commission </w:t>
      </w:r>
      <w:r>
        <w:rPr>
          <w:rFonts w:cs="Arial"/>
        </w:rPr>
        <w:t>finds Liberty’s arguments unpersuasive to justify increas</w:t>
      </w:r>
      <w:r w:rsidR="009B4EC7">
        <w:rPr>
          <w:rFonts w:cs="Arial"/>
        </w:rPr>
        <w:t>ing</w:t>
      </w:r>
      <w:r>
        <w:rPr>
          <w:rFonts w:cs="Arial"/>
        </w:rPr>
        <w:t xml:space="preserve"> its ROE from 10% to 11%. Woolridge’s testimony includes an analysis of the methodologies Bourassa used to support </w:t>
      </w:r>
      <w:r w:rsidR="001831C8">
        <w:rPr>
          <w:rFonts w:cs="Arial"/>
        </w:rPr>
        <w:t xml:space="preserve">Liberty’s </w:t>
      </w:r>
      <w:r>
        <w:rPr>
          <w:rFonts w:cs="Arial"/>
        </w:rPr>
        <w:t>ROE of 11%.</w:t>
      </w:r>
      <w:r w:rsidR="001831C8">
        <w:rPr>
          <w:rFonts w:cs="Arial"/>
        </w:rPr>
        <w:t xml:space="preserve"> We find that Bourassa’</w:t>
      </w:r>
      <w:r w:rsidR="009B4EC7">
        <w:rPr>
          <w:rFonts w:cs="Arial"/>
        </w:rPr>
        <w:t>s</w:t>
      </w:r>
      <w:r w:rsidR="001831C8">
        <w:rPr>
          <w:rFonts w:cs="Arial"/>
        </w:rPr>
        <w:t xml:space="preserve"> methodologies </w:t>
      </w:r>
      <w:r w:rsidR="009B4EC7">
        <w:rPr>
          <w:rFonts w:cs="Arial"/>
        </w:rPr>
        <w:t xml:space="preserve">and assumptions </w:t>
      </w:r>
      <w:r w:rsidR="001831C8">
        <w:rPr>
          <w:rFonts w:cs="Arial"/>
        </w:rPr>
        <w:t xml:space="preserve">inflated </w:t>
      </w:r>
      <w:r w:rsidR="00540369">
        <w:rPr>
          <w:rFonts w:cs="Arial"/>
        </w:rPr>
        <w:t xml:space="preserve">Liberty’s </w:t>
      </w:r>
      <w:r w:rsidR="001831C8">
        <w:rPr>
          <w:rFonts w:cs="Arial"/>
        </w:rPr>
        <w:t>ROE</w:t>
      </w:r>
      <w:r w:rsidR="00540369">
        <w:rPr>
          <w:rFonts w:cs="Arial"/>
        </w:rPr>
        <w:t xml:space="preserve"> claim</w:t>
      </w:r>
      <w:r w:rsidR="001831C8">
        <w:rPr>
          <w:rFonts w:cs="Arial"/>
        </w:rPr>
        <w:t xml:space="preserve">. </w:t>
      </w:r>
    </w:p>
    <w:p w:rsidR="00C71AC0" w:rsidP="00611C71" w:rsidRDefault="00211072" w14:paraId="0EABE098" w14:textId="69934CA1">
      <w:r w:rsidRPr="10349901">
        <w:rPr>
          <w:rFonts w:eastAsia="Times New Roman" w:cs="Calibri"/>
        </w:rPr>
        <w:t xml:space="preserve">Liberty witness </w:t>
      </w:r>
      <w:r w:rsidRPr="10349901" w:rsidR="009B4EC7">
        <w:rPr>
          <w:rFonts w:eastAsia="Times New Roman" w:cs="Calibri"/>
        </w:rPr>
        <w:t>Bourassa added a 40 basis-point-premium to reach an ROE of 11% based on perceived risk because Liberty is a mid-sized utility with wildfire exposure risks. However, this was not supported by empirical evidence. Liberty’s</w:t>
      </w:r>
      <w:r w:rsidRPr="10349901" w:rsidR="00847C92">
        <w:rPr>
          <w:rFonts w:eastAsia="Times New Roman" w:cs="Calibri"/>
        </w:rPr>
        <w:t xml:space="preserve"> </w:t>
      </w:r>
      <w:r w:rsidRPr="10349901" w:rsidR="009B4EC7">
        <w:rPr>
          <w:rFonts w:eastAsia="Times New Roman" w:cs="Calibri"/>
        </w:rPr>
        <w:t xml:space="preserve">reliance on its size </w:t>
      </w:r>
      <w:r w:rsidRPr="10349901" w:rsidR="00C71AC0">
        <w:rPr>
          <w:rFonts w:eastAsia="Times New Roman" w:cs="Calibri"/>
        </w:rPr>
        <w:t xml:space="preserve">to increase its claimed ROE </w:t>
      </w:r>
      <w:r w:rsidRPr="10349901" w:rsidR="009B4EC7">
        <w:rPr>
          <w:rFonts w:eastAsia="Times New Roman" w:cs="Calibri"/>
        </w:rPr>
        <w:t>is misplaced.</w:t>
      </w:r>
      <w:r w:rsidRPr="10349901" w:rsidR="00847C92">
        <w:rPr>
          <w:rFonts w:eastAsia="Times New Roman" w:cs="Calibri"/>
        </w:rPr>
        <w:t xml:space="preserve"> </w:t>
      </w:r>
      <w:r w:rsidR="00C71AC0">
        <w:t xml:space="preserve">In addition, as recognized in D.20-08-030, Liberty is a subsidiary of a much larger corporation, it has renewed its wildfire insurance coverage, and it maintains an approved wildfire mitigation plan. </w:t>
      </w:r>
      <w:r w:rsidRPr="447D0653" w:rsidR="24548F67">
        <w:rPr>
          <w:rFonts w:eastAsia="Book Antiqua" w:cs="Book Antiqua"/>
        </w:rPr>
        <w:t xml:space="preserve"> Liberty also relies on the fact it does not pay into, nor </w:t>
      </w:r>
      <w:proofErr w:type="gramStart"/>
      <w:r w:rsidRPr="447D0653" w:rsidR="24548F67">
        <w:rPr>
          <w:rFonts w:eastAsia="Book Antiqua" w:cs="Book Antiqua"/>
        </w:rPr>
        <w:t>is</w:t>
      </w:r>
      <w:proofErr w:type="gramEnd"/>
      <w:r w:rsidRPr="447D0653" w:rsidR="24548F67">
        <w:rPr>
          <w:rFonts w:eastAsia="Book Antiqua" w:cs="Book Antiqua"/>
        </w:rPr>
        <w:t xml:space="preserve"> covered by the AB1054 Wildfire Fund that applies to the state’s large IOU electric utilities.</w:t>
      </w:r>
      <w:r w:rsidR="00DD5139">
        <w:rPr>
          <w:rStyle w:val="FootnoteReference"/>
        </w:rPr>
        <w:footnoteReference w:id="53"/>
      </w:r>
      <w:r w:rsidR="00DD5139">
        <w:t xml:space="preserve"> </w:t>
      </w:r>
      <w:r w:rsidR="008C7547">
        <w:t xml:space="preserve">However, this overlooks the roles of insurance and </w:t>
      </w:r>
      <w:r w:rsidR="0023000E">
        <w:t>Liberty’s</w:t>
      </w:r>
      <w:r w:rsidR="008C7547">
        <w:t xml:space="preserve"> wildfire mitigation plan to mitigate risk</w:t>
      </w:r>
      <w:r>
        <w:t>s and protect investors</w:t>
      </w:r>
      <w:r w:rsidR="008C7547">
        <w:t>.</w:t>
      </w:r>
      <w:r w:rsidR="1D89660F">
        <w:t xml:space="preserve"> </w:t>
      </w:r>
      <w:r w:rsidR="00C71AC0">
        <w:t>These factors</w:t>
      </w:r>
      <w:r w:rsidR="51FB9FEB">
        <w:t xml:space="preserve"> </w:t>
      </w:r>
      <w:r w:rsidR="00C71AC0">
        <w:t xml:space="preserve">undercut Liberty’s claim for increased ROE to </w:t>
      </w:r>
      <w:proofErr w:type="gramStart"/>
      <w:r w:rsidR="00C71AC0">
        <w:t>mitigate for</w:t>
      </w:r>
      <w:proofErr w:type="gramEnd"/>
      <w:r w:rsidR="00C71AC0">
        <w:t xml:space="preserve"> perceived </w:t>
      </w:r>
      <w:r w:rsidR="00C71AC0">
        <w:lastRenderedPageBreak/>
        <w:t xml:space="preserve">risks. </w:t>
      </w:r>
      <w:r w:rsidR="00DD5139">
        <w:t xml:space="preserve">It is unreasonable for the Commission to </w:t>
      </w:r>
      <w:r w:rsidR="008C7547">
        <w:t xml:space="preserve">increase Liberty’s ROE on these grounds. </w:t>
      </w:r>
    </w:p>
    <w:p w:rsidR="00C71AC0" w:rsidP="00611C71" w:rsidRDefault="00211072" w14:paraId="460C1E3B" w14:textId="054336A9">
      <w:pPr>
        <w:rPr>
          <w:rFonts w:eastAsia="Times New Roman" w:cs="Calibri"/>
        </w:rPr>
      </w:pPr>
      <w:r w:rsidRPr="68394D47">
        <w:rPr>
          <w:rFonts w:eastAsia="Times New Roman" w:cs="Calibri"/>
        </w:rPr>
        <w:t xml:space="preserve">The Commission finds that Cal Advocates witness </w:t>
      </w:r>
      <w:r w:rsidRPr="68A37AA5" w:rsidR="2A5BC6B5">
        <w:rPr>
          <w:rFonts w:eastAsia="Times New Roman" w:cs="Calibri"/>
        </w:rPr>
        <w:t>Woolridge</w:t>
      </w:r>
      <w:r w:rsidRPr="68394D47">
        <w:rPr>
          <w:rFonts w:eastAsia="Times New Roman" w:cs="Calibri"/>
        </w:rPr>
        <w:t xml:space="preserve"> provided more compelling testimony </w:t>
      </w:r>
      <w:r w:rsidRPr="68394D47" w:rsidR="001C3430">
        <w:rPr>
          <w:rFonts w:eastAsia="Times New Roman" w:cs="Calibri"/>
        </w:rPr>
        <w:t xml:space="preserve">and </w:t>
      </w:r>
      <w:r w:rsidRPr="68394D47" w:rsidR="00C77C25">
        <w:rPr>
          <w:rFonts w:eastAsia="Times New Roman" w:cs="Calibri"/>
        </w:rPr>
        <w:t xml:space="preserve">Liberty’s </w:t>
      </w:r>
      <w:r w:rsidRPr="68394D47" w:rsidR="001C3430">
        <w:rPr>
          <w:rFonts w:eastAsia="Times New Roman" w:cs="Calibri"/>
        </w:rPr>
        <w:t xml:space="preserve">modeling was less reliable. Liberty’s Capital Asset and Pricing Model (CAPM) used atypical inputs </w:t>
      </w:r>
      <w:r w:rsidRPr="68394D47" w:rsidR="00115033">
        <w:rPr>
          <w:rFonts w:eastAsia="Times New Roman" w:cs="Calibri"/>
        </w:rPr>
        <w:t>that inflated Liberty’s ROE request</w:t>
      </w:r>
      <w:r w:rsidRPr="68394D47" w:rsidR="001C3430">
        <w:rPr>
          <w:rFonts w:eastAsia="Times New Roman" w:cs="Calibri"/>
        </w:rPr>
        <w:t>.</w:t>
      </w:r>
      <w:r w:rsidRPr="68394D47" w:rsidR="001C3430">
        <w:rPr>
          <w:rStyle w:val="FootnoteReference"/>
          <w:rFonts w:eastAsia="Times New Roman" w:cs="Calibri"/>
        </w:rPr>
        <w:footnoteReference w:id="54"/>
      </w:r>
      <w:r w:rsidRPr="68394D47" w:rsidR="008C4A1A">
        <w:rPr>
          <w:rFonts w:eastAsia="Times New Roman" w:cs="Calibri"/>
        </w:rPr>
        <w:t xml:space="preserve"> Liberty’s Discounted Cash Flow (DCF) was flawed and overstated long term utility growth.</w:t>
      </w:r>
      <w:r w:rsidRPr="68394D47" w:rsidR="001C3430">
        <w:rPr>
          <w:rStyle w:val="FootnoteReference"/>
          <w:rFonts w:eastAsia="Times New Roman" w:cs="Calibri"/>
        </w:rPr>
        <w:footnoteReference w:id="55"/>
      </w:r>
      <w:r w:rsidRPr="68394D47" w:rsidR="001C3430">
        <w:rPr>
          <w:rFonts w:eastAsia="Times New Roman" w:cs="Calibri"/>
        </w:rPr>
        <w:t xml:space="preserve"> </w:t>
      </w:r>
      <w:r w:rsidRPr="68394D47" w:rsidR="00C77C25">
        <w:rPr>
          <w:rFonts w:eastAsia="Times New Roman" w:cs="Calibri"/>
        </w:rPr>
        <w:t xml:space="preserve">Also, Bourassa utilized an arithmetic mean to calculate historical risk premiums that </w:t>
      </w:r>
      <w:proofErr w:type="gramStart"/>
      <w:r w:rsidRPr="68394D47" w:rsidR="00C77C25">
        <w:rPr>
          <w:rFonts w:eastAsia="Times New Roman" w:cs="Calibri"/>
        </w:rPr>
        <w:t>results</w:t>
      </w:r>
      <w:proofErr w:type="gramEnd"/>
      <w:r w:rsidRPr="68394D47" w:rsidR="00C77C25">
        <w:rPr>
          <w:rFonts w:eastAsia="Times New Roman" w:cs="Calibri"/>
        </w:rPr>
        <w:t xml:space="preserve"> in inflated risks and higher equity estimates. </w:t>
      </w:r>
      <w:r w:rsidRPr="68394D47" w:rsidR="008C4A1A">
        <w:rPr>
          <w:rFonts w:eastAsia="Times New Roman" w:cs="Calibri"/>
        </w:rPr>
        <w:t>Woolridge also disputes</w:t>
      </w:r>
      <w:r w:rsidRPr="7B6E3296" w:rsidR="645BE666">
        <w:rPr>
          <w:rFonts w:eastAsia="Times New Roman" w:cs="Calibri"/>
        </w:rPr>
        <w:t xml:space="preserve"> Bourassa</w:t>
      </w:r>
      <w:r w:rsidRPr="7B6E3296" w:rsidR="202FF278">
        <w:rPr>
          <w:rFonts w:eastAsia="Times New Roman" w:cs="Calibri"/>
        </w:rPr>
        <w:t>’s</w:t>
      </w:r>
      <w:r w:rsidRPr="68394D47" w:rsidR="008C4A1A">
        <w:rPr>
          <w:rFonts w:eastAsia="Times New Roman" w:cs="Calibri"/>
        </w:rPr>
        <w:t xml:space="preserve"> interpretation of the proxy group average to support lowering</w:t>
      </w:r>
      <w:r w:rsidRPr="68394D47" w:rsidR="00115033">
        <w:rPr>
          <w:rFonts w:eastAsia="Times New Roman" w:cs="Calibri"/>
        </w:rPr>
        <w:t>,</w:t>
      </w:r>
      <w:r w:rsidRPr="68394D47" w:rsidR="008C4A1A">
        <w:rPr>
          <w:rFonts w:eastAsia="Times New Roman" w:cs="Calibri"/>
        </w:rPr>
        <w:t xml:space="preserve"> not raising</w:t>
      </w:r>
      <w:r w:rsidRPr="68394D47" w:rsidR="00115033">
        <w:rPr>
          <w:rFonts w:eastAsia="Times New Roman" w:cs="Calibri"/>
        </w:rPr>
        <w:t>,</w:t>
      </w:r>
      <w:r w:rsidRPr="68394D47" w:rsidR="008C4A1A">
        <w:rPr>
          <w:rFonts w:eastAsia="Times New Roman" w:cs="Calibri"/>
        </w:rPr>
        <w:t xml:space="preserve"> Liberty’s cost of equity.</w:t>
      </w:r>
      <w:r w:rsidRPr="68394D47" w:rsidR="008C4A1A">
        <w:rPr>
          <w:rStyle w:val="FootnoteReference"/>
          <w:rFonts w:eastAsia="Times New Roman" w:cs="Calibri"/>
        </w:rPr>
        <w:footnoteReference w:id="56"/>
      </w:r>
      <w:r w:rsidRPr="68394D47" w:rsidR="00C77C25">
        <w:rPr>
          <w:rFonts w:eastAsia="Times New Roman" w:cs="Calibri"/>
        </w:rPr>
        <w:t xml:space="preserve"> Liberty’s proposed ROE of 11% is not warranted. </w:t>
      </w:r>
    </w:p>
    <w:p w:rsidR="00C77C25" w:rsidP="00611C71" w:rsidRDefault="00C77C25" w14:paraId="14DF33E5" w14:textId="48186171">
      <w:pPr>
        <w:rPr>
          <w:rFonts w:eastAsia="Times New Roman" w:cs="Calibri"/>
          <w:szCs w:val="26"/>
        </w:rPr>
      </w:pPr>
      <w:r>
        <w:rPr>
          <w:rFonts w:eastAsia="Times New Roman" w:cs="Calibri"/>
          <w:szCs w:val="26"/>
        </w:rPr>
        <w:t xml:space="preserve">The Commission concludes that </w:t>
      </w:r>
      <w:r w:rsidR="0006267D">
        <w:rPr>
          <w:rFonts w:eastAsia="Times New Roman" w:cs="Calibri"/>
          <w:szCs w:val="26"/>
        </w:rPr>
        <w:t xml:space="preserve">an </w:t>
      </w:r>
      <w:r>
        <w:rPr>
          <w:rFonts w:eastAsia="Times New Roman" w:cs="Calibri"/>
          <w:szCs w:val="26"/>
        </w:rPr>
        <w:t>ROE of 9.</w:t>
      </w:r>
      <w:r w:rsidR="007B031D">
        <w:rPr>
          <w:rFonts w:eastAsia="Times New Roman" w:cs="Calibri"/>
          <w:szCs w:val="26"/>
        </w:rPr>
        <w:t>7</w:t>
      </w:r>
      <w:r>
        <w:rPr>
          <w:rFonts w:eastAsia="Times New Roman" w:cs="Calibri"/>
          <w:szCs w:val="26"/>
        </w:rPr>
        <w:t>5%</w:t>
      </w:r>
      <w:r w:rsidR="0006267D">
        <w:rPr>
          <w:rFonts w:eastAsia="Times New Roman" w:cs="Calibri"/>
          <w:szCs w:val="26"/>
        </w:rPr>
        <w:t xml:space="preserve"> is reasonable and supported by the record</w:t>
      </w:r>
      <w:r>
        <w:rPr>
          <w:rFonts w:eastAsia="Times New Roman" w:cs="Calibri"/>
          <w:szCs w:val="26"/>
        </w:rPr>
        <w:t>. This ROE is consistent with national averages, adequately accounts for Liberty’s wildfire risk</w:t>
      </w:r>
      <w:r w:rsidR="00115033">
        <w:rPr>
          <w:rFonts w:eastAsia="Times New Roman" w:cs="Calibri"/>
          <w:szCs w:val="26"/>
        </w:rPr>
        <w:t>,</w:t>
      </w:r>
      <w:r>
        <w:rPr>
          <w:rFonts w:eastAsia="Times New Roman" w:cs="Calibri"/>
          <w:szCs w:val="26"/>
        </w:rPr>
        <w:t xml:space="preserve"> and fairly balances the interests of ratepayers and investors.</w:t>
      </w:r>
      <w:r>
        <w:rPr>
          <w:rStyle w:val="FootnoteReference"/>
          <w:rFonts w:eastAsia="Times New Roman" w:cs="Calibri"/>
          <w:szCs w:val="26"/>
        </w:rPr>
        <w:footnoteReference w:id="57"/>
      </w:r>
      <w:r>
        <w:rPr>
          <w:rFonts w:eastAsia="Times New Roman" w:cs="Calibri"/>
          <w:szCs w:val="26"/>
        </w:rPr>
        <w:t xml:space="preserve"> </w:t>
      </w:r>
    </w:p>
    <w:p w:rsidRPr="00224F5C" w:rsidR="00611C71" w:rsidP="003F28E1" w:rsidRDefault="00611C71" w14:paraId="6C073FF2" w14:textId="748BA275">
      <w:pPr>
        <w:pStyle w:val="Heading3"/>
        <w:rPr>
          <w:rFonts w:eastAsia="Times New Roman"/>
        </w:rPr>
      </w:pPr>
      <w:bookmarkStart w:name="_Toc224569311" w:id="34"/>
      <w:r w:rsidRPr="003F28E1">
        <w:t>R</w:t>
      </w:r>
      <w:r w:rsidRPr="003F28E1" w:rsidR="00115033">
        <w:t>ate</w:t>
      </w:r>
      <w:r w:rsidRPr="00224F5C" w:rsidR="00115033">
        <w:rPr>
          <w:rFonts w:eastAsia="Times New Roman"/>
        </w:rPr>
        <w:t xml:space="preserve"> of</w:t>
      </w:r>
      <w:r w:rsidRPr="00224F5C">
        <w:rPr>
          <w:rFonts w:eastAsia="Times New Roman"/>
        </w:rPr>
        <w:t xml:space="preserve"> Return (ROR)</w:t>
      </w:r>
      <w:bookmarkEnd w:id="34"/>
      <w:r w:rsidRPr="00224F5C">
        <w:rPr>
          <w:rFonts w:eastAsia="Times New Roman"/>
        </w:rPr>
        <w:t xml:space="preserve"> </w:t>
      </w:r>
    </w:p>
    <w:p w:rsidR="00611C71" w:rsidP="00611C71" w:rsidRDefault="00522F83" w14:paraId="568AE4F8" w14:textId="35CBC5B7">
      <w:pPr>
        <w:rPr>
          <w:rFonts w:eastAsia="Times New Roman" w:cs="Calibri"/>
          <w:szCs w:val="26"/>
        </w:rPr>
      </w:pPr>
      <w:r>
        <w:rPr>
          <w:rFonts w:eastAsia="Times New Roman" w:cs="Calibri"/>
          <w:szCs w:val="26"/>
        </w:rPr>
        <w:t>While t</w:t>
      </w:r>
      <w:r w:rsidR="00B37BD8">
        <w:rPr>
          <w:rFonts w:eastAsia="Times New Roman" w:cs="Calibri"/>
          <w:szCs w:val="26"/>
        </w:rPr>
        <w:t>he calculations and modeling of the RO</w:t>
      </w:r>
      <w:r w:rsidR="006E1871">
        <w:rPr>
          <w:rFonts w:eastAsia="Times New Roman" w:cs="Calibri"/>
          <w:szCs w:val="26"/>
        </w:rPr>
        <w:t>E</w:t>
      </w:r>
      <w:r w:rsidR="00B37BD8">
        <w:rPr>
          <w:rFonts w:eastAsia="Times New Roman" w:cs="Calibri"/>
          <w:szCs w:val="26"/>
        </w:rPr>
        <w:t xml:space="preserve"> are subject to confidential treatment in this proceeding</w:t>
      </w:r>
      <w:r>
        <w:rPr>
          <w:rFonts w:eastAsia="Times New Roman" w:cs="Calibri"/>
          <w:szCs w:val="26"/>
        </w:rPr>
        <w:t>,</w:t>
      </w:r>
      <w:r w:rsidR="00B37BD8">
        <w:rPr>
          <w:rStyle w:val="FootnoteReference"/>
          <w:rFonts w:eastAsia="Times New Roman" w:cs="Calibri"/>
          <w:szCs w:val="26"/>
        </w:rPr>
        <w:footnoteReference w:id="58"/>
      </w:r>
      <w:r w:rsidR="00B37BD8">
        <w:rPr>
          <w:rFonts w:eastAsia="Times New Roman" w:cs="Calibri"/>
          <w:szCs w:val="26"/>
        </w:rPr>
        <w:t xml:space="preserve"> </w:t>
      </w:r>
      <w:r>
        <w:rPr>
          <w:rFonts w:eastAsia="Times New Roman" w:cs="Calibri"/>
          <w:szCs w:val="26"/>
        </w:rPr>
        <w:t>t</w:t>
      </w:r>
      <w:r w:rsidRPr="00F24479" w:rsidR="00611C71">
        <w:rPr>
          <w:rFonts w:eastAsia="Times New Roman" w:cs="Calibri"/>
          <w:szCs w:val="26"/>
        </w:rPr>
        <w:t xml:space="preserve">he overall </w:t>
      </w:r>
      <w:r w:rsidR="00611C71">
        <w:rPr>
          <w:rFonts w:eastAsia="Times New Roman" w:cs="Calibri"/>
          <w:szCs w:val="26"/>
        </w:rPr>
        <w:t>ROR</w:t>
      </w:r>
      <w:r w:rsidR="007B031D">
        <w:rPr>
          <w:rFonts w:eastAsia="Times New Roman" w:cs="Calibri"/>
          <w:szCs w:val="26"/>
        </w:rPr>
        <w:t xml:space="preserve"> of 7.91%</w:t>
      </w:r>
      <w:r w:rsidR="00611C71">
        <w:rPr>
          <w:rFonts w:eastAsia="Times New Roman" w:cs="Calibri"/>
          <w:szCs w:val="26"/>
        </w:rPr>
        <w:t xml:space="preserve"> </w:t>
      </w:r>
      <w:r w:rsidRPr="00F24479" w:rsidR="00611C71">
        <w:rPr>
          <w:rFonts w:eastAsia="Times New Roman" w:cs="Calibri"/>
          <w:szCs w:val="26"/>
        </w:rPr>
        <w:t xml:space="preserve">is calculated by </w:t>
      </w:r>
      <w:proofErr w:type="gramStart"/>
      <w:r w:rsidRPr="00F24479" w:rsidR="00611C71">
        <w:rPr>
          <w:rFonts w:eastAsia="Times New Roman" w:cs="Calibri"/>
          <w:szCs w:val="26"/>
        </w:rPr>
        <w:lastRenderedPageBreak/>
        <w:t>weighting</w:t>
      </w:r>
      <w:proofErr w:type="gramEnd"/>
      <w:r w:rsidRPr="00F24479" w:rsidR="00611C71">
        <w:rPr>
          <w:rFonts w:eastAsia="Times New Roman" w:cs="Calibri"/>
          <w:szCs w:val="26"/>
        </w:rPr>
        <w:t xml:space="preserve"> the proposed </w:t>
      </w:r>
      <w:r w:rsidR="00611C71">
        <w:rPr>
          <w:rFonts w:eastAsia="Times New Roman" w:cs="Calibri"/>
          <w:szCs w:val="26"/>
        </w:rPr>
        <w:t>ROE</w:t>
      </w:r>
      <w:r w:rsidRPr="00F24479" w:rsidR="00611C71">
        <w:rPr>
          <w:rFonts w:eastAsia="Times New Roman" w:cs="Calibri"/>
          <w:szCs w:val="26"/>
        </w:rPr>
        <w:t xml:space="preserve"> and the cost of debt according to their respective shares in Liberty’s proposed capital structure. The </w:t>
      </w:r>
      <w:r w:rsidR="00611C71">
        <w:rPr>
          <w:rFonts w:eastAsia="Times New Roman" w:cs="Calibri"/>
          <w:szCs w:val="26"/>
        </w:rPr>
        <w:t>ROE</w:t>
      </w:r>
      <w:r w:rsidRPr="00F24479" w:rsidR="00611C71">
        <w:rPr>
          <w:rFonts w:eastAsia="Times New Roman" w:cs="Calibri"/>
          <w:szCs w:val="26"/>
        </w:rPr>
        <w:t xml:space="preserve"> compensates shareholders for the capital invested and the associated risk, while the cost of debt represents the weighted average interest expense on Liberty’s borrowings. These weighted components are combined to determine the proposed overall rate of return, which is applied to rate base to calculate the dollar amount of return included in Liberty’s revenue requirement.</w:t>
      </w:r>
    </w:p>
    <w:p w:rsidRPr="00366693" w:rsidR="00575145" w:rsidP="002B1535" w:rsidRDefault="00575145" w14:paraId="087AA5B6" w14:textId="007C594F">
      <w:pPr>
        <w:pStyle w:val="Heading2"/>
      </w:pPr>
      <w:bookmarkStart w:name="_Toc224569312" w:id="35"/>
      <w:r w:rsidRPr="00366693">
        <w:t>Scoped Issue 10</w:t>
      </w:r>
      <w:bookmarkEnd w:id="35"/>
    </w:p>
    <w:p w:rsidR="009B36FC" w:rsidP="00BF46B3" w:rsidRDefault="00575145" w14:paraId="65205A98" w14:textId="742C034B">
      <w:pPr>
        <w:pStyle w:val="Standard"/>
        <w:rPr>
          <w:rFonts w:cs="Arial"/>
        </w:rPr>
      </w:pPr>
      <w:r>
        <w:rPr>
          <w:rFonts w:cs="Arial"/>
        </w:rPr>
        <w:t>Scoped Issue 10 is whether Liberty adequately implemented its risk-based decision-making process and framework</w:t>
      </w:r>
      <w:r w:rsidR="0066245B">
        <w:rPr>
          <w:rFonts w:cs="Arial"/>
        </w:rPr>
        <w:t>.</w:t>
      </w:r>
      <w:r w:rsidR="00A5306B">
        <w:rPr>
          <w:rFonts w:cs="Arial"/>
        </w:rPr>
        <w:t xml:space="preserve"> Liberty and other small and multi-jurisdictional utilities entered into a 2018 Settlement Agreement regarding requirements for their risk-based decision m</w:t>
      </w:r>
      <w:r w:rsidR="00395896">
        <w:rPr>
          <w:rFonts w:cs="Arial"/>
        </w:rPr>
        <w:t>akin</w:t>
      </w:r>
      <w:r w:rsidR="00A5306B">
        <w:rPr>
          <w:rFonts w:cs="Arial"/>
        </w:rPr>
        <w:t>g in their future general rate case proceedings.</w:t>
      </w:r>
      <w:r w:rsidR="00A5306B">
        <w:rPr>
          <w:rStyle w:val="FootnoteReference"/>
          <w:rFonts w:cs="Arial"/>
        </w:rPr>
        <w:footnoteReference w:id="59"/>
      </w:r>
      <w:r w:rsidR="00A5306B">
        <w:rPr>
          <w:rFonts w:cs="Arial"/>
        </w:rPr>
        <w:t xml:space="preserve"> </w:t>
      </w:r>
      <w:r w:rsidR="009B36FC">
        <w:rPr>
          <w:rFonts w:cs="Arial"/>
        </w:rPr>
        <w:t xml:space="preserve">Liberty’s testimony regarding its risk-based decision making is attached as Chapter 5 to the Application. </w:t>
      </w:r>
      <w:r w:rsidR="006C0D11">
        <w:rPr>
          <w:rFonts w:cs="Arial"/>
        </w:rPr>
        <w:t xml:space="preserve">No </w:t>
      </w:r>
      <w:r w:rsidR="009B36FC">
        <w:rPr>
          <w:rFonts w:cs="Arial"/>
        </w:rPr>
        <w:t>Part</w:t>
      </w:r>
      <w:r w:rsidR="006C0D11">
        <w:rPr>
          <w:rFonts w:cs="Arial"/>
        </w:rPr>
        <w:t>y served</w:t>
      </w:r>
      <w:r w:rsidR="009B36FC">
        <w:rPr>
          <w:rFonts w:cs="Arial"/>
        </w:rPr>
        <w:t xml:space="preserve"> intervenor testimony to rebut Liberty’s testimony. </w:t>
      </w:r>
    </w:p>
    <w:p w:rsidR="006C19FB" w:rsidP="006F0FD0" w:rsidRDefault="009B36FC" w14:paraId="51AC930A" w14:textId="4715E471">
      <w:pPr>
        <w:pStyle w:val="Standard"/>
        <w:rPr>
          <w:rFonts w:cs="Arial"/>
        </w:rPr>
      </w:pPr>
      <w:r>
        <w:rPr>
          <w:rFonts w:cs="Arial"/>
        </w:rPr>
        <w:t xml:space="preserve">An ALJ ruling </w:t>
      </w:r>
      <w:r w:rsidR="008E51F0">
        <w:rPr>
          <w:rFonts w:cs="Arial"/>
        </w:rPr>
        <w:t>ordered</w:t>
      </w:r>
      <w:r>
        <w:rPr>
          <w:rFonts w:cs="Arial"/>
        </w:rPr>
        <w:t xml:space="preserve"> Liberty to </w:t>
      </w:r>
      <w:r w:rsidR="008E51F0">
        <w:rPr>
          <w:rFonts w:cs="Arial"/>
        </w:rPr>
        <w:t>file a response with</w:t>
      </w:r>
      <w:r>
        <w:rPr>
          <w:rFonts w:cs="Arial"/>
        </w:rPr>
        <w:t xml:space="preserve"> a more detailed description of its risk-based decision</w:t>
      </w:r>
      <w:r w:rsidR="00A5306B">
        <w:rPr>
          <w:rFonts w:cs="Arial"/>
        </w:rPr>
        <w:t>-</w:t>
      </w:r>
      <w:r>
        <w:rPr>
          <w:rFonts w:cs="Arial"/>
        </w:rPr>
        <w:t>making framework</w:t>
      </w:r>
      <w:r w:rsidR="002B1B5B">
        <w:rPr>
          <w:rFonts w:cs="Arial"/>
        </w:rPr>
        <w:t xml:space="preserve"> in this proceeding</w:t>
      </w:r>
      <w:r>
        <w:rPr>
          <w:rFonts w:cs="Arial"/>
        </w:rPr>
        <w:t>.</w:t>
      </w:r>
      <w:r>
        <w:rPr>
          <w:rStyle w:val="FootnoteReference"/>
          <w:rFonts w:cs="Arial"/>
        </w:rPr>
        <w:footnoteReference w:id="60"/>
      </w:r>
      <w:r>
        <w:rPr>
          <w:rFonts w:cs="Arial"/>
        </w:rPr>
        <w:t xml:space="preserve"> </w:t>
      </w:r>
      <w:r w:rsidR="00D61368">
        <w:rPr>
          <w:rFonts w:cs="Arial"/>
        </w:rPr>
        <w:t xml:space="preserve">Liberty’s response to </w:t>
      </w:r>
      <w:r w:rsidR="00A47902">
        <w:rPr>
          <w:rFonts w:cs="Arial"/>
        </w:rPr>
        <w:t xml:space="preserve">that </w:t>
      </w:r>
      <w:r w:rsidR="00D61368">
        <w:rPr>
          <w:rFonts w:cs="Arial"/>
        </w:rPr>
        <w:t>ALJ Ruling describe</w:t>
      </w:r>
      <w:r w:rsidR="002B1B5B">
        <w:rPr>
          <w:rFonts w:cs="Arial"/>
        </w:rPr>
        <w:t>d</w:t>
      </w:r>
      <w:r w:rsidR="00D61368">
        <w:rPr>
          <w:rFonts w:cs="Arial"/>
        </w:rPr>
        <w:t xml:space="preserve"> how Liberty’s risk-based decision-making </w:t>
      </w:r>
      <w:r w:rsidR="006C19FB">
        <w:rPr>
          <w:rFonts w:cs="Arial"/>
        </w:rPr>
        <w:t xml:space="preserve">comports with the requirements of D.19-04-020. </w:t>
      </w:r>
      <w:r w:rsidR="008A0DCF">
        <w:rPr>
          <w:rFonts w:cs="Arial"/>
        </w:rPr>
        <w:t>N</w:t>
      </w:r>
      <w:r w:rsidR="006C19FB">
        <w:rPr>
          <w:rFonts w:cs="Arial"/>
        </w:rPr>
        <w:t>o</w:t>
      </w:r>
      <w:r w:rsidR="008A0DCF">
        <w:rPr>
          <w:rFonts w:cs="Arial"/>
        </w:rPr>
        <w:t xml:space="preserve"> </w:t>
      </w:r>
      <w:r w:rsidR="006C19FB">
        <w:rPr>
          <w:rFonts w:cs="Arial"/>
        </w:rPr>
        <w:t xml:space="preserve">evidence </w:t>
      </w:r>
      <w:r w:rsidR="006F0FD0">
        <w:rPr>
          <w:rFonts w:cs="Arial"/>
        </w:rPr>
        <w:t xml:space="preserve">was presented in this proceeding </w:t>
      </w:r>
      <w:r w:rsidR="008A0DCF">
        <w:rPr>
          <w:rFonts w:cs="Arial"/>
        </w:rPr>
        <w:t xml:space="preserve">to dispute the adequacy of </w:t>
      </w:r>
      <w:r w:rsidR="006C19FB">
        <w:rPr>
          <w:rFonts w:cs="Arial"/>
        </w:rPr>
        <w:t>Liberty’s risk-based decision-makin</w:t>
      </w:r>
      <w:r w:rsidR="008A0DCF">
        <w:rPr>
          <w:rFonts w:cs="Arial"/>
        </w:rPr>
        <w:t>g.</w:t>
      </w:r>
      <w:r w:rsidR="006F0FD0">
        <w:rPr>
          <w:rFonts w:cs="Arial"/>
        </w:rPr>
        <w:t xml:space="preserve"> T</w:t>
      </w:r>
      <w:r w:rsidR="006C19FB">
        <w:rPr>
          <w:rFonts w:cs="Arial"/>
        </w:rPr>
        <w:t xml:space="preserve">he </w:t>
      </w:r>
      <w:r w:rsidR="00103DAF">
        <w:rPr>
          <w:rFonts w:cs="Arial"/>
        </w:rPr>
        <w:t xml:space="preserve">Commission concludes </w:t>
      </w:r>
      <w:r w:rsidR="003C4513">
        <w:rPr>
          <w:rFonts w:cs="Arial"/>
        </w:rPr>
        <w:t>that</w:t>
      </w:r>
      <w:r w:rsidR="006C19FB">
        <w:rPr>
          <w:rFonts w:cs="Arial"/>
        </w:rPr>
        <w:t xml:space="preserve"> Liberty adequately implemented its risk-based decision</w:t>
      </w:r>
      <w:r w:rsidR="00A47902">
        <w:rPr>
          <w:rFonts w:cs="Arial"/>
        </w:rPr>
        <w:t>-making process and</w:t>
      </w:r>
      <w:r w:rsidR="006C19FB">
        <w:rPr>
          <w:rFonts w:cs="Arial"/>
        </w:rPr>
        <w:t xml:space="preserve"> framework</w:t>
      </w:r>
      <w:r w:rsidR="006F0FD0">
        <w:rPr>
          <w:rFonts w:cs="Arial"/>
        </w:rPr>
        <w:t xml:space="preserve">. </w:t>
      </w:r>
    </w:p>
    <w:p w:rsidR="00603238" w:rsidP="00FA1B4F" w:rsidRDefault="00603238" w14:paraId="02157DBA" w14:textId="77777777">
      <w:pPr>
        <w:pStyle w:val="Heading1"/>
      </w:pPr>
      <w:bookmarkStart w:name="_Toc8123721" w:id="36"/>
      <w:bookmarkStart w:name="_Toc224569313" w:id="37"/>
      <w:r>
        <w:lastRenderedPageBreak/>
        <w:t>Summary of Public Comment</w:t>
      </w:r>
      <w:bookmarkEnd w:id="37"/>
    </w:p>
    <w:p w:rsidRPr="0054756B" w:rsidR="00603238" w:rsidP="00284D8D" w:rsidRDefault="00603238" w14:paraId="42A65FF2" w14:textId="2D8F2035">
      <w:pPr>
        <w:rPr>
          <w:rFonts w:ascii="Calibri" w:hAnsi="Calibri"/>
          <w:sz w:val="22"/>
        </w:rPr>
      </w:pPr>
      <w:r w:rsidRPr="0054756B">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2E0333">
        <w:t xml:space="preserve"> </w:t>
      </w:r>
      <w:r w:rsidR="0028700D">
        <w:t xml:space="preserve">In this proceeding, </w:t>
      </w:r>
      <w:r w:rsidR="002E0333">
        <w:t xml:space="preserve">328 Public Comments were received </w:t>
      </w:r>
      <w:r w:rsidR="004E0D15">
        <w:t xml:space="preserve">as of the issuance of the Proposed Decision </w:t>
      </w:r>
      <w:r w:rsidR="002E0333">
        <w:t xml:space="preserve">that uniformly criticized Liberty’s costs and rate increases. The Public Comments described increasingly difficult household and business hardships and affordability issues caused by Liberty’s rapidly rising rates that outpace inflation. The Public Comments also criticized Liberty’s operations and </w:t>
      </w:r>
      <w:r w:rsidR="00D574DB">
        <w:t>requested that the Commission limit Liberty’s rate increases.</w:t>
      </w:r>
    </w:p>
    <w:p w:rsidR="00FA1B4F" w:rsidP="00FA1B4F" w:rsidRDefault="005939A5" w14:paraId="51466FF2" w14:textId="77777777">
      <w:pPr>
        <w:pStyle w:val="Heading1"/>
      </w:pPr>
      <w:bookmarkStart w:name="_Toc224569314" w:id="38"/>
      <w:r>
        <w:t>Conclusion</w:t>
      </w:r>
      <w:bookmarkEnd w:id="36"/>
      <w:bookmarkEnd w:id="38"/>
    </w:p>
    <w:p w:rsidRPr="001E2A62" w:rsidR="006E34E4" w:rsidP="006E34E4" w:rsidRDefault="008515FE" w14:paraId="0193A770" w14:textId="268EE565">
      <w:pPr>
        <w:pStyle w:val="OP"/>
        <w:numPr>
          <w:ilvl w:val="0"/>
          <w:numId w:val="0"/>
        </w:numPr>
        <w:ind w:firstLine="540"/>
      </w:pPr>
      <w:r>
        <w:t>T</w:t>
      </w:r>
      <w:r w:rsidR="00BF46B3">
        <w:t xml:space="preserve">his Decision resolves </w:t>
      </w:r>
      <w:r w:rsidR="006E34E4">
        <w:t xml:space="preserve">the </w:t>
      </w:r>
      <w:r w:rsidR="00BF46B3">
        <w:t xml:space="preserve">entire proceeding. This Decision </w:t>
      </w:r>
      <w:r w:rsidR="00E36E4B">
        <w:t>approves</w:t>
      </w:r>
      <w:r w:rsidR="00BF46B3">
        <w:t xml:space="preserve"> </w:t>
      </w:r>
      <w:r w:rsidR="00F40FEE">
        <w:t xml:space="preserve">the </w:t>
      </w:r>
      <w:r w:rsidR="00BF46B3">
        <w:t xml:space="preserve">Settlement </w:t>
      </w:r>
      <w:r w:rsidR="00E36E4B">
        <w:t>Agreement</w:t>
      </w:r>
      <w:r w:rsidR="00BF46B3">
        <w:t xml:space="preserve"> </w:t>
      </w:r>
      <w:r w:rsidR="00E36E4B">
        <w:t xml:space="preserve">except </w:t>
      </w:r>
      <w:r w:rsidR="00BF46B3">
        <w:t xml:space="preserve">for </w:t>
      </w:r>
      <w:r w:rsidR="006E34E4">
        <w:t xml:space="preserve">rejecting </w:t>
      </w:r>
      <w:r w:rsidR="00BF46B3">
        <w:t xml:space="preserve">the </w:t>
      </w:r>
      <w:r w:rsidR="00E36E4B">
        <w:t xml:space="preserve">residential </w:t>
      </w:r>
      <w:r w:rsidR="00BF46B3">
        <w:t xml:space="preserve">fixed charge and </w:t>
      </w:r>
      <w:r w:rsidR="001667A4">
        <w:t>addresses</w:t>
      </w:r>
      <w:r w:rsidR="00BF46B3">
        <w:t xml:space="preserve"> the </w:t>
      </w:r>
      <w:r w:rsidR="001667A4">
        <w:t xml:space="preserve">remaining </w:t>
      </w:r>
      <w:r w:rsidR="00BF46B3">
        <w:t xml:space="preserve">disputed issues. </w:t>
      </w:r>
      <w:r w:rsidRPr="46749814" w:rsidR="009D7626">
        <w:rPr>
          <w:rFonts w:eastAsia="Times New Roman" w:cs="Calibri"/>
        </w:rPr>
        <w:t xml:space="preserve">This </w:t>
      </w:r>
      <w:r w:rsidRPr="46749814" w:rsidR="00B03E71">
        <w:rPr>
          <w:rFonts w:eastAsia="Times New Roman" w:cs="Calibri"/>
        </w:rPr>
        <w:t>D</w:t>
      </w:r>
      <w:r w:rsidRPr="46749814" w:rsidR="009D7626">
        <w:rPr>
          <w:rFonts w:eastAsia="Times New Roman" w:cs="Calibri"/>
        </w:rPr>
        <w:t xml:space="preserve">ecision authorizes Liberty a </w:t>
      </w:r>
      <w:r w:rsidRPr="1FB91DDB" w:rsidR="289C69CD">
        <w:rPr>
          <w:rFonts w:eastAsia="Times New Roman" w:cs="Calibri"/>
        </w:rPr>
        <w:t>TY 2025</w:t>
      </w:r>
      <w:r w:rsidRPr="1A0EED92" w:rsidR="4A39ED6F">
        <w:rPr>
          <w:rFonts w:eastAsia="Times New Roman" w:cs="Calibri"/>
        </w:rPr>
        <w:t xml:space="preserve"> </w:t>
      </w:r>
      <w:r w:rsidRPr="46749814" w:rsidR="009D7626">
        <w:rPr>
          <w:rFonts w:eastAsia="Times New Roman" w:cs="Calibri"/>
        </w:rPr>
        <w:t xml:space="preserve">revenue requirement of $231,938,000. </w:t>
      </w:r>
      <w:r w:rsidRPr="46749814" w:rsidR="006E34E4">
        <w:rPr>
          <w:rFonts w:eastAsia="Times New Roman" w:cs="Calibri"/>
        </w:rPr>
        <w:t xml:space="preserve">This Decision also authorizes Liberty to </w:t>
      </w:r>
      <w:r w:rsidRPr="46749814" w:rsidR="00474531">
        <w:rPr>
          <w:rFonts w:eastAsia="Times New Roman" w:cs="Calibri"/>
        </w:rPr>
        <w:t>have</w:t>
      </w:r>
      <w:r w:rsidRPr="46749814" w:rsidR="006E34E4">
        <w:rPr>
          <w:rFonts w:eastAsia="Times New Roman" w:cs="Calibri"/>
        </w:rPr>
        <w:t xml:space="preserve"> a</w:t>
      </w:r>
      <w:r w:rsidR="006E34E4">
        <w:t xml:space="preserve"> ROE of 9.75</w:t>
      </w:r>
      <w:r w:rsidRPr="46749814" w:rsidR="006E34E4">
        <w:rPr>
          <w:rFonts w:eastAsia="Times New Roman" w:cs="Calibri"/>
        </w:rPr>
        <w:t xml:space="preserve">%, </w:t>
      </w:r>
      <w:r w:rsidRPr="46749814" w:rsidR="006C0D11">
        <w:rPr>
          <w:rFonts w:eastAsia="Times New Roman" w:cs="Calibri"/>
        </w:rPr>
        <w:t xml:space="preserve">a </w:t>
      </w:r>
      <w:r w:rsidRPr="00B03E71" w:rsidR="006C0D11">
        <w:rPr>
          <w:rFonts w:cs="Arial"/>
        </w:rPr>
        <w:t>cost of debt of 5.87%</w:t>
      </w:r>
      <w:r w:rsidR="006C0D11">
        <w:rPr>
          <w:rFonts w:cs="Arial"/>
        </w:rPr>
        <w:t xml:space="preserve">, </w:t>
      </w:r>
      <w:r w:rsidR="006E1871">
        <w:rPr>
          <w:rFonts w:cs="Arial"/>
        </w:rPr>
        <w:t>a capital structure of 47.5% debt and 52.5% equity</w:t>
      </w:r>
      <w:r w:rsidR="009702F9">
        <w:rPr>
          <w:rFonts w:cs="Arial"/>
        </w:rPr>
        <w:t>,</w:t>
      </w:r>
      <w:r w:rsidR="006E1871">
        <w:t xml:space="preserve"> and </w:t>
      </w:r>
      <w:r w:rsidR="006E34E4">
        <w:t>a ROR of 7.91</w:t>
      </w:r>
      <w:r w:rsidRPr="46749814" w:rsidR="006E34E4">
        <w:rPr>
          <w:rFonts w:eastAsia="Times New Roman" w:cs="Calibri"/>
        </w:rPr>
        <w:t>%</w:t>
      </w:r>
      <w:r w:rsidRPr="46749814" w:rsidR="006E1871">
        <w:rPr>
          <w:rFonts w:eastAsia="Times New Roman" w:cs="Calibri"/>
        </w:rPr>
        <w:t>.</w:t>
      </w:r>
      <w:r w:rsidR="005649D7">
        <w:rPr>
          <w:rFonts w:cs="Arial"/>
        </w:rPr>
        <w:t xml:space="preserve"> </w:t>
      </w:r>
      <w:r w:rsidR="00541F94">
        <w:rPr>
          <w:rFonts w:cs="Arial"/>
        </w:rPr>
        <w:t xml:space="preserve">The Summary of Results of Operations for 2025 are </w:t>
      </w:r>
      <w:r w:rsidR="00515BA7">
        <w:rPr>
          <w:rFonts w:cs="Arial"/>
        </w:rPr>
        <w:t>Attachment</w:t>
      </w:r>
      <w:r w:rsidR="00541F94">
        <w:rPr>
          <w:rFonts w:cs="Arial"/>
        </w:rPr>
        <w:t xml:space="preserve"> B to the Proposed Decision. </w:t>
      </w:r>
      <w:r w:rsidR="005649D7">
        <w:rPr>
          <w:rFonts w:cs="Arial"/>
        </w:rPr>
        <w:t xml:space="preserve">As set forth in Ordering Paragraph </w:t>
      </w:r>
      <w:r w:rsidR="00541F94">
        <w:rPr>
          <w:rFonts w:cs="Arial"/>
        </w:rPr>
        <w:t>10</w:t>
      </w:r>
      <w:r w:rsidR="005649D7">
        <w:rPr>
          <w:rFonts w:cs="Arial"/>
        </w:rPr>
        <w:t xml:space="preserve"> below, within </w:t>
      </w:r>
      <w:r w:rsidR="00541F94">
        <w:rPr>
          <w:rFonts w:cs="Arial"/>
        </w:rPr>
        <w:t>6</w:t>
      </w:r>
      <w:r w:rsidR="005649D7">
        <w:rPr>
          <w:rFonts w:cs="Arial"/>
        </w:rPr>
        <w:t>0 days of the issuance of this Decision, Liberty shall submit to the Commission’s Energy Division a Tier 2 Advice Letter to implement the provisions of this Decision</w:t>
      </w:r>
      <w:r w:rsidR="006E34E4">
        <w:rPr>
          <w:rFonts w:cs="Arial"/>
        </w:rPr>
        <w:t>.</w:t>
      </w:r>
    </w:p>
    <w:p w:rsidR="004A1EAD" w:rsidP="004A1EAD" w:rsidRDefault="004A1EAD" w14:paraId="6A66AD10" w14:textId="77777777">
      <w:pPr>
        <w:pStyle w:val="Heading1"/>
      </w:pPr>
      <w:bookmarkStart w:name="_Toc8123723" w:id="39"/>
      <w:bookmarkStart w:name="_Toc224569315" w:id="40"/>
      <w:r>
        <w:t>Procedural Matters</w:t>
      </w:r>
      <w:bookmarkEnd w:id="40"/>
    </w:p>
    <w:p w:rsidRPr="008B175A" w:rsidR="004A1EAD" w:rsidP="004A1EAD" w:rsidRDefault="004A1EAD" w14:paraId="000A37C0" w14:textId="494EE410">
      <w:pPr>
        <w:pStyle w:val="Standard"/>
      </w:pPr>
      <w:r w:rsidRPr="008B175A">
        <w:t xml:space="preserve">This </w:t>
      </w:r>
      <w:r w:rsidR="00045290">
        <w:t>D</w:t>
      </w:r>
      <w:r w:rsidRPr="008B175A">
        <w:t>ecision affirms all rulings made by the A</w:t>
      </w:r>
      <w:r w:rsidR="00045290">
        <w:t>LJ</w:t>
      </w:r>
      <w:r w:rsidRPr="008B175A">
        <w:t xml:space="preserve"> and assigned Commissioner in this proceeding. All motions not ruled on are deemed denied.</w:t>
      </w:r>
    </w:p>
    <w:p w:rsidR="005939A5" w:rsidP="005939A5" w:rsidRDefault="005939A5" w14:paraId="23097AAC" w14:textId="77777777">
      <w:pPr>
        <w:pStyle w:val="Heading1"/>
      </w:pPr>
      <w:bookmarkStart w:name="_Toc224569316" w:id="41"/>
      <w:r>
        <w:lastRenderedPageBreak/>
        <w:t>Comments on Proposed Decision</w:t>
      </w:r>
      <w:bookmarkEnd w:id="39"/>
      <w:bookmarkEnd w:id="41"/>
    </w:p>
    <w:p w:rsidR="005939A5" w:rsidP="00CA04B8" w:rsidRDefault="005C58FA" w14:paraId="37FD40A6" w14:textId="5C9F57F0">
      <w:pPr>
        <w:pStyle w:val="Standard"/>
      </w:pPr>
      <w:r w:rsidRPr="00585746">
        <w:t xml:space="preserve">The </w:t>
      </w:r>
      <w:r w:rsidR="00366693">
        <w:t>p</w:t>
      </w:r>
      <w:r w:rsidRPr="00585746">
        <w:t xml:space="preserve">roposed </w:t>
      </w:r>
      <w:r w:rsidR="00366693">
        <w:t>d</w:t>
      </w:r>
      <w:r w:rsidRPr="00585746">
        <w:t xml:space="preserve">ecision of ALJ </w:t>
      </w:r>
      <w:r w:rsidRPr="00585746" w:rsidR="00585746">
        <w:t>Patrick Petersen</w:t>
      </w:r>
      <w:r w:rsidR="00585746">
        <w:t xml:space="preserve"> </w:t>
      </w:r>
      <w:r>
        <w:t xml:space="preserve">in this matter was mailed to the </w:t>
      </w:r>
      <w:r w:rsidR="00891E68">
        <w:t>P</w:t>
      </w:r>
      <w:r>
        <w:t>arties in accordance with Pub</w:t>
      </w:r>
      <w:r w:rsidR="00E66E1C">
        <w:t>.</w:t>
      </w:r>
      <w:r>
        <w:t xml:space="preserve"> Util</w:t>
      </w:r>
      <w:r w:rsidR="00E66E1C">
        <w:t>.</w:t>
      </w:r>
      <w:r>
        <w:t xml:space="preserve"> Code </w:t>
      </w:r>
      <w:r w:rsidR="00891E68">
        <w:t xml:space="preserve">Section 311 </w:t>
      </w:r>
      <w:r>
        <w:t xml:space="preserve">and comments were allowed under Rule 14.3.  Comments were filed on </w:t>
      </w:r>
      <w:r w:rsidR="00DC01D3">
        <w:t>March 5, 2026</w:t>
      </w:r>
      <w:r>
        <w:t xml:space="preserve">, and reply comments were filed on </w:t>
      </w:r>
      <w:r w:rsidR="00DC01D3">
        <w:t xml:space="preserve">March 10, </w:t>
      </w:r>
      <w:proofErr w:type="gramStart"/>
      <w:r w:rsidR="00DC01D3">
        <w:t>2026</w:t>
      </w:r>
      <w:proofErr w:type="gramEnd"/>
      <w:r w:rsidR="000D590D">
        <w:t xml:space="preserve"> </w:t>
      </w:r>
      <w:r w:rsidR="005E7B49">
        <w:t xml:space="preserve">and </w:t>
      </w:r>
      <w:r w:rsidR="00DF7C40">
        <w:t>on March 11</w:t>
      </w:r>
      <w:r w:rsidR="005E7B49">
        <w:t>, 2026</w:t>
      </w:r>
      <w:r w:rsidR="00DF7C40">
        <w:t>.</w:t>
      </w:r>
      <w:r w:rsidRPr="00C878D5" w:rsidR="00C878D5">
        <w:t xml:space="preserve"> </w:t>
      </w:r>
      <w:r w:rsidR="00541F94">
        <w:t>On March 1</w:t>
      </w:r>
      <w:r w:rsidR="00066FF4">
        <w:t>3</w:t>
      </w:r>
      <w:r w:rsidR="00541F94">
        <w:t xml:space="preserve">, 2026, the Settling Parties filed a Joint Status Update to accept the modification to the Settlement Agreement if the Commission provided 60 days for Liberty to </w:t>
      </w:r>
      <w:r w:rsidR="007E3A0B">
        <w:t>submit</w:t>
      </w:r>
      <w:r w:rsidR="00541F94">
        <w:t xml:space="preserve"> a Tier 2 Advice Letter to </w:t>
      </w:r>
      <w:r w:rsidR="007E3A0B">
        <w:t xml:space="preserve">the Commission’s Energy Division to </w:t>
      </w:r>
      <w:r w:rsidR="00541F94">
        <w:t xml:space="preserve">implement the terms of the Proposed Decision. </w:t>
      </w:r>
      <w:r w:rsidRPr="00CA04B8" w:rsidR="00CA04B8">
        <w:t xml:space="preserve">We have carefully reviewed and considered the parties’ comments and made appropriate changes to the proposed decision where warranted. We find that all further comments not specifically addressed by revisions to the </w:t>
      </w:r>
      <w:r w:rsidR="003933CF">
        <w:t>P</w:t>
      </w:r>
      <w:r w:rsidRPr="00CA04B8" w:rsidR="00CA04B8">
        <w:t xml:space="preserve">roposed </w:t>
      </w:r>
      <w:r w:rsidR="003933CF">
        <w:t>D</w:t>
      </w:r>
      <w:r w:rsidRPr="00CA04B8" w:rsidR="00CA04B8">
        <w:t xml:space="preserve">ecision do not raise any factual, legal, or technical errors that would warrant modifications to the </w:t>
      </w:r>
      <w:r w:rsidR="00B65C7A">
        <w:t>P</w:t>
      </w:r>
      <w:r w:rsidRPr="00CA04B8" w:rsidR="00CA04B8">
        <w:t xml:space="preserve">roposed </w:t>
      </w:r>
      <w:r w:rsidR="00B65C7A">
        <w:t>D</w:t>
      </w:r>
      <w:r w:rsidRPr="00CA04B8" w:rsidR="00CA04B8">
        <w:t>ecision.</w:t>
      </w:r>
    </w:p>
    <w:p w:rsidR="005939A5" w:rsidP="005939A5" w:rsidRDefault="005939A5" w14:paraId="09A5EAA3" w14:textId="77777777">
      <w:pPr>
        <w:pStyle w:val="Heading1"/>
      </w:pPr>
      <w:bookmarkStart w:name="_Toc8123724" w:id="42"/>
      <w:bookmarkStart w:name="_Toc224569317" w:id="43"/>
      <w:r>
        <w:t>Assignment of Proceeding</w:t>
      </w:r>
      <w:bookmarkEnd w:id="42"/>
      <w:bookmarkEnd w:id="43"/>
    </w:p>
    <w:p w:rsidR="005939A5" w:rsidP="006E6574" w:rsidRDefault="00E21F08" w14:paraId="3D2729E2" w14:textId="27193F38">
      <w:pPr>
        <w:pStyle w:val="Standard"/>
      </w:pPr>
      <w:r>
        <w:t>Matthew Baker</w:t>
      </w:r>
      <w:r w:rsidR="005939A5">
        <w:t xml:space="preserve"> is the assigned Commissioner and </w:t>
      </w:r>
      <w:r>
        <w:t>Patrick Petersen</w:t>
      </w:r>
      <w:r w:rsidR="005939A5">
        <w:t xml:space="preserve"> is the assigned A</w:t>
      </w:r>
      <w:r w:rsidR="00554169">
        <w:t>LJ</w:t>
      </w:r>
      <w:r w:rsidR="005939A5">
        <w:t xml:space="preserve"> in this proceeding.</w:t>
      </w:r>
    </w:p>
    <w:p w:rsidR="005939A5" w:rsidP="005939A5" w:rsidRDefault="005939A5" w14:paraId="227EA58F" w14:textId="77777777">
      <w:pPr>
        <w:pStyle w:val="Dummy"/>
      </w:pPr>
      <w:bookmarkStart w:name="_Toc8123725" w:id="44"/>
      <w:bookmarkStart w:name="_Toc224569318" w:id="45"/>
      <w:r>
        <w:t>Findings of Fact</w:t>
      </w:r>
      <w:bookmarkEnd w:id="44"/>
      <w:bookmarkEnd w:id="45"/>
    </w:p>
    <w:p w:rsidR="00F62B7A" w:rsidP="001E2A62" w:rsidRDefault="00E21F08" w14:paraId="6FA22C59" w14:textId="3E9B0510">
      <w:pPr>
        <w:pStyle w:val="FoF"/>
      </w:pPr>
      <w:r>
        <w:t>On October 1, 2025, Liberty, Cal Advocates, TURN, A-3</w:t>
      </w:r>
      <w:r w:rsidR="00C47203">
        <w:t xml:space="preserve"> CC</w:t>
      </w:r>
      <w:r>
        <w:t xml:space="preserve">, TERG and SBUA filed </w:t>
      </w:r>
      <w:r w:rsidR="00DC1FA3">
        <w:t>the</w:t>
      </w:r>
      <w:r>
        <w:t xml:space="preserve"> Amended </w:t>
      </w:r>
      <w:r w:rsidR="00C91476">
        <w:t>Settlement</w:t>
      </w:r>
      <w:r>
        <w:t xml:space="preserve"> Motion </w:t>
      </w:r>
      <w:r w:rsidR="00DC1FA3">
        <w:t>f</w:t>
      </w:r>
      <w:r>
        <w:t xml:space="preserve">or </w:t>
      </w:r>
      <w:r w:rsidR="00DC1FA3">
        <w:t>a</w:t>
      </w:r>
      <w:r>
        <w:t xml:space="preserve">pproval </w:t>
      </w:r>
      <w:r w:rsidR="00DC1FA3">
        <w:t>and adoption of the Settlement Agreement</w:t>
      </w:r>
      <w:r>
        <w:t xml:space="preserve"> attached to this Decision as A</w:t>
      </w:r>
      <w:r w:rsidR="00C47203">
        <w:t>ttachment</w:t>
      </w:r>
      <w:r>
        <w:t xml:space="preserve"> A</w:t>
      </w:r>
      <w:r w:rsidR="00AE1F68">
        <w:t>, Appendix A.</w:t>
      </w:r>
    </w:p>
    <w:p w:rsidR="00826A59" w:rsidP="001E2A62" w:rsidRDefault="00E21F08" w14:paraId="5BD7B296" w14:textId="77777777">
      <w:pPr>
        <w:pStyle w:val="FoF"/>
      </w:pPr>
      <w:r>
        <w:t xml:space="preserve">The Settlement Agreement is the result of negotiated compromise of the positions of Liberty, </w:t>
      </w:r>
      <w:r w:rsidR="00C47203">
        <w:t xml:space="preserve">Cal Advocates, </w:t>
      </w:r>
      <w:r>
        <w:t>TURN, A-3</w:t>
      </w:r>
      <w:r w:rsidR="00C47203">
        <w:t xml:space="preserve"> CC</w:t>
      </w:r>
      <w:r>
        <w:t>, TERG and SBUA.</w:t>
      </w:r>
      <w:r w:rsidR="00826A59">
        <w:t xml:space="preserve"> </w:t>
      </w:r>
    </w:p>
    <w:p w:rsidR="00E21F08" w:rsidP="001E2A62" w:rsidRDefault="00826A59" w14:paraId="71F7E692" w14:textId="180A5FDD">
      <w:pPr>
        <w:pStyle w:val="FoF"/>
      </w:pPr>
      <w:r>
        <w:t>Tahoe S</w:t>
      </w:r>
      <w:r w:rsidR="003A4CFD">
        <w:t>PARK</w:t>
      </w:r>
      <w:r>
        <w:t xml:space="preserve"> was the only party that did not </w:t>
      </w:r>
      <w:r w:rsidR="00BE6AB6">
        <w:t>execute the</w:t>
      </w:r>
      <w:r>
        <w:t xml:space="preserve"> Settlement Agreement. </w:t>
      </w:r>
    </w:p>
    <w:p w:rsidR="00E21F08" w:rsidP="001E2A62" w:rsidRDefault="00E21F08" w14:paraId="5AA420FA" w14:textId="01629C1C">
      <w:pPr>
        <w:pStyle w:val="FoF"/>
      </w:pPr>
      <w:r>
        <w:t>Th</w:t>
      </w:r>
      <w:r w:rsidR="00585746">
        <w:t xml:space="preserve">e Settlement Agreement avoids undue and costly litigation regarding the revenue requirements. </w:t>
      </w:r>
    </w:p>
    <w:p w:rsidRPr="001E2A62" w:rsidR="00744E40" w:rsidP="001E2A62" w:rsidRDefault="00744E40" w14:paraId="3EA17B82" w14:textId="689E1E31">
      <w:pPr>
        <w:pStyle w:val="FoF"/>
      </w:pPr>
      <w:r>
        <w:lastRenderedPageBreak/>
        <w:t xml:space="preserve">The Settlement Agreement is uncontested. </w:t>
      </w:r>
    </w:p>
    <w:p w:rsidR="00F62B7A" w:rsidP="001E2A62" w:rsidRDefault="6E17B5A5" w14:paraId="3B8C4486" w14:textId="0F19CFAB">
      <w:pPr>
        <w:pStyle w:val="FoF"/>
      </w:pPr>
      <w:r>
        <w:t>Section 4.16 of the Settlement Agreement</w:t>
      </w:r>
      <w:r w:rsidR="295611E6">
        <w:t xml:space="preserve"> does not specify </w:t>
      </w:r>
      <w:r w:rsidR="00281DCC">
        <w:t>the</w:t>
      </w:r>
      <w:r w:rsidR="295611E6">
        <w:t xml:space="preserve"> timeframe </w:t>
      </w:r>
      <w:r w:rsidR="00281DCC">
        <w:t xml:space="preserve">for application of </w:t>
      </w:r>
      <w:r w:rsidR="295611E6">
        <w:t>the fixed charge</w:t>
      </w:r>
      <w:r>
        <w:t>.</w:t>
      </w:r>
      <w:r w:rsidR="0039055D">
        <w:t xml:space="preserve">  </w:t>
      </w:r>
      <w:r w:rsidR="00744E40">
        <w:t xml:space="preserve">Liberty’s residential fixed charge </w:t>
      </w:r>
      <w:r w:rsidR="00C47203">
        <w:t>will</w:t>
      </w:r>
      <w:r w:rsidR="00744E40">
        <w:t xml:space="preserve"> be determined by a Commission resolution</w:t>
      </w:r>
      <w:r w:rsidR="00252E53">
        <w:t xml:space="preserve"> </w:t>
      </w:r>
      <w:r w:rsidR="00972F4F">
        <w:t>that addresses</w:t>
      </w:r>
      <w:r w:rsidR="00252E53">
        <w:t xml:space="preserve"> Advice Letter 248-E</w:t>
      </w:r>
      <w:r w:rsidR="004C758A">
        <w:t>.</w:t>
      </w:r>
    </w:p>
    <w:p w:rsidR="004C758A" w:rsidP="00294915" w:rsidRDefault="00346A38" w14:paraId="18653C75" w14:textId="487C8954">
      <w:pPr>
        <w:pStyle w:val="FoF"/>
      </w:pPr>
      <w:r>
        <w:t>Th</w:t>
      </w:r>
      <w:r w:rsidR="00720D75">
        <w:t xml:space="preserve">is proceeding’s </w:t>
      </w:r>
      <w:r>
        <w:t xml:space="preserve">factual record </w:t>
      </w:r>
      <w:r w:rsidR="00557A24">
        <w:t>i</w:t>
      </w:r>
      <w:r w:rsidR="00720D75">
        <w:t>s</w:t>
      </w:r>
      <w:r w:rsidR="00557A24">
        <w:t xml:space="preserve"> </w:t>
      </w:r>
      <w:r>
        <w:t>insufficient</w:t>
      </w:r>
      <w:r w:rsidR="002A6CA7">
        <w:t xml:space="preserve">ly developed </w:t>
      </w:r>
      <w:r>
        <w:t xml:space="preserve">for the Commission to </w:t>
      </w:r>
      <w:r w:rsidR="00720D75">
        <w:t xml:space="preserve">consider and </w:t>
      </w:r>
      <w:r>
        <w:t>determine Scoped Issues 4</w:t>
      </w:r>
      <w:r w:rsidR="009702F9">
        <w:t xml:space="preserve"> and</w:t>
      </w:r>
      <w:r>
        <w:t xml:space="preserve"> 12</w:t>
      </w:r>
      <w:r w:rsidR="009702F9">
        <w:t>.</w:t>
      </w:r>
    </w:p>
    <w:p w:rsidR="00B42F14" w:rsidP="00294915" w:rsidRDefault="00B42F14" w14:paraId="0BE6482F" w14:textId="306D3B85">
      <w:pPr>
        <w:pStyle w:val="FoF"/>
      </w:pPr>
      <w:r>
        <w:t xml:space="preserve">Liberty’s service territory is forested and subject to significant wildfire risks. </w:t>
      </w:r>
    </w:p>
    <w:p w:rsidR="00B42F14" w:rsidP="00294915" w:rsidRDefault="00B42F14" w14:paraId="01CC266A" w14:textId="67A71517">
      <w:pPr>
        <w:pStyle w:val="FoF"/>
      </w:pPr>
      <w:r>
        <w:t xml:space="preserve">Liberty’s wildfire insurance </w:t>
      </w:r>
      <w:r w:rsidR="00A46033">
        <w:t xml:space="preserve">premiums and related </w:t>
      </w:r>
      <w:r>
        <w:t xml:space="preserve">costs </w:t>
      </w:r>
      <w:r w:rsidR="004A168A">
        <w:t xml:space="preserve">have </w:t>
      </w:r>
      <w:r>
        <w:t xml:space="preserve">increased significantly in </w:t>
      </w:r>
      <w:r w:rsidR="004A168A">
        <w:t>recent years</w:t>
      </w:r>
      <w:r>
        <w:t xml:space="preserve">. </w:t>
      </w:r>
    </w:p>
    <w:p w:rsidR="008E6AE6" w:rsidP="001E2A62" w:rsidRDefault="006C19FB" w14:paraId="0F2D9BA1" w14:textId="585F7FF8">
      <w:pPr>
        <w:pStyle w:val="FoF"/>
      </w:pPr>
      <w:r>
        <w:t>Liberty</w:t>
      </w:r>
      <w:r w:rsidR="0009552F">
        <w:t xml:space="preserve">’s </w:t>
      </w:r>
      <w:r w:rsidR="004C5EE0">
        <w:t xml:space="preserve">testimony sufficiently established that it </w:t>
      </w:r>
      <w:r>
        <w:t>implemented its risk-based decision</w:t>
      </w:r>
      <w:r w:rsidR="00BE6AB6">
        <w:t>-making</w:t>
      </w:r>
      <w:r>
        <w:t xml:space="preserve"> process and framework</w:t>
      </w:r>
      <w:r w:rsidR="004C5EE0">
        <w:t xml:space="preserve">. </w:t>
      </w:r>
      <w:r>
        <w:t xml:space="preserve"> </w:t>
      </w:r>
    </w:p>
    <w:p w:rsidR="004C5EE0" w:rsidP="001E2A62" w:rsidRDefault="004C5EE0" w14:paraId="5E9318BF" w14:textId="69CCFB0E">
      <w:pPr>
        <w:pStyle w:val="FoF"/>
      </w:pPr>
      <w:r>
        <w:t xml:space="preserve">Liberty’s </w:t>
      </w:r>
      <w:r w:rsidR="00B2D11B">
        <w:t>M</w:t>
      </w:r>
      <w:r w:rsidR="0039055D">
        <w:t xml:space="preserve">arginal </w:t>
      </w:r>
      <w:r w:rsidR="00B2D11B">
        <w:t>C</w:t>
      </w:r>
      <w:r w:rsidR="721ED431">
        <w:t xml:space="preserve">ost </w:t>
      </w:r>
      <w:proofErr w:type="gramStart"/>
      <w:r w:rsidR="00B2D11B">
        <w:t>O</w:t>
      </w:r>
      <w:r w:rsidR="721ED431">
        <w:t>f</w:t>
      </w:r>
      <w:proofErr w:type="gramEnd"/>
      <w:r w:rsidR="721ED431">
        <w:t xml:space="preserve"> </w:t>
      </w:r>
      <w:r w:rsidR="00B2D11B">
        <w:t>S</w:t>
      </w:r>
      <w:r w:rsidR="4D0E278E">
        <w:t>ervice study</w:t>
      </w:r>
      <w:r>
        <w:t xml:space="preserve"> was sufficient for the Commission to distinguish between permanent and non-permanent residential classifications. </w:t>
      </w:r>
    </w:p>
    <w:p w:rsidR="00C70960" w:rsidP="001E2A62" w:rsidRDefault="00E762F7" w14:paraId="081B921E" w14:textId="77777777">
      <w:pPr>
        <w:pStyle w:val="FoF"/>
      </w:pPr>
      <w:r>
        <w:t xml:space="preserve">Liberty’s cost </w:t>
      </w:r>
      <w:r w:rsidR="00550938">
        <w:t>of</w:t>
      </w:r>
      <w:r>
        <w:t xml:space="preserve"> debt of </w:t>
      </w:r>
      <w:r w:rsidR="00550938">
        <w:t>5.87</w:t>
      </w:r>
      <w:r w:rsidR="004C5EE0">
        <w:t>% was supported by Cal Advocates and uncontested by the other Parties.</w:t>
      </w:r>
    </w:p>
    <w:p w:rsidR="00E762F7" w:rsidP="001E2A62" w:rsidRDefault="00C70960" w14:paraId="26F7F935" w14:textId="2A227B0F">
      <w:pPr>
        <w:pStyle w:val="FoF"/>
      </w:pPr>
      <w:r>
        <w:t xml:space="preserve">A ROE of 9.75% reflects an appropriate balance that takes into consideration Liberty’s interest in maintaining credit quality and attracting capital, ratepayer affordability, and fairness. </w:t>
      </w:r>
      <w:r w:rsidR="004C5EE0">
        <w:t xml:space="preserve"> </w:t>
      </w:r>
    </w:p>
    <w:p w:rsidR="5392A4EE" w:rsidP="04408280" w:rsidRDefault="5392A4EE" w14:paraId="74D5EF75" w14:textId="450A38C2">
      <w:pPr>
        <w:pStyle w:val="FoF"/>
      </w:pPr>
      <w:r>
        <w:t>Th</w:t>
      </w:r>
      <w:r w:rsidR="355E123A">
        <w:t xml:space="preserve">is Decision’s impacts on affordability and disconnection for non-payment are reasonable, </w:t>
      </w:r>
      <w:r w:rsidR="28EC1A8E">
        <w:t>balancing</w:t>
      </w:r>
      <w:r w:rsidDel="355E123A">
        <w:t xml:space="preserve"> </w:t>
      </w:r>
      <w:r w:rsidR="403FD46A">
        <w:t xml:space="preserve">objectives including </w:t>
      </w:r>
      <w:r w:rsidR="00A329DB">
        <w:t>rate</w:t>
      </w:r>
      <w:r w:rsidDel="355E123A">
        <w:t xml:space="preserve"> stability, bill impact, and cost causation</w:t>
      </w:r>
      <w:r w:rsidDel="5D4257DE">
        <w:t>.</w:t>
      </w:r>
    </w:p>
    <w:p w:rsidR="00896A1C" w:rsidP="04408280" w:rsidRDefault="00896A1C" w14:paraId="4F661CAF" w14:textId="03D9B069">
      <w:pPr>
        <w:pStyle w:val="FoF"/>
      </w:pPr>
      <w:r>
        <w:t xml:space="preserve">The Settling Parties’ Joint Status Update accepted the Commission’s modification to the Settlement Agreement provided </w:t>
      </w:r>
      <w:r w:rsidR="004212B2">
        <w:t xml:space="preserve">the Commission </w:t>
      </w:r>
      <w:r w:rsidR="00752F43">
        <w:t>orders</w:t>
      </w:r>
      <w:r w:rsidR="000606FD">
        <w:t xml:space="preserve"> </w:t>
      </w:r>
      <w:r w:rsidR="004212B2">
        <w:lastRenderedPageBreak/>
        <w:t xml:space="preserve">Liberty </w:t>
      </w:r>
      <w:r>
        <w:t xml:space="preserve">to submit a Tier 2 Advice Letter to </w:t>
      </w:r>
      <w:r w:rsidR="004212B2">
        <w:t xml:space="preserve">the Commission’s Energy Division to </w:t>
      </w:r>
      <w:r>
        <w:t>implement the terms of the Decision</w:t>
      </w:r>
      <w:r w:rsidR="00E80428">
        <w:t xml:space="preserve"> within 60 days</w:t>
      </w:r>
      <w:r>
        <w:t xml:space="preserve">. </w:t>
      </w:r>
    </w:p>
    <w:p w:rsidR="005939A5" w:rsidP="005939A5" w:rsidRDefault="005939A5" w14:paraId="63B825E2" w14:textId="77777777">
      <w:pPr>
        <w:pStyle w:val="Dummy"/>
      </w:pPr>
      <w:bookmarkStart w:name="_Toc8123726" w:id="46"/>
      <w:bookmarkStart w:name="_Toc224569319" w:id="47"/>
      <w:r>
        <w:t>Conclusions of Law</w:t>
      </w:r>
      <w:bookmarkEnd w:id="46"/>
      <w:bookmarkEnd w:id="47"/>
    </w:p>
    <w:p w:rsidR="00932865" w:rsidP="00E66E1C" w:rsidRDefault="00585746" w14:paraId="2A924A5C" w14:textId="41DBA3E5">
      <w:pPr>
        <w:pStyle w:val="OP"/>
      </w:pPr>
      <w:bookmarkStart w:name="_Hlk220054378" w:id="48"/>
      <w:r>
        <w:t>The Settlement Agreement</w:t>
      </w:r>
      <w:r w:rsidR="006529AF">
        <w:t>, except for Section 4.16 regarding a residential fixed charge,</w:t>
      </w:r>
      <w:r>
        <w:t xml:space="preserve"> is reasonable </w:t>
      </w:r>
      <w:proofErr w:type="gramStart"/>
      <w:r>
        <w:t>in light of</w:t>
      </w:r>
      <w:proofErr w:type="gramEnd"/>
      <w:r>
        <w:t xml:space="preserve"> the whole record of this proceeding. </w:t>
      </w:r>
    </w:p>
    <w:p w:rsidR="00585746" w:rsidP="00E66E1C" w:rsidRDefault="00585746" w14:paraId="6401B0BF" w14:textId="245CC65B">
      <w:pPr>
        <w:pStyle w:val="OP"/>
      </w:pPr>
      <w:r>
        <w:t>The Settlement Agreement</w:t>
      </w:r>
      <w:r w:rsidR="00744E40">
        <w:t>, except</w:t>
      </w:r>
      <w:r w:rsidR="00252E53">
        <w:t xml:space="preserve"> for</w:t>
      </w:r>
      <w:r w:rsidR="00744E40">
        <w:t xml:space="preserve"> </w:t>
      </w:r>
      <w:r w:rsidR="00252E53">
        <w:t>S</w:t>
      </w:r>
      <w:r w:rsidR="00744E40">
        <w:t xml:space="preserve">ection 4.16 </w:t>
      </w:r>
      <w:r w:rsidR="00252E53">
        <w:t>regarding</w:t>
      </w:r>
      <w:r w:rsidR="00744E40">
        <w:t xml:space="preserve"> a residential fixed charge,</w:t>
      </w:r>
      <w:r>
        <w:t xml:space="preserve"> is consistent with law. </w:t>
      </w:r>
    </w:p>
    <w:p w:rsidR="00585746" w:rsidP="00E66E1C" w:rsidRDefault="00585746" w14:paraId="45916F4F" w14:textId="18FCB7AF">
      <w:pPr>
        <w:pStyle w:val="OP"/>
      </w:pPr>
      <w:r>
        <w:t>The Settlement Agreement</w:t>
      </w:r>
      <w:r w:rsidR="00744E40">
        <w:t>, except</w:t>
      </w:r>
      <w:r w:rsidR="00252E53">
        <w:t xml:space="preserve"> for</w:t>
      </w:r>
      <w:r w:rsidR="00744E40">
        <w:t xml:space="preserve"> </w:t>
      </w:r>
      <w:r w:rsidR="00252E53">
        <w:t>S</w:t>
      </w:r>
      <w:r w:rsidR="00744E40">
        <w:t xml:space="preserve">ection 4.16 </w:t>
      </w:r>
      <w:r w:rsidR="00252E53">
        <w:t>regarding</w:t>
      </w:r>
      <w:r w:rsidR="00744E40">
        <w:t xml:space="preserve"> a residential fixed charge, </w:t>
      </w:r>
      <w:r>
        <w:t xml:space="preserve">is in the public interest. </w:t>
      </w:r>
    </w:p>
    <w:bookmarkEnd w:id="48"/>
    <w:p w:rsidR="00826A59" w:rsidP="00E66E1C" w:rsidRDefault="00826A59" w14:paraId="49CF4270" w14:textId="47417384">
      <w:pPr>
        <w:pStyle w:val="OP"/>
      </w:pPr>
      <w:r>
        <w:t>T</w:t>
      </w:r>
      <w:r w:rsidR="007C158C">
        <w:t xml:space="preserve">he Commission rejects Section </w:t>
      </w:r>
      <w:r>
        <w:t xml:space="preserve">4.16 of the Settlement Agreement </w:t>
      </w:r>
      <w:r w:rsidR="00C771C8">
        <w:t xml:space="preserve">under Rule 12.4 because it is not </w:t>
      </w:r>
      <w:r w:rsidR="006529AF">
        <w:t xml:space="preserve">reasonable </w:t>
      </w:r>
      <w:proofErr w:type="gramStart"/>
      <w:r w:rsidR="006529AF">
        <w:t>in light of</w:t>
      </w:r>
      <w:proofErr w:type="gramEnd"/>
      <w:r w:rsidR="006529AF">
        <w:t xml:space="preserve"> the whole record, is</w:t>
      </w:r>
      <w:r w:rsidR="009D7626">
        <w:t xml:space="preserve"> not consistent with law</w:t>
      </w:r>
      <w:r w:rsidR="006529AF">
        <w:t>, and is not in the public interest</w:t>
      </w:r>
      <w:r w:rsidR="009D7626">
        <w:t xml:space="preserve">. </w:t>
      </w:r>
    </w:p>
    <w:p w:rsidR="00252E53" w:rsidP="00E66E1C" w:rsidRDefault="00585746" w14:paraId="34D2D094" w14:textId="62BD53E4">
      <w:pPr>
        <w:pStyle w:val="OP"/>
      </w:pPr>
      <w:r>
        <w:t xml:space="preserve">The </w:t>
      </w:r>
      <w:r w:rsidR="00252E53">
        <w:t xml:space="preserve">Amended </w:t>
      </w:r>
      <w:r>
        <w:t>Settlement Motion</w:t>
      </w:r>
      <w:r w:rsidR="00744E40">
        <w:t xml:space="preserve"> </w:t>
      </w:r>
      <w:r>
        <w:t xml:space="preserve">should be </w:t>
      </w:r>
      <w:proofErr w:type="gramStart"/>
      <w:r>
        <w:t>granted</w:t>
      </w:r>
      <w:proofErr w:type="gramEnd"/>
      <w:r>
        <w:t xml:space="preserve"> and the Settlement Agreement should be adopted</w:t>
      </w:r>
      <w:r w:rsidR="00E23816">
        <w:t xml:space="preserve">, except </w:t>
      </w:r>
      <w:r w:rsidR="00252E53">
        <w:t>for Section</w:t>
      </w:r>
      <w:r w:rsidR="00744E40">
        <w:t xml:space="preserve"> 4.16 </w:t>
      </w:r>
      <w:r w:rsidR="00252E53">
        <w:t>of the Settlement Agreement regarding</w:t>
      </w:r>
      <w:r w:rsidR="00744E40">
        <w:t xml:space="preserve"> a residential fixed charge</w:t>
      </w:r>
      <w:r w:rsidR="00E23816">
        <w:t xml:space="preserve"> that </w:t>
      </w:r>
      <w:r w:rsidR="00252E53">
        <w:t>should be</w:t>
      </w:r>
      <w:r w:rsidR="00E23816">
        <w:t xml:space="preserve"> rejected</w:t>
      </w:r>
      <w:r w:rsidR="00077723">
        <w:t xml:space="preserve"> because it is not </w:t>
      </w:r>
      <w:r w:rsidR="006529AF">
        <w:t xml:space="preserve">reasonable </w:t>
      </w:r>
      <w:proofErr w:type="gramStart"/>
      <w:r w:rsidR="006529AF">
        <w:t>in light of</w:t>
      </w:r>
      <w:proofErr w:type="gramEnd"/>
      <w:r w:rsidR="006529AF">
        <w:t xml:space="preserve"> the whole record, is not consistent with law, and is not </w:t>
      </w:r>
      <w:r w:rsidR="00077723">
        <w:t>in the public interest</w:t>
      </w:r>
      <w:r w:rsidR="00E23816">
        <w:t>.</w:t>
      </w:r>
    </w:p>
    <w:p w:rsidR="00932865" w:rsidP="00E66E1C" w:rsidRDefault="00252E53" w14:paraId="493B7D8B" w14:textId="0514D5C6">
      <w:pPr>
        <w:pStyle w:val="OP"/>
      </w:pPr>
      <w:r>
        <w:t xml:space="preserve">The </w:t>
      </w:r>
      <w:r w:rsidR="000C6C73">
        <w:t>Proposed Decision’s</w:t>
      </w:r>
      <w:r>
        <w:t xml:space="preserve"> rejection of Section 4.16 of the Settlement Agreement regarding a residential fixed charge constitutes a modification of the Settlement Agreement.</w:t>
      </w:r>
      <w:r w:rsidR="00E23816">
        <w:t xml:space="preserve"> </w:t>
      </w:r>
    </w:p>
    <w:p w:rsidR="000C6C73" w:rsidP="00E66E1C" w:rsidRDefault="000C6C73" w14:paraId="16FA454D" w14:textId="368E4AF7">
      <w:pPr>
        <w:pStyle w:val="OP"/>
      </w:pPr>
      <w:r>
        <w:t>Under Rule 12.4(c), the Settling Parties should be allowed a reasonable time to elect to accept the Proposed Decision’s adoption of the Settlement Agreement except for the rejection of Section 4.16 regarding a residential fixed charge or to request other relief.</w:t>
      </w:r>
    </w:p>
    <w:p w:rsidR="00814445" w:rsidP="00E66E1C" w:rsidRDefault="00814445" w14:paraId="31797D87" w14:textId="2E5DD620">
      <w:pPr>
        <w:pStyle w:val="OP"/>
      </w:pPr>
      <w:r>
        <w:t xml:space="preserve">It is reasonable to require the Settling Parties to state in their Comments to the Proposed Decision whether they elect to accept the Proposed Decision’s </w:t>
      </w:r>
      <w:r>
        <w:lastRenderedPageBreak/>
        <w:t xml:space="preserve">adoption of the Settlement Agreement except for the rejection of Section 4.16 regarding a residential fixed charge or to request other relief. </w:t>
      </w:r>
    </w:p>
    <w:p w:rsidR="00557A24" w:rsidP="00E66E1C" w:rsidRDefault="00720D75" w14:paraId="590FB9DB" w14:textId="71C40B4E">
      <w:pPr>
        <w:pStyle w:val="OP"/>
      </w:pPr>
      <w:r>
        <w:t>T</w:t>
      </w:r>
      <w:r w:rsidR="00BC6C90">
        <w:t xml:space="preserve">he </w:t>
      </w:r>
      <w:r w:rsidR="00682450">
        <w:t>Commission should not determine and resolve Scoped Issues 4</w:t>
      </w:r>
      <w:r w:rsidR="009702F9">
        <w:t xml:space="preserve"> and</w:t>
      </w:r>
      <w:r w:rsidR="00682450">
        <w:t xml:space="preserve"> 12 in this Decision because of the </w:t>
      </w:r>
      <w:r>
        <w:t xml:space="preserve">insufficiencies in the </w:t>
      </w:r>
      <w:r w:rsidR="00682450">
        <w:t>evidentiary</w:t>
      </w:r>
      <w:r>
        <w:t xml:space="preserve"> record </w:t>
      </w:r>
      <w:r w:rsidR="00682450">
        <w:t>in</w:t>
      </w:r>
      <w:r>
        <w:t xml:space="preserve"> this proceeding. </w:t>
      </w:r>
      <w:r w:rsidR="00BC6C90">
        <w:t xml:space="preserve"> </w:t>
      </w:r>
    </w:p>
    <w:p w:rsidR="0020794B" w:rsidP="00E66E1C" w:rsidRDefault="004A168A" w14:paraId="155968A6" w14:textId="11643E33">
      <w:pPr>
        <w:pStyle w:val="OP"/>
      </w:pPr>
      <w:r>
        <w:rPr>
          <w:rFonts w:eastAsia="Times New Roman" w:cs="Times New Roman"/>
        </w:rPr>
        <w:t>A</w:t>
      </w:r>
      <w:r w:rsidR="0056404E">
        <w:rPr>
          <w:rFonts w:eastAsia="Times New Roman" w:cs="Times New Roman"/>
        </w:rPr>
        <w:t xml:space="preserve"> </w:t>
      </w:r>
      <w:r w:rsidRPr="0020794B" w:rsidR="0020794B">
        <w:rPr>
          <w:rFonts w:eastAsia="Times New Roman" w:cs="Times New Roman"/>
        </w:rPr>
        <w:t xml:space="preserve">30% </w:t>
      </w:r>
      <w:r w:rsidRPr="53B0B041" w:rsidR="32E0CB99">
        <w:rPr>
          <w:rFonts w:eastAsia="Times New Roman" w:cs="Times New Roman"/>
        </w:rPr>
        <w:t>E</w:t>
      </w:r>
      <w:r w:rsidRPr="53B0B041" w:rsidR="2FFF1DF1">
        <w:rPr>
          <w:rFonts w:eastAsia="Times New Roman" w:cs="Times New Roman"/>
        </w:rPr>
        <w:t xml:space="preserve">qual </w:t>
      </w:r>
      <w:r w:rsidRPr="53B0B041" w:rsidR="32E0CB99">
        <w:rPr>
          <w:rFonts w:eastAsia="Times New Roman" w:cs="Times New Roman"/>
        </w:rPr>
        <w:t>P</w:t>
      </w:r>
      <w:r w:rsidRPr="53B0B041" w:rsidR="10812949">
        <w:rPr>
          <w:rFonts w:eastAsia="Times New Roman" w:cs="Times New Roman"/>
        </w:rPr>
        <w:t xml:space="preserve">ercent </w:t>
      </w:r>
      <w:r w:rsidRPr="63A163AE" w:rsidR="3A636385">
        <w:rPr>
          <w:rFonts w:eastAsia="Times New Roman" w:cs="Times New Roman"/>
        </w:rPr>
        <w:t xml:space="preserve">of </w:t>
      </w:r>
      <w:r w:rsidRPr="5B327086" w:rsidR="32E0CB99">
        <w:rPr>
          <w:rFonts w:eastAsia="Times New Roman" w:cs="Times New Roman"/>
        </w:rPr>
        <w:t>M</w:t>
      </w:r>
      <w:r w:rsidRPr="5B327086" w:rsidR="3A636385">
        <w:rPr>
          <w:rFonts w:eastAsia="Times New Roman" w:cs="Times New Roman"/>
        </w:rPr>
        <w:t xml:space="preserve">arginal </w:t>
      </w:r>
      <w:r w:rsidRPr="5B327086" w:rsidR="32E0CB99">
        <w:rPr>
          <w:rFonts w:eastAsia="Times New Roman" w:cs="Times New Roman"/>
        </w:rPr>
        <w:t>C</w:t>
      </w:r>
      <w:r w:rsidRPr="5B327086" w:rsidR="5EC3C318">
        <w:rPr>
          <w:rFonts w:eastAsia="Times New Roman" w:cs="Times New Roman"/>
        </w:rPr>
        <w:t>hange</w:t>
      </w:r>
      <w:r w:rsidRPr="0020794B" w:rsidR="0020794B">
        <w:rPr>
          <w:rFonts w:eastAsia="Times New Roman" w:cs="Times New Roman"/>
        </w:rPr>
        <w:t xml:space="preserve"> / 70% </w:t>
      </w:r>
      <w:r w:rsidRPr="7D5790A0" w:rsidR="32E0CB99">
        <w:rPr>
          <w:rFonts w:eastAsia="Times New Roman" w:cs="Times New Roman"/>
        </w:rPr>
        <w:t>S</w:t>
      </w:r>
      <w:r w:rsidRPr="7D5790A0" w:rsidR="28E1DA9E">
        <w:rPr>
          <w:rFonts w:eastAsia="Times New Roman" w:cs="Times New Roman"/>
        </w:rPr>
        <w:t xml:space="preserve">ystem </w:t>
      </w:r>
      <w:r w:rsidRPr="7D5790A0" w:rsidR="32E0CB99">
        <w:rPr>
          <w:rFonts w:eastAsia="Times New Roman" w:cs="Times New Roman"/>
        </w:rPr>
        <w:t>A</w:t>
      </w:r>
      <w:r w:rsidRPr="7D5790A0" w:rsidR="4D0DC087">
        <w:rPr>
          <w:rFonts w:eastAsia="Times New Roman" w:cs="Times New Roman"/>
        </w:rPr>
        <w:t xml:space="preserve">verage </w:t>
      </w:r>
      <w:r w:rsidRPr="26D25627" w:rsidR="32E0CB99">
        <w:rPr>
          <w:rFonts w:eastAsia="Times New Roman" w:cs="Times New Roman"/>
        </w:rPr>
        <w:t>P</w:t>
      </w:r>
      <w:r w:rsidRPr="26D25627" w:rsidR="34124F7D">
        <w:rPr>
          <w:rFonts w:eastAsia="Times New Roman" w:cs="Times New Roman"/>
        </w:rPr>
        <w:t xml:space="preserve">ercentage </w:t>
      </w:r>
      <w:r w:rsidRPr="26D25627" w:rsidR="32E0CB99">
        <w:rPr>
          <w:rFonts w:eastAsia="Times New Roman" w:cs="Times New Roman"/>
        </w:rPr>
        <w:t>C</w:t>
      </w:r>
      <w:r w:rsidRPr="26D25627" w:rsidR="3C5E003F">
        <w:rPr>
          <w:rFonts w:eastAsia="Times New Roman" w:cs="Times New Roman"/>
        </w:rPr>
        <w:t>hange</w:t>
      </w:r>
      <w:r w:rsidRPr="0020794B" w:rsidR="0020794B">
        <w:rPr>
          <w:rFonts w:eastAsia="Times New Roman" w:cs="Times New Roman"/>
        </w:rPr>
        <w:t xml:space="preserve"> revenue </w:t>
      </w:r>
      <w:r>
        <w:rPr>
          <w:rFonts w:eastAsia="Times New Roman" w:cs="Times New Roman"/>
        </w:rPr>
        <w:t xml:space="preserve">allocation </w:t>
      </w:r>
      <w:r w:rsidR="0020794B">
        <w:rPr>
          <w:rFonts w:eastAsia="Times New Roman" w:cs="Times New Roman"/>
        </w:rPr>
        <w:t xml:space="preserve">is reasonable. </w:t>
      </w:r>
    </w:p>
    <w:p w:rsidR="00244253" w:rsidP="00E66E1C" w:rsidRDefault="00244253" w14:paraId="22F1F4A1" w14:textId="37428B99">
      <w:pPr>
        <w:pStyle w:val="OP"/>
      </w:pPr>
      <w:bookmarkStart w:name="_Hlk219980014" w:id="49"/>
      <w:r>
        <w:rPr>
          <w:rFonts w:cs="Arial"/>
        </w:rPr>
        <w:t xml:space="preserve">Liberty’s proposed cost of debt of 5.87% </w:t>
      </w:r>
      <w:bookmarkEnd w:id="49"/>
      <w:r>
        <w:rPr>
          <w:rFonts w:cs="Arial"/>
        </w:rPr>
        <w:t>is reasonable.</w:t>
      </w:r>
    </w:p>
    <w:p w:rsidR="006C19FB" w:rsidP="00E66E1C" w:rsidRDefault="00303B6D" w14:paraId="7328E224" w14:textId="5F25CB65">
      <w:pPr>
        <w:pStyle w:val="OP"/>
      </w:pPr>
      <w:r>
        <w:t>A ROE of 9.75</w:t>
      </w:r>
      <w:r w:rsidR="00682450">
        <w:rPr>
          <w:rFonts w:eastAsia="Times New Roman" w:cs="Calibri"/>
          <w:szCs w:val="26"/>
        </w:rPr>
        <w:t>%</w:t>
      </w:r>
      <w:r>
        <w:t xml:space="preserve"> </w:t>
      </w:r>
      <w:r w:rsidR="006C0D11">
        <w:t xml:space="preserve">for </w:t>
      </w:r>
      <w:r w:rsidR="00130B0F">
        <w:t>Liberty is</w:t>
      </w:r>
      <w:r w:rsidR="002B717C">
        <w:t xml:space="preserve"> </w:t>
      </w:r>
      <w:r w:rsidR="00130B0F">
        <w:t xml:space="preserve">reasonable </w:t>
      </w:r>
      <w:r w:rsidR="00EE7EF4">
        <w:t xml:space="preserve">because it </w:t>
      </w:r>
      <w:r w:rsidR="00130B0F">
        <w:t>balanc</w:t>
      </w:r>
      <w:r w:rsidR="00EE7EF4">
        <w:t xml:space="preserve">es </w:t>
      </w:r>
      <w:r w:rsidR="00130B0F">
        <w:t xml:space="preserve">the interests of Liberty’s investors and ratepayers.  </w:t>
      </w:r>
    </w:p>
    <w:p w:rsidR="00EE7EF4" w:rsidP="00E66E1C" w:rsidRDefault="00682450" w14:paraId="450E5E4D" w14:textId="47F8D4A2">
      <w:pPr>
        <w:pStyle w:val="OP"/>
      </w:pPr>
      <w:r>
        <w:t>A</w:t>
      </w:r>
      <w:r w:rsidR="00EE7EF4">
        <w:t xml:space="preserve"> ROR of </w:t>
      </w:r>
      <w:r w:rsidR="00720D75">
        <w:rPr>
          <w:rFonts w:eastAsia="Times New Roman" w:cs="Calibri"/>
          <w:szCs w:val="26"/>
        </w:rPr>
        <w:t xml:space="preserve">7.91% </w:t>
      </w:r>
      <w:r w:rsidR="006C0D11">
        <w:rPr>
          <w:rFonts w:eastAsia="Times New Roman" w:cs="Calibri"/>
          <w:szCs w:val="26"/>
        </w:rPr>
        <w:t xml:space="preserve">for </w:t>
      </w:r>
      <w:r>
        <w:rPr>
          <w:rFonts w:eastAsia="Times New Roman" w:cs="Calibri"/>
          <w:szCs w:val="26"/>
        </w:rPr>
        <w:t xml:space="preserve">Liberty </w:t>
      </w:r>
      <w:r w:rsidR="00EE7EF4">
        <w:t xml:space="preserve">is reasonable because it balances the interests of Liberty’s investors and ratepayers. </w:t>
      </w:r>
    </w:p>
    <w:p w:rsidR="00720D75" w:rsidP="00720D75" w:rsidRDefault="00720D75" w14:paraId="087C3BD5" w14:textId="684AF31B">
      <w:pPr>
        <w:pStyle w:val="OP"/>
      </w:pPr>
      <w:r>
        <w:t xml:space="preserve">Liberty’s revenue requirement of $231,938,000 is reasonable because it balances the interest of Liberty’s investors and ratepayers. </w:t>
      </w:r>
    </w:p>
    <w:p w:rsidR="00720D75" w:rsidRDefault="006E7F26" w14:paraId="67C0ECFA" w14:textId="03306A89">
      <w:pPr>
        <w:pStyle w:val="OP"/>
      </w:pPr>
      <w:r>
        <w:t xml:space="preserve">It is reasonable for the Commission to maintain the non-permanent residential class and reject Liberty’s proposal to eliminate it. </w:t>
      </w:r>
    </w:p>
    <w:p w:rsidR="00426D7F" w:rsidP="00D25663" w:rsidRDefault="00E23CBB" w14:paraId="64293849" w14:textId="5C2E08F0">
      <w:pPr>
        <w:pStyle w:val="OP"/>
      </w:pPr>
      <w:r w:rsidRPr="001E2A62">
        <w:t>Thi</w:t>
      </w:r>
      <w:r w:rsidR="00585746">
        <w:t>s proceeding should be closed.</w:t>
      </w:r>
    </w:p>
    <w:p w:rsidR="00BB0243" w:rsidP="00366693" w:rsidRDefault="005939A5" w14:paraId="249B0ABE" w14:textId="77777777">
      <w:pPr>
        <w:pStyle w:val="Mainex"/>
        <w:keepNext w:val="0"/>
      </w:pPr>
      <w:bookmarkStart w:name="_Toc224569320" w:id="50"/>
      <w:r>
        <w:t>O</w:t>
      </w:r>
      <w:r w:rsidR="00722850">
        <w:t>RDER</w:t>
      </w:r>
      <w:bookmarkEnd w:id="50"/>
    </w:p>
    <w:p w:rsidR="00BB0243" w:rsidP="00366693" w:rsidRDefault="00BB0243" w14:paraId="6AF7E906" w14:textId="77777777">
      <w:r w:rsidRPr="00BB0243">
        <w:rPr>
          <w:b/>
        </w:rPr>
        <w:t>IT IS ORDERED</w:t>
      </w:r>
      <w:r>
        <w:t xml:space="preserve"> that:</w:t>
      </w:r>
    </w:p>
    <w:p w:rsidR="00932865" w:rsidP="00522F83" w:rsidRDefault="00585746" w14:paraId="43B36864" w14:textId="2AFB862A">
      <w:pPr>
        <w:pStyle w:val="OP"/>
        <w:numPr>
          <w:ilvl w:val="0"/>
          <w:numId w:val="28"/>
        </w:numPr>
      </w:pPr>
      <w:r>
        <w:t xml:space="preserve">The October 1, </w:t>
      </w:r>
      <w:r w:rsidRPr="00522F83">
        <w:t>2025</w:t>
      </w:r>
      <w:r>
        <w:t xml:space="preserve">, </w:t>
      </w:r>
      <w:r w:rsidR="00C91476">
        <w:t xml:space="preserve">Amended </w:t>
      </w:r>
      <w:r>
        <w:t xml:space="preserve">Joint Motion of Liberty Utilities </w:t>
      </w:r>
      <w:r w:rsidR="000A1C1B">
        <w:t>(</w:t>
      </w:r>
      <w:proofErr w:type="spellStart"/>
      <w:r w:rsidR="000A1C1B">
        <w:t>CalPeco</w:t>
      </w:r>
      <w:proofErr w:type="spellEnd"/>
      <w:r w:rsidR="000A1C1B">
        <w:t xml:space="preserve"> Electric) </w:t>
      </w:r>
      <w:r>
        <w:t>LLC, the Public Advocates Office</w:t>
      </w:r>
      <w:r w:rsidR="003B264E">
        <w:t xml:space="preserve"> at the California Public Utilities Commission</w:t>
      </w:r>
      <w:r>
        <w:t xml:space="preserve">, </w:t>
      </w:r>
      <w:r w:rsidR="00C91476">
        <w:t xml:space="preserve">the </w:t>
      </w:r>
      <w:r>
        <w:t>A-3 Customer Coalition, Tahoe Energy Ratepayers Group, Small Business Utility Advocates</w:t>
      </w:r>
      <w:r w:rsidR="00C91476">
        <w:t>, and The Utility Reform Network</w:t>
      </w:r>
      <w:r>
        <w:t xml:space="preserve"> for </w:t>
      </w:r>
      <w:r w:rsidR="006E4273">
        <w:t xml:space="preserve">Approval and </w:t>
      </w:r>
      <w:r>
        <w:t xml:space="preserve">Adoption of </w:t>
      </w:r>
      <w:r w:rsidR="006E4273">
        <w:t xml:space="preserve">the </w:t>
      </w:r>
      <w:r>
        <w:t xml:space="preserve">Multi-Party Settlement Agreement </w:t>
      </w:r>
      <w:r w:rsidR="006E4273">
        <w:t xml:space="preserve">on Revenue Requirement Issues </w:t>
      </w:r>
      <w:r>
        <w:t xml:space="preserve">is granted, and the October 1, 2025 Settlement Agreement </w:t>
      </w:r>
      <w:r>
        <w:lastRenderedPageBreak/>
        <w:t>attached as A</w:t>
      </w:r>
      <w:r w:rsidR="008147A1">
        <w:t>ttachment</w:t>
      </w:r>
      <w:r>
        <w:t xml:space="preserve"> A to this Decision is adopted</w:t>
      </w:r>
      <w:r w:rsidR="00814445">
        <w:t>, except that Section 4.16 of the Settlement Agreement is rejected</w:t>
      </w:r>
      <w:r>
        <w:t>.</w:t>
      </w:r>
    </w:p>
    <w:p w:rsidR="009D7626" w:rsidP="00522F83" w:rsidRDefault="009D7626" w14:paraId="699D9115" w14:textId="5A770815">
      <w:pPr>
        <w:pStyle w:val="OP"/>
      </w:pPr>
      <w:r>
        <w:t>Settling Parties shall state in their Comments to the Proposed Decision whether they elect to accept the Proposed Decision’s adoption of the Settlement Agreement except for the rejection of Section 4.16 regarding a residential fixed charge or to request other relief.</w:t>
      </w:r>
    </w:p>
    <w:p w:rsidRPr="009D7626" w:rsidR="004C5EE0" w:rsidP="00522F83" w:rsidRDefault="004C5EE0" w14:paraId="59469E0B" w14:textId="1BEC1994">
      <w:pPr>
        <w:pStyle w:val="OP"/>
      </w:pPr>
      <w:r>
        <w:t>Liberty Utilities (</w:t>
      </w:r>
      <w:proofErr w:type="spellStart"/>
      <w:r w:rsidRPr="00522F83">
        <w:t>CalPeco</w:t>
      </w:r>
      <w:proofErr w:type="spellEnd"/>
      <w:r>
        <w:t xml:space="preserve"> Electric) </w:t>
      </w:r>
      <w:r w:rsidR="00936CDE">
        <w:t xml:space="preserve">LLC </w:t>
      </w:r>
      <w:r>
        <w:t xml:space="preserve">is authorized to collect, through rates and through authorized ratemaking accounting mechanisms, a test-year 2025 revenue requirement of </w:t>
      </w:r>
      <w:r w:rsidR="008A54EA">
        <w:rPr>
          <w:rFonts w:eastAsia="Times New Roman" w:cs="Calibri"/>
          <w:szCs w:val="26"/>
        </w:rPr>
        <w:t xml:space="preserve">$231,938,000. </w:t>
      </w:r>
    </w:p>
    <w:p w:rsidRPr="009D7626" w:rsidR="009D7626" w:rsidP="00522F83" w:rsidRDefault="009D7626" w14:paraId="1382DDF2" w14:textId="1CA6E9CA">
      <w:pPr>
        <w:pStyle w:val="OP"/>
      </w:pPr>
      <w:r>
        <w:t>Liberty Utilities (</w:t>
      </w:r>
      <w:proofErr w:type="spellStart"/>
      <w:r>
        <w:t>CalPeco</w:t>
      </w:r>
      <w:proofErr w:type="spellEnd"/>
      <w:r>
        <w:t xml:space="preserve"> Electric)</w:t>
      </w:r>
      <w:r w:rsidRPr="009D7626">
        <w:t xml:space="preserve"> </w:t>
      </w:r>
      <w:r w:rsidR="00936CDE">
        <w:t xml:space="preserve">LLC </w:t>
      </w:r>
      <w:proofErr w:type="gramStart"/>
      <w:r>
        <w:t>is</w:t>
      </w:r>
      <w:proofErr w:type="gramEnd"/>
      <w:r>
        <w:t xml:space="preserve"> authorized a return on equity of 9.75</w:t>
      </w:r>
      <w:r>
        <w:rPr>
          <w:rFonts w:eastAsia="Times New Roman" w:cs="Calibri"/>
          <w:szCs w:val="26"/>
        </w:rPr>
        <w:t>%.</w:t>
      </w:r>
    </w:p>
    <w:p w:rsidRPr="001E2A62" w:rsidR="009D7626" w:rsidP="00522F83" w:rsidRDefault="009D7626" w14:paraId="02284077" w14:textId="4A63AF8B">
      <w:pPr>
        <w:pStyle w:val="OP"/>
      </w:pPr>
      <w:r>
        <w:t>Liberty Utilities (</w:t>
      </w:r>
      <w:proofErr w:type="spellStart"/>
      <w:r>
        <w:t>CalPeco</w:t>
      </w:r>
      <w:proofErr w:type="spellEnd"/>
      <w:r>
        <w:t xml:space="preserve"> Electric)</w:t>
      </w:r>
      <w:r w:rsidRPr="009D7626">
        <w:t xml:space="preserve"> </w:t>
      </w:r>
      <w:r w:rsidR="00936CDE">
        <w:t xml:space="preserve">LLC </w:t>
      </w:r>
      <w:r>
        <w:t>is authorized a r</w:t>
      </w:r>
      <w:r w:rsidR="00936CDE">
        <w:t>ate of</w:t>
      </w:r>
      <w:r>
        <w:t xml:space="preserve"> return of 7.91</w:t>
      </w:r>
      <w:r>
        <w:rPr>
          <w:rFonts w:eastAsia="Times New Roman" w:cs="Calibri"/>
          <w:szCs w:val="26"/>
        </w:rPr>
        <w:t>%.</w:t>
      </w:r>
    </w:p>
    <w:p w:rsidR="009D7626" w:rsidP="00522F83" w:rsidRDefault="009D7626" w14:paraId="46172D0E" w14:textId="6D523412">
      <w:pPr>
        <w:pStyle w:val="OP"/>
      </w:pPr>
      <w:r>
        <w:t>Liberty</w:t>
      </w:r>
      <w:r w:rsidR="0020794B">
        <w:t xml:space="preserve"> Utilities </w:t>
      </w:r>
      <w:r w:rsidR="0098214E">
        <w:t>(</w:t>
      </w:r>
      <w:proofErr w:type="spellStart"/>
      <w:r w:rsidR="0098214E">
        <w:t>CalPeco</w:t>
      </w:r>
      <w:proofErr w:type="spellEnd"/>
      <w:r w:rsidR="0098214E">
        <w:t xml:space="preserve"> Electric)</w:t>
      </w:r>
      <w:r w:rsidRPr="009D7626" w:rsidR="0098214E">
        <w:t xml:space="preserve"> </w:t>
      </w:r>
      <w:r w:rsidR="00936CDE">
        <w:t xml:space="preserve">LLC </w:t>
      </w:r>
      <w:r>
        <w:t xml:space="preserve">is </w:t>
      </w:r>
      <w:proofErr w:type="gramStart"/>
      <w:r>
        <w:t>authorized</w:t>
      </w:r>
      <w:proofErr w:type="gramEnd"/>
      <w:r w:rsidR="005920BA">
        <w:t xml:space="preserve"> </w:t>
      </w:r>
      <w:r w:rsidR="00936CDE">
        <w:t>a</w:t>
      </w:r>
      <w:r>
        <w:t xml:space="preserve"> cost of debt of 5.87%</w:t>
      </w:r>
      <w:r w:rsidR="003F50F0">
        <w:t>.</w:t>
      </w:r>
    </w:p>
    <w:p w:rsidR="003F50F0" w:rsidP="00522F83" w:rsidRDefault="003F50F0" w14:paraId="1A9AF883" w14:textId="05A488CF">
      <w:pPr>
        <w:pStyle w:val="OP"/>
      </w:pPr>
      <w:r>
        <w:t>Liberty Utilities (</w:t>
      </w:r>
      <w:proofErr w:type="spellStart"/>
      <w:r>
        <w:t>CalPeco</w:t>
      </w:r>
      <w:proofErr w:type="spellEnd"/>
      <w:r>
        <w:t xml:space="preserve"> Electric) LLC’s permanent and non-permanent rate classes shall remain separate.</w:t>
      </w:r>
    </w:p>
    <w:p w:rsidRPr="0020794B" w:rsidR="003F50F0" w:rsidP="00522F83" w:rsidRDefault="003F50F0" w14:paraId="71BA419C" w14:textId="142120D4">
      <w:pPr>
        <w:pStyle w:val="OP"/>
      </w:pPr>
      <w:r>
        <w:t>A revenue allocation of 30</w:t>
      </w:r>
      <w:r w:rsidR="006403E8">
        <w:rPr>
          <w:rFonts w:eastAsia="Times New Roman" w:cs="Calibri"/>
          <w:szCs w:val="26"/>
        </w:rPr>
        <w:t>%</w:t>
      </w:r>
      <w:r>
        <w:t xml:space="preserve"> based on Equal Percentage of Marginal Cost and 70</w:t>
      </w:r>
      <w:r w:rsidR="006403E8">
        <w:rPr>
          <w:rFonts w:eastAsia="Times New Roman" w:cs="Calibri"/>
          <w:szCs w:val="26"/>
        </w:rPr>
        <w:t xml:space="preserve">% </w:t>
      </w:r>
      <w:r>
        <w:t>based on System Average Percentage Change is adopted.</w:t>
      </w:r>
    </w:p>
    <w:p w:rsidR="0020794B" w:rsidP="00522F83" w:rsidRDefault="00B8614A" w14:paraId="6A0E1D75" w14:textId="7B8E9BDD">
      <w:pPr>
        <w:pStyle w:val="OP"/>
      </w:pPr>
      <w:r>
        <w:rPr>
          <w:rFonts w:cs="Arial"/>
        </w:rPr>
        <w:t xml:space="preserve">Liberty Utilities </w:t>
      </w:r>
      <w:r>
        <w:t>(</w:t>
      </w:r>
      <w:proofErr w:type="spellStart"/>
      <w:r>
        <w:t>CalPeco</w:t>
      </w:r>
      <w:proofErr w:type="spellEnd"/>
      <w:r>
        <w:t xml:space="preserve"> Electric)</w:t>
      </w:r>
      <w:r w:rsidRPr="009D7626">
        <w:t xml:space="preserve"> </w:t>
      </w:r>
      <w:r w:rsidR="00936CDE">
        <w:t xml:space="preserve">LLC </w:t>
      </w:r>
      <w:r>
        <w:t>in</w:t>
      </w:r>
      <w:r w:rsidRPr="00CE64EE">
        <w:t xml:space="preserve"> its next General Rate Case </w:t>
      </w:r>
      <w:r>
        <w:t>shall</w:t>
      </w:r>
      <w:r w:rsidRPr="00CE64EE">
        <w:t xml:space="preserve"> conduct a more comprehensive and data-driven </w:t>
      </w:r>
      <w:r w:rsidR="009C220F">
        <w:t>Marginal Cost of Service</w:t>
      </w:r>
      <w:r w:rsidRPr="00CE64EE">
        <w:t xml:space="preserve"> study that leverages Advanced Metering Infrastructure interval data.</w:t>
      </w:r>
    </w:p>
    <w:p w:rsidR="00AC1EEA" w:rsidP="00522F83" w:rsidRDefault="00C70960" w14:paraId="7CAB094E" w14:textId="4B9DF558">
      <w:pPr>
        <w:pStyle w:val="OP"/>
      </w:pPr>
      <w:r>
        <w:rPr>
          <w:szCs w:val="26"/>
        </w:rPr>
        <w:t xml:space="preserve">Within </w:t>
      </w:r>
      <w:r w:rsidR="00786326">
        <w:rPr>
          <w:szCs w:val="26"/>
        </w:rPr>
        <w:t>6</w:t>
      </w:r>
      <w:r>
        <w:rPr>
          <w:szCs w:val="26"/>
        </w:rPr>
        <w:t xml:space="preserve">0 days of the issuance of this Decision, </w:t>
      </w:r>
      <w:r w:rsidR="00AC1EEA">
        <w:t xml:space="preserve">Liberty shall submit to the Commission’s Energy Division a Tier 2 Advice Letter implementing the provisions of this Decision. </w:t>
      </w:r>
    </w:p>
    <w:p w:rsidRPr="001E2A62" w:rsidR="00792904" w:rsidP="00522F83" w:rsidRDefault="00792904" w14:paraId="40FC9468" w14:textId="3B9801EC">
      <w:pPr>
        <w:pStyle w:val="OP"/>
      </w:pPr>
      <w:r w:rsidRPr="00792904">
        <w:lastRenderedPageBreak/>
        <w:t xml:space="preserve">The balance recorded in Liberty’s General Rate Case Revenue Requirement Memorandum Account from January 1, </w:t>
      </w:r>
      <w:proofErr w:type="gramStart"/>
      <w:r w:rsidRPr="00792904">
        <w:t>2025</w:t>
      </w:r>
      <w:proofErr w:type="gramEnd"/>
      <w:r w:rsidRPr="00792904">
        <w:t xml:space="preserve"> until the date the new tariffs are implemented, pursuant to this Ordering Paragraph, shall be amortized in rates from the date the new tariffs are implemented over a 36-month period</w:t>
      </w:r>
      <w:r w:rsidR="00417ADE">
        <w:t>.</w:t>
      </w:r>
    </w:p>
    <w:p w:rsidR="00426D7F" w:rsidP="00A42CC5" w:rsidRDefault="00E23CBB" w14:paraId="1E5A3E69" w14:textId="77C82951">
      <w:pPr>
        <w:pStyle w:val="OP"/>
      </w:pPr>
      <w:r w:rsidRPr="001E2A62">
        <w:t>Application</w:t>
      </w:r>
      <w:r w:rsidR="00585746">
        <w:t xml:space="preserve"> 24-09-0</w:t>
      </w:r>
      <w:r w:rsidR="00814445">
        <w:t>10</w:t>
      </w:r>
      <w:r w:rsidRPr="001E2A62">
        <w:t xml:space="preserve"> is closed.</w:t>
      </w:r>
    </w:p>
    <w:p w:rsidR="008F0116" w:rsidP="00DC7F1C" w:rsidRDefault="008F0116" w14:paraId="495F2BE1" w14:textId="77777777">
      <w:pPr>
        <w:keepNext/>
        <w:keepLines/>
      </w:pPr>
      <w:r>
        <w:t>This order is effective today.</w:t>
      </w:r>
    </w:p>
    <w:p w:rsidR="00714CF2" w:rsidP="00DC7F1C" w:rsidRDefault="008F0116" w14:paraId="632335D2" w14:textId="15F14093">
      <w:pPr>
        <w:keepNext/>
        <w:keepLines/>
      </w:pPr>
      <w:r>
        <w:t xml:space="preserve">Dated </w:t>
      </w:r>
      <w:r>
        <w:rPr>
          <w:u w:val="single"/>
        </w:rPr>
        <w:tab/>
      </w:r>
      <w:r>
        <w:rPr>
          <w:u w:val="single"/>
        </w:rPr>
        <w:tab/>
      </w:r>
      <w:r>
        <w:rPr>
          <w:u w:val="single"/>
        </w:rPr>
        <w:tab/>
      </w:r>
      <w:r>
        <w:rPr>
          <w:u w:val="single"/>
        </w:rPr>
        <w:tab/>
      </w:r>
      <w:r>
        <w:rPr>
          <w:u w:val="single"/>
        </w:rPr>
        <w:tab/>
      </w:r>
      <w:r>
        <w:t xml:space="preserve">, at </w:t>
      </w:r>
      <w:r w:rsidR="00DC7F1C">
        <w:t>Sacramento</w:t>
      </w:r>
      <w:r>
        <w:t>, California</w:t>
      </w:r>
      <w:r w:rsidR="00DC7F1C">
        <w:t>.</w:t>
      </w:r>
    </w:p>
    <w:p w:rsidR="00DC7F1C" w:rsidP="00DC7F1C" w:rsidRDefault="00DC7F1C" w14:paraId="33EB48BB" w14:textId="77777777">
      <w:pPr>
        <w:keepNext/>
        <w:keepLines/>
      </w:pPr>
    </w:p>
    <w:p w:rsidR="00091F21" w:rsidP="00091F21" w:rsidRDefault="00091F21" w14:paraId="26F03780" w14:textId="77777777">
      <w:pPr>
        <w:spacing w:line="240" w:lineRule="auto"/>
        <w:sectPr w:rsidR="00091F21" w:rsidSect="00086987">
          <w:headerReference w:type="default" r:id="rId15"/>
          <w:footerReference w:type="default" r:id="rId16"/>
          <w:pgSz w:w="12240" w:h="15840"/>
          <w:pgMar w:top="1728" w:right="1440" w:bottom="1440" w:left="1440" w:header="720" w:footer="720" w:gutter="0"/>
          <w:pgNumType w:start="2"/>
          <w:cols w:space="720"/>
          <w:docGrid w:linePitch="360"/>
        </w:sectPr>
      </w:pPr>
    </w:p>
    <w:p w:rsidR="00091F21" w:rsidP="00091F21" w:rsidRDefault="00091F21" w14:paraId="269A270D" w14:textId="4E518654">
      <w:pPr>
        <w:spacing w:line="240" w:lineRule="auto"/>
        <w:ind w:firstLine="0"/>
        <w:jc w:val="center"/>
        <w:rPr>
          <w:b/>
          <w:bCs/>
          <w:sz w:val="32"/>
          <w:szCs w:val="32"/>
        </w:rPr>
      </w:pPr>
      <w:r>
        <w:rPr>
          <w:b/>
          <w:bCs/>
          <w:sz w:val="40"/>
          <w:szCs w:val="40"/>
        </w:rPr>
        <w:lastRenderedPageBreak/>
        <w:t>ATTACHMENT A</w:t>
      </w:r>
      <w:r>
        <w:rPr>
          <w:b/>
          <w:bCs/>
          <w:sz w:val="40"/>
          <w:szCs w:val="40"/>
        </w:rPr>
        <w:br/>
      </w:r>
      <w:r>
        <w:rPr>
          <w:b/>
          <w:bCs/>
          <w:sz w:val="32"/>
          <w:szCs w:val="32"/>
        </w:rPr>
        <w:t>(</w:t>
      </w:r>
      <w:r w:rsidR="00D85AEE">
        <w:rPr>
          <w:b/>
          <w:bCs/>
          <w:sz w:val="32"/>
          <w:szCs w:val="32"/>
        </w:rPr>
        <w:t xml:space="preserve">Settlement Agreement </w:t>
      </w:r>
      <w:r w:rsidR="009609E3">
        <w:rPr>
          <w:b/>
          <w:bCs/>
          <w:sz w:val="32"/>
          <w:szCs w:val="32"/>
        </w:rPr>
        <w:t>with</w:t>
      </w:r>
      <w:r>
        <w:rPr>
          <w:b/>
          <w:bCs/>
          <w:sz w:val="32"/>
          <w:szCs w:val="32"/>
        </w:rPr>
        <w:t xml:space="preserve"> Amend</w:t>
      </w:r>
      <w:r w:rsidR="00D85AEE">
        <w:rPr>
          <w:b/>
          <w:bCs/>
          <w:sz w:val="32"/>
          <w:szCs w:val="32"/>
        </w:rPr>
        <w:t>ed</w:t>
      </w:r>
      <w:r>
        <w:rPr>
          <w:b/>
          <w:bCs/>
          <w:sz w:val="32"/>
          <w:szCs w:val="32"/>
        </w:rPr>
        <w:t xml:space="preserve"> Appendix A</w:t>
      </w:r>
      <w:r w:rsidR="00FC76E4">
        <w:rPr>
          <w:b/>
          <w:bCs/>
          <w:sz w:val="32"/>
          <w:szCs w:val="32"/>
        </w:rPr>
        <w:t xml:space="preserve"> and Appendix B Summary of Results of Operation</w:t>
      </w:r>
      <w:r w:rsidR="00330C5F">
        <w:rPr>
          <w:b/>
          <w:bCs/>
          <w:sz w:val="32"/>
          <w:szCs w:val="32"/>
        </w:rPr>
        <w:t>s</w:t>
      </w:r>
      <w:r w:rsidR="001715AE">
        <w:rPr>
          <w:b/>
          <w:bCs/>
          <w:sz w:val="32"/>
          <w:szCs w:val="32"/>
        </w:rPr>
        <w:t xml:space="preserve"> 2025</w:t>
      </w:r>
      <w:r>
        <w:rPr>
          <w:b/>
          <w:bCs/>
          <w:sz w:val="32"/>
          <w:szCs w:val="32"/>
        </w:rPr>
        <w:t>)</w:t>
      </w:r>
    </w:p>
    <w:p w:rsidR="00D87B6A" w:rsidP="00091F21" w:rsidRDefault="00D87B6A" w14:paraId="471F7F84" w14:textId="77777777">
      <w:pPr>
        <w:spacing w:line="240" w:lineRule="auto"/>
        <w:ind w:firstLine="0"/>
        <w:jc w:val="center"/>
        <w:rPr>
          <w:b/>
          <w:bCs/>
          <w:sz w:val="32"/>
          <w:szCs w:val="32"/>
        </w:rPr>
      </w:pPr>
    </w:p>
    <w:p w:rsidR="00D87B6A" w:rsidP="00091F21" w:rsidRDefault="00D87B6A" w14:paraId="27EC3B93" w14:textId="77777777">
      <w:pPr>
        <w:spacing w:line="240" w:lineRule="auto"/>
        <w:ind w:firstLine="0"/>
        <w:jc w:val="center"/>
        <w:rPr>
          <w:b/>
          <w:bCs/>
          <w:sz w:val="32"/>
          <w:szCs w:val="32"/>
        </w:rPr>
      </w:pPr>
    </w:p>
    <w:p w:rsidR="00D87B6A" w:rsidP="00091F21" w:rsidRDefault="00D87B6A" w14:paraId="648B21BC" w14:textId="77777777">
      <w:pPr>
        <w:spacing w:line="240" w:lineRule="auto"/>
        <w:ind w:firstLine="0"/>
        <w:jc w:val="center"/>
        <w:rPr>
          <w:b/>
          <w:bCs/>
          <w:sz w:val="32"/>
          <w:szCs w:val="32"/>
        </w:rPr>
      </w:pPr>
    </w:p>
    <w:p w:rsidR="00D527D2" w:rsidP="00091F21" w:rsidRDefault="00D87B6A" w14:paraId="3398F3F5" w14:textId="77777777">
      <w:pPr>
        <w:spacing w:line="240" w:lineRule="auto"/>
        <w:ind w:firstLine="0"/>
        <w:jc w:val="center"/>
        <w:rPr>
          <w:b/>
          <w:bCs/>
          <w:sz w:val="32"/>
          <w:szCs w:val="32"/>
        </w:rPr>
        <w:sectPr w:rsidR="00D527D2" w:rsidSect="00FB3F34">
          <w:headerReference w:type="default" r:id="rId17"/>
          <w:footerReference w:type="default" r:id="rId18"/>
          <w:footerReference w:type="first" r:id="rId19"/>
          <w:pgSz w:w="12240" w:h="15840"/>
          <w:pgMar w:top="1728" w:right="1440" w:bottom="1440" w:left="1440" w:header="720" w:footer="720" w:gutter="0"/>
          <w:pgNumType w:start="2"/>
          <w:cols w:space="720"/>
          <w:docGrid w:linePitch="360"/>
        </w:sectPr>
      </w:pPr>
      <w:r>
        <w:rPr>
          <w:b/>
          <w:bCs/>
          <w:sz w:val="32"/>
          <w:szCs w:val="32"/>
        </w:rPr>
        <w:t>(END OF ATTACHMENT A)</w:t>
      </w:r>
    </w:p>
    <w:p w:rsidRPr="000533FD" w:rsidR="000533FD" w:rsidP="000533FD" w:rsidRDefault="000533FD" w14:paraId="3A9BD093" w14:textId="29740586">
      <w:pPr>
        <w:spacing w:line="240" w:lineRule="auto"/>
        <w:ind w:firstLine="0"/>
        <w:jc w:val="center"/>
        <w:rPr>
          <w:b/>
          <w:bCs/>
          <w:sz w:val="40"/>
          <w:szCs w:val="40"/>
        </w:rPr>
      </w:pPr>
      <w:r w:rsidRPr="000533FD">
        <w:rPr>
          <w:b/>
          <w:bCs/>
          <w:sz w:val="40"/>
          <w:szCs w:val="40"/>
        </w:rPr>
        <w:lastRenderedPageBreak/>
        <w:t>A</w:t>
      </w:r>
      <w:r w:rsidR="0039143D">
        <w:rPr>
          <w:b/>
          <w:bCs/>
          <w:sz w:val="40"/>
          <w:szCs w:val="40"/>
        </w:rPr>
        <w:t>TTACHMENT</w:t>
      </w:r>
      <w:r w:rsidRPr="000533FD">
        <w:rPr>
          <w:b/>
          <w:bCs/>
          <w:sz w:val="40"/>
          <w:szCs w:val="40"/>
        </w:rPr>
        <w:t xml:space="preserve"> B </w:t>
      </w:r>
    </w:p>
    <w:p w:rsidRPr="000533FD" w:rsidR="000533FD" w:rsidP="000533FD" w:rsidRDefault="000533FD" w14:paraId="069D6B2D" w14:textId="77777777">
      <w:pPr>
        <w:spacing w:line="240" w:lineRule="auto"/>
        <w:ind w:firstLine="0"/>
        <w:jc w:val="center"/>
        <w:rPr>
          <w:b/>
          <w:bCs/>
          <w:sz w:val="40"/>
          <w:szCs w:val="40"/>
        </w:rPr>
      </w:pPr>
      <w:r w:rsidRPr="000533FD">
        <w:rPr>
          <w:b/>
          <w:bCs/>
          <w:sz w:val="40"/>
          <w:szCs w:val="40"/>
        </w:rPr>
        <w:t>(Summary of Results of Operations 2025)</w:t>
      </w:r>
    </w:p>
    <w:p w:rsidRPr="000533FD" w:rsidR="000533FD" w:rsidP="000533FD" w:rsidRDefault="000533FD" w14:paraId="602553AB" w14:textId="77777777">
      <w:pPr>
        <w:spacing w:line="240" w:lineRule="auto"/>
        <w:ind w:firstLine="0"/>
        <w:jc w:val="center"/>
        <w:rPr>
          <w:b/>
          <w:bCs/>
          <w:sz w:val="32"/>
          <w:szCs w:val="32"/>
        </w:rPr>
      </w:pPr>
    </w:p>
    <w:p w:rsidRPr="000533FD" w:rsidR="000533FD" w:rsidP="000533FD" w:rsidRDefault="000533FD" w14:paraId="1307BB6A" w14:textId="77777777">
      <w:pPr>
        <w:spacing w:line="240" w:lineRule="auto"/>
        <w:ind w:firstLine="0"/>
        <w:jc w:val="center"/>
        <w:rPr>
          <w:b/>
          <w:bCs/>
          <w:sz w:val="32"/>
          <w:szCs w:val="32"/>
        </w:rPr>
      </w:pPr>
    </w:p>
    <w:p w:rsidRPr="000533FD" w:rsidR="000533FD" w:rsidP="000533FD" w:rsidRDefault="000533FD" w14:paraId="2AAD8163" w14:textId="77777777">
      <w:pPr>
        <w:spacing w:line="240" w:lineRule="auto"/>
        <w:ind w:firstLine="0"/>
        <w:jc w:val="center"/>
        <w:rPr>
          <w:b/>
          <w:bCs/>
          <w:sz w:val="32"/>
          <w:szCs w:val="32"/>
        </w:rPr>
      </w:pPr>
    </w:p>
    <w:p w:rsidRPr="000533FD" w:rsidR="000533FD" w:rsidP="000533FD" w:rsidRDefault="000533FD" w14:paraId="5D498F6D" w14:textId="77777777">
      <w:pPr>
        <w:spacing w:line="240" w:lineRule="auto"/>
        <w:ind w:firstLine="0"/>
        <w:jc w:val="center"/>
        <w:rPr>
          <w:b/>
          <w:bCs/>
          <w:sz w:val="32"/>
          <w:szCs w:val="32"/>
        </w:rPr>
      </w:pPr>
    </w:p>
    <w:p w:rsidRPr="000533FD" w:rsidR="000533FD" w:rsidP="000533FD" w:rsidRDefault="000533FD" w14:paraId="6A1027FB" w14:textId="77777777">
      <w:pPr>
        <w:spacing w:line="240" w:lineRule="auto"/>
        <w:ind w:firstLine="0"/>
        <w:jc w:val="center"/>
        <w:rPr>
          <w:b/>
          <w:bCs/>
          <w:sz w:val="32"/>
          <w:szCs w:val="32"/>
        </w:rPr>
      </w:pPr>
    </w:p>
    <w:p w:rsidRPr="00091F21" w:rsidR="00C05921" w:rsidP="00FB3F34" w:rsidRDefault="000533FD" w14:paraId="6B10DF8D" w14:textId="04465324">
      <w:pPr>
        <w:spacing w:line="240" w:lineRule="auto"/>
        <w:ind w:firstLine="0"/>
        <w:jc w:val="center"/>
        <w:rPr>
          <w:b/>
          <w:bCs/>
          <w:sz w:val="32"/>
          <w:szCs w:val="32"/>
        </w:rPr>
      </w:pPr>
      <w:r w:rsidRPr="000533FD">
        <w:rPr>
          <w:b/>
          <w:bCs/>
          <w:sz w:val="32"/>
          <w:szCs w:val="32"/>
        </w:rPr>
        <w:t xml:space="preserve">(END OF </w:t>
      </w:r>
      <w:r w:rsidR="0039143D">
        <w:rPr>
          <w:b/>
          <w:bCs/>
          <w:sz w:val="32"/>
          <w:szCs w:val="32"/>
        </w:rPr>
        <w:t>ATTACHMENT B)</w:t>
      </w:r>
    </w:p>
    <w:sectPr w:rsidRPr="00091F21" w:rsidR="00C05921" w:rsidSect="00086987">
      <w:footerReference w:type="default" r:id="rId20"/>
      <w:pgSz w:w="12240" w:h="15840"/>
      <w:pgMar w:top="1728" w:right="1440" w:bottom="1440" w:left="1440" w:header="720" w:footer="720" w:gutter="0"/>
      <w:pgNumType w:start="2"/>
      <w:cols w:space="720"/>
      <w:docGrid w:linePitch="360"/>
    </w:sectPr>
    <w:p>
      <w:r>
        <w:t xml:space="preserve"/>
      </w:r>
    </w:p>
    <w:p>
      <w:r>
        <w:t xml:space="preserve">Attachment 1: </w:t>
      </w:r>
    </w:p>
    <w:p>
      <w:hyperlink w:history="true" r:id="Rc8c2b2190b77477c">
        <w:r w:rsidRPr="00CB1292">
          <w:rPr>
            <w:rStyle w:val="Hyperlink"/>
            <w:color w:val="2E74B5" w:themeColor="accent1" w:themeShade="BF"/>
            <w:u w:val="single"/>
          </w:rPr>
          <w:t>Redline - [Rev. 1] A.24-09-010.pdf</w:t>
        </w:r>
      </w:hyperlink>
    </w:p>
    <w:p>
      <w:r>
        <w:t xml:space="preserve"/>
      </w:r>
    </w:p>
    <w:p>
      <w:r>
        <w:t xml:space="preserve">Attachment 2: </w:t>
      </w:r>
    </w:p>
    <w:p>
      <w:hyperlink w:history="true" r:id="R122713790f794e91">
        <w:r w:rsidRPr="00CB1292">
          <w:rPr>
            <w:rStyle w:val="Hyperlink"/>
            <w:color w:val="2E74B5" w:themeColor="accent1" w:themeShade="BF"/>
            <w:u w:val="single"/>
          </w:rPr>
          <w:t>Attachment A - ATTACH A w Amended Appendix A to SA_Feb 18.pdf</w:t>
        </w:r>
      </w:hyperlink>
    </w:p>
    <w:p>
      <w:r>
        <w:t xml:space="preserve"/>
      </w:r>
    </w:p>
    <w:p>
      <w:r>
        <w:t xml:space="preserve">Attachment 3: </w:t>
      </w:r>
    </w:p>
    <w:p>
      <w:hyperlink w:history="true" r:id="R8844479753a7493a">
        <w:r w:rsidRPr="00CB1292">
          <w:rPr>
            <w:rStyle w:val="Hyperlink"/>
            <w:color w:val="2E74B5" w:themeColor="accent1" w:themeShade="BF"/>
            <w:u w:val="single"/>
          </w:rPr>
          <w:t>Attachment B - Summary of Results of Operation 2025.pdf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41F1" w14:textId="77777777" w:rsidR="00E67006" w:rsidRDefault="00E67006" w:rsidP="0098138E">
      <w:pPr>
        <w:spacing w:line="240" w:lineRule="auto"/>
      </w:pPr>
      <w:r>
        <w:separator/>
      </w:r>
    </w:p>
  </w:endnote>
  <w:endnote w:type="continuationSeparator" w:id="0">
    <w:p w14:paraId="2D045B3D" w14:textId="77777777" w:rsidR="00E67006" w:rsidRDefault="00E6700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8BA3" w14:textId="7A8F767C" w:rsidR="00086987" w:rsidRDefault="00000000" w:rsidP="007E0FEE">
    <w:pPr>
      <w:tabs>
        <w:tab w:val="center" w:pos="4680"/>
      </w:tabs>
      <w:ind w:firstLine="0"/>
      <w:rPr>
        <w:noProof/>
      </w:rPr>
    </w:pPr>
    <w:sdt>
      <w:sdtPr>
        <w:id w:val="2014577161"/>
        <w:docPartObj>
          <w:docPartGallery w:val="Page Numbers (Bottom of Page)"/>
          <w:docPartUnique/>
        </w:docPartObj>
      </w:sdtPr>
      <w:sdtEndPr>
        <w:rPr>
          <w:noProof/>
        </w:rPr>
      </w:sdtEndPr>
      <w:sdtContent>
        <w:r w:rsidR="00273C43" w:rsidRPr="00273C43">
          <w:rPr>
            <w:sz w:val="16"/>
            <w:szCs w:val="16"/>
          </w:rPr>
          <w:t>602732311</w:t>
        </w:r>
        <w:r w:rsidR="00086987">
          <w:rPr>
            <w:rFonts w:ascii="Arial" w:hAnsi="Arial" w:cs="Arial"/>
            <w:sz w:val="16"/>
            <w:szCs w:val="16"/>
          </w:rPr>
          <w:tab/>
        </w:r>
        <w:r w:rsidR="00086987">
          <w:t xml:space="preserve">- </w:t>
        </w:r>
        <w:r w:rsidR="00086987">
          <w:fldChar w:fldCharType="begin"/>
        </w:r>
        <w:r w:rsidR="00086987">
          <w:instrText xml:space="preserve"> PAGE   \* MERGEFORMAT </w:instrText>
        </w:r>
        <w:r w:rsidR="00086987">
          <w:fldChar w:fldCharType="separate"/>
        </w:r>
        <w:r w:rsidR="00086987">
          <w:rPr>
            <w:noProof/>
          </w:rPr>
          <w:t>2</w:t>
        </w:r>
        <w:r w:rsidR="00086987">
          <w:rPr>
            <w:noProof/>
          </w:rPr>
          <w:fldChar w:fldCharType="end"/>
        </w:r>
      </w:sdtContent>
    </w:sdt>
    <w:r w:rsidR="00086987">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7576"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68E1"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B51F" w14:textId="0FAD9F5E" w:rsidR="00091F21" w:rsidRPr="00091F21" w:rsidRDefault="00D527D2" w:rsidP="00D527D2">
    <w:pPr>
      <w:pStyle w:val="Footer"/>
      <w:tabs>
        <w:tab w:val="clear" w:pos="4680"/>
      </w:tabs>
      <w:ind w:firstLine="0"/>
      <w:jc w:val="center"/>
    </w:pPr>
    <w:r>
      <w:t>A-1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98F1" w14:textId="03463402" w:rsidR="00FB3F34" w:rsidRPr="00FB3F34" w:rsidRDefault="00FB3F34" w:rsidP="00FB3F34">
    <w:pPr>
      <w:tabs>
        <w:tab w:val="center" w:pos="4680"/>
      </w:tabs>
      <w:ind w:firstLine="0"/>
      <w:jc w:val="center"/>
      <w:rPr>
        <w:noProof/>
        <w:szCs w:val="26"/>
      </w:rPr>
    </w:pPr>
    <w:r>
      <w:rPr>
        <w:noProof/>
        <w:szCs w:val="26"/>
      </w:rPr>
      <w:t>A-1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9D73" w14:textId="3CEE87B6" w:rsidR="00FB3F34" w:rsidRPr="00091F21" w:rsidRDefault="00FB3F34" w:rsidP="00D527D2">
    <w:pPr>
      <w:pStyle w:val="Footer"/>
      <w:tabs>
        <w:tab w:val="clear" w:pos="4680"/>
      </w:tabs>
      <w:ind w:firstLine="0"/>
      <w:jc w:val="center"/>
    </w:pPr>
    <w:r>
      <w:t>B-1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E569" w14:textId="77777777" w:rsidR="00E67006" w:rsidRDefault="00E67006" w:rsidP="00DF58E7">
      <w:pPr>
        <w:spacing w:line="240" w:lineRule="auto"/>
        <w:ind w:firstLine="0"/>
      </w:pPr>
      <w:r>
        <w:separator/>
      </w:r>
    </w:p>
  </w:footnote>
  <w:footnote w:type="continuationSeparator" w:id="0">
    <w:p w14:paraId="3E9A75D8" w14:textId="77777777" w:rsidR="00E67006" w:rsidRDefault="00E67006" w:rsidP="00DF58E7">
      <w:pPr>
        <w:spacing w:line="240" w:lineRule="auto"/>
        <w:ind w:firstLine="0"/>
      </w:pPr>
      <w:r>
        <w:continuationSeparator/>
      </w:r>
    </w:p>
  </w:footnote>
  <w:footnote w:type="continuationNotice" w:id="1">
    <w:p w14:paraId="2B79FD81" w14:textId="77777777" w:rsidR="00E67006" w:rsidRPr="00DF58E7" w:rsidRDefault="00E67006"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28C9C544" w14:textId="52760AF1" w:rsidR="00E3642E" w:rsidRDefault="00E3642E">
      <w:pPr>
        <w:pStyle w:val="FootnoteText"/>
      </w:pPr>
      <w:r>
        <w:rPr>
          <w:rStyle w:val="FootnoteReference"/>
        </w:rPr>
        <w:footnoteRef/>
      </w:r>
      <w:r>
        <w:t xml:space="preserve"> </w:t>
      </w:r>
      <w:r w:rsidR="00904909">
        <w:t xml:space="preserve">Amended </w:t>
      </w:r>
      <w:r>
        <w:t xml:space="preserve">Settlement Motion at 1. </w:t>
      </w:r>
    </w:p>
  </w:footnote>
  <w:footnote w:id="3">
    <w:p w14:paraId="4CA64CBB" w14:textId="4171FC90" w:rsidR="008B34CC" w:rsidRDefault="008B34CC">
      <w:pPr>
        <w:pStyle w:val="FootnoteText"/>
      </w:pPr>
      <w:r>
        <w:rPr>
          <w:rStyle w:val="FootnoteReference"/>
        </w:rPr>
        <w:footnoteRef/>
      </w:r>
      <w:r>
        <w:t xml:space="preserve"> On November 17, 2025</w:t>
      </w:r>
      <w:r w:rsidR="006E21AC">
        <w:t>,</w:t>
      </w:r>
      <w:r>
        <w:t xml:space="preserve"> Liberty filed a Response </w:t>
      </w:r>
      <w:r w:rsidR="006623DA">
        <w:t>objecting to Tahoe SPARK’s response</w:t>
      </w:r>
      <w:r w:rsidR="00403CB6">
        <w:t xml:space="preserve"> to the Settlement Motion</w:t>
      </w:r>
      <w:r w:rsidR="006623DA">
        <w:t xml:space="preserve">, but </w:t>
      </w:r>
      <w:r w:rsidR="00403CB6">
        <w:t>Tahoe S</w:t>
      </w:r>
      <w:r w:rsidR="00F351DE">
        <w:t>PAR</w:t>
      </w:r>
      <w:r w:rsidR="004F4753">
        <w:t>K</w:t>
      </w:r>
      <w:r w:rsidR="00403CB6">
        <w:t xml:space="preserve">’s response was untimely and </w:t>
      </w:r>
      <w:r w:rsidR="006E21AC">
        <w:t xml:space="preserve">was </w:t>
      </w:r>
      <w:r w:rsidR="006623DA">
        <w:t xml:space="preserve">not </w:t>
      </w:r>
      <w:r w:rsidR="006E21AC">
        <w:t xml:space="preserve">made </w:t>
      </w:r>
      <w:r w:rsidR="006623DA">
        <w:t xml:space="preserve">part of the record in this proceeding.  </w:t>
      </w:r>
    </w:p>
  </w:footnote>
  <w:footnote w:id="4">
    <w:p w14:paraId="0FCDAC59" w14:textId="0FAA1FAD" w:rsidR="00075DB9" w:rsidRDefault="00075DB9">
      <w:pPr>
        <w:pStyle w:val="FootnoteText"/>
      </w:pPr>
      <w:r>
        <w:rPr>
          <w:rStyle w:val="FootnoteReference"/>
        </w:rPr>
        <w:footnoteRef/>
      </w:r>
      <w:r>
        <w:t xml:space="preserve"> Amended Settlement Motion at 4-5</w:t>
      </w:r>
      <w:r w:rsidR="004F4753">
        <w:t>.</w:t>
      </w:r>
      <w:r w:rsidR="7E8A2E25">
        <w:t xml:space="preserve"> </w:t>
      </w:r>
      <w:r w:rsidR="002B0228">
        <w:t xml:space="preserve">Section 1.7 of the Settlement Agreement provides that the revenue requirements stated in the Settlement Agreement are based upon Liberty’s previously authorized return on equity (ROE), and the Settling Parties agree that the final revenue requirements will be adjusted to reflect the ROE adopted by the Commission in this Decision. </w:t>
      </w:r>
    </w:p>
  </w:footnote>
  <w:footnote w:id="5">
    <w:p w14:paraId="164C7ADA" w14:textId="694F52EC" w:rsidR="00075DB9" w:rsidRDefault="00075DB9">
      <w:pPr>
        <w:pStyle w:val="FootnoteText"/>
      </w:pPr>
      <w:r>
        <w:rPr>
          <w:rStyle w:val="FootnoteReference"/>
        </w:rPr>
        <w:footnoteRef/>
      </w:r>
      <w:r>
        <w:t xml:space="preserve"> </w:t>
      </w:r>
      <w:r w:rsidRPr="00075DB9">
        <w:rPr>
          <w:i/>
          <w:iCs/>
        </w:rPr>
        <w:t>Id.</w:t>
      </w:r>
      <w:r>
        <w:t xml:space="preserve"> at 5. </w:t>
      </w:r>
    </w:p>
  </w:footnote>
  <w:footnote w:id="6">
    <w:p w14:paraId="49946358" w14:textId="77777777" w:rsidR="00371467" w:rsidRDefault="00371467" w:rsidP="00371467">
      <w:pPr>
        <w:pStyle w:val="FootnoteText"/>
      </w:pPr>
      <w:r>
        <w:rPr>
          <w:rStyle w:val="FootnoteReference"/>
        </w:rPr>
        <w:footnoteRef/>
      </w:r>
      <w:r>
        <w:t xml:space="preserve"> </w:t>
      </w:r>
      <w:r w:rsidRPr="00530172">
        <w:rPr>
          <w:i/>
          <w:iCs/>
        </w:rPr>
        <w:t>City of Detroit v. Grinnell Corp.</w:t>
      </w:r>
      <w:r w:rsidRPr="00530172">
        <w:t xml:space="preserve"> (2d Cir. 1974) 495 F.2d 448, 456.</w:t>
      </w:r>
    </w:p>
  </w:footnote>
  <w:footnote w:id="7">
    <w:p w14:paraId="5CB3F1BF" w14:textId="77777777" w:rsidR="00371467" w:rsidRDefault="00371467" w:rsidP="00371467">
      <w:pPr>
        <w:pStyle w:val="FootnoteText"/>
      </w:pPr>
      <w:r>
        <w:rPr>
          <w:rStyle w:val="FootnoteReference"/>
        </w:rPr>
        <w:footnoteRef/>
      </w:r>
      <w:r>
        <w:t xml:space="preserve"> </w:t>
      </w:r>
      <w:r w:rsidRPr="007875AD">
        <w:rPr>
          <w:i/>
          <w:iCs/>
        </w:rPr>
        <w:t>Ibid</w:t>
      </w:r>
      <w:r>
        <w:t>.</w:t>
      </w:r>
    </w:p>
  </w:footnote>
  <w:footnote w:id="8">
    <w:p w14:paraId="7DBC9637" w14:textId="2C8B1FF7" w:rsidR="00EC28CF" w:rsidRDefault="00EC28CF">
      <w:pPr>
        <w:pStyle w:val="FootnoteText"/>
      </w:pPr>
      <w:r>
        <w:rPr>
          <w:rStyle w:val="FootnoteReference"/>
        </w:rPr>
        <w:footnoteRef/>
      </w:r>
      <w:r>
        <w:t xml:space="preserve"> </w:t>
      </w:r>
      <w:r w:rsidR="00410417" w:rsidRPr="008D7D14">
        <w:rPr>
          <w:i/>
          <w:iCs/>
        </w:rPr>
        <w:t>See</w:t>
      </w:r>
      <w:r w:rsidR="00410417">
        <w:t xml:space="preserve"> </w:t>
      </w:r>
      <w:r>
        <w:t>A</w:t>
      </w:r>
      <w:r w:rsidR="004F4753">
        <w:t>ttachment</w:t>
      </w:r>
      <w:r>
        <w:t xml:space="preserve"> </w:t>
      </w:r>
      <w:r w:rsidR="00410417">
        <w:t>A</w:t>
      </w:r>
      <w:r w:rsidR="00E23816">
        <w:t xml:space="preserve"> to this Decisio</w:t>
      </w:r>
      <w:r w:rsidR="001C28CA">
        <w:t>n</w:t>
      </w:r>
      <w:r w:rsidR="00410417">
        <w:t xml:space="preserve"> (Settlement Agreement Appendix A Consolidated Comparison of Party Positions’ on All Settled Issues).</w:t>
      </w:r>
    </w:p>
  </w:footnote>
  <w:footnote w:id="9">
    <w:p w14:paraId="77126A8D" w14:textId="77AD7ABB" w:rsidR="00EC28CF" w:rsidRDefault="00EC28CF">
      <w:pPr>
        <w:pStyle w:val="FootnoteText"/>
      </w:pPr>
      <w:r>
        <w:rPr>
          <w:rStyle w:val="FootnoteReference"/>
        </w:rPr>
        <w:footnoteRef/>
      </w:r>
      <w:r>
        <w:t xml:space="preserve"> </w:t>
      </w:r>
      <w:r w:rsidR="009639EE">
        <w:t xml:space="preserve">Amended </w:t>
      </w:r>
      <w:r>
        <w:t>Settlement Motion at 3.</w:t>
      </w:r>
    </w:p>
  </w:footnote>
  <w:footnote w:id="10">
    <w:p w14:paraId="72DE5868" w14:textId="77777777" w:rsidR="00371467" w:rsidRDefault="00371467" w:rsidP="00371467">
      <w:pPr>
        <w:pStyle w:val="FootnoteText"/>
      </w:pPr>
      <w:r>
        <w:rPr>
          <w:rStyle w:val="FootnoteReference"/>
        </w:rPr>
        <w:footnoteRef/>
      </w:r>
      <w:r>
        <w:t xml:space="preserve"> </w:t>
      </w:r>
      <w:r w:rsidRPr="00587D42">
        <w:rPr>
          <w:i/>
          <w:iCs/>
        </w:rPr>
        <w:t>See</w:t>
      </w:r>
      <w:r w:rsidRPr="00530172">
        <w:t xml:space="preserve"> </w:t>
      </w:r>
      <w:r w:rsidRPr="00530172">
        <w:rPr>
          <w:i/>
          <w:iCs/>
        </w:rPr>
        <w:t>Title Ins. Co. v. State Bd. of Equalization</w:t>
      </w:r>
      <w:r w:rsidRPr="00530172">
        <w:t xml:space="preserve"> (1992) 4 Cal.4th 715, 733 [“A court will respect a stipulation limiting the issues in a case.”].</w:t>
      </w:r>
    </w:p>
  </w:footnote>
  <w:footnote w:id="11">
    <w:p w14:paraId="74E2689C" w14:textId="49754AA8" w:rsidR="00383293" w:rsidRDefault="00383293">
      <w:pPr>
        <w:pStyle w:val="FootnoteText"/>
      </w:pPr>
      <w:r>
        <w:rPr>
          <w:rStyle w:val="FootnoteReference"/>
        </w:rPr>
        <w:footnoteRef/>
      </w:r>
      <w:r>
        <w:t xml:space="preserve"> Tahoe S</w:t>
      </w:r>
      <w:r w:rsidR="006F742E">
        <w:t>PARK</w:t>
      </w:r>
      <w:r>
        <w:t xml:space="preserve"> </w:t>
      </w:r>
      <w:r w:rsidR="00F957D9">
        <w:t xml:space="preserve">served </w:t>
      </w:r>
      <w:r>
        <w:t xml:space="preserve">an untimely comment </w:t>
      </w:r>
      <w:r w:rsidR="00035F82">
        <w:t xml:space="preserve">to the </w:t>
      </w:r>
      <w:r w:rsidR="00B26822">
        <w:t xml:space="preserve">Amended </w:t>
      </w:r>
      <w:r w:rsidR="00035F82">
        <w:t xml:space="preserve">Settlement </w:t>
      </w:r>
      <w:r w:rsidR="00263B16">
        <w:t>Motion</w:t>
      </w:r>
      <w:r w:rsidR="00035F82">
        <w:t xml:space="preserve"> </w:t>
      </w:r>
      <w:r>
        <w:t xml:space="preserve">that was rejected by the Commission’s Docket Office and is not part of the record. </w:t>
      </w:r>
    </w:p>
  </w:footnote>
  <w:footnote w:id="12">
    <w:p w14:paraId="519BE4DB" w14:textId="0D887016" w:rsidR="00C22F27" w:rsidRDefault="00C22F27" w:rsidP="00C22F27">
      <w:pPr>
        <w:pStyle w:val="FootnoteText"/>
      </w:pPr>
      <w:r>
        <w:rPr>
          <w:rStyle w:val="FootnoteReference"/>
        </w:rPr>
        <w:footnoteRef/>
      </w:r>
      <w:r>
        <w:t xml:space="preserve"> </w:t>
      </w:r>
      <w:r w:rsidR="00224174">
        <w:t>Settlement Agreement</w:t>
      </w:r>
      <w:r>
        <w:t xml:space="preserve"> at 9</w:t>
      </w:r>
      <w:r w:rsidR="00224174">
        <w:t>-</w:t>
      </w:r>
      <w:r>
        <w:t xml:space="preserve">11. </w:t>
      </w:r>
    </w:p>
  </w:footnote>
  <w:footnote w:id="13">
    <w:p w14:paraId="5C89F5EC" w14:textId="0978503F" w:rsidR="009C4DAD" w:rsidRDefault="009C4DAD">
      <w:pPr>
        <w:pStyle w:val="FootnoteText"/>
      </w:pPr>
      <w:r>
        <w:rPr>
          <w:rStyle w:val="FootnoteReference"/>
        </w:rPr>
        <w:footnoteRef/>
      </w:r>
      <w:r>
        <w:t xml:space="preserve"> Scoping Ruling at 2.</w:t>
      </w:r>
    </w:p>
  </w:footnote>
  <w:footnote w:id="14">
    <w:p w14:paraId="76022685" w14:textId="38614920" w:rsidR="002245A1" w:rsidRDefault="002245A1">
      <w:pPr>
        <w:pStyle w:val="FootnoteText"/>
      </w:pPr>
      <w:r>
        <w:rPr>
          <w:rStyle w:val="FootnoteReference"/>
        </w:rPr>
        <w:footnoteRef/>
      </w:r>
      <w:r>
        <w:t xml:space="preserve"> Scoping Ruling at 2. </w:t>
      </w:r>
    </w:p>
  </w:footnote>
  <w:footnote w:id="15">
    <w:p w14:paraId="41644E75" w14:textId="079EB1C4" w:rsidR="008331E2" w:rsidRPr="00DA7752" w:rsidRDefault="008331E2">
      <w:pPr>
        <w:pStyle w:val="FootnoteText"/>
      </w:pPr>
      <w:r w:rsidRPr="00DA7752">
        <w:rPr>
          <w:rStyle w:val="FootnoteReference"/>
        </w:rPr>
        <w:footnoteRef/>
      </w:r>
      <w:r w:rsidRPr="00DA7752">
        <w:t xml:space="preserve"> </w:t>
      </w:r>
      <w:r w:rsidR="00DA7752" w:rsidRPr="00DA7752">
        <w:rPr>
          <w:rFonts w:eastAsia="Times New Roman" w:cs="Times New Roman"/>
        </w:rPr>
        <w:t xml:space="preserve">The </w:t>
      </w:r>
      <w:r w:rsidR="00FC493F">
        <w:rPr>
          <w:rFonts w:eastAsia="Times New Roman" w:cs="Times New Roman"/>
        </w:rPr>
        <w:t xml:space="preserve">Commission may consider the </w:t>
      </w:r>
      <w:r w:rsidR="00DA7752" w:rsidRPr="00DA7752">
        <w:rPr>
          <w:rFonts w:eastAsia="Times New Roman" w:cs="Times New Roman"/>
        </w:rPr>
        <w:t xml:space="preserve">reasonableness, design options and feasibility of implementation of a demand fee </w:t>
      </w:r>
      <w:r w:rsidR="00FC493F">
        <w:rPr>
          <w:rFonts w:eastAsia="Times New Roman" w:cs="Times New Roman"/>
        </w:rPr>
        <w:t>in a future Rulemaking</w:t>
      </w:r>
      <w:r w:rsidR="00DA7752" w:rsidRPr="00DA7752">
        <w:rPr>
          <w:rFonts w:eastAsia="Times New Roman" w:cs="Times New Roman"/>
        </w:rPr>
        <w:t xml:space="preserve">. </w:t>
      </w:r>
      <w:r w:rsidR="006C2A62" w:rsidRPr="00DA7752">
        <w:t xml:space="preserve"> </w:t>
      </w:r>
    </w:p>
  </w:footnote>
  <w:footnote w:id="16">
    <w:p w14:paraId="3FA90190" w14:textId="7F75E6D0" w:rsidR="00AB0E97" w:rsidRDefault="00AB0E97" w:rsidP="00AB0E97">
      <w:pPr>
        <w:pStyle w:val="FootnoteText"/>
      </w:pPr>
      <w:r w:rsidRPr="38E88E0A">
        <w:rPr>
          <w:rStyle w:val="FootnoteReference"/>
        </w:rPr>
        <w:footnoteRef/>
      </w:r>
      <w:r>
        <w:t xml:space="preserve"> Exh</w:t>
      </w:r>
      <w:r w:rsidR="00DA0813">
        <w:t>.</w:t>
      </w:r>
      <w:r>
        <w:t xml:space="preserve"> TSL-4 at 1-2.</w:t>
      </w:r>
    </w:p>
  </w:footnote>
  <w:footnote w:id="17">
    <w:p w14:paraId="51ADC528" w14:textId="73AE84A3" w:rsidR="00AB0E97" w:rsidRDefault="00AB0E97" w:rsidP="00AB0E97">
      <w:pPr>
        <w:pStyle w:val="FootnoteText"/>
      </w:pPr>
      <w:r w:rsidRPr="38E88E0A">
        <w:rPr>
          <w:rStyle w:val="FootnoteReference"/>
        </w:rPr>
        <w:footnoteRef/>
      </w:r>
      <w:r>
        <w:t xml:space="preserve"> Exh</w:t>
      </w:r>
      <w:r w:rsidR="00DA0813">
        <w:t>.</w:t>
      </w:r>
      <w:r>
        <w:t xml:space="preserve"> TSL-4 at 1-2.</w:t>
      </w:r>
    </w:p>
  </w:footnote>
  <w:footnote w:id="18">
    <w:p w14:paraId="12717330" w14:textId="77777777" w:rsidR="00AB0E97" w:rsidRDefault="00AB0E97" w:rsidP="00AB0E97">
      <w:pPr>
        <w:pStyle w:val="FootnoteText"/>
      </w:pPr>
      <w:r w:rsidRPr="38E88E0A">
        <w:rPr>
          <w:rStyle w:val="FootnoteReference"/>
        </w:rPr>
        <w:footnoteRef/>
      </w:r>
      <w:r>
        <w:t xml:space="preserve"> Liberty Opening Brief at 27 – 28.</w:t>
      </w:r>
    </w:p>
  </w:footnote>
  <w:footnote w:id="19">
    <w:p w14:paraId="255CC23E" w14:textId="2F4B8DD3" w:rsidR="00AB0E97" w:rsidRDefault="00AB0E97" w:rsidP="00AB0E97">
      <w:pPr>
        <w:pStyle w:val="FootnoteText"/>
      </w:pPr>
      <w:r w:rsidRPr="38E88E0A">
        <w:rPr>
          <w:rStyle w:val="FootnoteReference"/>
        </w:rPr>
        <w:footnoteRef/>
      </w:r>
      <w:r>
        <w:t xml:space="preserve"> </w:t>
      </w:r>
      <w:r w:rsidRPr="38E88E0A">
        <w:t>Ex</w:t>
      </w:r>
      <w:r>
        <w:t>h. LIB</w:t>
      </w:r>
      <w:r w:rsidRPr="38E88E0A">
        <w:t>-09</w:t>
      </w:r>
      <w:r>
        <w:t xml:space="preserve"> at 5-7.</w:t>
      </w:r>
    </w:p>
  </w:footnote>
  <w:footnote w:id="20">
    <w:p w14:paraId="72949B23" w14:textId="1741DE23" w:rsidR="00AB0E97" w:rsidRDefault="00AB0E97" w:rsidP="00AB0E97">
      <w:pPr>
        <w:pStyle w:val="FootnoteText"/>
      </w:pPr>
      <w:r w:rsidRPr="38E88E0A">
        <w:rPr>
          <w:rStyle w:val="FootnoteReference"/>
        </w:rPr>
        <w:footnoteRef/>
      </w:r>
      <w:r>
        <w:t xml:space="preserve"> Exh. TSL-5 at 1 – 15.</w:t>
      </w:r>
    </w:p>
  </w:footnote>
  <w:footnote w:id="21">
    <w:p w14:paraId="4A108D05" w14:textId="5BF034D5" w:rsidR="00AB0E97" w:rsidRDefault="00AB0E97" w:rsidP="00AB0E97">
      <w:pPr>
        <w:pStyle w:val="FootnoteText"/>
      </w:pPr>
      <w:r w:rsidRPr="38E88E0A">
        <w:rPr>
          <w:rStyle w:val="FootnoteReference"/>
        </w:rPr>
        <w:footnoteRef/>
      </w:r>
      <w:r>
        <w:t xml:space="preserve"> Exh. TSL-5 at 1 – 15.</w:t>
      </w:r>
    </w:p>
  </w:footnote>
  <w:footnote w:id="22">
    <w:p w14:paraId="77FEC3AB" w14:textId="2927BE33" w:rsidR="00AB0E97" w:rsidRDefault="00AB0E97" w:rsidP="00AB0E97">
      <w:pPr>
        <w:pStyle w:val="FootnoteText"/>
      </w:pPr>
      <w:r w:rsidRPr="38E88E0A">
        <w:rPr>
          <w:rStyle w:val="FootnoteReference"/>
        </w:rPr>
        <w:footnoteRef/>
      </w:r>
      <w:r>
        <w:t xml:space="preserve"> Exh. TSL-5 at 1 – 15.</w:t>
      </w:r>
    </w:p>
  </w:footnote>
  <w:footnote w:id="23">
    <w:p w14:paraId="03A56293" w14:textId="74B876CD" w:rsidR="00AB0E97" w:rsidRDefault="00AB0E97" w:rsidP="00AB0E97">
      <w:pPr>
        <w:pStyle w:val="FootnoteText"/>
      </w:pPr>
      <w:r w:rsidRPr="38E88E0A">
        <w:rPr>
          <w:rStyle w:val="FootnoteReference"/>
        </w:rPr>
        <w:footnoteRef/>
      </w:r>
      <w:r>
        <w:t xml:space="preserve"> Exh. TSL-5 at 1 – 15.</w:t>
      </w:r>
    </w:p>
  </w:footnote>
  <w:footnote w:id="24">
    <w:p w14:paraId="7649949A" w14:textId="585F550D" w:rsidR="00AB0E97" w:rsidRDefault="00AB0E97" w:rsidP="00AB0E97">
      <w:pPr>
        <w:pStyle w:val="FootnoteText"/>
      </w:pPr>
      <w:r w:rsidRPr="38E88E0A">
        <w:rPr>
          <w:rStyle w:val="FootnoteReference"/>
        </w:rPr>
        <w:footnoteRef/>
      </w:r>
      <w:r>
        <w:t xml:space="preserve"> Exh</w:t>
      </w:r>
      <w:r w:rsidR="0056404E">
        <w:t>.</w:t>
      </w:r>
      <w:r>
        <w:t xml:space="preserve"> TSL-4 at 1-2.</w:t>
      </w:r>
    </w:p>
  </w:footnote>
  <w:footnote w:id="25">
    <w:p w14:paraId="7FD6DD64" w14:textId="041BFCFE" w:rsidR="00AB0E97" w:rsidRDefault="00AB0E97" w:rsidP="00AB0E97">
      <w:pPr>
        <w:pStyle w:val="FootnoteText"/>
      </w:pPr>
      <w:r w:rsidRPr="38E88E0A">
        <w:rPr>
          <w:rStyle w:val="FootnoteReference"/>
        </w:rPr>
        <w:footnoteRef/>
      </w:r>
      <w:r>
        <w:t xml:space="preserve"> Liberty Opening Brief at 27–28.</w:t>
      </w:r>
    </w:p>
  </w:footnote>
  <w:footnote w:id="26">
    <w:p w14:paraId="70F8327F" w14:textId="4C1DE95E" w:rsidR="00AB0E97" w:rsidRDefault="00AB0E97" w:rsidP="00AB0E97">
      <w:pPr>
        <w:pStyle w:val="FootnoteText"/>
      </w:pPr>
      <w:r w:rsidRPr="38E88E0A">
        <w:rPr>
          <w:rStyle w:val="FootnoteReference"/>
        </w:rPr>
        <w:footnoteRef/>
      </w:r>
      <w:r>
        <w:t xml:space="preserve"> A-3 </w:t>
      </w:r>
      <w:r w:rsidR="00B8614A">
        <w:t xml:space="preserve">CC </w:t>
      </w:r>
      <w:r>
        <w:t>Opening Brief at 7–18.</w:t>
      </w:r>
    </w:p>
  </w:footnote>
  <w:footnote w:id="27">
    <w:p w14:paraId="7CB62500" w14:textId="25B143C0" w:rsidR="00AB0E97" w:rsidRPr="00AB0E97" w:rsidRDefault="00AB0E97" w:rsidP="00AB0E97">
      <w:pPr>
        <w:pStyle w:val="FootnoteText"/>
        <w:rPr>
          <w:i/>
          <w:iCs/>
        </w:rPr>
      </w:pPr>
      <w:r w:rsidRPr="00AB0E97">
        <w:rPr>
          <w:rStyle w:val="FootnoteReference"/>
          <w:i/>
          <w:iCs/>
        </w:rPr>
        <w:footnoteRef/>
      </w:r>
      <w:r w:rsidRPr="00AB0E97">
        <w:rPr>
          <w:i/>
          <w:iCs/>
        </w:rPr>
        <w:t xml:space="preserve"> I</w:t>
      </w:r>
      <w:r w:rsidR="00B80D8C">
        <w:rPr>
          <w:i/>
          <w:iCs/>
        </w:rPr>
        <w:t>bi</w:t>
      </w:r>
      <w:r w:rsidRPr="00AB0E97">
        <w:rPr>
          <w:i/>
          <w:iCs/>
        </w:rPr>
        <w:t xml:space="preserve">d. </w:t>
      </w:r>
    </w:p>
  </w:footnote>
  <w:footnote w:id="28">
    <w:p w14:paraId="72B65C5F" w14:textId="5346A26D" w:rsidR="00AB0E97" w:rsidRDefault="00AB0E97" w:rsidP="00AB0E97">
      <w:pPr>
        <w:pStyle w:val="FootnoteText"/>
      </w:pPr>
      <w:r w:rsidRPr="00AB0E97">
        <w:rPr>
          <w:rStyle w:val="FootnoteReference"/>
          <w:i/>
          <w:iCs/>
        </w:rPr>
        <w:footnoteRef/>
      </w:r>
      <w:r w:rsidRPr="00AB0E97">
        <w:rPr>
          <w:i/>
          <w:iCs/>
        </w:rPr>
        <w:t xml:space="preserve"> I</w:t>
      </w:r>
      <w:r w:rsidR="00B80D8C">
        <w:rPr>
          <w:i/>
          <w:iCs/>
        </w:rPr>
        <w:t>bi</w:t>
      </w:r>
      <w:r w:rsidRPr="00AB0E97">
        <w:rPr>
          <w:i/>
          <w:iCs/>
        </w:rPr>
        <w:t>d.</w:t>
      </w:r>
      <w:r>
        <w:t xml:space="preserve"> </w:t>
      </w:r>
    </w:p>
  </w:footnote>
  <w:footnote w:id="29">
    <w:p w14:paraId="59028D97" w14:textId="4722EBC2" w:rsidR="00AB0E97" w:rsidRDefault="00AB0E97" w:rsidP="00AB0E97">
      <w:pPr>
        <w:pStyle w:val="FootnoteText"/>
      </w:pPr>
      <w:r w:rsidRPr="38E88E0A">
        <w:rPr>
          <w:rStyle w:val="FootnoteReference"/>
        </w:rPr>
        <w:footnoteRef/>
      </w:r>
      <w:r>
        <w:t xml:space="preserve"> SBUA Opening Brief at 4 – 6.</w:t>
      </w:r>
    </w:p>
  </w:footnote>
  <w:footnote w:id="30">
    <w:p w14:paraId="51FEB50B" w14:textId="7AD35169" w:rsidR="00AB0E97" w:rsidRPr="00AB0E97" w:rsidRDefault="00AB0E97" w:rsidP="00AB0E97">
      <w:pPr>
        <w:pStyle w:val="FootnoteText"/>
        <w:rPr>
          <w:i/>
          <w:iCs/>
        </w:rPr>
      </w:pPr>
      <w:r w:rsidRPr="38E88E0A">
        <w:rPr>
          <w:rStyle w:val="FootnoteReference"/>
        </w:rPr>
        <w:footnoteRef/>
      </w:r>
      <w:r>
        <w:t xml:space="preserve"> </w:t>
      </w:r>
      <w:r w:rsidRPr="00AB0E97">
        <w:rPr>
          <w:i/>
          <w:iCs/>
        </w:rPr>
        <w:t>I</w:t>
      </w:r>
      <w:r w:rsidR="00B80D8C">
        <w:rPr>
          <w:i/>
          <w:iCs/>
        </w:rPr>
        <w:t>bi</w:t>
      </w:r>
      <w:r w:rsidRPr="00AB0E97">
        <w:rPr>
          <w:i/>
          <w:iCs/>
        </w:rPr>
        <w:t>d.</w:t>
      </w:r>
    </w:p>
  </w:footnote>
  <w:footnote w:id="31">
    <w:p w14:paraId="33744302" w14:textId="110284C1" w:rsidR="00AB0E97" w:rsidRDefault="00AB0E97" w:rsidP="00AB0E97">
      <w:pPr>
        <w:pStyle w:val="FootnoteText"/>
      </w:pPr>
      <w:r w:rsidRPr="00AB0E97">
        <w:rPr>
          <w:rStyle w:val="FootnoteReference"/>
          <w:i/>
          <w:iCs/>
        </w:rPr>
        <w:footnoteRef/>
      </w:r>
      <w:r w:rsidRPr="00AB0E97">
        <w:rPr>
          <w:i/>
          <w:iCs/>
        </w:rPr>
        <w:t xml:space="preserve"> I</w:t>
      </w:r>
      <w:r w:rsidR="00B80D8C">
        <w:rPr>
          <w:i/>
          <w:iCs/>
        </w:rPr>
        <w:t>bi</w:t>
      </w:r>
      <w:r w:rsidRPr="00AB0E97">
        <w:rPr>
          <w:i/>
          <w:iCs/>
        </w:rPr>
        <w:t>d.</w:t>
      </w:r>
    </w:p>
  </w:footnote>
  <w:footnote w:id="32">
    <w:p w14:paraId="0CD3B83D" w14:textId="26AAEDB0" w:rsidR="00C00C4F" w:rsidRDefault="00C00C4F">
      <w:pPr>
        <w:pStyle w:val="FootnoteText"/>
      </w:pPr>
      <w:r>
        <w:rPr>
          <w:rStyle w:val="FootnoteReference"/>
        </w:rPr>
        <w:footnoteRef/>
      </w:r>
      <w:r>
        <w:t xml:space="preserve"> Scoping Ruling at 2. </w:t>
      </w:r>
    </w:p>
  </w:footnote>
  <w:footnote w:id="33">
    <w:p w14:paraId="232DB771" w14:textId="3AFA188E" w:rsidR="00CE64EE" w:rsidRDefault="00CE64EE" w:rsidP="00CE64EE">
      <w:pPr>
        <w:pStyle w:val="FootnoteText"/>
      </w:pPr>
      <w:r w:rsidRPr="38E88E0A">
        <w:rPr>
          <w:rStyle w:val="FootnoteReference"/>
        </w:rPr>
        <w:footnoteRef/>
      </w:r>
      <w:r>
        <w:t xml:space="preserve"> </w:t>
      </w:r>
      <w:r w:rsidRPr="38E88E0A">
        <w:t>Exh</w:t>
      </w:r>
      <w:r>
        <w:t>.</w:t>
      </w:r>
      <w:r w:rsidRPr="38E88E0A">
        <w:t xml:space="preserve"> L</w:t>
      </w:r>
      <w:r w:rsidR="00FB3538">
        <w:t>IB</w:t>
      </w:r>
      <w:r w:rsidRPr="38E88E0A">
        <w:t>-09 at 11 to 13.</w:t>
      </w:r>
    </w:p>
  </w:footnote>
  <w:footnote w:id="34">
    <w:p w14:paraId="2BE33DBF" w14:textId="2AC8AE00" w:rsidR="00CE64EE" w:rsidRDefault="00CE64EE" w:rsidP="00CE64EE">
      <w:pPr>
        <w:pStyle w:val="FootnoteText"/>
      </w:pPr>
      <w:r w:rsidRPr="38E88E0A">
        <w:rPr>
          <w:rStyle w:val="FootnoteReference"/>
        </w:rPr>
        <w:footnoteRef/>
      </w:r>
      <w:r w:rsidRPr="38E88E0A">
        <w:t xml:space="preserve"> Ex</w:t>
      </w:r>
      <w:r>
        <w:t>h.</w:t>
      </w:r>
      <w:r w:rsidRPr="38E88E0A">
        <w:t xml:space="preserve"> L</w:t>
      </w:r>
      <w:r w:rsidR="00E440EA">
        <w:t>IB</w:t>
      </w:r>
      <w:r w:rsidRPr="38E88E0A">
        <w:t>-09 at 10 to 11.</w:t>
      </w:r>
    </w:p>
  </w:footnote>
  <w:footnote w:id="35">
    <w:p w14:paraId="47C49E1B" w14:textId="2F2B18DB" w:rsidR="00CE64EE" w:rsidRDefault="00CE64EE" w:rsidP="00CE64EE">
      <w:pPr>
        <w:pStyle w:val="FootnoteText"/>
      </w:pPr>
      <w:r w:rsidRPr="38E88E0A">
        <w:rPr>
          <w:rStyle w:val="FootnoteReference"/>
        </w:rPr>
        <w:footnoteRef/>
      </w:r>
      <w:r>
        <w:t xml:space="preserve"> </w:t>
      </w:r>
      <w:r w:rsidRPr="38E88E0A">
        <w:t>Ex</w:t>
      </w:r>
      <w:r>
        <w:t>h.</w:t>
      </w:r>
      <w:r w:rsidRPr="38E88E0A">
        <w:t xml:space="preserve"> L</w:t>
      </w:r>
      <w:r w:rsidR="00E440EA">
        <w:t>IB</w:t>
      </w:r>
      <w:r w:rsidRPr="38E88E0A">
        <w:t>-09 at 3.</w:t>
      </w:r>
    </w:p>
  </w:footnote>
  <w:footnote w:id="36">
    <w:p w14:paraId="5CF243DB" w14:textId="0F9B0CD2" w:rsidR="00CE64EE" w:rsidRDefault="00CE64EE" w:rsidP="00CE64EE">
      <w:pPr>
        <w:pStyle w:val="FootnoteText"/>
      </w:pPr>
      <w:r w:rsidRPr="38E88E0A">
        <w:rPr>
          <w:rStyle w:val="FootnoteReference"/>
        </w:rPr>
        <w:footnoteRef/>
      </w:r>
      <w:r>
        <w:t xml:space="preserve"> </w:t>
      </w:r>
      <w:r w:rsidRPr="00E55602">
        <w:rPr>
          <w:i/>
          <w:iCs/>
        </w:rPr>
        <w:t>I</w:t>
      </w:r>
      <w:r w:rsidR="00B80D8C">
        <w:rPr>
          <w:i/>
          <w:iCs/>
        </w:rPr>
        <w:t>bi</w:t>
      </w:r>
      <w:r w:rsidRPr="00E55602">
        <w:rPr>
          <w:i/>
          <w:iCs/>
        </w:rPr>
        <w:t>d.</w:t>
      </w:r>
      <w:r>
        <w:t xml:space="preserve"> </w:t>
      </w:r>
    </w:p>
  </w:footnote>
  <w:footnote w:id="37">
    <w:p w14:paraId="5521FE6D" w14:textId="57AB5595" w:rsidR="00CE64EE" w:rsidRDefault="00CE64EE" w:rsidP="00CE64EE">
      <w:pPr>
        <w:pStyle w:val="FootnoteText"/>
      </w:pPr>
      <w:r w:rsidRPr="38E88E0A">
        <w:rPr>
          <w:rStyle w:val="FootnoteReference"/>
        </w:rPr>
        <w:footnoteRef/>
      </w:r>
      <w:r>
        <w:t xml:space="preserve"> Exh. Tahoe ERG-01 at 17 – 20.</w:t>
      </w:r>
    </w:p>
  </w:footnote>
  <w:footnote w:id="38">
    <w:p w14:paraId="142A7B95" w14:textId="5313974D" w:rsidR="00CE64EE" w:rsidRPr="00E55602" w:rsidRDefault="00CE64EE" w:rsidP="00CE64EE">
      <w:pPr>
        <w:pStyle w:val="FootnoteText"/>
        <w:rPr>
          <w:rFonts w:eastAsia="Times New Roman" w:cs="Times New Roman"/>
        </w:rPr>
      </w:pPr>
      <w:r w:rsidRPr="00E55602">
        <w:rPr>
          <w:rStyle w:val="FootnoteReference"/>
          <w:rFonts w:eastAsia="Times New Roman" w:cs="Times New Roman"/>
        </w:rPr>
        <w:footnoteRef/>
      </w:r>
      <w:r w:rsidRPr="00E55602">
        <w:rPr>
          <w:rFonts w:eastAsia="Times New Roman" w:cs="Times New Roman"/>
        </w:rPr>
        <w:t xml:space="preserve"> </w:t>
      </w:r>
      <w:r w:rsidRPr="00E55602">
        <w:rPr>
          <w:rFonts w:eastAsia="Times New Roman" w:cs="Times New Roman"/>
          <w:i/>
          <w:iCs/>
        </w:rPr>
        <w:t xml:space="preserve">See </w:t>
      </w:r>
      <w:r w:rsidRPr="00E55602">
        <w:rPr>
          <w:rFonts w:eastAsia="Times New Roman" w:cs="Times New Roman"/>
        </w:rPr>
        <w:t>Settlement Agreement at 3.</w:t>
      </w:r>
    </w:p>
  </w:footnote>
  <w:footnote w:id="39">
    <w:p w14:paraId="4DACBC1B" w14:textId="3C95E8EA" w:rsidR="0098214E" w:rsidRDefault="0098214E" w:rsidP="0098214E">
      <w:pPr>
        <w:pStyle w:val="FootnoteText"/>
      </w:pPr>
      <w:r w:rsidRPr="38E88E0A">
        <w:rPr>
          <w:rStyle w:val="FootnoteReference"/>
        </w:rPr>
        <w:footnoteRef/>
      </w:r>
      <w:r>
        <w:t xml:space="preserve"> </w:t>
      </w:r>
      <w:r w:rsidR="00D671D7">
        <w:t>E</w:t>
      </w:r>
      <w:r w:rsidRPr="38E88E0A">
        <w:t>x</w:t>
      </w:r>
      <w:r w:rsidR="00D671D7">
        <w:t>h</w:t>
      </w:r>
      <w:r w:rsidRPr="38E88E0A">
        <w:t>. L</w:t>
      </w:r>
      <w:r w:rsidR="00D671D7">
        <w:t>IB</w:t>
      </w:r>
      <w:r w:rsidRPr="38E88E0A">
        <w:t>-09</w:t>
      </w:r>
      <w:r>
        <w:t xml:space="preserve"> at 5-7.</w:t>
      </w:r>
    </w:p>
  </w:footnote>
  <w:footnote w:id="40">
    <w:p w14:paraId="76B94606" w14:textId="0F9C5E84" w:rsidR="0098214E" w:rsidRDefault="0098214E" w:rsidP="0098214E">
      <w:pPr>
        <w:pStyle w:val="FootnoteText"/>
      </w:pPr>
      <w:r w:rsidRPr="38E88E0A">
        <w:rPr>
          <w:rStyle w:val="FootnoteReference"/>
        </w:rPr>
        <w:footnoteRef/>
      </w:r>
      <w:r>
        <w:t xml:space="preserve"> Liberty </w:t>
      </w:r>
      <w:r w:rsidR="006E4DA0">
        <w:t xml:space="preserve">Opening Brief </w:t>
      </w:r>
      <w:r>
        <w:t>at 29 – 30.</w:t>
      </w:r>
    </w:p>
  </w:footnote>
  <w:footnote w:id="41">
    <w:p w14:paraId="3CC05BCD" w14:textId="451489A0" w:rsidR="0098214E" w:rsidRDefault="0098214E" w:rsidP="0098214E">
      <w:pPr>
        <w:pStyle w:val="FootnoteText"/>
      </w:pPr>
      <w:r w:rsidRPr="38E88E0A">
        <w:rPr>
          <w:rStyle w:val="FootnoteReference"/>
        </w:rPr>
        <w:footnoteRef/>
      </w:r>
      <w:r>
        <w:t xml:space="preserve"> Liberty </w:t>
      </w:r>
      <w:r w:rsidR="006E4DA0">
        <w:t xml:space="preserve">Opening Brief </w:t>
      </w:r>
      <w:r>
        <w:t>at 29-30.</w:t>
      </w:r>
    </w:p>
  </w:footnote>
  <w:footnote w:id="42">
    <w:p w14:paraId="3A8E989F" w14:textId="01824FC1" w:rsidR="0098214E" w:rsidRDefault="0098214E" w:rsidP="0098214E">
      <w:pPr>
        <w:pStyle w:val="FootnoteText"/>
      </w:pPr>
      <w:r w:rsidRPr="38E88E0A">
        <w:rPr>
          <w:rStyle w:val="FootnoteReference"/>
        </w:rPr>
        <w:footnoteRef/>
      </w:r>
      <w:r>
        <w:t xml:space="preserve"> TURN </w:t>
      </w:r>
      <w:r w:rsidR="006E4DA0">
        <w:t xml:space="preserve">Opening Brief </w:t>
      </w:r>
      <w:r>
        <w:t>at 2.</w:t>
      </w:r>
    </w:p>
  </w:footnote>
  <w:footnote w:id="43">
    <w:p w14:paraId="0B81DABD" w14:textId="5B20E3F8" w:rsidR="0098214E" w:rsidRDefault="0098214E" w:rsidP="0098214E">
      <w:pPr>
        <w:pStyle w:val="FootnoteText"/>
      </w:pPr>
      <w:r w:rsidRPr="38E88E0A">
        <w:rPr>
          <w:rStyle w:val="FootnoteReference"/>
        </w:rPr>
        <w:footnoteRef/>
      </w:r>
      <w:r w:rsidR="00FB3538">
        <w:t>Tahoe</w:t>
      </w:r>
      <w:r>
        <w:t xml:space="preserve"> SPARK </w:t>
      </w:r>
      <w:r w:rsidR="006E4DA0">
        <w:t xml:space="preserve">Opening Brief </w:t>
      </w:r>
      <w:r>
        <w:t xml:space="preserve">at 4–5. </w:t>
      </w:r>
    </w:p>
  </w:footnote>
  <w:footnote w:id="44">
    <w:p w14:paraId="0FB1495F" w14:textId="7A60BCF5" w:rsidR="0098214E" w:rsidRDefault="0098214E" w:rsidP="0098214E">
      <w:pPr>
        <w:pStyle w:val="FootnoteText"/>
      </w:pPr>
      <w:r w:rsidRPr="38E88E0A">
        <w:rPr>
          <w:rStyle w:val="FootnoteReference"/>
        </w:rPr>
        <w:footnoteRef/>
      </w:r>
      <w:r>
        <w:t xml:space="preserve"> </w:t>
      </w:r>
      <w:r w:rsidR="00FB3538">
        <w:t>TERG</w:t>
      </w:r>
      <w:r>
        <w:t xml:space="preserve"> </w:t>
      </w:r>
      <w:r w:rsidR="006E4DA0">
        <w:t xml:space="preserve">Opening Brief at </w:t>
      </w:r>
      <w:r>
        <w:t>7–27.</w:t>
      </w:r>
    </w:p>
  </w:footnote>
  <w:footnote w:id="45">
    <w:p w14:paraId="1F588AA5" w14:textId="4B1FE32E" w:rsidR="0098214E" w:rsidRDefault="0098214E" w:rsidP="0098214E">
      <w:pPr>
        <w:pStyle w:val="FootnoteText"/>
      </w:pPr>
      <w:r w:rsidRPr="38E88E0A">
        <w:rPr>
          <w:rStyle w:val="FootnoteReference"/>
        </w:rPr>
        <w:footnoteRef/>
      </w:r>
      <w:r>
        <w:t xml:space="preserve"> </w:t>
      </w:r>
      <w:r w:rsidR="006E4DA0">
        <w:rPr>
          <w:i/>
          <w:iCs/>
        </w:rPr>
        <w:t>Ibid</w:t>
      </w:r>
      <w:r>
        <w:t>.</w:t>
      </w:r>
    </w:p>
  </w:footnote>
  <w:footnote w:id="46">
    <w:p w14:paraId="0F518399" w14:textId="1721EDEC" w:rsidR="00395896" w:rsidRDefault="00395896">
      <w:pPr>
        <w:pStyle w:val="FootnoteText"/>
      </w:pPr>
      <w:r>
        <w:rPr>
          <w:rStyle w:val="FootnoteReference"/>
        </w:rPr>
        <w:footnoteRef/>
      </w:r>
      <w:r>
        <w:t xml:space="preserve"> D.18-03-035 at 6. </w:t>
      </w:r>
    </w:p>
  </w:footnote>
  <w:footnote w:id="47">
    <w:p w14:paraId="0D104694" w14:textId="20B6497C" w:rsidR="001C042F" w:rsidRDefault="001C042F">
      <w:pPr>
        <w:pStyle w:val="FootnoteText"/>
      </w:pPr>
      <w:r>
        <w:rPr>
          <w:rStyle w:val="FootnoteReference"/>
        </w:rPr>
        <w:footnoteRef/>
      </w:r>
      <w:r>
        <w:t xml:space="preserve"> </w:t>
      </w:r>
      <w:r w:rsidRPr="001C042F">
        <w:rPr>
          <w:i/>
          <w:iCs/>
        </w:rPr>
        <w:t xml:space="preserve">See </w:t>
      </w:r>
      <w:r>
        <w:t>D.19-12-06 at 15.</w:t>
      </w:r>
    </w:p>
  </w:footnote>
  <w:footnote w:id="48">
    <w:p w14:paraId="779B52DD" w14:textId="50816EFB" w:rsidR="007917A9" w:rsidRDefault="007917A9" w:rsidP="007917A9">
      <w:pPr>
        <w:pStyle w:val="FootnoteText"/>
      </w:pPr>
      <w:r>
        <w:rPr>
          <w:rStyle w:val="FootnoteReference"/>
        </w:rPr>
        <w:footnoteRef/>
      </w:r>
      <w:r>
        <w:t xml:space="preserve"> </w:t>
      </w:r>
      <w:r w:rsidR="002D1F4A">
        <w:t>Ex</w:t>
      </w:r>
      <w:r w:rsidR="00B9181D">
        <w:t>h.</w:t>
      </w:r>
      <w:r w:rsidR="002D1F4A">
        <w:t xml:space="preserve"> LIB-07 (Testimony </w:t>
      </w:r>
      <w:r w:rsidR="00822B9F">
        <w:t xml:space="preserve">of </w:t>
      </w:r>
      <w:r w:rsidR="002D1F4A">
        <w:t>Thomas Bourassa)</w:t>
      </w:r>
      <w:r w:rsidR="00B9181D">
        <w:t xml:space="preserve"> </w:t>
      </w:r>
      <w:r>
        <w:t xml:space="preserve">at 3-4 and </w:t>
      </w:r>
      <w:r w:rsidR="00B9181D">
        <w:t>Exh. LIB-11 (Testimony of Manasa Rao)</w:t>
      </w:r>
      <w:r w:rsidR="00BD7946">
        <w:t>.</w:t>
      </w:r>
      <w:r w:rsidR="00B9181D">
        <w:t xml:space="preserve"> </w:t>
      </w:r>
    </w:p>
  </w:footnote>
  <w:footnote w:id="49">
    <w:p w14:paraId="5A60B115" w14:textId="58850114" w:rsidR="00B9181D" w:rsidRDefault="00B9181D">
      <w:pPr>
        <w:pStyle w:val="FootnoteText"/>
      </w:pPr>
      <w:r>
        <w:rPr>
          <w:rStyle w:val="FootnoteReference"/>
        </w:rPr>
        <w:footnoteRef/>
      </w:r>
      <w:r>
        <w:t xml:space="preserve"> </w:t>
      </w:r>
      <w:r w:rsidR="00566363">
        <w:t xml:space="preserve">Exh. </w:t>
      </w:r>
      <w:r>
        <w:t>CalAdv-0</w:t>
      </w:r>
      <w:r w:rsidR="00BD7946">
        <w:t>5 (Testimony of J. Randall Woolridge).</w:t>
      </w:r>
    </w:p>
  </w:footnote>
  <w:footnote w:id="50">
    <w:p w14:paraId="2A9FB33A" w14:textId="2F4544E6" w:rsidR="00420FBC" w:rsidRPr="00F24479" w:rsidRDefault="00420FBC" w:rsidP="00420FBC">
      <w:pPr>
        <w:pStyle w:val="FootnoteText"/>
      </w:pPr>
      <w:r>
        <w:rPr>
          <w:rStyle w:val="FootnoteReference"/>
        </w:rPr>
        <w:footnoteRef/>
      </w:r>
      <w:r>
        <w:t xml:space="preserve"> S</w:t>
      </w:r>
      <w:r w:rsidRPr="00F24479">
        <w:rPr>
          <w:i/>
          <w:iCs/>
        </w:rPr>
        <w:t>ee</w:t>
      </w:r>
      <w:r>
        <w:rPr>
          <w:i/>
          <w:iCs/>
        </w:rPr>
        <w:t xml:space="preserve"> </w:t>
      </w:r>
      <w:r>
        <w:t>Ex</w:t>
      </w:r>
      <w:r w:rsidR="00822B9F">
        <w:t>h</w:t>
      </w:r>
      <w:r>
        <w:t xml:space="preserve">. PAO-01, Table 2, Panels A and B at 4. </w:t>
      </w:r>
    </w:p>
  </w:footnote>
  <w:footnote w:id="51">
    <w:p w14:paraId="059C809E" w14:textId="3350A74E" w:rsidR="007917A9" w:rsidRDefault="007917A9" w:rsidP="007917A9">
      <w:pPr>
        <w:pStyle w:val="FootnoteText"/>
      </w:pPr>
      <w:r>
        <w:rPr>
          <w:rStyle w:val="FootnoteReference"/>
        </w:rPr>
        <w:footnoteRef/>
      </w:r>
      <w:r>
        <w:t xml:space="preserve"> Exh. Cal Adv-05 </w:t>
      </w:r>
      <w:r w:rsidR="00822B9F">
        <w:t>(</w:t>
      </w:r>
      <w:r>
        <w:t>Testimony of Woolridge</w:t>
      </w:r>
      <w:r w:rsidR="00822B9F">
        <w:t>)</w:t>
      </w:r>
      <w:r>
        <w:t xml:space="preserve"> at 69. </w:t>
      </w:r>
    </w:p>
  </w:footnote>
  <w:footnote w:id="52">
    <w:p w14:paraId="0259687B" w14:textId="525E9E3A" w:rsidR="00913974" w:rsidRDefault="00913974">
      <w:pPr>
        <w:pStyle w:val="FootnoteText"/>
      </w:pPr>
      <w:r>
        <w:rPr>
          <w:rStyle w:val="FootnoteReference"/>
        </w:rPr>
        <w:footnoteRef/>
      </w:r>
      <w:r>
        <w:t xml:space="preserve"> Exh. CalAdv-05 </w:t>
      </w:r>
      <w:r w:rsidR="00822B9F">
        <w:t>(</w:t>
      </w:r>
      <w:r>
        <w:t xml:space="preserve">Testimony </w:t>
      </w:r>
      <w:r w:rsidR="00822B9F">
        <w:t xml:space="preserve">of Woolridge) </w:t>
      </w:r>
      <w:r>
        <w:t xml:space="preserve">at 13. </w:t>
      </w:r>
    </w:p>
  </w:footnote>
  <w:footnote w:id="53">
    <w:p w14:paraId="1784554B" w14:textId="202D5CCF" w:rsidR="00DD5139" w:rsidRDefault="00DD5139">
      <w:pPr>
        <w:pStyle w:val="FootnoteText"/>
      </w:pPr>
      <w:r>
        <w:rPr>
          <w:rStyle w:val="FootnoteReference"/>
        </w:rPr>
        <w:footnoteRef/>
      </w:r>
      <w:r>
        <w:t xml:space="preserve"> The Wildfire Fund </w:t>
      </w:r>
      <w:r w:rsidR="008C7547">
        <w:t>provides resources to the</w:t>
      </w:r>
      <w:r>
        <w:t xml:space="preserve"> larger investor</w:t>
      </w:r>
      <w:r w:rsidR="008C7547">
        <w:t>-</w:t>
      </w:r>
      <w:r>
        <w:t>owned utilities such as Pacific Gas and Electric</w:t>
      </w:r>
      <w:r w:rsidR="0023000E">
        <w:t xml:space="preserve"> Company</w:t>
      </w:r>
      <w:r>
        <w:t xml:space="preserve">, Southern California Edison </w:t>
      </w:r>
      <w:r w:rsidR="0023000E">
        <w:t xml:space="preserve">Company, </w:t>
      </w:r>
      <w:r>
        <w:t xml:space="preserve">and San Diego Gas </w:t>
      </w:r>
      <w:r w:rsidR="0023000E">
        <w:t>&amp;</w:t>
      </w:r>
      <w:r>
        <w:t xml:space="preserve"> Electric</w:t>
      </w:r>
      <w:r w:rsidR="008C7547">
        <w:t xml:space="preserve"> </w:t>
      </w:r>
      <w:r w:rsidR="0023000E">
        <w:t xml:space="preserve">Company </w:t>
      </w:r>
      <w:r w:rsidR="008C7547">
        <w:t xml:space="preserve">for wildfire claims. </w:t>
      </w:r>
    </w:p>
  </w:footnote>
  <w:footnote w:id="54">
    <w:p w14:paraId="2932B24D" w14:textId="620F47DE" w:rsidR="001C3430" w:rsidRDefault="001C3430">
      <w:pPr>
        <w:pStyle w:val="FootnoteText"/>
      </w:pPr>
      <w:r>
        <w:rPr>
          <w:rStyle w:val="FootnoteReference"/>
        </w:rPr>
        <w:footnoteRef/>
      </w:r>
      <w:r>
        <w:t xml:space="preserve"> </w:t>
      </w:r>
      <w:r w:rsidRPr="001C3430">
        <w:rPr>
          <w:i/>
          <w:iCs/>
        </w:rPr>
        <w:t xml:space="preserve">See </w:t>
      </w:r>
      <w:r>
        <w:t xml:space="preserve">D.20-08-030 at 42-43. </w:t>
      </w:r>
    </w:p>
  </w:footnote>
  <w:footnote w:id="55">
    <w:p w14:paraId="344C3157" w14:textId="785CEFB9" w:rsidR="001C3430" w:rsidRDefault="001C3430">
      <w:pPr>
        <w:pStyle w:val="FootnoteText"/>
      </w:pPr>
      <w:r>
        <w:rPr>
          <w:rStyle w:val="FootnoteReference"/>
        </w:rPr>
        <w:footnoteRef/>
      </w:r>
      <w:r>
        <w:t xml:space="preserve"> Exh. CalAdv-05 </w:t>
      </w:r>
      <w:r w:rsidR="00822B9F">
        <w:t xml:space="preserve">(Testimony of </w:t>
      </w:r>
      <w:r>
        <w:t>Woolridge</w:t>
      </w:r>
      <w:r w:rsidR="00822B9F">
        <w:t>)</w:t>
      </w:r>
      <w:r>
        <w:t xml:space="preserve"> at 54. </w:t>
      </w:r>
    </w:p>
  </w:footnote>
  <w:footnote w:id="56">
    <w:p w14:paraId="5DADBC54" w14:textId="71C5AE7D" w:rsidR="008C4A1A" w:rsidRDefault="008C4A1A" w:rsidP="00801F41">
      <w:pPr>
        <w:pStyle w:val="Default"/>
      </w:pPr>
      <w:r>
        <w:rPr>
          <w:rStyle w:val="FootnoteReference"/>
        </w:rPr>
        <w:footnoteRef/>
      </w:r>
      <w:r>
        <w:t xml:space="preserve"> </w:t>
      </w:r>
      <w:r w:rsidRPr="00FF2482">
        <w:rPr>
          <w:rFonts w:ascii="Book Antiqua" w:hAnsi="Book Antiqua"/>
          <w:sz w:val="22"/>
          <w:szCs w:val="22"/>
        </w:rPr>
        <w:t>R</w:t>
      </w:r>
      <w:r w:rsidR="003123D5">
        <w:rPr>
          <w:rFonts w:ascii="Book Antiqua" w:hAnsi="Book Antiqua"/>
          <w:sz w:val="22"/>
          <w:szCs w:val="22"/>
        </w:rPr>
        <w:t>eporters’ Transcript</w:t>
      </w:r>
      <w:r w:rsidRPr="00FF2482">
        <w:rPr>
          <w:rFonts w:ascii="Book Antiqua" w:hAnsi="Book Antiqua"/>
          <w:sz w:val="22"/>
          <w:szCs w:val="22"/>
        </w:rPr>
        <w:t>, Vol. 3 at 120:20-22 (Liberty, Bourassa)</w:t>
      </w:r>
      <w:r w:rsidR="00801F41">
        <w:rPr>
          <w:rFonts w:ascii="Book Antiqua" w:hAnsi="Book Antiqua"/>
          <w:sz w:val="22"/>
          <w:szCs w:val="22"/>
        </w:rPr>
        <w:t>;</w:t>
      </w:r>
      <w:r w:rsidRPr="00FF2482">
        <w:rPr>
          <w:rFonts w:ascii="Book Antiqua" w:hAnsi="Book Antiqua"/>
          <w:sz w:val="22"/>
          <w:szCs w:val="22"/>
        </w:rPr>
        <w:t xml:space="preserve"> </w:t>
      </w:r>
      <w:r w:rsidRPr="004927D8">
        <w:rPr>
          <w:rFonts w:ascii="Book Antiqua" w:hAnsi="Book Antiqua"/>
          <w:i/>
          <w:iCs/>
          <w:sz w:val="22"/>
          <w:szCs w:val="22"/>
        </w:rPr>
        <w:t>See also</w:t>
      </w:r>
      <w:r w:rsidRPr="00FF2482">
        <w:rPr>
          <w:rFonts w:ascii="Book Antiqua" w:hAnsi="Book Antiqua"/>
          <w:sz w:val="22"/>
          <w:szCs w:val="22"/>
        </w:rPr>
        <w:t xml:space="preserve">, Exhibit LIB-23, </w:t>
      </w:r>
      <w:r w:rsidRPr="00FF2482">
        <w:rPr>
          <w:rFonts w:ascii="Book Antiqua" w:hAnsi="Book Antiqua"/>
          <w:i/>
          <w:iCs/>
          <w:sz w:val="22"/>
          <w:szCs w:val="22"/>
        </w:rPr>
        <w:t>Rebuttal Testimony - Cost of Capital and Rate of Return</w:t>
      </w:r>
      <w:r w:rsidRPr="00FF2482">
        <w:rPr>
          <w:rFonts w:ascii="Book Antiqua" w:hAnsi="Book Antiqua"/>
          <w:sz w:val="22"/>
          <w:szCs w:val="22"/>
        </w:rPr>
        <w:t>, dated July 24, 2025 (Bourassa Rebuttal Testimony)</w:t>
      </w:r>
      <w:r w:rsidR="003123D5">
        <w:rPr>
          <w:rFonts w:ascii="Book Antiqua" w:hAnsi="Book Antiqua"/>
          <w:sz w:val="22"/>
          <w:szCs w:val="22"/>
        </w:rPr>
        <w:t>;</w:t>
      </w:r>
      <w:r w:rsidRPr="00FF2482">
        <w:rPr>
          <w:rFonts w:ascii="Book Antiqua" w:hAnsi="Book Antiqua"/>
          <w:sz w:val="22"/>
          <w:szCs w:val="22"/>
        </w:rPr>
        <w:t xml:space="preserve"> Exhibit TJB-3</w:t>
      </w:r>
      <w:r w:rsidR="003123D5">
        <w:rPr>
          <w:rFonts w:ascii="Book Antiqua" w:hAnsi="Book Antiqua"/>
          <w:sz w:val="22"/>
          <w:szCs w:val="22"/>
        </w:rPr>
        <w:t>;</w:t>
      </w:r>
      <w:r w:rsidRPr="00FF2482">
        <w:rPr>
          <w:rFonts w:ascii="Book Antiqua" w:hAnsi="Book Antiqua"/>
          <w:sz w:val="22"/>
          <w:szCs w:val="22"/>
        </w:rPr>
        <w:t xml:space="preserve"> Reporters’ Transcript, Vol. 3 at 109:20-111:8 (Liberty, Bourassa)</w:t>
      </w:r>
      <w:r w:rsidR="003123D5">
        <w:rPr>
          <w:rFonts w:ascii="Book Antiqua" w:hAnsi="Book Antiqua"/>
          <w:sz w:val="22"/>
          <w:szCs w:val="22"/>
        </w:rPr>
        <w:t>;</w:t>
      </w:r>
      <w:r w:rsidRPr="00FF2482">
        <w:rPr>
          <w:rFonts w:ascii="Book Antiqua" w:hAnsi="Book Antiqua"/>
          <w:sz w:val="22"/>
          <w:szCs w:val="22"/>
        </w:rPr>
        <w:t xml:space="preserve"> Exh. LIB-07</w:t>
      </w:r>
      <w:r w:rsidR="00801F41">
        <w:rPr>
          <w:rFonts w:ascii="Book Antiqua" w:hAnsi="Book Antiqua"/>
          <w:sz w:val="22"/>
          <w:szCs w:val="22"/>
        </w:rPr>
        <w:t>;</w:t>
      </w:r>
      <w:r w:rsidRPr="00FF2482">
        <w:rPr>
          <w:rFonts w:ascii="Book Antiqua" w:hAnsi="Book Antiqua"/>
          <w:sz w:val="22"/>
          <w:szCs w:val="22"/>
        </w:rPr>
        <w:t xml:space="preserve"> Exh</w:t>
      </w:r>
      <w:r w:rsidR="00FF2482">
        <w:rPr>
          <w:rFonts w:ascii="Book Antiqua" w:hAnsi="Book Antiqua"/>
          <w:sz w:val="22"/>
          <w:szCs w:val="22"/>
        </w:rPr>
        <w:t>.</w:t>
      </w:r>
      <w:r w:rsidR="00366693">
        <w:rPr>
          <w:rFonts w:ascii="Book Antiqua" w:hAnsi="Book Antiqua"/>
          <w:sz w:val="22"/>
          <w:szCs w:val="22"/>
        </w:rPr>
        <w:t> </w:t>
      </w:r>
      <w:r w:rsidRPr="00FF2482">
        <w:rPr>
          <w:rFonts w:ascii="Book Antiqua" w:hAnsi="Book Antiqua"/>
          <w:sz w:val="22"/>
          <w:szCs w:val="22"/>
        </w:rPr>
        <w:t>TJB-3</w:t>
      </w:r>
      <w:r w:rsidR="00FF2482">
        <w:rPr>
          <w:rFonts w:ascii="Book Antiqua" w:hAnsi="Book Antiqua"/>
          <w:sz w:val="22"/>
          <w:szCs w:val="22"/>
        </w:rPr>
        <w:t xml:space="preserve"> at 7. </w:t>
      </w:r>
    </w:p>
  </w:footnote>
  <w:footnote w:id="57">
    <w:p w14:paraId="5F080308" w14:textId="5D48380E" w:rsidR="00C77C25" w:rsidRDefault="00C77C25">
      <w:pPr>
        <w:pStyle w:val="FootnoteText"/>
      </w:pPr>
      <w:r>
        <w:rPr>
          <w:rStyle w:val="FootnoteReference"/>
        </w:rPr>
        <w:footnoteRef/>
      </w:r>
      <w:r>
        <w:t xml:space="preserve"> Liberty’s continued escalating costs for wildfire insurance </w:t>
      </w:r>
      <w:r w:rsidR="0006267D">
        <w:t>premiums may warrant the Commission to consider a rulemaking to address small and medium size utilities</w:t>
      </w:r>
      <w:r w:rsidR="00C153CE">
        <w:t>’</w:t>
      </w:r>
      <w:r w:rsidR="0006267D">
        <w:t xml:space="preserve"> long term wildfire insurance risks. </w:t>
      </w:r>
    </w:p>
  </w:footnote>
  <w:footnote w:id="58">
    <w:p w14:paraId="202D6037" w14:textId="374DAF1B" w:rsidR="00B37BD8" w:rsidRDefault="00B37BD8">
      <w:pPr>
        <w:pStyle w:val="FootnoteText"/>
      </w:pPr>
      <w:r>
        <w:rPr>
          <w:rStyle w:val="FootnoteReference"/>
        </w:rPr>
        <w:footnoteRef/>
      </w:r>
      <w:r>
        <w:t xml:space="preserve"> </w:t>
      </w:r>
      <w:r w:rsidRPr="00B37BD8">
        <w:rPr>
          <w:i/>
          <w:iCs/>
        </w:rPr>
        <w:t xml:space="preserve">See </w:t>
      </w:r>
      <w:r>
        <w:t xml:space="preserve">ALJ Ruling Granting Joint Motion for Protective </w:t>
      </w:r>
      <w:r w:rsidR="00801F41">
        <w:t>O</w:t>
      </w:r>
      <w:r>
        <w:t xml:space="preserve">rder dated February 20, 2025 and ALJ Ruling Adopting Confidential Modeling Procedures dated November 3, 2025. </w:t>
      </w:r>
    </w:p>
  </w:footnote>
  <w:footnote w:id="59">
    <w:p w14:paraId="59F110C9" w14:textId="780E99A7" w:rsidR="00A5306B" w:rsidRDefault="00A5306B">
      <w:pPr>
        <w:pStyle w:val="FootnoteText"/>
      </w:pPr>
      <w:r>
        <w:rPr>
          <w:rStyle w:val="FootnoteReference"/>
        </w:rPr>
        <w:footnoteRef/>
      </w:r>
      <w:r>
        <w:t xml:space="preserve"> Liberty Response to ALJ Ruling July 15, 2025 at 1</w:t>
      </w:r>
      <w:r w:rsidR="00C153CE">
        <w:t>;</w:t>
      </w:r>
      <w:r>
        <w:t xml:space="preserve"> </w:t>
      </w:r>
      <w:r w:rsidRPr="00A5306B">
        <w:rPr>
          <w:i/>
          <w:iCs/>
        </w:rPr>
        <w:t xml:space="preserve">see </w:t>
      </w:r>
      <w:r>
        <w:t xml:space="preserve">D.19-04-020. </w:t>
      </w:r>
    </w:p>
  </w:footnote>
  <w:footnote w:id="60">
    <w:p w14:paraId="300714E4" w14:textId="46A3414E" w:rsidR="009B36FC" w:rsidRDefault="009B36FC">
      <w:pPr>
        <w:pStyle w:val="FootnoteText"/>
      </w:pPr>
      <w:r>
        <w:rPr>
          <w:rStyle w:val="FootnoteReference"/>
        </w:rPr>
        <w:footnoteRef/>
      </w:r>
      <w:r>
        <w:t xml:space="preserve"> </w:t>
      </w:r>
      <w:r w:rsidRPr="009B36FC">
        <w:rPr>
          <w:i/>
          <w:iCs/>
        </w:rPr>
        <w:t xml:space="preserve">See </w:t>
      </w:r>
      <w:r>
        <w:t xml:space="preserve">ALJ Ruling </w:t>
      </w:r>
      <w:r w:rsidR="00D61368">
        <w:t xml:space="preserve">dated </w:t>
      </w:r>
      <w:r>
        <w:t xml:space="preserve">June 24,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EF2E" w14:textId="77777777" w:rsidR="00A42CC5" w:rsidRDefault="00A42CC5" w:rsidP="00F92385">
    <w:pPr>
      <w:pStyle w:val="Header"/>
      <w:ind w:firstLine="0"/>
      <w:rPr>
        <w:i/>
        <w:color w:val="FF0000"/>
      </w:rPr>
    </w:pPr>
  </w:p>
  <w:p w14:paraId="1BE0A744" w14:textId="77777777" w:rsidR="00A42CC5" w:rsidRPr="00F92385" w:rsidRDefault="00A42CC5"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E15C" w14:textId="7D9AF747" w:rsidR="00E23CBB" w:rsidRDefault="00086987" w:rsidP="00EE4315">
    <w:pPr>
      <w:pStyle w:val="Header"/>
      <w:tabs>
        <w:tab w:val="clear" w:pos="4680"/>
      </w:tabs>
      <w:ind w:firstLine="0"/>
      <w:rPr>
        <w:b/>
      </w:rPr>
    </w:pPr>
    <w:r>
      <w:t>A.24-09-</w:t>
    </w:r>
    <w:proofErr w:type="gramStart"/>
    <w:r>
      <w:t>010  ALJ</w:t>
    </w:r>
    <w:proofErr w:type="gramEnd"/>
    <w:r>
      <w:t>/PPE/</w:t>
    </w:r>
    <w:proofErr w:type="spellStart"/>
    <w:r>
      <w:t>avs</w:t>
    </w:r>
    <w:proofErr w:type="spellEnd"/>
    <w:r w:rsidR="00E23CBB">
      <w:tab/>
    </w:r>
    <w:r w:rsidR="00E23CBB">
      <w:rPr>
        <w:b/>
      </w:rPr>
      <w:t>PROPOSED DECISION</w:t>
    </w:r>
    <w:r w:rsidR="003D7C97">
      <w:rPr>
        <w:b/>
      </w:rPr>
      <w:t xml:space="preserve"> (Rev. 1)</w:t>
    </w:r>
  </w:p>
  <w:p w14:paraId="748ABF1E" w14:textId="77777777" w:rsidR="00086987" w:rsidRPr="00086987" w:rsidRDefault="00086987" w:rsidP="00B3087D">
    <w:pPr>
      <w:pStyle w:val="Header"/>
      <w:tabs>
        <w:tab w:val="clear" w:pos="4680"/>
      </w:tabs>
      <w:ind w:firstLine="0"/>
      <w:rPr>
        <w:iCs/>
      </w:rPr>
    </w:pPr>
  </w:p>
  <w:p w14:paraId="79727A30" w14:textId="77777777" w:rsidR="00086987" w:rsidRPr="00086987" w:rsidRDefault="00086987" w:rsidP="00B3087D">
    <w:pPr>
      <w:pStyle w:val="Header"/>
      <w:tabs>
        <w:tab w:val="clear" w:pos="4680"/>
      </w:tabs>
      <w:ind w:firstLine="0"/>
      <w:rPr>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1DE6" w14:textId="7B80430B" w:rsidR="00086987" w:rsidRDefault="00086987" w:rsidP="00086987">
    <w:pPr>
      <w:pStyle w:val="Header"/>
      <w:tabs>
        <w:tab w:val="clear" w:pos="4680"/>
      </w:tabs>
      <w:ind w:firstLine="0"/>
      <w:rPr>
        <w:b/>
      </w:rPr>
    </w:pPr>
    <w:r>
      <w:t>A.24-09-</w:t>
    </w:r>
    <w:proofErr w:type="gramStart"/>
    <w:r>
      <w:t>010  ALJ</w:t>
    </w:r>
    <w:proofErr w:type="gramEnd"/>
    <w:r>
      <w:t>/PPE/</w:t>
    </w:r>
    <w:proofErr w:type="spellStart"/>
    <w:r>
      <w:t>avs</w:t>
    </w:r>
    <w:proofErr w:type="spellEnd"/>
    <w:r>
      <w:tab/>
    </w:r>
    <w:r>
      <w:rPr>
        <w:b/>
      </w:rPr>
      <w:t>PROPOSED DECISION</w:t>
    </w:r>
    <w:r w:rsidR="003D7C97">
      <w:rPr>
        <w:b/>
      </w:rPr>
      <w:t xml:space="preserve"> (Rev. 1)</w:t>
    </w:r>
  </w:p>
  <w:p w14:paraId="35BB9F51" w14:textId="77777777" w:rsidR="00086987" w:rsidRPr="00086987" w:rsidRDefault="00086987" w:rsidP="00086987">
    <w:pPr>
      <w:pStyle w:val="Header"/>
      <w:tabs>
        <w:tab w:val="clear" w:pos="4680"/>
      </w:tabs>
      <w:ind w:firstLine="0"/>
      <w:rPr>
        <w:iCs/>
      </w:rPr>
    </w:pPr>
  </w:p>
  <w:p w14:paraId="79DBBB04" w14:textId="77777777" w:rsidR="00086987" w:rsidRPr="00086987" w:rsidRDefault="00086987" w:rsidP="00086987">
    <w:pPr>
      <w:pStyle w:val="Header"/>
      <w:tabs>
        <w:tab w:val="clear" w:pos="4680"/>
      </w:tabs>
      <w:ind w:firstLine="0"/>
      <w:rPr>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C41" w14:textId="5C604844" w:rsidR="00091F21" w:rsidRDefault="00091F21" w:rsidP="00086987">
    <w:pPr>
      <w:pStyle w:val="Header"/>
      <w:tabs>
        <w:tab w:val="clear" w:pos="4680"/>
      </w:tabs>
      <w:ind w:firstLine="0"/>
      <w:rPr>
        <w:b/>
      </w:rPr>
    </w:pPr>
    <w:r>
      <w:t>A.24-09-</w:t>
    </w:r>
    <w:proofErr w:type="gramStart"/>
    <w:r>
      <w:t>010  ALJ</w:t>
    </w:r>
    <w:proofErr w:type="gramEnd"/>
    <w:r>
      <w:t>/PPE/</w:t>
    </w:r>
    <w:proofErr w:type="spellStart"/>
    <w:r>
      <w:t>avs</w:t>
    </w:r>
    <w:proofErr w:type="spellEnd"/>
    <w:r>
      <w:tab/>
    </w:r>
    <w:r>
      <w:rPr>
        <w:b/>
      </w:rPr>
      <w:t>PROPOSED DECISION</w:t>
    </w:r>
    <w:r w:rsidR="003D7C97">
      <w:rPr>
        <w:b/>
      </w:rPr>
      <w:t xml:space="preserve"> (Rev. 1)</w:t>
    </w:r>
  </w:p>
  <w:p w14:paraId="23E379B3" w14:textId="77777777" w:rsidR="00091F21" w:rsidRPr="00086987" w:rsidRDefault="00091F21" w:rsidP="00086987">
    <w:pPr>
      <w:pStyle w:val="Header"/>
      <w:tabs>
        <w:tab w:val="clear" w:pos="4680"/>
      </w:tabs>
      <w:ind w:firstLine="0"/>
      <w:rPr>
        <w:iCs/>
      </w:rPr>
    </w:pPr>
  </w:p>
  <w:p w14:paraId="68C093C7" w14:textId="77777777" w:rsidR="00091F21" w:rsidRPr="00086987" w:rsidRDefault="00091F21" w:rsidP="00086987">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BEF5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606B9"/>
    <w:multiLevelType w:val="multilevel"/>
    <w:tmpl w:val="0BB098AE"/>
    <w:lvl w:ilvl="0">
      <w:start w:val="4"/>
      <w:numFmt w:val="decimal"/>
      <w:lvlText w:val="%1"/>
      <w:lvlJc w:val="left"/>
      <w:pPr>
        <w:ind w:left="525" w:hanging="525"/>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 w15:restartNumberingAfterBreak="0">
    <w:nsid w:val="13683CA4"/>
    <w:multiLevelType w:val="hybridMultilevel"/>
    <w:tmpl w:val="5C909E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46C1C14"/>
    <w:multiLevelType w:val="multilevel"/>
    <w:tmpl w:val="265ABDEE"/>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265ABDEE"/>
    <w:numStyleLink w:val="FoFCoLOP"/>
  </w:abstractNum>
  <w:abstractNum w:abstractNumId="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B8124D7"/>
    <w:multiLevelType w:val="multilevel"/>
    <w:tmpl w:val="3C526EDE"/>
    <w:numStyleLink w:val="Headings"/>
  </w:abstractNum>
  <w:abstractNum w:abstractNumId="12" w15:restartNumberingAfterBreak="0">
    <w:nsid w:val="2D8213DC"/>
    <w:multiLevelType w:val="hybridMultilevel"/>
    <w:tmpl w:val="0172E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4B5C0A37"/>
    <w:multiLevelType w:val="hybridMultilevel"/>
    <w:tmpl w:val="FFFFFFFF"/>
    <w:lvl w:ilvl="0" w:tplc="E9D0936A">
      <w:start w:val="1"/>
      <w:numFmt w:val="upperRoman"/>
      <w:lvlText w:val="%1."/>
      <w:lvlJc w:val="left"/>
      <w:pPr>
        <w:ind w:left="720" w:hanging="360"/>
      </w:pPr>
    </w:lvl>
    <w:lvl w:ilvl="1" w:tplc="AE8E025A">
      <w:start w:val="1"/>
      <w:numFmt w:val="lowerLetter"/>
      <w:lvlText w:val="%2."/>
      <w:lvlJc w:val="left"/>
      <w:pPr>
        <w:ind w:left="1440" w:hanging="360"/>
      </w:pPr>
    </w:lvl>
    <w:lvl w:ilvl="2" w:tplc="AD08A196">
      <w:start w:val="1"/>
      <w:numFmt w:val="lowerRoman"/>
      <w:lvlText w:val="%3."/>
      <w:lvlJc w:val="right"/>
      <w:pPr>
        <w:ind w:left="2160" w:hanging="180"/>
      </w:pPr>
    </w:lvl>
    <w:lvl w:ilvl="3" w:tplc="A6BE485A">
      <w:start w:val="1"/>
      <w:numFmt w:val="decimal"/>
      <w:lvlText w:val="%4."/>
      <w:lvlJc w:val="left"/>
      <w:pPr>
        <w:ind w:left="2880" w:hanging="360"/>
      </w:pPr>
    </w:lvl>
    <w:lvl w:ilvl="4" w:tplc="171CF4EA">
      <w:start w:val="1"/>
      <w:numFmt w:val="lowerLetter"/>
      <w:lvlText w:val="%5."/>
      <w:lvlJc w:val="left"/>
      <w:pPr>
        <w:ind w:left="3600" w:hanging="360"/>
      </w:pPr>
    </w:lvl>
    <w:lvl w:ilvl="5" w:tplc="595EE6EC">
      <w:start w:val="1"/>
      <w:numFmt w:val="lowerRoman"/>
      <w:lvlText w:val="%6."/>
      <w:lvlJc w:val="right"/>
      <w:pPr>
        <w:ind w:left="4320" w:hanging="180"/>
      </w:pPr>
    </w:lvl>
    <w:lvl w:ilvl="6" w:tplc="90F6BE82">
      <w:start w:val="1"/>
      <w:numFmt w:val="decimal"/>
      <w:lvlText w:val="%7."/>
      <w:lvlJc w:val="left"/>
      <w:pPr>
        <w:ind w:left="5040" w:hanging="360"/>
      </w:pPr>
    </w:lvl>
    <w:lvl w:ilvl="7" w:tplc="0E4013FE">
      <w:start w:val="1"/>
      <w:numFmt w:val="lowerLetter"/>
      <w:lvlText w:val="%8."/>
      <w:lvlJc w:val="left"/>
      <w:pPr>
        <w:ind w:left="5760" w:hanging="360"/>
      </w:pPr>
    </w:lvl>
    <w:lvl w:ilvl="8" w:tplc="649656FC">
      <w:start w:val="1"/>
      <w:numFmt w:val="lowerRoman"/>
      <w:lvlText w:val="%9."/>
      <w:lvlJc w:val="right"/>
      <w:pPr>
        <w:ind w:left="6480" w:hanging="180"/>
      </w:pPr>
    </w:lvl>
  </w:abstractNum>
  <w:abstractNum w:abstractNumId="15" w15:restartNumberingAfterBreak="0">
    <w:nsid w:val="59D042D7"/>
    <w:multiLevelType w:val="multilevel"/>
    <w:tmpl w:val="265ABDEE"/>
    <w:numStyleLink w:val="FoFCoLOP"/>
  </w:abstractNum>
  <w:abstractNum w:abstractNumId="16" w15:restartNumberingAfterBreak="0">
    <w:nsid w:val="5A9E2171"/>
    <w:multiLevelType w:val="multilevel"/>
    <w:tmpl w:val="3C526EDE"/>
    <w:numStyleLink w:val="Headings"/>
  </w:abstractNum>
  <w:abstractNum w:abstractNumId="17" w15:restartNumberingAfterBreak="0">
    <w:nsid w:val="61A25780"/>
    <w:multiLevelType w:val="multilevel"/>
    <w:tmpl w:val="3C526EDE"/>
    <w:numStyleLink w:val="Headings"/>
  </w:abstractNum>
  <w:abstractNum w:abstractNumId="18" w15:restartNumberingAfterBreak="0">
    <w:nsid w:val="65DE47CA"/>
    <w:multiLevelType w:val="multilevel"/>
    <w:tmpl w:val="82BE1C0E"/>
    <w:lvl w:ilvl="0">
      <w:start w:val="4"/>
      <w:numFmt w:val="decimal"/>
      <w:lvlText w:val="%1"/>
      <w:lvlJc w:val="left"/>
      <w:pPr>
        <w:ind w:left="465" w:hanging="465"/>
      </w:pPr>
      <w:rPr>
        <w:rFonts w:hint="default"/>
        <w:b/>
      </w:rPr>
    </w:lvl>
    <w:lvl w:ilvl="1">
      <w:start w:val="32"/>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EF70FF"/>
    <w:multiLevelType w:val="hybridMultilevel"/>
    <w:tmpl w:val="6378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A0AFE"/>
    <w:multiLevelType w:val="multilevel"/>
    <w:tmpl w:val="265ABDEE"/>
    <w:numStyleLink w:val="FoFCoLOP"/>
  </w:abstractNum>
  <w:abstractNum w:abstractNumId="22" w15:restartNumberingAfterBreak="0">
    <w:nsid w:val="7B0F36D0"/>
    <w:multiLevelType w:val="hybridMultilevel"/>
    <w:tmpl w:val="85382A78"/>
    <w:lvl w:ilvl="0" w:tplc="C8A88EB0">
      <w:start w:val="1"/>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526949">
    <w:abstractNumId w:val="16"/>
  </w:num>
  <w:num w:numId="2" w16cid:durableId="140774137">
    <w:abstractNumId w:val="4"/>
  </w:num>
  <w:num w:numId="3" w16cid:durableId="1898543446">
    <w:abstractNumId w:val="15"/>
  </w:num>
  <w:num w:numId="4" w16cid:durableId="701521005">
    <w:abstractNumId w:val="5"/>
  </w:num>
  <w:num w:numId="5" w16cid:durableId="2017029027">
    <w:abstractNumId w:val="21"/>
  </w:num>
  <w:num w:numId="6" w16cid:durableId="973756952">
    <w:abstractNumId w:val="13"/>
  </w:num>
  <w:num w:numId="7" w16cid:durableId="827667741">
    <w:abstractNumId w:val="8"/>
  </w:num>
  <w:num w:numId="8" w16cid:durableId="1760327020">
    <w:abstractNumId w:val="19"/>
  </w:num>
  <w:num w:numId="9" w16cid:durableId="816924040">
    <w:abstractNumId w:val="1"/>
  </w:num>
  <w:num w:numId="10" w16cid:durableId="1817916489">
    <w:abstractNumId w:val="7"/>
  </w:num>
  <w:num w:numId="11" w16cid:durableId="291985460">
    <w:abstractNumId w:val="9"/>
  </w:num>
  <w:num w:numId="12" w16cid:durableId="467941983">
    <w:abstractNumId w:val="6"/>
  </w:num>
  <w:num w:numId="13" w16cid:durableId="712996464">
    <w:abstractNumId w:val="10"/>
  </w:num>
  <w:num w:numId="14" w16cid:durableId="1303778653">
    <w:abstractNumId w:val="11"/>
  </w:num>
  <w:num w:numId="15" w16cid:durableId="1714382259">
    <w:abstractNumId w:val="1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7"/>
  </w:num>
  <w:num w:numId="18" w16cid:durableId="222982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2950796">
    <w:abstractNumId w:val="0"/>
  </w:num>
  <w:num w:numId="20" w16cid:durableId="1134248279">
    <w:abstractNumId w:val="20"/>
  </w:num>
  <w:num w:numId="21" w16cid:durableId="1400441869">
    <w:abstractNumId w:val="14"/>
  </w:num>
  <w:num w:numId="22" w16cid:durableId="1851947486">
    <w:abstractNumId w:val="2"/>
  </w:num>
  <w:num w:numId="23" w16cid:durableId="1453208929">
    <w:abstractNumId w:val="18"/>
  </w:num>
  <w:num w:numId="24" w16cid:durableId="602038281">
    <w:abstractNumId w:val="17"/>
    <w:lvlOverride w:ilvl="0">
      <w:startOverride w:val="4"/>
    </w:lvlOverride>
    <w:lvlOverride w:ilvl="1">
      <w:startOverride w:val="3"/>
    </w:lvlOverride>
    <w:lvlOverride w:ilvl="2">
      <w:startOverride w:val="1"/>
    </w:lvlOverride>
  </w:num>
  <w:num w:numId="25" w16cid:durableId="1998880112">
    <w:abstractNumId w:val="17"/>
    <w:lvlOverride w:ilvl="0">
      <w:lvl w:ilvl="0">
        <w:start w:val="4"/>
        <w:numFmt w:val="decimal"/>
        <w:pStyle w:val="Heading1"/>
        <w:lvlText w:val=""/>
        <w:lvlJc w:val="left"/>
      </w:lvl>
    </w:lvlOverride>
    <w:lvlOverride w:ilvl="1">
      <w:lvl w:ilvl="1">
        <w:start w:val="3"/>
        <w:numFmt w:val="decimal"/>
        <w:pStyle w:val="Heading2"/>
        <w:lvlText w:val=""/>
        <w:lvlJc w:val="left"/>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num>
  <w:num w:numId="26" w16cid:durableId="1958877308">
    <w:abstractNumId w:val="3"/>
  </w:num>
  <w:num w:numId="27" w16cid:durableId="690035463">
    <w:abstractNumId w:val="17"/>
    <w:lvlOverride w:ilvl="0">
      <w:startOverride w:val="4"/>
    </w:lvlOverride>
    <w:lvlOverride w:ilvl="1">
      <w:startOverride w:val="6"/>
    </w:lvlOverride>
    <w:lvlOverride w:ilvl="2">
      <w:startOverride w:val="3"/>
    </w:lvlOverride>
  </w:num>
  <w:num w:numId="28" w16cid:durableId="151483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026629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74"/>
    <w:rsid w:val="00000F6A"/>
    <w:rsid w:val="00001067"/>
    <w:rsid w:val="00001AA2"/>
    <w:rsid w:val="00002089"/>
    <w:rsid w:val="00002107"/>
    <w:rsid w:val="0000224C"/>
    <w:rsid w:val="000025E4"/>
    <w:rsid w:val="00004707"/>
    <w:rsid w:val="000047CF"/>
    <w:rsid w:val="000048F0"/>
    <w:rsid w:val="00004FBC"/>
    <w:rsid w:val="00005130"/>
    <w:rsid w:val="000061F8"/>
    <w:rsid w:val="00006320"/>
    <w:rsid w:val="00007466"/>
    <w:rsid w:val="000114EC"/>
    <w:rsid w:val="00012BDC"/>
    <w:rsid w:val="000131C6"/>
    <w:rsid w:val="00013A06"/>
    <w:rsid w:val="00013EF7"/>
    <w:rsid w:val="000162F6"/>
    <w:rsid w:val="00017305"/>
    <w:rsid w:val="00017881"/>
    <w:rsid w:val="000178D6"/>
    <w:rsid w:val="00020230"/>
    <w:rsid w:val="00020C0A"/>
    <w:rsid w:val="00020C19"/>
    <w:rsid w:val="00023421"/>
    <w:rsid w:val="00023F0D"/>
    <w:rsid w:val="0002563C"/>
    <w:rsid w:val="00025CE4"/>
    <w:rsid w:val="00025EDA"/>
    <w:rsid w:val="00026534"/>
    <w:rsid w:val="00026BF1"/>
    <w:rsid w:val="00033252"/>
    <w:rsid w:val="00033E29"/>
    <w:rsid w:val="0003490A"/>
    <w:rsid w:val="0003592C"/>
    <w:rsid w:val="00035F82"/>
    <w:rsid w:val="00041A2E"/>
    <w:rsid w:val="000432C5"/>
    <w:rsid w:val="00043748"/>
    <w:rsid w:val="00043D7B"/>
    <w:rsid w:val="00044659"/>
    <w:rsid w:val="00044B98"/>
    <w:rsid w:val="00045290"/>
    <w:rsid w:val="00047BA5"/>
    <w:rsid w:val="000509E1"/>
    <w:rsid w:val="0005182A"/>
    <w:rsid w:val="00051ECB"/>
    <w:rsid w:val="00052F4D"/>
    <w:rsid w:val="000533FD"/>
    <w:rsid w:val="000537C5"/>
    <w:rsid w:val="00053F65"/>
    <w:rsid w:val="0005477D"/>
    <w:rsid w:val="000559B4"/>
    <w:rsid w:val="000606FD"/>
    <w:rsid w:val="00061CC2"/>
    <w:rsid w:val="0006217C"/>
    <w:rsid w:val="0006267D"/>
    <w:rsid w:val="00062D63"/>
    <w:rsid w:val="00065A01"/>
    <w:rsid w:val="00065FF0"/>
    <w:rsid w:val="00066FF4"/>
    <w:rsid w:val="000671C1"/>
    <w:rsid w:val="00067827"/>
    <w:rsid w:val="00067F40"/>
    <w:rsid w:val="0007115A"/>
    <w:rsid w:val="00072EB9"/>
    <w:rsid w:val="00073CCA"/>
    <w:rsid w:val="00073D64"/>
    <w:rsid w:val="00074C9C"/>
    <w:rsid w:val="00075DB9"/>
    <w:rsid w:val="000761A8"/>
    <w:rsid w:val="00076241"/>
    <w:rsid w:val="00077557"/>
    <w:rsid w:val="00077723"/>
    <w:rsid w:val="0008028A"/>
    <w:rsid w:val="00080D91"/>
    <w:rsid w:val="00081145"/>
    <w:rsid w:val="00082E26"/>
    <w:rsid w:val="00083066"/>
    <w:rsid w:val="00083EA3"/>
    <w:rsid w:val="00084D9D"/>
    <w:rsid w:val="00085211"/>
    <w:rsid w:val="0008522D"/>
    <w:rsid w:val="00086987"/>
    <w:rsid w:val="00086F8B"/>
    <w:rsid w:val="000909DE"/>
    <w:rsid w:val="00091B29"/>
    <w:rsid w:val="00091F21"/>
    <w:rsid w:val="0009552F"/>
    <w:rsid w:val="00095B57"/>
    <w:rsid w:val="000973C8"/>
    <w:rsid w:val="00097795"/>
    <w:rsid w:val="000979EC"/>
    <w:rsid w:val="00097E7B"/>
    <w:rsid w:val="000A0CC2"/>
    <w:rsid w:val="000A0EDB"/>
    <w:rsid w:val="000A1C1B"/>
    <w:rsid w:val="000A1FC8"/>
    <w:rsid w:val="000A2AA9"/>
    <w:rsid w:val="000A3962"/>
    <w:rsid w:val="000A470C"/>
    <w:rsid w:val="000A47C0"/>
    <w:rsid w:val="000A4C78"/>
    <w:rsid w:val="000A504D"/>
    <w:rsid w:val="000A53B9"/>
    <w:rsid w:val="000A56F2"/>
    <w:rsid w:val="000A6E05"/>
    <w:rsid w:val="000B12FA"/>
    <w:rsid w:val="000B26C6"/>
    <w:rsid w:val="000B3B17"/>
    <w:rsid w:val="000B3D3C"/>
    <w:rsid w:val="000B585E"/>
    <w:rsid w:val="000B6A0D"/>
    <w:rsid w:val="000B70B3"/>
    <w:rsid w:val="000B7B33"/>
    <w:rsid w:val="000B7C62"/>
    <w:rsid w:val="000C0590"/>
    <w:rsid w:val="000C05C2"/>
    <w:rsid w:val="000C0813"/>
    <w:rsid w:val="000C08BF"/>
    <w:rsid w:val="000C0F1A"/>
    <w:rsid w:val="000C1EF8"/>
    <w:rsid w:val="000C24FE"/>
    <w:rsid w:val="000C29FC"/>
    <w:rsid w:val="000C3B9A"/>
    <w:rsid w:val="000C4D1D"/>
    <w:rsid w:val="000C5C6D"/>
    <w:rsid w:val="000C6B94"/>
    <w:rsid w:val="000C6C73"/>
    <w:rsid w:val="000D1530"/>
    <w:rsid w:val="000D1A0D"/>
    <w:rsid w:val="000D1DEF"/>
    <w:rsid w:val="000D201E"/>
    <w:rsid w:val="000D25A8"/>
    <w:rsid w:val="000D2A71"/>
    <w:rsid w:val="000D328C"/>
    <w:rsid w:val="000D502E"/>
    <w:rsid w:val="000D590D"/>
    <w:rsid w:val="000D6721"/>
    <w:rsid w:val="000D7BE7"/>
    <w:rsid w:val="000E04D9"/>
    <w:rsid w:val="000E270A"/>
    <w:rsid w:val="000E36DE"/>
    <w:rsid w:val="000E3841"/>
    <w:rsid w:val="000E4C53"/>
    <w:rsid w:val="000E4DFC"/>
    <w:rsid w:val="000E5392"/>
    <w:rsid w:val="000E6E2A"/>
    <w:rsid w:val="000E7122"/>
    <w:rsid w:val="000F0622"/>
    <w:rsid w:val="000F15B2"/>
    <w:rsid w:val="000F2382"/>
    <w:rsid w:val="000F24DC"/>
    <w:rsid w:val="000F27B1"/>
    <w:rsid w:val="000F28D8"/>
    <w:rsid w:val="000F2F94"/>
    <w:rsid w:val="000F3259"/>
    <w:rsid w:val="000F3E0A"/>
    <w:rsid w:val="000F4444"/>
    <w:rsid w:val="000F4476"/>
    <w:rsid w:val="000F4497"/>
    <w:rsid w:val="000F48C6"/>
    <w:rsid w:val="000F4F0F"/>
    <w:rsid w:val="000F68BA"/>
    <w:rsid w:val="000F6ED7"/>
    <w:rsid w:val="001015AA"/>
    <w:rsid w:val="00101E51"/>
    <w:rsid w:val="001034C4"/>
    <w:rsid w:val="00103DAF"/>
    <w:rsid w:val="0010505B"/>
    <w:rsid w:val="0010743B"/>
    <w:rsid w:val="00107933"/>
    <w:rsid w:val="00107B19"/>
    <w:rsid w:val="001139A2"/>
    <w:rsid w:val="001145A7"/>
    <w:rsid w:val="00115033"/>
    <w:rsid w:val="00115C26"/>
    <w:rsid w:val="001162AB"/>
    <w:rsid w:val="00121089"/>
    <w:rsid w:val="00121183"/>
    <w:rsid w:val="001226B3"/>
    <w:rsid w:val="001237A7"/>
    <w:rsid w:val="00124AB4"/>
    <w:rsid w:val="00124F0F"/>
    <w:rsid w:val="00125269"/>
    <w:rsid w:val="0012569A"/>
    <w:rsid w:val="001258A8"/>
    <w:rsid w:val="00130B0F"/>
    <w:rsid w:val="0013239E"/>
    <w:rsid w:val="00134A02"/>
    <w:rsid w:val="00136A09"/>
    <w:rsid w:val="00136C73"/>
    <w:rsid w:val="001374FD"/>
    <w:rsid w:val="001412E1"/>
    <w:rsid w:val="0014131F"/>
    <w:rsid w:val="00142F77"/>
    <w:rsid w:val="001432D4"/>
    <w:rsid w:val="001433C0"/>
    <w:rsid w:val="00143A79"/>
    <w:rsid w:val="001450A6"/>
    <w:rsid w:val="0014651E"/>
    <w:rsid w:val="00151DB7"/>
    <w:rsid w:val="00152A68"/>
    <w:rsid w:val="00155A54"/>
    <w:rsid w:val="00157EC9"/>
    <w:rsid w:val="00160EE7"/>
    <w:rsid w:val="00161726"/>
    <w:rsid w:val="00161DFE"/>
    <w:rsid w:val="00161FEA"/>
    <w:rsid w:val="001630F2"/>
    <w:rsid w:val="0016334A"/>
    <w:rsid w:val="00163A4D"/>
    <w:rsid w:val="001653EE"/>
    <w:rsid w:val="00165CF8"/>
    <w:rsid w:val="001661B3"/>
    <w:rsid w:val="00166360"/>
    <w:rsid w:val="001667A4"/>
    <w:rsid w:val="00166A69"/>
    <w:rsid w:val="001671AB"/>
    <w:rsid w:val="001671E0"/>
    <w:rsid w:val="001715AE"/>
    <w:rsid w:val="0017286B"/>
    <w:rsid w:val="00173BA1"/>
    <w:rsid w:val="0017469E"/>
    <w:rsid w:val="00174CB7"/>
    <w:rsid w:val="001764D6"/>
    <w:rsid w:val="00176C00"/>
    <w:rsid w:val="00180208"/>
    <w:rsid w:val="00180AC3"/>
    <w:rsid w:val="00181038"/>
    <w:rsid w:val="00181243"/>
    <w:rsid w:val="00181A56"/>
    <w:rsid w:val="001831C8"/>
    <w:rsid w:val="00183287"/>
    <w:rsid w:val="00183BB5"/>
    <w:rsid w:val="00184A8F"/>
    <w:rsid w:val="00186520"/>
    <w:rsid w:val="0018755B"/>
    <w:rsid w:val="0019014F"/>
    <w:rsid w:val="0019039B"/>
    <w:rsid w:val="00190DC6"/>
    <w:rsid w:val="001914C4"/>
    <w:rsid w:val="001916B9"/>
    <w:rsid w:val="001923B6"/>
    <w:rsid w:val="00193ECB"/>
    <w:rsid w:val="00195465"/>
    <w:rsid w:val="00195C34"/>
    <w:rsid w:val="00196CC3"/>
    <w:rsid w:val="001A07C5"/>
    <w:rsid w:val="001A10D7"/>
    <w:rsid w:val="001A1675"/>
    <w:rsid w:val="001A1E68"/>
    <w:rsid w:val="001A3866"/>
    <w:rsid w:val="001A62D2"/>
    <w:rsid w:val="001A71EB"/>
    <w:rsid w:val="001B156A"/>
    <w:rsid w:val="001B1CBB"/>
    <w:rsid w:val="001B2F7A"/>
    <w:rsid w:val="001B35B2"/>
    <w:rsid w:val="001B48F5"/>
    <w:rsid w:val="001B491B"/>
    <w:rsid w:val="001B762A"/>
    <w:rsid w:val="001C042F"/>
    <w:rsid w:val="001C1234"/>
    <w:rsid w:val="001C241C"/>
    <w:rsid w:val="001C28CA"/>
    <w:rsid w:val="001C3167"/>
    <w:rsid w:val="001C31B9"/>
    <w:rsid w:val="001C3430"/>
    <w:rsid w:val="001C363F"/>
    <w:rsid w:val="001C419B"/>
    <w:rsid w:val="001C4D21"/>
    <w:rsid w:val="001C7D0F"/>
    <w:rsid w:val="001C7F9E"/>
    <w:rsid w:val="001D03B9"/>
    <w:rsid w:val="001D0CE6"/>
    <w:rsid w:val="001D1B70"/>
    <w:rsid w:val="001D33A1"/>
    <w:rsid w:val="001D424C"/>
    <w:rsid w:val="001D50F6"/>
    <w:rsid w:val="001D63F8"/>
    <w:rsid w:val="001D6441"/>
    <w:rsid w:val="001D74F2"/>
    <w:rsid w:val="001D77F4"/>
    <w:rsid w:val="001E08F6"/>
    <w:rsid w:val="001E0D75"/>
    <w:rsid w:val="001E0EA3"/>
    <w:rsid w:val="001E184D"/>
    <w:rsid w:val="001E2A62"/>
    <w:rsid w:val="001E2E91"/>
    <w:rsid w:val="001E3251"/>
    <w:rsid w:val="001E4EB2"/>
    <w:rsid w:val="001E6F6D"/>
    <w:rsid w:val="001F04A9"/>
    <w:rsid w:val="001F1727"/>
    <w:rsid w:val="001F2819"/>
    <w:rsid w:val="001F30D7"/>
    <w:rsid w:val="001F30F0"/>
    <w:rsid w:val="001F3BF4"/>
    <w:rsid w:val="001F477B"/>
    <w:rsid w:val="001F6FC8"/>
    <w:rsid w:val="00200497"/>
    <w:rsid w:val="00201843"/>
    <w:rsid w:val="0020206D"/>
    <w:rsid w:val="00202242"/>
    <w:rsid w:val="002034DE"/>
    <w:rsid w:val="002043EC"/>
    <w:rsid w:val="00206ACB"/>
    <w:rsid w:val="00206C2E"/>
    <w:rsid w:val="0020794B"/>
    <w:rsid w:val="0021044D"/>
    <w:rsid w:val="00211072"/>
    <w:rsid w:val="00211768"/>
    <w:rsid w:val="00211B48"/>
    <w:rsid w:val="00211C91"/>
    <w:rsid w:val="00211EED"/>
    <w:rsid w:val="00213138"/>
    <w:rsid w:val="002156CF"/>
    <w:rsid w:val="002163E2"/>
    <w:rsid w:val="00217044"/>
    <w:rsid w:val="00217E1E"/>
    <w:rsid w:val="00220618"/>
    <w:rsid w:val="0022081C"/>
    <w:rsid w:val="00221A50"/>
    <w:rsid w:val="0022249C"/>
    <w:rsid w:val="002234A8"/>
    <w:rsid w:val="00224174"/>
    <w:rsid w:val="0022440B"/>
    <w:rsid w:val="002244A3"/>
    <w:rsid w:val="002245A1"/>
    <w:rsid w:val="00224F5C"/>
    <w:rsid w:val="0022636D"/>
    <w:rsid w:val="00226DB3"/>
    <w:rsid w:val="00227177"/>
    <w:rsid w:val="0023000E"/>
    <w:rsid w:val="0023005F"/>
    <w:rsid w:val="00230490"/>
    <w:rsid w:val="00230BFB"/>
    <w:rsid w:val="00232A50"/>
    <w:rsid w:val="00232C27"/>
    <w:rsid w:val="0023381B"/>
    <w:rsid w:val="00234704"/>
    <w:rsid w:val="00234C80"/>
    <w:rsid w:val="00235C3A"/>
    <w:rsid w:val="00237419"/>
    <w:rsid w:val="00240061"/>
    <w:rsid w:val="00240223"/>
    <w:rsid w:val="00240554"/>
    <w:rsid w:val="0024187D"/>
    <w:rsid w:val="00242E8D"/>
    <w:rsid w:val="00243DC0"/>
    <w:rsid w:val="00244235"/>
    <w:rsid w:val="00244253"/>
    <w:rsid w:val="002446A5"/>
    <w:rsid w:val="002456E5"/>
    <w:rsid w:val="00247477"/>
    <w:rsid w:val="00250B5A"/>
    <w:rsid w:val="0025120A"/>
    <w:rsid w:val="00251E26"/>
    <w:rsid w:val="00252B1E"/>
    <w:rsid w:val="00252B58"/>
    <w:rsid w:val="00252E53"/>
    <w:rsid w:val="002558E5"/>
    <w:rsid w:val="00256EE9"/>
    <w:rsid w:val="00261704"/>
    <w:rsid w:val="00262752"/>
    <w:rsid w:val="00262C84"/>
    <w:rsid w:val="00263B16"/>
    <w:rsid w:val="00265A3C"/>
    <w:rsid w:val="00265BAB"/>
    <w:rsid w:val="002660D8"/>
    <w:rsid w:val="0026675C"/>
    <w:rsid w:val="00266C56"/>
    <w:rsid w:val="00267DA0"/>
    <w:rsid w:val="0027027A"/>
    <w:rsid w:val="00270440"/>
    <w:rsid w:val="00271B91"/>
    <w:rsid w:val="00272E66"/>
    <w:rsid w:val="002734CA"/>
    <w:rsid w:val="00273C43"/>
    <w:rsid w:val="002752A9"/>
    <w:rsid w:val="00275ED0"/>
    <w:rsid w:val="00280A7C"/>
    <w:rsid w:val="00281DCC"/>
    <w:rsid w:val="00282A66"/>
    <w:rsid w:val="00282EED"/>
    <w:rsid w:val="0028399C"/>
    <w:rsid w:val="00284868"/>
    <w:rsid w:val="00284D8D"/>
    <w:rsid w:val="00285586"/>
    <w:rsid w:val="0028609B"/>
    <w:rsid w:val="00286CB8"/>
    <w:rsid w:val="0028700D"/>
    <w:rsid w:val="00287ABE"/>
    <w:rsid w:val="00287BC5"/>
    <w:rsid w:val="002912E5"/>
    <w:rsid w:val="00291592"/>
    <w:rsid w:val="002915BF"/>
    <w:rsid w:val="00292322"/>
    <w:rsid w:val="00293C03"/>
    <w:rsid w:val="00293DEE"/>
    <w:rsid w:val="00294915"/>
    <w:rsid w:val="0029583D"/>
    <w:rsid w:val="00295B84"/>
    <w:rsid w:val="002A0B5D"/>
    <w:rsid w:val="002A4170"/>
    <w:rsid w:val="002A4367"/>
    <w:rsid w:val="002A6A4F"/>
    <w:rsid w:val="002A6CA7"/>
    <w:rsid w:val="002A6D89"/>
    <w:rsid w:val="002A7208"/>
    <w:rsid w:val="002A7AD0"/>
    <w:rsid w:val="002A7CE1"/>
    <w:rsid w:val="002B0228"/>
    <w:rsid w:val="002B0EC5"/>
    <w:rsid w:val="002B1535"/>
    <w:rsid w:val="002B1B5B"/>
    <w:rsid w:val="002B1C12"/>
    <w:rsid w:val="002B24CB"/>
    <w:rsid w:val="002B2B39"/>
    <w:rsid w:val="002B307A"/>
    <w:rsid w:val="002B59B0"/>
    <w:rsid w:val="002B717C"/>
    <w:rsid w:val="002B752C"/>
    <w:rsid w:val="002B75E4"/>
    <w:rsid w:val="002C1140"/>
    <w:rsid w:val="002C155A"/>
    <w:rsid w:val="002C2ADC"/>
    <w:rsid w:val="002C4887"/>
    <w:rsid w:val="002C5329"/>
    <w:rsid w:val="002C6E14"/>
    <w:rsid w:val="002C752A"/>
    <w:rsid w:val="002C7DCB"/>
    <w:rsid w:val="002C7FE9"/>
    <w:rsid w:val="002D0519"/>
    <w:rsid w:val="002D05B2"/>
    <w:rsid w:val="002D0A58"/>
    <w:rsid w:val="002D0DC5"/>
    <w:rsid w:val="002D1386"/>
    <w:rsid w:val="002D1949"/>
    <w:rsid w:val="002D1BCE"/>
    <w:rsid w:val="002D1CD9"/>
    <w:rsid w:val="002D1F4A"/>
    <w:rsid w:val="002D2DA2"/>
    <w:rsid w:val="002D3FD6"/>
    <w:rsid w:val="002D4EFD"/>
    <w:rsid w:val="002D4FE2"/>
    <w:rsid w:val="002D5ACB"/>
    <w:rsid w:val="002D603A"/>
    <w:rsid w:val="002D6BBA"/>
    <w:rsid w:val="002D71C2"/>
    <w:rsid w:val="002E0333"/>
    <w:rsid w:val="002E1718"/>
    <w:rsid w:val="002E2926"/>
    <w:rsid w:val="002E3A01"/>
    <w:rsid w:val="002E4F73"/>
    <w:rsid w:val="002E5ED3"/>
    <w:rsid w:val="002F03D0"/>
    <w:rsid w:val="002F2A7D"/>
    <w:rsid w:val="002F4B2B"/>
    <w:rsid w:val="002F696C"/>
    <w:rsid w:val="002F7E33"/>
    <w:rsid w:val="00300882"/>
    <w:rsid w:val="0030155A"/>
    <w:rsid w:val="00302621"/>
    <w:rsid w:val="00302EFA"/>
    <w:rsid w:val="00303B6D"/>
    <w:rsid w:val="00305D2D"/>
    <w:rsid w:val="003065CB"/>
    <w:rsid w:val="00307AC7"/>
    <w:rsid w:val="0030EEAF"/>
    <w:rsid w:val="003107A7"/>
    <w:rsid w:val="003113BA"/>
    <w:rsid w:val="003117EF"/>
    <w:rsid w:val="003123D5"/>
    <w:rsid w:val="003145A3"/>
    <w:rsid w:val="003146AD"/>
    <w:rsid w:val="003153B5"/>
    <w:rsid w:val="003155FE"/>
    <w:rsid w:val="00315A97"/>
    <w:rsid w:val="00315DDE"/>
    <w:rsid w:val="00316071"/>
    <w:rsid w:val="00317235"/>
    <w:rsid w:val="003173FB"/>
    <w:rsid w:val="003177D5"/>
    <w:rsid w:val="00321D39"/>
    <w:rsid w:val="00321F59"/>
    <w:rsid w:val="00324BF7"/>
    <w:rsid w:val="00325076"/>
    <w:rsid w:val="0032559F"/>
    <w:rsid w:val="0032587E"/>
    <w:rsid w:val="00325C7D"/>
    <w:rsid w:val="003269D6"/>
    <w:rsid w:val="00326F4A"/>
    <w:rsid w:val="00327BB7"/>
    <w:rsid w:val="0033066B"/>
    <w:rsid w:val="00330C5F"/>
    <w:rsid w:val="00330E52"/>
    <w:rsid w:val="00332B0D"/>
    <w:rsid w:val="00333120"/>
    <w:rsid w:val="0033408C"/>
    <w:rsid w:val="003350D5"/>
    <w:rsid w:val="003351DA"/>
    <w:rsid w:val="0033529D"/>
    <w:rsid w:val="003364D8"/>
    <w:rsid w:val="00337048"/>
    <w:rsid w:val="0033710D"/>
    <w:rsid w:val="00340970"/>
    <w:rsid w:val="00341BB0"/>
    <w:rsid w:val="00343AB1"/>
    <w:rsid w:val="00343E5C"/>
    <w:rsid w:val="00344FB8"/>
    <w:rsid w:val="003457B0"/>
    <w:rsid w:val="00346A38"/>
    <w:rsid w:val="003478BB"/>
    <w:rsid w:val="0035076D"/>
    <w:rsid w:val="00352123"/>
    <w:rsid w:val="00353337"/>
    <w:rsid w:val="00354AE1"/>
    <w:rsid w:val="00356DF2"/>
    <w:rsid w:val="0036017B"/>
    <w:rsid w:val="0036055E"/>
    <w:rsid w:val="0036234C"/>
    <w:rsid w:val="00362755"/>
    <w:rsid w:val="003635BD"/>
    <w:rsid w:val="003641D8"/>
    <w:rsid w:val="00364A49"/>
    <w:rsid w:val="003650F7"/>
    <w:rsid w:val="00365A98"/>
    <w:rsid w:val="00365D1B"/>
    <w:rsid w:val="00366693"/>
    <w:rsid w:val="00366BAA"/>
    <w:rsid w:val="00366E8C"/>
    <w:rsid w:val="00370B15"/>
    <w:rsid w:val="00371467"/>
    <w:rsid w:val="003718F7"/>
    <w:rsid w:val="003729F0"/>
    <w:rsid w:val="00372BDB"/>
    <w:rsid w:val="00373B93"/>
    <w:rsid w:val="00374127"/>
    <w:rsid w:val="00374385"/>
    <w:rsid w:val="00375E3B"/>
    <w:rsid w:val="00376C96"/>
    <w:rsid w:val="00377142"/>
    <w:rsid w:val="00377207"/>
    <w:rsid w:val="00377E77"/>
    <w:rsid w:val="00380CD1"/>
    <w:rsid w:val="003810F2"/>
    <w:rsid w:val="00382920"/>
    <w:rsid w:val="00383293"/>
    <w:rsid w:val="00383E2F"/>
    <w:rsid w:val="003904C7"/>
    <w:rsid w:val="0039055D"/>
    <w:rsid w:val="003907D9"/>
    <w:rsid w:val="00390D72"/>
    <w:rsid w:val="00390D7D"/>
    <w:rsid w:val="0039124C"/>
    <w:rsid w:val="0039143D"/>
    <w:rsid w:val="003920B7"/>
    <w:rsid w:val="003933CF"/>
    <w:rsid w:val="003940E3"/>
    <w:rsid w:val="00394264"/>
    <w:rsid w:val="003942DF"/>
    <w:rsid w:val="00394F81"/>
    <w:rsid w:val="00395896"/>
    <w:rsid w:val="0039701F"/>
    <w:rsid w:val="00397BF8"/>
    <w:rsid w:val="003A02CA"/>
    <w:rsid w:val="003A0890"/>
    <w:rsid w:val="003A0D12"/>
    <w:rsid w:val="003A1044"/>
    <w:rsid w:val="003A12A2"/>
    <w:rsid w:val="003A2220"/>
    <w:rsid w:val="003A2682"/>
    <w:rsid w:val="003A2A46"/>
    <w:rsid w:val="003A2CE5"/>
    <w:rsid w:val="003A38F0"/>
    <w:rsid w:val="003A4CFD"/>
    <w:rsid w:val="003A56DE"/>
    <w:rsid w:val="003A7771"/>
    <w:rsid w:val="003B016E"/>
    <w:rsid w:val="003B13E2"/>
    <w:rsid w:val="003B14EE"/>
    <w:rsid w:val="003B1A14"/>
    <w:rsid w:val="003B1A84"/>
    <w:rsid w:val="003B264E"/>
    <w:rsid w:val="003B2D77"/>
    <w:rsid w:val="003B3183"/>
    <w:rsid w:val="003B45D2"/>
    <w:rsid w:val="003B6C8E"/>
    <w:rsid w:val="003B6F58"/>
    <w:rsid w:val="003B781C"/>
    <w:rsid w:val="003B7EB3"/>
    <w:rsid w:val="003C04E3"/>
    <w:rsid w:val="003C1139"/>
    <w:rsid w:val="003C2E14"/>
    <w:rsid w:val="003C2F5C"/>
    <w:rsid w:val="003C3A8F"/>
    <w:rsid w:val="003C4189"/>
    <w:rsid w:val="003C4513"/>
    <w:rsid w:val="003C4678"/>
    <w:rsid w:val="003C6461"/>
    <w:rsid w:val="003C66E0"/>
    <w:rsid w:val="003C66F3"/>
    <w:rsid w:val="003C7B15"/>
    <w:rsid w:val="003D0E19"/>
    <w:rsid w:val="003D2D31"/>
    <w:rsid w:val="003D4F86"/>
    <w:rsid w:val="003D4FDF"/>
    <w:rsid w:val="003D6683"/>
    <w:rsid w:val="003D69FF"/>
    <w:rsid w:val="003D7C97"/>
    <w:rsid w:val="003E0326"/>
    <w:rsid w:val="003E081A"/>
    <w:rsid w:val="003E0E2A"/>
    <w:rsid w:val="003E16DD"/>
    <w:rsid w:val="003E1BA4"/>
    <w:rsid w:val="003E4628"/>
    <w:rsid w:val="003E5528"/>
    <w:rsid w:val="003E5ABA"/>
    <w:rsid w:val="003E5E33"/>
    <w:rsid w:val="003E6655"/>
    <w:rsid w:val="003E793C"/>
    <w:rsid w:val="003F05C5"/>
    <w:rsid w:val="003F069A"/>
    <w:rsid w:val="003F17FC"/>
    <w:rsid w:val="003F28E1"/>
    <w:rsid w:val="003F2B52"/>
    <w:rsid w:val="003F3571"/>
    <w:rsid w:val="003F3C27"/>
    <w:rsid w:val="003F4329"/>
    <w:rsid w:val="003F48AD"/>
    <w:rsid w:val="003F5034"/>
    <w:rsid w:val="003F50F0"/>
    <w:rsid w:val="003F6873"/>
    <w:rsid w:val="003F6A72"/>
    <w:rsid w:val="0040037A"/>
    <w:rsid w:val="0040300A"/>
    <w:rsid w:val="00403C71"/>
    <w:rsid w:val="00403CB6"/>
    <w:rsid w:val="004045E4"/>
    <w:rsid w:val="00405430"/>
    <w:rsid w:val="004059BA"/>
    <w:rsid w:val="004069FF"/>
    <w:rsid w:val="00406DBB"/>
    <w:rsid w:val="00410417"/>
    <w:rsid w:val="00411984"/>
    <w:rsid w:val="00412534"/>
    <w:rsid w:val="00412741"/>
    <w:rsid w:val="00412C83"/>
    <w:rsid w:val="00413094"/>
    <w:rsid w:val="00414B8F"/>
    <w:rsid w:val="00414F05"/>
    <w:rsid w:val="004151CD"/>
    <w:rsid w:val="0041549C"/>
    <w:rsid w:val="004158A2"/>
    <w:rsid w:val="00415FE8"/>
    <w:rsid w:val="00417ADE"/>
    <w:rsid w:val="00420EC5"/>
    <w:rsid w:val="00420FBC"/>
    <w:rsid w:val="004212B2"/>
    <w:rsid w:val="00423FB8"/>
    <w:rsid w:val="00426014"/>
    <w:rsid w:val="00426A4C"/>
    <w:rsid w:val="00426D7F"/>
    <w:rsid w:val="004306E7"/>
    <w:rsid w:val="0043078F"/>
    <w:rsid w:val="00430AD2"/>
    <w:rsid w:val="004321CB"/>
    <w:rsid w:val="00432431"/>
    <w:rsid w:val="004338ED"/>
    <w:rsid w:val="00433B26"/>
    <w:rsid w:val="004348DA"/>
    <w:rsid w:val="004378AF"/>
    <w:rsid w:val="00437AD5"/>
    <w:rsid w:val="00437E69"/>
    <w:rsid w:val="004410FE"/>
    <w:rsid w:val="004416FC"/>
    <w:rsid w:val="004418CF"/>
    <w:rsid w:val="00441993"/>
    <w:rsid w:val="00441D59"/>
    <w:rsid w:val="004422D2"/>
    <w:rsid w:val="00442B01"/>
    <w:rsid w:val="00442D03"/>
    <w:rsid w:val="0044385B"/>
    <w:rsid w:val="00444CE1"/>
    <w:rsid w:val="0044617E"/>
    <w:rsid w:val="004465CA"/>
    <w:rsid w:val="0045078A"/>
    <w:rsid w:val="00450EBB"/>
    <w:rsid w:val="00451274"/>
    <w:rsid w:val="00451EC4"/>
    <w:rsid w:val="00451EDF"/>
    <w:rsid w:val="00452078"/>
    <w:rsid w:val="0045371E"/>
    <w:rsid w:val="00455817"/>
    <w:rsid w:val="00456606"/>
    <w:rsid w:val="004605C1"/>
    <w:rsid w:val="004606FB"/>
    <w:rsid w:val="0046078B"/>
    <w:rsid w:val="00460B7D"/>
    <w:rsid w:val="0046100A"/>
    <w:rsid w:val="004629D8"/>
    <w:rsid w:val="00462E7C"/>
    <w:rsid w:val="00463D15"/>
    <w:rsid w:val="00465683"/>
    <w:rsid w:val="00465FBC"/>
    <w:rsid w:val="0046629B"/>
    <w:rsid w:val="00467090"/>
    <w:rsid w:val="00467185"/>
    <w:rsid w:val="004671BA"/>
    <w:rsid w:val="004673CD"/>
    <w:rsid w:val="004703D0"/>
    <w:rsid w:val="0047207E"/>
    <w:rsid w:val="00472DDE"/>
    <w:rsid w:val="00473C4F"/>
    <w:rsid w:val="00474531"/>
    <w:rsid w:val="004745CE"/>
    <w:rsid w:val="00474B5A"/>
    <w:rsid w:val="004760D0"/>
    <w:rsid w:val="00476C25"/>
    <w:rsid w:val="004771F0"/>
    <w:rsid w:val="00480BFE"/>
    <w:rsid w:val="00480CB0"/>
    <w:rsid w:val="00480F1B"/>
    <w:rsid w:val="004811CF"/>
    <w:rsid w:val="00481664"/>
    <w:rsid w:val="00482711"/>
    <w:rsid w:val="004831B9"/>
    <w:rsid w:val="00483603"/>
    <w:rsid w:val="00483F11"/>
    <w:rsid w:val="00485B48"/>
    <w:rsid w:val="004908FF"/>
    <w:rsid w:val="004909FA"/>
    <w:rsid w:val="004912B8"/>
    <w:rsid w:val="0049139E"/>
    <w:rsid w:val="00491BAB"/>
    <w:rsid w:val="004927D8"/>
    <w:rsid w:val="0049282D"/>
    <w:rsid w:val="0049297E"/>
    <w:rsid w:val="004974EF"/>
    <w:rsid w:val="004A168A"/>
    <w:rsid w:val="004A1EAD"/>
    <w:rsid w:val="004A47BE"/>
    <w:rsid w:val="004A49B8"/>
    <w:rsid w:val="004A4C7D"/>
    <w:rsid w:val="004A5ADF"/>
    <w:rsid w:val="004A6FE9"/>
    <w:rsid w:val="004A7E4D"/>
    <w:rsid w:val="004B037E"/>
    <w:rsid w:val="004B2E57"/>
    <w:rsid w:val="004B34EA"/>
    <w:rsid w:val="004B3A0E"/>
    <w:rsid w:val="004B3CCF"/>
    <w:rsid w:val="004B4534"/>
    <w:rsid w:val="004B4567"/>
    <w:rsid w:val="004B516E"/>
    <w:rsid w:val="004B5494"/>
    <w:rsid w:val="004B64AB"/>
    <w:rsid w:val="004B6D50"/>
    <w:rsid w:val="004B7D24"/>
    <w:rsid w:val="004C14CB"/>
    <w:rsid w:val="004C2BA5"/>
    <w:rsid w:val="004C409F"/>
    <w:rsid w:val="004C41F6"/>
    <w:rsid w:val="004C4673"/>
    <w:rsid w:val="004C5AD2"/>
    <w:rsid w:val="004C5EE0"/>
    <w:rsid w:val="004C6643"/>
    <w:rsid w:val="004C758A"/>
    <w:rsid w:val="004C7995"/>
    <w:rsid w:val="004C7A2B"/>
    <w:rsid w:val="004C7D3A"/>
    <w:rsid w:val="004D0ACF"/>
    <w:rsid w:val="004D0BE2"/>
    <w:rsid w:val="004D3F12"/>
    <w:rsid w:val="004D7169"/>
    <w:rsid w:val="004D7269"/>
    <w:rsid w:val="004E0974"/>
    <w:rsid w:val="004E0D15"/>
    <w:rsid w:val="004E127B"/>
    <w:rsid w:val="004E1503"/>
    <w:rsid w:val="004E1884"/>
    <w:rsid w:val="004E344C"/>
    <w:rsid w:val="004E6B26"/>
    <w:rsid w:val="004E6B4A"/>
    <w:rsid w:val="004E6D83"/>
    <w:rsid w:val="004E7EE5"/>
    <w:rsid w:val="004F02D0"/>
    <w:rsid w:val="004F08E0"/>
    <w:rsid w:val="004F1893"/>
    <w:rsid w:val="004F33E1"/>
    <w:rsid w:val="004F4753"/>
    <w:rsid w:val="004F788F"/>
    <w:rsid w:val="0050098A"/>
    <w:rsid w:val="005018A8"/>
    <w:rsid w:val="00501AC3"/>
    <w:rsid w:val="00502060"/>
    <w:rsid w:val="005025CC"/>
    <w:rsid w:val="005036D5"/>
    <w:rsid w:val="00505A39"/>
    <w:rsid w:val="00505E90"/>
    <w:rsid w:val="00506AE0"/>
    <w:rsid w:val="005071E9"/>
    <w:rsid w:val="00511A57"/>
    <w:rsid w:val="00512503"/>
    <w:rsid w:val="00512A75"/>
    <w:rsid w:val="00512F0F"/>
    <w:rsid w:val="00513722"/>
    <w:rsid w:val="00515BA7"/>
    <w:rsid w:val="00516732"/>
    <w:rsid w:val="00516FA9"/>
    <w:rsid w:val="0051788F"/>
    <w:rsid w:val="00520248"/>
    <w:rsid w:val="0052050A"/>
    <w:rsid w:val="005221D8"/>
    <w:rsid w:val="005225DF"/>
    <w:rsid w:val="00522C8D"/>
    <w:rsid w:val="00522F83"/>
    <w:rsid w:val="005231A4"/>
    <w:rsid w:val="005236E1"/>
    <w:rsid w:val="005240BF"/>
    <w:rsid w:val="0052424B"/>
    <w:rsid w:val="005253E9"/>
    <w:rsid w:val="00525A11"/>
    <w:rsid w:val="0052781F"/>
    <w:rsid w:val="00532B2C"/>
    <w:rsid w:val="005331D0"/>
    <w:rsid w:val="005343BA"/>
    <w:rsid w:val="0053514F"/>
    <w:rsid w:val="00535F32"/>
    <w:rsid w:val="00540369"/>
    <w:rsid w:val="00540C33"/>
    <w:rsid w:val="005411D4"/>
    <w:rsid w:val="00541F94"/>
    <w:rsid w:val="00542407"/>
    <w:rsid w:val="0054245A"/>
    <w:rsid w:val="005426AC"/>
    <w:rsid w:val="00542ECD"/>
    <w:rsid w:val="005441DA"/>
    <w:rsid w:val="00547467"/>
    <w:rsid w:val="0054756B"/>
    <w:rsid w:val="00547F94"/>
    <w:rsid w:val="00550938"/>
    <w:rsid w:val="00551887"/>
    <w:rsid w:val="00552A7C"/>
    <w:rsid w:val="00553D55"/>
    <w:rsid w:val="00554169"/>
    <w:rsid w:val="005548C6"/>
    <w:rsid w:val="00554AE8"/>
    <w:rsid w:val="00557A24"/>
    <w:rsid w:val="0056404E"/>
    <w:rsid w:val="005641CA"/>
    <w:rsid w:val="005649D7"/>
    <w:rsid w:val="005654B1"/>
    <w:rsid w:val="00566363"/>
    <w:rsid w:val="0056720D"/>
    <w:rsid w:val="00570D21"/>
    <w:rsid w:val="00571B50"/>
    <w:rsid w:val="00571C18"/>
    <w:rsid w:val="00574E08"/>
    <w:rsid w:val="00575145"/>
    <w:rsid w:val="0057537E"/>
    <w:rsid w:val="0057552F"/>
    <w:rsid w:val="0057568B"/>
    <w:rsid w:val="00575BFE"/>
    <w:rsid w:val="00585390"/>
    <w:rsid w:val="00585746"/>
    <w:rsid w:val="005865AB"/>
    <w:rsid w:val="00586AF7"/>
    <w:rsid w:val="00587D42"/>
    <w:rsid w:val="00587DEA"/>
    <w:rsid w:val="0059037A"/>
    <w:rsid w:val="00591102"/>
    <w:rsid w:val="005912C3"/>
    <w:rsid w:val="005920BA"/>
    <w:rsid w:val="005939A5"/>
    <w:rsid w:val="00594557"/>
    <w:rsid w:val="00595128"/>
    <w:rsid w:val="005951EA"/>
    <w:rsid w:val="00595563"/>
    <w:rsid w:val="00595660"/>
    <w:rsid w:val="00595B55"/>
    <w:rsid w:val="005A148C"/>
    <w:rsid w:val="005A165C"/>
    <w:rsid w:val="005A5773"/>
    <w:rsid w:val="005A5C18"/>
    <w:rsid w:val="005A70F8"/>
    <w:rsid w:val="005B2CB7"/>
    <w:rsid w:val="005B3A7C"/>
    <w:rsid w:val="005B417A"/>
    <w:rsid w:val="005B49E6"/>
    <w:rsid w:val="005B52A9"/>
    <w:rsid w:val="005B54D2"/>
    <w:rsid w:val="005B5C7E"/>
    <w:rsid w:val="005B664E"/>
    <w:rsid w:val="005B66EA"/>
    <w:rsid w:val="005B7D3C"/>
    <w:rsid w:val="005C3360"/>
    <w:rsid w:val="005C3402"/>
    <w:rsid w:val="005C58FA"/>
    <w:rsid w:val="005D0C44"/>
    <w:rsid w:val="005D15D5"/>
    <w:rsid w:val="005D1929"/>
    <w:rsid w:val="005D32B5"/>
    <w:rsid w:val="005D4292"/>
    <w:rsid w:val="005D4C14"/>
    <w:rsid w:val="005D5929"/>
    <w:rsid w:val="005D6076"/>
    <w:rsid w:val="005D612F"/>
    <w:rsid w:val="005D6195"/>
    <w:rsid w:val="005D7671"/>
    <w:rsid w:val="005D7E41"/>
    <w:rsid w:val="005E031F"/>
    <w:rsid w:val="005E16AF"/>
    <w:rsid w:val="005E1DBA"/>
    <w:rsid w:val="005E1FC0"/>
    <w:rsid w:val="005E1FFC"/>
    <w:rsid w:val="005E4AED"/>
    <w:rsid w:val="005E50D2"/>
    <w:rsid w:val="005E7498"/>
    <w:rsid w:val="005E7B49"/>
    <w:rsid w:val="005F4939"/>
    <w:rsid w:val="005F4C9D"/>
    <w:rsid w:val="005F50DE"/>
    <w:rsid w:val="005F5724"/>
    <w:rsid w:val="005F5B24"/>
    <w:rsid w:val="005F5C1E"/>
    <w:rsid w:val="005F70F7"/>
    <w:rsid w:val="00602DB2"/>
    <w:rsid w:val="00603238"/>
    <w:rsid w:val="006036B5"/>
    <w:rsid w:val="006036C3"/>
    <w:rsid w:val="00603FFB"/>
    <w:rsid w:val="00605465"/>
    <w:rsid w:val="0060678E"/>
    <w:rsid w:val="00606BC4"/>
    <w:rsid w:val="00606FF5"/>
    <w:rsid w:val="00607519"/>
    <w:rsid w:val="00610502"/>
    <w:rsid w:val="006114EE"/>
    <w:rsid w:val="00611C71"/>
    <w:rsid w:val="00611F2F"/>
    <w:rsid w:val="00612287"/>
    <w:rsid w:val="00612CBF"/>
    <w:rsid w:val="006138D5"/>
    <w:rsid w:val="0061693B"/>
    <w:rsid w:val="006169AB"/>
    <w:rsid w:val="00617097"/>
    <w:rsid w:val="006176D3"/>
    <w:rsid w:val="00617DC0"/>
    <w:rsid w:val="00620ACF"/>
    <w:rsid w:val="0062128B"/>
    <w:rsid w:val="00621501"/>
    <w:rsid w:val="006238BA"/>
    <w:rsid w:val="006241B2"/>
    <w:rsid w:val="00624445"/>
    <w:rsid w:val="006248A3"/>
    <w:rsid w:val="00625CE7"/>
    <w:rsid w:val="0062618B"/>
    <w:rsid w:val="0062702F"/>
    <w:rsid w:val="00632207"/>
    <w:rsid w:val="00632E6F"/>
    <w:rsid w:val="0063491C"/>
    <w:rsid w:val="00634B05"/>
    <w:rsid w:val="0063521D"/>
    <w:rsid w:val="00636D7F"/>
    <w:rsid w:val="006376F6"/>
    <w:rsid w:val="006403E8"/>
    <w:rsid w:val="00641A5C"/>
    <w:rsid w:val="00641D23"/>
    <w:rsid w:val="006427D0"/>
    <w:rsid w:val="00642B20"/>
    <w:rsid w:val="00642C82"/>
    <w:rsid w:val="00643145"/>
    <w:rsid w:val="00644DA2"/>
    <w:rsid w:val="0064548E"/>
    <w:rsid w:val="00645853"/>
    <w:rsid w:val="00645A43"/>
    <w:rsid w:val="006469E4"/>
    <w:rsid w:val="006477A0"/>
    <w:rsid w:val="00647F6E"/>
    <w:rsid w:val="006503CC"/>
    <w:rsid w:val="006527B4"/>
    <w:rsid w:val="006529AF"/>
    <w:rsid w:val="00653072"/>
    <w:rsid w:val="0065378C"/>
    <w:rsid w:val="0065537D"/>
    <w:rsid w:val="00657AA4"/>
    <w:rsid w:val="00661AFE"/>
    <w:rsid w:val="006623DA"/>
    <w:rsid w:val="0066245B"/>
    <w:rsid w:val="00663C04"/>
    <w:rsid w:val="006653F5"/>
    <w:rsid w:val="00665B1F"/>
    <w:rsid w:val="00666FF6"/>
    <w:rsid w:val="006673C0"/>
    <w:rsid w:val="00667A4E"/>
    <w:rsid w:val="006706DE"/>
    <w:rsid w:val="006725BA"/>
    <w:rsid w:val="00675940"/>
    <w:rsid w:val="00676E6B"/>
    <w:rsid w:val="00677B74"/>
    <w:rsid w:val="00677B78"/>
    <w:rsid w:val="00680514"/>
    <w:rsid w:val="00680C6E"/>
    <w:rsid w:val="00680DC1"/>
    <w:rsid w:val="00680F19"/>
    <w:rsid w:val="00681094"/>
    <w:rsid w:val="0068194D"/>
    <w:rsid w:val="00682178"/>
    <w:rsid w:val="0068236E"/>
    <w:rsid w:val="00682450"/>
    <w:rsid w:val="00682A69"/>
    <w:rsid w:val="0068363F"/>
    <w:rsid w:val="006838D9"/>
    <w:rsid w:val="00683B2C"/>
    <w:rsid w:val="00685C72"/>
    <w:rsid w:val="0069201D"/>
    <w:rsid w:val="00692637"/>
    <w:rsid w:val="00694DDA"/>
    <w:rsid w:val="0069656D"/>
    <w:rsid w:val="006A1F15"/>
    <w:rsid w:val="006A4A1A"/>
    <w:rsid w:val="006A4F71"/>
    <w:rsid w:val="006A561A"/>
    <w:rsid w:val="006A6B9B"/>
    <w:rsid w:val="006A6E7D"/>
    <w:rsid w:val="006B04D1"/>
    <w:rsid w:val="006B07A6"/>
    <w:rsid w:val="006B2D63"/>
    <w:rsid w:val="006B3CF3"/>
    <w:rsid w:val="006B4055"/>
    <w:rsid w:val="006B4AAC"/>
    <w:rsid w:val="006B52B3"/>
    <w:rsid w:val="006B5395"/>
    <w:rsid w:val="006B6538"/>
    <w:rsid w:val="006B6549"/>
    <w:rsid w:val="006B7814"/>
    <w:rsid w:val="006B784B"/>
    <w:rsid w:val="006C0D11"/>
    <w:rsid w:val="006C19FB"/>
    <w:rsid w:val="006C1F10"/>
    <w:rsid w:val="006C23AF"/>
    <w:rsid w:val="006C2A62"/>
    <w:rsid w:val="006C3086"/>
    <w:rsid w:val="006C6DF4"/>
    <w:rsid w:val="006C6FD6"/>
    <w:rsid w:val="006C76B8"/>
    <w:rsid w:val="006D03F0"/>
    <w:rsid w:val="006D1045"/>
    <w:rsid w:val="006D3497"/>
    <w:rsid w:val="006D454A"/>
    <w:rsid w:val="006D5D89"/>
    <w:rsid w:val="006D7062"/>
    <w:rsid w:val="006D71A8"/>
    <w:rsid w:val="006D7B34"/>
    <w:rsid w:val="006D7B8C"/>
    <w:rsid w:val="006E07EF"/>
    <w:rsid w:val="006E0962"/>
    <w:rsid w:val="006E121C"/>
    <w:rsid w:val="006E1871"/>
    <w:rsid w:val="006E1BA1"/>
    <w:rsid w:val="006E21AC"/>
    <w:rsid w:val="006E2368"/>
    <w:rsid w:val="006E2AE1"/>
    <w:rsid w:val="006E34E4"/>
    <w:rsid w:val="006E36FA"/>
    <w:rsid w:val="006E3D3E"/>
    <w:rsid w:val="006E4273"/>
    <w:rsid w:val="006E4432"/>
    <w:rsid w:val="006E4576"/>
    <w:rsid w:val="006E4B85"/>
    <w:rsid w:val="006E4BA4"/>
    <w:rsid w:val="006E4DA0"/>
    <w:rsid w:val="006E5E28"/>
    <w:rsid w:val="006E6574"/>
    <w:rsid w:val="006E7353"/>
    <w:rsid w:val="006E7A17"/>
    <w:rsid w:val="006E7F26"/>
    <w:rsid w:val="006F0FD0"/>
    <w:rsid w:val="006F180B"/>
    <w:rsid w:val="006F1AF1"/>
    <w:rsid w:val="006F1E32"/>
    <w:rsid w:val="006F3E06"/>
    <w:rsid w:val="006F4409"/>
    <w:rsid w:val="006F6367"/>
    <w:rsid w:val="006F742E"/>
    <w:rsid w:val="0070019E"/>
    <w:rsid w:val="0070067E"/>
    <w:rsid w:val="0070622F"/>
    <w:rsid w:val="00706730"/>
    <w:rsid w:val="007074FA"/>
    <w:rsid w:val="00707CE9"/>
    <w:rsid w:val="00710026"/>
    <w:rsid w:val="007107E6"/>
    <w:rsid w:val="00714A49"/>
    <w:rsid w:val="00714CF2"/>
    <w:rsid w:val="007156B9"/>
    <w:rsid w:val="00715816"/>
    <w:rsid w:val="007158FA"/>
    <w:rsid w:val="007166F4"/>
    <w:rsid w:val="00717881"/>
    <w:rsid w:val="00720817"/>
    <w:rsid w:val="00720D75"/>
    <w:rsid w:val="007218BA"/>
    <w:rsid w:val="00721B0D"/>
    <w:rsid w:val="00722062"/>
    <w:rsid w:val="00722294"/>
    <w:rsid w:val="00722850"/>
    <w:rsid w:val="00724858"/>
    <w:rsid w:val="00724E7B"/>
    <w:rsid w:val="00725077"/>
    <w:rsid w:val="0073031A"/>
    <w:rsid w:val="00731AE5"/>
    <w:rsid w:val="0073353F"/>
    <w:rsid w:val="00733D73"/>
    <w:rsid w:val="00733F6A"/>
    <w:rsid w:val="007355EA"/>
    <w:rsid w:val="00735A91"/>
    <w:rsid w:val="0073A5AF"/>
    <w:rsid w:val="00740075"/>
    <w:rsid w:val="00740283"/>
    <w:rsid w:val="0074184D"/>
    <w:rsid w:val="00742E45"/>
    <w:rsid w:val="00743227"/>
    <w:rsid w:val="00743602"/>
    <w:rsid w:val="007447AF"/>
    <w:rsid w:val="00744E40"/>
    <w:rsid w:val="00745C0C"/>
    <w:rsid w:val="00745CC6"/>
    <w:rsid w:val="00750816"/>
    <w:rsid w:val="007509C6"/>
    <w:rsid w:val="00750B7B"/>
    <w:rsid w:val="00750E4C"/>
    <w:rsid w:val="00751B81"/>
    <w:rsid w:val="00751D91"/>
    <w:rsid w:val="00752F43"/>
    <w:rsid w:val="00752FC5"/>
    <w:rsid w:val="00755750"/>
    <w:rsid w:val="00755C4C"/>
    <w:rsid w:val="00756704"/>
    <w:rsid w:val="0076142A"/>
    <w:rsid w:val="00761CE8"/>
    <w:rsid w:val="007620C8"/>
    <w:rsid w:val="0076291B"/>
    <w:rsid w:val="00763004"/>
    <w:rsid w:val="007657C1"/>
    <w:rsid w:val="00767288"/>
    <w:rsid w:val="007702C9"/>
    <w:rsid w:val="00770E14"/>
    <w:rsid w:val="007728BA"/>
    <w:rsid w:val="00772EE3"/>
    <w:rsid w:val="00773E23"/>
    <w:rsid w:val="00773EA0"/>
    <w:rsid w:val="0077423D"/>
    <w:rsid w:val="007742EE"/>
    <w:rsid w:val="007748EB"/>
    <w:rsid w:val="00775467"/>
    <w:rsid w:val="00776924"/>
    <w:rsid w:val="0077755F"/>
    <w:rsid w:val="00780A6B"/>
    <w:rsid w:val="00780A96"/>
    <w:rsid w:val="00781004"/>
    <w:rsid w:val="007821C8"/>
    <w:rsid w:val="00784512"/>
    <w:rsid w:val="00784674"/>
    <w:rsid w:val="00784E0F"/>
    <w:rsid w:val="007855D5"/>
    <w:rsid w:val="00786326"/>
    <w:rsid w:val="007865D9"/>
    <w:rsid w:val="0078797E"/>
    <w:rsid w:val="00790B0E"/>
    <w:rsid w:val="00790ED5"/>
    <w:rsid w:val="007917A9"/>
    <w:rsid w:val="00792904"/>
    <w:rsid w:val="007933E9"/>
    <w:rsid w:val="0079340B"/>
    <w:rsid w:val="00793B99"/>
    <w:rsid w:val="007955C3"/>
    <w:rsid w:val="00795906"/>
    <w:rsid w:val="00795F42"/>
    <w:rsid w:val="00795F92"/>
    <w:rsid w:val="007961C0"/>
    <w:rsid w:val="007979F9"/>
    <w:rsid w:val="00797F3B"/>
    <w:rsid w:val="007A00AF"/>
    <w:rsid w:val="007A0CC8"/>
    <w:rsid w:val="007A406D"/>
    <w:rsid w:val="007A59D1"/>
    <w:rsid w:val="007A62B0"/>
    <w:rsid w:val="007A6708"/>
    <w:rsid w:val="007B00A6"/>
    <w:rsid w:val="007B029B"/>
    <w:rsid w:val="007B031D"/>
    <w:rsid w:val="007B0948"/>
    <w:rsid w:val="007B0DD1"/>
    <w:rsid w:val="007B0ED2"/>
    <w:rsid w:val="007B1E20"/>
    <w:rsid w:val="007B4DFE"/>
    <w:rsid w:val="007B7398"/>
    <w:rsid w:val="007B77B1"/>
    <w:rsid w:val="007C093A"/>
    <w:rsid w:val="007C158C"/>
    <w:rsid w:val="007C3678"/>
    <w:rsid w:val="007C5A0C"/>
    <w:rsid w:val="007C5D48"/>
    <w:rsid w:val="007C5E3B"/>
    <w:rsid w:val="007C78F0"/>
    <w:rsid w:val="007D11E4"/>
    <w:rsid w:val="007D3D5C"/>
    <w:rsid w:val="007D444F"/>
    <w:rsid w:val="007D4EA7"/>
    <w:rsid w:val="007D6A1F"/>
    <w:rsid w:val="007D7093"/>
    <w:rsid w:val="007D7DD4"/>
    <w:rsid w:val="007E0B1B"/>
    <w:rsid w:val="007E0FEE"/>
    <w:rsid w:val="007E142F"/>
    <w:rsid w:val="007E1536"/>
    <w:rsid w:val="007E270C"/>
    <w:rsid w:val="007E313B"/>
    <w:rsid w:val="007E3A0B"/>
    <w:rsid w:val="007E3F55"/>
    <w:rsid w:val="007E45ED"/>
    <w:rsid w:val="007E752D"/>
    <w:rsid w:val="007E7D76"/>
    <w:rsid w:val="007F1A82"/>
    <w:rsid w:val="007F2017"/>
    <w:rsid w:val="007F3159"/>
    <w:rsid w:val="007F6D04"/>
    <w:rsid w:val="007F6E2D"/>
    <w:rsid w:val="00800DDE"/>
    <w:rsid w:val="00801F41"/>
    <w:rsid w:val="00802802"/>
    <w:rsid w:val="0080390E"/>
    <w:rsid w:val="00804226"/>
    <w:rsid w:val="00806187"/>
    <w:rsid w:val="00806852"/>
    <w:rsid w:val="00806BC3"/>
    <w:rsid w:val="008071B6"/>
    <w:rsid w:val="00807C14"/>
    <w:rsid w:val="008106BB"/>
    <w:rsid w:val="0081242E"/>
    <w:rsid w:val="00812AC4"/>
    <w:rsid w:val="008133A6"/>
    <w:rsid w:val="00813A8A"/>
    <w:rsid w:val="00814445"/>
    <w:rsid w:val="008147A1"/>
    <w:rsid w:val="00814F15"/>
    <w:rsid w:val="00815272"/>
    <w:rsid w:val="008159CF"/>
    <w:rsid w:val="00816E05"/>
    <w:rsid w:val="008173EB"/>
    <w:rsid w:val="00817B8F"/>
    <w:rsid w:val="008216D6"/>
    <w:rsid w:val="00822B9F"/>
    <w:rsid w:val="00822D36"/>
    <w:rsid w:val="0082304F"/>
    <w:rsid w:val="00824243"/>
    <w:rsid w:val="00824304"/>
    <w:rsid w:val="008243D2"/>
    <w:rsid w:val="00824C05"/>
    <w:rsid w:val="00826A59"/>
    <w:rsid w:val="00831FEC"/>
    <w:rsid w:val="008331E2"/>
    <w:rsid w:val="008339BB"/>
    <w:rsid w:val="00836E8F"/>
    <w:rsid w:val="008373F7"/>
    <w:rsid w:val="008378B2"/>
    <w:rsid w:val="00841C32"/>
    <w:rsid w:val="00843879"/>
    <w:rsid w:val="0084483E"/>
    <w:rsid w:val="00845D8B"/>
    <w:rsid w:val="0084754B"/>
    <w:rsid w:val="00847C92"/>
    <w:rsid w:val="008515FE"/>
    <w:rsid w:val="00852F81"/>
    <w:rsid w:val="008547BC"/>
    <w:rsid w:val="00857050"/>
    <w:rsid w:val="008571F5"/>
    <w:rsid w:val="00862C5E"/>
    <w:rsid w:val="0086419A"/>
    <w:rsid w:val="008642F2"/>
    <w:rsid w:val="00864EB8"/>
    <w:rsid w:val="00866538"/>
    <w:rsid w:val="00866A79"/>
    <w:rsid w:val="00866E51"/>
    <w:rsid w:val="0087023B"/>
    <w:rsid w:val="008715E0"/>
    <w:rsid w:val="00873929"/>
    <w:rsid w:val="00874734"/>
    <w:rsid w:val="00874B7B"/>
    <w:rsid w:val="00875D89"/>
    <w:rsid w:val="00876579"/>
    <w:rsid w:val="00876FE8"/>
    <w:rsid w:val="008772CB"/>
    <w:rsid w:val="00880D18"/>
    <w:rsid w:val="00881401"/>
    <w:rsid w:val="00881851"/>
    <w:rsid w:val="008825C8"/>
    <w:rsid w:val="0088327A"/>
    <w:rsid w:val="0088394B"/>
    <w:rsid w:val="0088416A"/>
    <w:rsid w:val="00884406"/>
    <w:rsid w:val="008846F9"/>
    <w:rsid w:val="0088729F"/>
    <w:rsid w:val="00890240"/>
    <w:rsid w:val="00891C06"/>
    <w:rsid w:val="00891E68"/>
    <w:rsid w:val="00893A8A"/>
    <w:rsid w:val="00895E35"/>
    <w:rsid w:val="008965F1"/>
    <w:rsid w:val="00896A1C"/>
    <w:rsid w:val="00896B53"/>
    <w:rsid w:val="00897E8F"/>
    <w:rsid w:val="008A04E0"/>
    <w:rsid w:val="008A08BF"/>
    <w:rsid w:val="008A0DCF"/>
    <w:rsid w:val="008A12F3"/>
    <w:rsid w:val="008A142C"/>
    <w:rsid w:val="008A179F"/>
    <w:rsid w:val="008A2B2B"/>
    <w:rsid w:val="008A3C83"/>
    <w:rsid w:val="008A54EA"/>
    <w:rsid w:val="008A5F10"/>
    <w:rsid w:val="008A6C8A"/>
    <w:rsid w:val="008B0864"/>
    <w:rsid w:val="008B175A"/>
    <w:rsid w:val="008B205D"/>
    <w:rsid w:val="008B2934"/>
    <w:rsid w:val="008B29D5"/>
    <w:rsid w:val="008B2A7D"/>
    <w:rsid w:val="008B2D5D"/>
    <w:rsid w:val="008B34CC"/>
    <w:rsid w:val="008B3D47"/>
    <w:rsid w:val="008B55FC"/>
    <w:rsid w:val="008B6623"/>
    <w:rsid w:val="008B697F"/>
    <w:rsid w:val="008B6D8B"/>
    <w:rsid w:val="008C0156"/>
    <w:rsid w:val="008C03C1"/>
    <w:rsid w:val="008C08E3"/>
    <w:rsid w:val="008C1CFE"/>
    <w:rsid w:val="008C32B7"/>
    <w:rsid w:val="008C3CB7"/>
    <w:rsid w:val="008C4A1A"/>
    <w:rsid w:val="008C7413"/>
    <w:rsid w:val="008C7547"/>
    <w:rsid w:val="008C7B0E"/>
    <w:rsid w:val="008D05EF"/>
    <w:rsid w:val="008D0B3D"/>
    <w:rsid w:val="008D16B7"/>
    <w:rsid w:val="008D76CA"/>
    <w:rsid w:val="008D79A1"/>
    <w:rsid w:val="008D7AC7"/>
    <w:rsid w:val="008D7D14"/>
    <w:rsid w:val="008E06F1"/>
    <w:rsid w:val="008E0FC6"/>
    <w:rsid w:val="008E2060"/>
    <w:rsid w:val="008E51F0"/>
    <w:rsid w:val="008E5DB2"/>
    <w:rsid w:val="008E6AE6"/>
    <w:rsid w:val="008E6B99"/>
    <w:rsid w:val="008E7ED6"/>
    <w:rsid w:val="008F0116"/>
    <w:rsid w:val="008F02C4"/>
    <w:rsid w:val="008F143D"/>
    <w:rsid w:val="008F1922"/>
    <w:rsid w:val="008F19B7"/>
    <w:rsid w:val="008F1A31"/>
    <w:rsid w:val="008F268B"/>
    <w:rsid w:val="008F29E5"/>
    <w:rsid w:val="008F2F18"/>
    <w:rsid w:val="008F3C51"/>
    <w:rsid w:val="008F4CD3"/>
    <w:rsid w:val="008F5B12"/>
    <w:rsid w:val="008F7009"/>
    <w:rsid w:val="008F75F1"/>
    <w:rsid w:val="008F7716"/>
    <w:rsid w:val="009013F8"/>
    <w:rsid w:val="0090170B"/>
    <w:rsid w:val="0090252A"/>
    <w:rsid w:val="00902940"/>
    <w:rsid w:val="00902EA6"/>
    <w:rsid w:val="00904909"/>
    <w:rsid w:val="009052A1"/>
    <w:rsid w:val="009070F2"/>
    <w:rsid w:val="00907436"/>
    <w:rsid w:val="00912B98"/>
    <w:rsid w:val="009132F4"/>
    <w:rsid w:val="00913637"/>
    <w:rsid w:val="00913935"/>
    <w:rsid w:val="00913974"/>
    <w:rsid w:val="00915187"/>
    <w:rsid w:val="0091548A"/>
    <w:rsid w:val="00916C5E"/>
    <w:rsid w:val="00916EE0"/>
    <w:rsid w:val="00920516"/>
    <w:rsid w:val="00922FC1"/>
    <w:rsid w:val="00923326"/>
    <w:rsid w:val="009240D1"/>
    <w:rsid w:val="009264E3"/>
    <w:rsid w:val="009266CB"/>
    <w:rsid w:val="00926C33"/>
    <w:rsid w:val="009274FF"/>
    <w:rsid w:val="00927764"/>
    <w:rsid w:val="00927A29"/>
    <w:rsid w:val="00927F3C"/>
    <w:rsid w:val="009325CC"/>
    <w:rsid w:val="00932865"/>
    <w:rsid w:val="00933A91"/>
    <w:rsid w:val="009348C3"/>
    <w:rsid w:val="00936CDE"/>
    <w:rsid w:val="00942040"/>
    <w:rsid w:val="00943CDF"/>
    <w:rsid w:val="00943D2E"/>
    <w:rsid w:val="00944D3A"/>
    <w:rsid w:val="009451BE"/>
    <w:rsid w:val="00945960"/>
    <w:rsid w:val="00946F02"/>
    <w:rsid w:val="00947132"/>
    <w:rsid w:val="009476C8"/>
    <w:rsid w:val="0095194A"/>
    <w:rsid w:val="00951FE3"/>
    <w:rsid w:val="00953CEE"/>
    <w:rsid w:val="00954D25"/>
    <w:rsid w:val="00955615"/>
    <w:rsid w:val="00955A93"/>
    <w:rsid w:val="00956141"/>
    <w:rsid w:val="009568ED"/>
    <w:rsid w:val="009575EE"/>
    <w:rsid w:val="00957706"/>
    <w:rsid w:val="009577FC"/>
    <w:rsid w:val="009604AD"/>
    <w:rsid w:val="009609E3"/>
    <w:rsid w:val="00961317"/>
    <w:rsid w:val="0096191F"/>
    <w:rsid w:val="00961EF1"/>
    <w:rsid w:val="00962566"/>
    <w:rsid w:val="009627C0"/>
    <w:rsid w:val="00962E15"/>
    <w:rsid w:val="009639EE"/>
    <w:rsid w:val="00963E0C"/>
    <w:rsid w:val="0096523A"/>
    <w:rsid w:val="0096626A"/>
    <w:rsid w:val="009701EB"/>
    <w:rsid w:val="009702F9"/>
    <w:rsid w:val="00970AAD"/>
    <w:rsid w:val="00971285"/>
    <w:rsid w:val="0097181C"/>
    <w:rsid w:val="00971882"/>
    <w:rsid w:val="00972192"/>
    <w:rsid w:val="009723F1"/>
    <w:rsid w:val="00972B51"/>
    <w:rsid w:val="00972EC4"/>
    <w:rsid w:val="00972F4F"/>
    <w:rsid w:val="00973E9A"/>
    <w:rsid w:val="00975897"/>
    <w:rsid w:val="00977407"/>
    <w:rsid w:val="00977D42"/>
    <w:rsid w:val="009800A1"/>
    <w:rsid w:val="00980AB4"/>
    <w:rsid w:val="0098138E"/>
    <w:rsid w:val="0098214E"/>
    <w:rsid w:val="00982267"/>
    <w:rsid w:val="00982A6C"/>
    <w:rsid w:val="009835F0"/>
    <w:rsid w:val="00983DBF"/>
    <w:rsid w:val="00983EE2"/>
    <w:rsid w:val="009849F0"/>
    <w:rsid w:val="00985981"/>
    <w:rsid w:val="00985E99"/>
    <w:rsid w:val="0098655A"/>
    <w:rsid w:val="00986CC9"/>
    <w:rsid w:val="00986D3B"/>
    <w:rsid w:val="00993256"/>
    <w:rsid w:val="0099444D"/>
    <w:rsid w:val="00996BFC"/>
    <w:rsid w:val="009A097D"/>
    <w:rsid w:val="009A11EE"/>
    <w:rsid w:val="009A22D0"/>
    <w:rsid w:val="009A247F"/>
    <w:rsid w:val="009A2844"/>
    <w:rsid w:val="009A43B8"/>
    <w:rsid w:val="009A4882"/>
    <w:rsid w:val="009A4F0A"/>
    <w:rsid w:val="009A5461"/>
    <w:rsid w:val="009A55CB"/>
    <w:rsid w:val="009A593A"/>
    <w:rsid w:val="009A6E36"/>
    <w:rsid w:val="009B0A67"/>
    <w:rsid w:val="009B36FC"/>
    <w:rsid w:val="009B3D8F"/>
    <w:rsid w:val="009B46CE"/>
    <w:rsid w:val="009B4D99"/>
    <w:rsid w:val="009B4EC7"/>
    <w:rsid w:val="009B6453"/>
    <w:rsid w:val="009C01FE"/>
    <w:rsid w:val="009C065E"/>
    <w:rsid w:val="009C0746"/>
    <w:rsid w:val="009C220F"/>
    <w:rsid w:val="009C24FA"/>
    <w:rsid w:val="009C27BE"/>
    <w:rsid w:val="009C2B67"/>
    <w:rsid w:val="009C2FCA"/>
    <w:rsid w:val="009C3A37"/>
    <w:rsid w:val="009C3D96"/>
    <w:rsid w:val="009C4213"/>
    <w:rsid w:val="009C4DAD"/>
    <w:rsid w:val="009C512E"/>
    <w:rsid w:val="009C5589"/>
    <w:rsid w:val="009C5C10"/>
    <w:rsid w:val="009C5D4D"/>
    <w:rsid w:val="009C6FE4"/>
    <w:rsid w:val="009C7BCE"/>
    <w:rsid w:val="009C7CC6"/>
    <w:rsid w:val="009D1C95"/>
    <w:rsid w:val="009D40A0"/>
    <w:rsid w:val="009D4EE8"/>
    <w:rsid w:val="009D55D8"/>
    <w:rsid w:val="009D6BAF"/>
    <w:rsid w:val="009D7626"/>
    <w:rsid w:val="009E0015"/>
    <w:rsid w:val="009E05EF"/>
    <w:rsid w:val="009E112A"/>
    <w:rsid w:val="009E122D"/>
    <w:rsid w:val="009E18FA"/>
    <w:rsid w:val="009E2467"/>
    <w:rsid w:val="009E298F"/>
    <w:rsid w:val="009E3020"/>
    <w:rsid w:val="009E3AEE"/>
    <w:rsid w:val="009E3C54"/>
    <w:rsid w:val="009E4D1F"/>
    <w:rsid w:val="009E54D7"/>
    <w:rsid w:val="009E560D"/>
    <w:rsid w:val="009E5F8D"/>
    <w:rsid w:val="009E6052"/>
    <w:rsid w:val="009E781D"/>
    <w:rsid w:val="009E7834"/>
    <w:rsid w:val="009E7C7F"/>
    <w:rsid w:val="009F063C"/>
    <w:rsid w:val="009F0925"/>
    <w:rsid w:val="009F0D5C"/>
    <w:rsid w:val="009F289E"/>
    <w:rsid w:val="009F3AA0"/>
    <w:rsid w:val="009F4323"/>
    <w:rsid w:val="009F4820"/>
    <w:rsid w:val="009F5405"/>
    <w:rsid w:val="009F5433"/>
    <w:rsid w:val="009F59F7"/>
    <w:rsid w:val="009F5A25"/>
    <w:rsid w:val="009F5F41"/>
    <w:rsid w:val="009F7082"/>
    <w:rsid w:val="009F7ABA"/>
    <w:rsid w:val="009F7CA3"/>
    <w:rsid w:val="00A01626"/>
    <w:rsid w:val="00A01F09"/>
    <w:rsid w:val="00A0294E"/>
    <w:rsid w:val="00A0546B"/>
    <w:rsid w:val="00A05C00"/>
    <w:rsid w:val="00A05F85"/>
    <w:rsid w:val="00A06825"/>
    <w:rsid w:val="00A0748E"/>
    <w:rsid w:val="00A1014A"/>
    <w:rsid w:val="00A10ACE"/>
    <w:rsid w:val="00A13870"/>
    <w:rsid w:val="00A1396B"/>
    <w:rsid w:val="00A15299"/>
    <w:rsid w:val="00A15356"/>
    <w:rsid w:val="00A17675"/>
    <w:rsid w:val="00A17797"/>
    <w:rsid w:val="00A17CE0"/>
    <w:rsid w:val="00A20B1A"/>
    <w:rsid w:val="00A22292"/>
    <w:rsid w:val="00A23A16"/>
    <w:rsid w:val="00A23AA9"/>
    <w:rsid w:val="00A23D48"/>
    <w:rsid w:val="00A24596"/>
    <w:rsid w:val="00A246F9"/>
    <w:rsid w:val="00A26390"/>
    <w:rsid w:val="00A2657A"/>
    <w:rsid w:val="00A26779"/>
    <w:rsid w:val="00A26DED"/>
    <w:rsid w:val="00A26EE1"/>
    <w:rsid w:val="00A30FD5"/>
    <w:rsid w:val="00A314DF"/>
    <w:rsid w:val="00A325FD"/>
    <w:rsid w:val="00A329DB"/>
    <w:rsid w:val="00A333C1"/>
    <w:rsid w:val="00A33AC5"/>
    <w:rsid w:val="00A33AD0"/>
    <w:rsid w:val="00A33D84"/>
    <w:rsid w:val="00A345DB"/>
    <w:rsid w:val="00A34F5A"/>
    <w:rsid w:val="00A3543F"/>
    <w:rsid w:val="00A35FC3"/>
    <w:rsid w:val="00A362C6"/>
    <w:rsid w:val="00A37C7C"/>
    <w:rsid w:val="00A41937"/>
    <w:rsid w:val="00A42306"/>
    <w:rsid w:val="00A42431"/>
    <w:rsid w:val="00A42CC5"/>
    <w:rsid w:val="00A4462F"/>
    <w:rsid w:val="00A44E8D"/>
    <w:rsid w:val="00A45AEF"/>
    <w:rsid w:val="00A46033"/>
    <w:rsid w:val="00A4646D"/>
    <w:rsid w:val="00A468B4"/>
    <w:rsid w:val="00A469B3"/>
    <w:rsid w:val="00A46EA8"/>
    <w:rsid w:val="00A47902"/>
    <w:rsid w:val="00A52587"/>
    <w:rsid w:val="00A52A6C"/>
    <w:rsid w:val="00A5306B"/>
    <w:rsid w:val="00A53231"/>
    <w:rsid w:val="00A54A2B"/>
    <w:rsid w:val="00A55ACD"/>
    <w:rsid w:val="00A55C08"/>
    <w:rsid w:val="00A5616D"/>
    <w:rsid w:val="00A563DD"/>
    <w:rsid w:val="00A60B57"/>
    <w:rsid w:val="00A62003"/>
    <w:rsid w:val="00A621FF"/>
    <w:rsid w:val="00A642F4"/>
    <w:rsid w:val="00A65CAB"/>
    <w:rsid w:val="00A663B9"/>
    <w:rsid w:val="00A66BA4"/>
    <w:rsid w:val="00A70EDE"/>
    <w:rsid w:val="00A71E0D"/>
    <w:rsid w:val="00A71E88"/>
    <w:rsid w:val="00A722B1"/>
    <w:rsid w:val="00A72E37"/>
    <w:rsid w:val="00A738CF"/>
    <w:rsid w:val="00A74C33"/>
    <w:rsid w:val="00A8184B"/>
    <w:rsid w:val="00A819D0"/>
    <w:rsid w:val="00A822F1"/>
    <w:rsid w:val="00A82F75"/>
    <w:rsid w:val="00A83071"/>
    <w:rsid w:val="00A83A0A"/>
    <w:rsid w:val="00A83B69"/>
    <w:rsid w:val="00A849D0"/>
    <w:rsid w:val="00A85D27"/>
    <w:rsid w:val="00A85DEF"/>
    <w:rsid w:val="00A86411"/>
    <w:rsid w:val="00A87005"/>
    <w:rsid w:val="00A877B5"/>
    <w:rsid w:val="00A87F03"/>
    <w:rsid w:val="00A918FE"/>
    <w:rsid w:val="00A91DDA"/>
    <w:rsid w:val="00A92D68"/>
    <w:rsid w:val="00A93F04"/>
    <w:rsid w:val="00A95559"/>
    <w:rsid w:val="00A95724"/>
    <w:rsid w:val="00A957FC"/>
    <w:rsid w:val="00A95AD8"/>
    <w:rsid w:val="00A96C69"/>
    <w:rsid w:val="00AA03F6"/>
    <w:rsid w:val="00AA0469"/>
    <w:rsid w:val="00AA57DF"/>
    <w:rsid w:val="00AA6A6B"/>
    <w:rsid w:val="00AA7012"/>
    <w:rsid w:val="00AA7CC0"/>
    <w:rsid w:val="00AB058C"/>
    <w:rsid w:val="00AB0AFE"/>
    <w:rsid w:val="00AB0E97"/>
    <w:rsid w:val="00AB13E8"/>
    <w:rsid w:val="00AB1F46"/>
    <w:rsid w:val="00AB2107"/>
    <w:rsid w:val="00AB344B"/>
    <w:rsid w:val="00AB34E3"/>
    <w:rsid w:val="00AB36FB"/>
    <w:rsid w:val="00AB37FE"/>
    <w:rsid w:val="00AB4C65"/>
    <w:rsid w:val="00AB574D"/>
    <w:rsid w:val="00AB69A5"/>
    <w:rsid w:val="00AB7875"/>
    <w:rsid w:val="00AC03A0"/>
    <w:rsid w:val="00AC0D29"/>
    <w:rsid w:val="00AC0F3B"/>
    <w:rsid w:val="00AC1C70"/>
    <w:rsid w:val="00AC1EEA"/>
    <w:rsid w:val="00AC421F"/>
    <w:rsid w:val="00AC4568"/>
    <w:rsid w:val="00AC5367"/>
    <w:rsid w:val="00AC60B9"/>
    <w:rsid w:val="00AC68EE"/>
    <w:rsid w:val="00AC7AC4"/>
    <w:rsid w:val="00AD2782"/>
    <w:rsid w:val="00AD2BE5"/>
    <w:rsid w:val="00AD3794"/>
    <w:rsid w:val="00AD4187"/>
    <w:rsid w:val="00AD6304"/>
    <w:rsid w:val="00AD67A6"/>
    <w:rsid w:val="00AD7181"/>
    <w:rsid w:val="00AE092D"/>
    <w:rsid w:val="00AE1D52"/>
    <w:rsid w:val="00AE1F68"/>
    <w:rsid w:val="00AE2E1A"/>
    <w:rsid w:val="00AE348F"/>
    <w:rsid w:val="00AF02DB"/>
    <w:rsid w:val="00AF0492"/>
    <w:rsid w:val="00AF1308"/>
    <w:rsid w:val="00AF176E"/>
    <w:rsid w:val="00AF21A1"/>
    <w:rsid w:val="00AF2F95"/>
    <w:rsid w:val="00AF34E4"/>
    <w:rsid w:val="00AF42C5"/>
    <w:rsid w:val="00AF458D"/>
    <w:rsid w:val="00AF4D5E"/>
    <w:rsid w:val="00AF588A"/>
    <w:rsid w:val="00AF77BD"/>
    <w:rsid w:val="00AF77F0"/>
    <w:rsid w:val="00AF7B94"/>
    <w:rsid w:val="00AF7DB9"/>
    <w:rsid w:val="00B00E8D"/>
    <w:rsid w:val="00B01149"/>
    <w:rsid w:val="00B0135E"/>
    <w:rsid w:val="00B018F0"/>
    <w:rsid w:val="00B01AED"/>
    <w:rsid w:val="00B01F76"/>
    <w:rsid w:val="00B01F7E"/>
    <w:rsid w:val="00B02125"/>
    <w:rsid w:val="00B03E71"/>
    <w:rsid w:val="00B0437E"/>
    <w:rsid w:val="00B04C06"/>
    <w:rsid w:val="00B07936"/>
    <w:rsid w:val="00B07D6F"/>
    <w:rsid w:val="00B07F34"/>
    <w:rsid w:val="00B100D0"/>
    <w:rsid w:val="00B12678"/>
    <w:rsid w:val="00B12C52"/>
    <w:rsid w:val="00B12ECF"/>
    <w:rsid w:val="00B131B2"/>
    <w:rsid w:val="00B132FF"/>
    <w:rsid w:val="00B13E1F"/>
    <w:rsid w:val="00B1448C"/>
    <w:rsid w:val="00B1503C"/>
    <w:rsid w:val="00B1651F"/>
    <w:rsid w:val="00B16C2A"/>
    <w:rsid w:val="00B17760"/>
    <w:rsid w:val="00B203CC"/>
    <w:rsid w:val="00B2369B"/>
    <w:rsid w:val="00B23F94"/>
    <w:rsid w:val="00B24499"/>
    <w:rsid w:val="00B25599"/>
    <w:rsid w:val="00B2594C"/>
    <w:rsid w:val="00B259C0"/>
    <w:rsid w:val="00B26822"/>
    <w:rsid w:val="00B27A80"/>
    <w:rsid w:val="00B2D11B"/>
    <w:rsid w:val="00B3087D"/>
    <w:rsid w:val="00B30B2A"/>
    <w:rsid w:val="00B30CCE"/>
    <w:rsid w:val="00B31512"/>
    <w:rsid w:val="00B31547"/>
    <w:rsid w:val="00B32BE7"/>
    <w:rsid w:val="00B34794"/>
    <w:rsid w:val="00B352F6"/>
    <w:rsid w:val="00B36AA6"/>
    <w:rsid w:val="00B3720C"/>
    <w:rsid w:val="00B37BD8"/>
    <w:rsid w:val="00B41914"/>
    <w:rsid w:val="00B424D0"/>
    <w:rsid w:val="00B42F14"/>
    <w:rsid w:val="00B4497C"/>
    <w:rsid w:val="00B45228"/>
    <w:rsid w:val="00B454C3"/>
    <w:rsid w:val="00B45D0B"/>
    <w:rsid w:val="00B509D4"/>
    <w:rsid w:val="00B51991"/>
    <w:rsid w:val="00B523AE"/>
    <w:rsid w:val="00B52614"/>
    <w:rsid w:val="00B52F9E"/>
    <w:rsid w:val="00B53556"/>
    <w:rsid w:val="00B54515"/>
    <w:rsid w:val="00B54E3B"/>
    <w:rsid w:val="00B54FF2"/>
    <w:rsid w:val="00B5514A"/>
    <w:rsid w:val="00B562AE"/>
    <w:rsid w:val="00B5755D"/>
    <w:rsid w:val="00B57AA7"/>
    <w:rsid w:val="00B60421"/>
    <w:rsid w:val="00B6117D"/>
    <w:rsid w:val="00B6262C"/>
    <w:rsid w:val="00B62785"/>
    <w:rsid w:val="00B6279D"/>
    <w:rsid w:val="00B6388C"/>
    <w:rsid w:val="00B63C74"/>
    <w:rsid w:val="00B65C7A"/>
    <w:rsid w:val="00B669A2"/>
    <w:rsid w:val="00B70C87"/>
    <w:rsid w:val="00B710F5"/>
    <w:rsid w:val="00B717A7"/>
    <w:rsid w:val="00B71D30"/>
    <w:rsid w:val="00B75570"/>
    <w:rsid w:val="00B75BF9"/>
    <w:rsid w:val="00B76D6B"/>
    <w:rsid w:val="00B77ED2"/>
    <w:rsid w:val="00B80D8C"/>
    <w:rsid w:val="00B816FD"/>
    <w:rsid w:val="00B81EB6"/>
    <w:rsid w:val="00B81F93"/>
    <w:rsid w:val="00B835D4"/>
    <w:rsid w:val="00B83ED3"/>
    <w:rsid w:val="00B8614A"/>
    <w:rsid w:val="00B9181D"/>
    <w:rsid w:val="00B93990"/>
    <w:rsid w:val="00B94683"/>
    <w:rsid w:val="00B94BFE"/>
    <w:rsid w:val="00B95FEA"/>
    <w:rsid w:val="00BA0063"/>
    <w:rsid w:val="00BA22B5"/>
    <w:rsid w:val="00BA5371"/>
    <w:rsid w:val="00BA66C2"/>
    <w:rsid w:val="00BA7673"/>
    <w:rsid w:val="00BB0243"/>
    <w:rsid w:val="00BB08B4"/>
    <w:rsid w:val="00BB11F0"/>
    <w:rsid w:val="00BB15E3"/>
    <w:rsid w:val="00BB1E10"/>
    <w:rsid w:val="00BB208F"/>
    <w:rsid w:val="00BB25B8"/>
    <w:rsid w:val="00BB2E01"/>
    <w:rsid w:val="00BB33FE"/>
    <w:rsid w:val="00BB6632"/>
    <w:rsid w:val="00BB6BDF"/>
    <w:rsid w:val="00BB7457"/>
    <w:rsid w:val="00BB76CE"/>
    <w:rsid w:val="00BB78A6"/>
    <w:rsid w:val="00BC0026"/>
    <w:rsid w:val="00BC01EB"/>
    <w:rsid w:val="00BC02B8"/>
    <w:rsid w:val="00BC03CE"/>
    <w:rsid w:val="00BC082F"/>
    <w:rsid w:val="00BC0AFA"/>
    <w:rsid w:val="00BC2379"/>
    <w:rsid w:val="00BC3340"/>
    <w:rsid w:val="00BC3897"/>
    <w:rsid w:val="00BC3A1A"/>
    <w:rsid w:val="00BC4DD7"/>
    <w:rsid w:val="00BC521A"/>
    <w:rsid w:val="00BC62FD"/>
    <w:rsid w:val="00BC6C90"/>
    <w:rsid w:val="00BC7F21"/>
    <w:rsid w:val="00BD08F9"/>
    <w:rsid w:val="00BD1365"/>
    <w:rsid w:val="00BD1503"/>
    <w:rsid w:val="00BD4799"/>
    <w:rsid w:val="00BD6768"/>
    <w:rsid w:val="00BD6B31"/>
    <w:rsid w:val="00BD6EC7"/>
    <w:rsid w:val="00BD7343"/>
    <w:rsid w:val="00BD7625"/>
    <w:rsid w:val="00BD7946"/>
    <w:rsid w:val="00BE01A9"/>
    <w:rsid w:val="00BE221E"/>
    <w:rsid w:val="00BE2643"/>
    <w:rsid w:val="00BE311F"/>
    <w:rsid w:val="00BE423A"/>
    <w:rsid w:val="00BE518B"/>
    <w:rsid w:val="00BE5BB6"/>
    <w:rsid w:val="00BE6AB6"/>
    <w:rsid w:val="00BE6F6A"/>
    <w:rsid w:val="00BE7F38"/>
    <w:rsid w:val="00BF0B39"/>
    <w:rsid w:val="00BF1437"/>
    <w:rsid w:val="00BF3A55"/>
    <w:rsid w:val="00BF4122"/>
    <w:rsid w:val="00BF46B3"/>
    <w:rsid w:val="00BF6082"/>
    <w:rsid w:val="00BF6A7F"/>
    <w:rsid w:val="00BF6DB8"/>
    <w:rsid w:val="00BF6DDC"/>
    <w:rsid w:val="00BF701C"/>
    <w:rsid w:val="00BF74C8"/>
    <w:rsid w:val="00BF7D46"/>
    <w:rsid w:val="00C00C4F"/>
    <w:rsid w:val="00C01544"/>
    <w:rsid w:val="00C02CBD"/>
    <w:rsid w:val="00C03078"/>
    <w:rsid w:val="00C039F5"/>
    <w:rsid w:val="00C05412"/>
    <w:rsid w:val="00C05866"/>
    <w:rsid w:val="00C05921"/>
    <w:rsid w:val="00C060B6"/>
    <w:rsid w:val="00C073E5"/>
    <w:rsid w:val="00C07F33"/>
    <w:rsid w:val="00C1060C"/>
    <w:rsid w:val="00C109B9"/>
    <w:rsid w:val="00C10B5F"/>
    <w:rsid w:val="00C11959"/>
    <w:rsid w:val="00C132AF"/>
    <w:rsid w:val="00C153CE"/>
    <w:rsid w:val="00C15EDB"/>
    <w:rsid w:val="00C16857"/>
    <w:rsid w:val="00C169DC"/>
    <w:rsid w:val="00C17321"/>
    <w:rsid w:val="00C17484"/>
    <w:rsid w:val="00C17A09"/>
    <w:rsid w:val="00C201A9"/>
    <w:rsid w:val="00C2030F"/>
    <w:rsid w:val="00C22F27"/>
    <w:rsid w:val="00C23166"/>
    <w:rsid w:val="00C23BFD"/>
    <w:rsid w:val="00C23C13"/>
    <w:rsid w:val="00C255E7"/>
    <w:rsid w:val="00C25B46"/>
    <w:rsid w:val="00C26977"/>
    <w:rsid w:val="00C27098"/>
    <w:rsid w:val="00C30004"/>
    <w:rsid w:val="00C30287"/>
    <w:rsid w:val="00C31179"/>
    <w:rsid w:val="00C31B6A"/>
    <w:rsid w:val="00C32284"/>
    <w:rsid w:val="00C32FB0"/>
    <w:rsid w:val="00C33B54"/>
    <w:rsid w:val="00C33D96"/>
    <w:rsid w:val="00C34BE6"/>
    <w:rsid w:val="00C37B31"/>
    <w:rsid w:val="00C40986"/>
    <w:rsid w:val="00C443AA"/>
    <w:rsid w:val="00C4442E"/>
    <w:rsid w:val="00C44BF0"/>
    <w:rsid w:val="00C47203"/>
    <w:rsid w:val="00C472D1"/>
    <w:rsid w:val="00C4736E"/>
    <w:rsid w:val="00C51EBC"/>
    <w:rsid w:val="00C530BA"/>
    <w:rsid w:val="00C57ACA"/>
    <w:rsid w:val="00C57EE7"/>
    <w:rsid w:val="00C609C2"/>
    <w:rsid w:val="00C61535"/>
    <w:rsid w:val="00C615E5"/>
    <w:rsid w:val="00C64B0C"/>
    <w:rsid w:val="00C6644D"/>
    <w:rsid w:val="00C66AD0"/>
    <w:rsid w:val="00C672E2"/>
    <w:rsid w:val="00C6737E"/>
    <w:rsid w:val="00C7057C"/>
    <w:rsid w:val="00C70960"/>
    <w:rsid w:val="00C70F66"/>
    <w:rsid w:val="00C71AC0"/>
    <w:rsid w:val="00C737EB"/>
    <w:rsid w:val="00C73C9F"/>
    <w:rsid w:val="00C73CF5"/>
    <w:rsid w:val="00C74ABC"/>
    <w:rsid w:val="00C75BAB"/>
    <w:rsid w:val="00C771C8"/>
    <w:rsid w:val="00C77C25"/>
    <w:rsid w:val="00C80000"/>
    <w:rsid w:val="00C804F3"/>
    <w:rsid w:val="00C8108E"/>
    <w:rsid w:val="00C8117A"/>
    <w:rsid w:val="00C8264E"/>
    <w:rsid w:val="00C82979"/>
    <w:rsid w:val="00C82B4A"/>
    <w:rsid w:val="00C847B5"/>
    <w:rsid w:val="00C863C8"/>
    <w:rsid w:val="00C864C4"/>
    <w:rsid w:val="00C872C2"/>
    <w:rsid w:val="00C878D5"/>
    <w:rsid w:val="00C87CC4"/>
    <w:rsid w:val="00C9033B"/>
    <w:rsid w:val="00C91110"/>
    <w:rsid w:val="00C913A1"/>
    <w:rsid w:val="00C91476"/>
    <w:rsid w:val="00C92946"/>
    <w:rsid w:val="00C945FA"/>
    <w:rsid w:val="00C94E14"/>
    <w:rsid w:val="00C94FC8"/>
    <w:rsid w:val="00C9586A"/>
    <w:rsid w:val="00C9610C"/>
    <w:rsid w:val="00C96CC6"/>
    <w:rsid w:val="00CA0251"/>
    <w:rsid w:val="00CA042E"/>
    <w:rsid w:val="00CA04B8"/>
    <w:rsid w:val="00CA3BB7"/>
    <w:rsid w:val="00CA428D"/>
    <w:rsid w:val="00CA48BE"/>
    <w:rsid w:val="00CA6871"/>
    <w:rsid w:val="00CB0B11"/>
    <w:rsid w:val="00CB173D"/>
    <w:rsid w:val="00CB4CCF"/>
    <w:rsid w:val="00CB52A3"/>
    <w:rsid w:val="00CB546A"/>
    <w:rsid w:val="00CB61B1"/>
    <w:rsid w:val="00CB6755"/>
    <w:rsid w:val="00CB7F01"/>
    <w:rsid w:val="00CC01B0"/>
    <w:rsid w:val="00CC24B9"/>
    <w:rsid w:val="00CC24F8"/>
    <w:rsid w:val="00CC2DE1"/>
    <w:rsid w:val="00CC324A"/>
    <w:rsid w:val="00CC4000"/>
    <w:rsid w:val="00CC5A3D"/>
    <w:rsid w:val="00CC6A99"/>
    <w:rsid w:val="00CC6D71"/>
    <w:rsid w:val="00CD060F"/>
    <w:rsid w:val="00CD1A11"/>
    <w:rsid w:val="00CD206E"/>
    <w:rsid w:val="00CD218A"/>
    <w:rsid w:val="00CD2702"/>
    <w:rsid w:val="00CD2A27"/>
    <w:rsid w:val="00CD3DB7"/>
    <w:rsid w:val="00CD3E6A"/>
    <w:rsid w:val="00CD6E5F"/>
    <w:rsid w:val="00CD7B4B"/>
    <w:rsid w:val="00CE04BA"/>
    <w:rsid w:val="00CE07B4"/>
    <w:rsid w:val="00CE07E7"/>
    <w:rsid w:val="00CE0895"/>
    <w:rsid w:val="00CE0940"/>
    <w:rsid w:val="00CE1F3E"/>
    <w:rsid w:val="00CE267A"/>
    <w:rsid w:val="00CE43FA"/>
    <w:rsid w:val="00CE5BB3"/>
    <w:rsid w:val="00CE62C6"/>
    <w:rsid w:val="00CE64EE"/>
    <w:rsid w:val="00CE7EBC"/>
    <w:rsid w:val="00CF105E"/>
    <w:rsid w:val="00CF6125"/>
    <w:rsid w:val="00CF6D31"/>
    <w:rsid w:val="00CF7848"/>
    <w:rsid w:val="00CF7A79"/>
    <w:rsid w:val="00D002D9"/>
    <w:rsid w:val="00D006FC"/>
    <w:rsid w:val="00D00AA3"/>
    <w:rsid w:val="00D0204A"/>
    <w:rsid w:val="00D028C3"/>
    <w:rsid w:val="00D02DDE"/>
    <w:rsid w:val="00D03543"/>
    <w:rsid w:val="00D0504E"/>
    <w:rsid w:val="00D053DD"/>
    <w:rsid w:val="00D05612"/>
    <w:rsid w:val="00D05D23"/>
    <w:rsid w:val="00D0725B"/>
    <w:rsid w:val="00D074F2"/>
    <w:rsid w:val="00D07A99"/>
    <w:rsid w:val="00D07BEF"/>
    <w:rsid w:val="00D07F73"/>
    <w:rsid w:val="00D102B1"/>
    <w:rsid w:val="00D10904"/>
    <w:rsid w:val="00D11BB2"/>
    <w:rsid w:val="00D11F39"/>
    <w:rsid w:val="00D13252"/>
    <w:rsid w:val="00D13813"/>
    <w:rsid w:val="00D13BF9"/>
    <w:rsid w:val="00D13E6E"/>
    <w:rsid w:val="00D14844"/>
    <w:rsid w:val="00D14B8B"/>
    <w:rsid w:val="00D15CC2"/>
    <w:rsid w:val="00D16C46"/>
    <w:rsid w:val="00D17685"/>
    <w:rsid w:val="00D17779"/>
    <w:rsid w:val="00D2041C"/>
    <w:rsid w:val="00D22618"/>
    <w:rsid w:val="00D2325F"/>
    <w:rsid w:val="00D23ABD"/>
    <w:rsid w:val="00D25663"/>
    <w:rsid w:val="00D25ADE"/>
    <w:rsid w:val="00D26330"/>
    <w:rsid w:val="00D269F1"/>
    <w:rsid w:val="00D279B4"/>
    <w:rsid w:val="00D304D4"/>
    <w:rsid w:val="00D30B1B"/>
    <w:rsid w:val="00D31081"/>
    <w:rsid w:val="00D3663D"/>
    <w:rsid w:val="00D371A2"/>
    <w:rsid w:val="00D40946"/>
    <w:rsid w:val="00D4133D"/>
    <w:rsid w:val="00D42B47"/>
    <w:rsid w:val="00D43297"/>
    <w:rsid w:val="00D44766"/>
    <w:rsid w:val="00D44DB6"/>
    <w:rsid w:val="00D44E44"/>
    <w:rsid w:val="00D44FD3"/>
    <w:rsid w:val="00D45341"/>
    <w:rsid w:val="00D46BC9"/>
    <w:rsid w:val="00D46BF0"/>
    <w:rsid w:val="00D47A20"/>
    <w:rsid w:val="00D50050"/>
    <w:rsid w:val="00D50119"/>
    <w:rsid w:val="00D527D2"/>
    <w:rsid w:val="00D527F9"/>
    <w:rsid w:val="00D54E3A"/>
    <w:rsid w:val="00D555E6"/>
    <w:rsid w:val="00D556C4"/>
    <w:rsid w:val="00D5636E"/>
    <w:rsid w:val="00D56C79"/>
    <w:rsid w:val="00D56DCF"/>
    <w:rsid w:val="00D5720D"/>
    <w:rsid w:val="00D574DB"/>
    <w:rsid w:val="00D60025"/>
    <w:rsid w:val="00D603BA"/>
    <w:rsid w:val="00D60D53"/>
    <w:rsid w:val="00D6100B"/>
    <w:rsid w:val="00D61368"/>
    <w:rsid w:val="00D614B2"/>
    <w:rsid w:val="00D61FA7"/>
    <w:rsid w:val="00D620D0"/>
    <w:rsid w:val="00D62888"/>
    <w:rsid w:val="00D62F45"/>
    <w:rsid w:val="00D63B98"/>
    <w:rsid w:val="00D64359"/>
    <w:rsid w:val="00D64C52"/>
    <w:rsid w:val="00D65321"/>
    <w:rsid w:val="00D654E5"/>
    <w:rsid w:val="00D65DF1"/>
    <w:rsid w:val="00D66B2B"/>
    <w:rsid w:val="00D66E83"/>
    <w:rsid w:val="00D67052"/>
    <w:rsid w:val="00D671D7"/>
    <w:rsid w:val="00D70BA9"/>
    <w:rsid w:val="00D71B70"/>
    <w:rsid w:val="00D71D2B"/>
    <w:rsid w:val="00D71D6C"/>
    <w:rsid w:val="00D7226D"/>
    <w:rsid w:val="00D75488"/>
    <w:rsid w:val="00D76797"/>
    <w:rsid w:val="00D80A0E"/>
    <w:rsid w:val="00D8154F"/>
    <w:rsid w:val="00D8247A"/>
    <w:rsid w:val="00D827DA"/>
    <w:rsid w:val="00D82A43"/>
    <w:rsid w:val="00D83B13"/>
    <w:rsid w:val="00D841D2"/>
    <w:rsid w:val="00D85157"/>
    <w:rsid w:val="00D85AEE"/>
    <w:rsid w:val="00D85BE6"/>
    <w:rsid w:val="00D879C5"/>
    <w:rsid w:val="00D87B6A"/>
    <w:rsid w:val="00D92C3B"/>
    <w:rsid w:val="00D948DA"/>
    <w:rsid w:val="00D957E6"/>
    <w:rsid w:val="00D96122"/>
    <w:rsid w:val="00D96C28"/>
    <w:rsid w:val="00D97521"/>
    <w:rsid w:val="00DA0813"/>
    <w:rsid w:val="00DA1142"/>
    <w:rsid w:val="00DA19CE"/>
    <w:rsid w:val="00DA32B1"/>
    <w:rsid w:val="00DA3328"/>
    <w:rsid w:val="00DA3ACF"/>
    <w:rsid w:val="00DA3F53"/>
    <w:rsid w:val="00DA4268"/>
    <w:rsid w:val="00DA4317"/>
    <w:rsid w:val="00DA52BB"/>
    <w:rsid w:val="00DA5698"/>
    <w:rsid w:val="00DA5C28"/>
    <w:rsid w:val="00DA618C"/>
    <w:rsid w:val="00DA64B9"/>
    <w:rsid w:val="00DA6682"/>
    <w:rsid w:val="00DA68AA"/>
    <w:rsid w:val="00DA6F10"/>
    <w:rsid w:val="00DA73BA"/>
    <w:rsid w:val="00DA7752"/>
    <w:rsid w:val="00DA7B5D"/>
    <w:rsid w:val="00DB0264"/>
    <w:rsid w:val="00DB0BBE"/>
    <w:rsid w:val="00DB106B"/>
    <w:rsid w:val="00DB3271"/>
    <w:rsid w:val="00DB3507"/>
    <w:rsid w:val="00DB36E9"/>
    <w:rsid w:val="00DB3CE6"/>
    <w:rsid w:val="00DB3EDA"/>
    <w:rsid w:val="00DB42ED"/>
    <w:rsid w:val="00DB458F"/>
    <w:rsid w:val="00DB5158"/>
    <w:rsid w:val="00DB5EF7"/>
    <w:rsid w:val="00DB6D59"/>
    <w:rsid w:val="00DB7D03"/>
    <w:rsid w:val="00DC01D3"/>
    <w:rsid w:val="00DC0202"/>
    <w:rsid w:val="00DC0E01"/>
    <w:rsid w:val="00DC1864"/>
    <w:rsid w:val="00DC1FA3"/>
    <w:rsid w:val="00DC2580"/>
    <w:rsid w:val="00DC4306"/>
    <w:rsid w:val="00DC74FA"/>
    <w:rsid w:val="00DC7F1C"/>
    <w:rsid w:val="00DD5139"/>
    <w:rsid w:val="00DD58E5"/>
    <w:rsid w:val="00DD6758"/>
    <w:rsid w:val="00DD6796"/>
    <w:rsid w:val="00DD6EDE"/>
    <w:rsid w:val="00DE0C9E"/>
    <w:rsid w:val="00DE126F"/>
    <w:rsid w:val="00DE5635"/>
    <w:rsid w:val="00DE5A34"/>
    <w:rsid w:val="00DE652C"/>
    <w:rsid w:val="00DE7FCD"/>
    <w:rsid w:val="00DF2680"/>
    <w:rsid w:val="00DF2E13"/>
    <w:rsid w:val="00DF3749"/>
    <w:rsid w:val="00DF3BD0"/>
    <w:rsid w:val="00DF46C6"/>
    <w:rsid w:val="00DF4F02"/>
    <w:rsid w:val="00DF4F0A"/>
    <w:rsid w:val="00DF58E7"/>
    <w:rsid w:val="00DF5B43"/>
    <w:rsid w:val="00DF6D4D"/>
    <w:rsid w:val="00DF7413"/>
    <w:rsid w:val="00DF7C40"/>
    <w:rsid w:val="00E005C9"/>
    <w:rsid w:val="00E01453"/>
    <w:rsid w:val="00E02398"/>
    <w:rsid w:val="00E03144"/>
    <w:rsid w:val="00E0486E"/>
    <w:rsid w:val="00E0604B"/>
    <w:rsid w:val="00E06FC0"/>
    <w:rsid w:val="00E11876"/>
    <w:rsid w:val="00E11DD7"/>
    <w:rsid w:val="00E13E1C"/>
    <w:rsid w:val="00E14621"/>
    <w:rsid w:val="00E14945"/>
    <w:rsid w:val="00E14DDC"/>
    <w:rsid w:val="00E14FE4"/>
    <w:rsid w:val="00E151DB"/>
    <w:rsid w:val="00E159DA"/>
    <w:rsid w:val="00E17133"/>
    <w:rsid w:val="00E20BDD"/>
    <w:rsid w:val="00E21F08"/>
    <w:rsid w:val="00E22315"/>
    <w:rsid w:val="00E23816"/>
    <w:rsid w:val="00E23CBB"/>
    <w:rsid w:val="00E2413C"/>
    <w:rsid w:val="00E24696"/>
    <w:rsid w:val="00E26442"/>
    <w:rsid w:val="00E2726E"/>
    <w:rsid w:val="00E27EC6"/>
    <w:rsid w:val="00E305FF"/>
    <w:rsid w:val="00E31356"/>
    <w:rsid w:val="00E31686"/>
    <w:rsid w:val="00E32622"/>
    <w:rsid w:val="00E32DD7"/>
    <w:rsid w:val="00E3363A"/>
    <w:rsid w:val="00E3536B"/>
    <w:rsid w:val="00E3642E"/>
    <w:rsid w:val="00E36E4B"/>
    <w:rsid w:val="00E37B59"/>
    <w:rsid w:val="00E410FA"/>
    <w:rsid w:val="00E4138A"/>
    <w:rsid w:val="00E41713"/>
    <w:rsid w:val="00E41BF0"/>
    <w:rsid w:val="00E43485"/>
    <w:rsid w:val="00E440EA"/>
    <w:rsid w:val="00E45221"/>
    <w:rsid w:val="00E45390"/>
    <w:rsid w:val="00E455FE"/>
    <w:rsid w:val="00E470A5"/>
    <w:rsid w:val="00E4783D"/>
    <w:rsid w:val="00E47FF5"/>
    <w:rsid w:val="00E51FDC"/>
    <w:rsid w:val="00E53438"/>
    <w:rsid w:val="00E53DD3"/>
    <w:rsid w:val="00E540FB"/>
    <w:rsid w:val="00E5521C"/>
    <w:rsid w:val="00E56619"/>
    <w:rsid w:val="00E601F6"/>
    <w:rsid w:val="00E62EC5"/>
    <w:rsid w:val="00E6349A"/>
    <w:rsid w:val="00E63779"/>
    <w:rsid w:val="00E64DF6"/>
    <w:rsid w:val="00E661CF"/>
    <w:rsid w:val="00E66E1C"/>
    <w:rsid w:val="00E67006"/>
    <w:rsid w:val="00E7020D"/>
    <w:rsid w:val="00E708D9"/>
    <w:rsid w:val="00E70C99"/>
    <w:rsid w:val="00E70D54"/>
    <w:rsid w:val="00E725FC"/>
    <w:rsid w:val="00E72D8F"/>
    <w:rsid w:val="00E73AE3"/>
    <w:rsid w:val="00E73E06"/>
    <w:rsid w:val="00E74199"/>
    <w:rsid w:val="00E7480E"/>
    <w:rsid w:val="00E75178"/>
    <w:rsid w:val="00E751BD"/>
    <w:rsid w:val="00E762F7"/>
    <w:rsid w:val="00E77619"/>
    <w:rsid w:val="00E77A4A"/>
    <w:rsid w:val="00E77B63"/>
    <w:rsid w:val="00E80428"/>
    <w:rsid w:val="00E808DA"/>
    <w:rsid w:val="00E809B5"/>
    <w:rsid w:val="00E8310F"/>
    <w:rsid w:val="00E838A2"/>
    <w:rsid w:val="00E848B6"/>
    <w:rsid w:val="00E86500"/>
    <w:rsid w:val="00E8693A"/>
    <w:rsid w:val="00E86A12"/>
    <w:rsid w:val="00E86EEF"/>
    <w:rsid w:val="00E87368"/>
    <w:rsid w:val="00E87A31"/>
    <w:rsid w:val="00E90058"/>
    <w:rsid w:val="00E915A4"/>
    <w:rsid w:val="00E92240"/>
    <w:rsid w:val="00E92BD3"/>
    <w:rsid w:val="00E93C7C"/>
    <w:rsid w:val="00E94A7A"/>
    <w:rsid w:val="00E9718A"/>
    <w:rsid w:val="00EA0023"/>
    <w:rsid w:val="00EA0217"/>
    <w:rsid w:val="00EA239B"/>
    <w:rsid w:val="00EA36C6"/>
    <w:rsid w:val="00EA4D1C"/>
    <w:rsid w:val="00EA7AE0"/>
    <w:rsid w:val="00EA7E83"/>
    <w:rsid w:val="00EB07AC"/>
    <w:rsid w:val="00EB0B15"/>
    <w:rsid w:val="00EB3423"/>
    <w:rsid w:val="00EB4007"/>
    <w:rsid w:val="00EB44DB"/>
    <w:rsid w:val="00EB52C7"/>
    <w:rsid w:val="00EB6684"/>
    <w:rsid w:val="00EB78BA"/>
    <w:rsid w:val="00EC264A"/>
    <w:rsid w:val="00EC28CF"/>
    <w:rsid w:val="00EC2BEB"/>
    <w:rsid w:val="00EC30F9"/>
    <w:rsid w:val="00EC39D9"/>
    <w:rsid w:val="00EC3D7B"/>
    <w:rsid w:val="00EC4994"/>
    <w:rsid w:val="00EC753F"/>
    <w:rsid w:val="00EC7703"/>
    <w:rsid w:val="00ED1581"/>
    <w:rsid w:val="00ED2062"/>
    <w:rsid w:val="00ED3091"/>
    <w:rsid w:val="00ED5183"/>
    <w:rsid w:val="00ED5725"/>
    <w:rsid w:val="00ED6497"/>
    <w:rsid w:val="00ED66E3"/>
    <w:rsid w:val="00ED6A08"/>
    <w:rsid w:val="00ED7031"/>
    <w:rsid w:val="00ED7833"/>
    <w:rsid w:val="00EE1B8D"/>
    <w:rsid w:val="00EE3060"/>
    <w:rsid w:val="00EE4315"/>
    <w:rsid w:val="00EE4C11"/>
    <w:rsid w:val="00EE7BCC"/>
    <w:rsid w:val="00EE7EF4"/>
    <w:rsid w:val="00EF07CC"/>
    <w:rsid w:val="00EF0E56"/>
    <w:rsid w:val="00EF128B"/>
    <w:rsid w:val="00EF1923"/>
    <w:rsid w:val="00EF2A1B"/>
    <w:rsid w:val="00EF438F"/>
    <w:rsid w:val="00EF4CF9"/>
    <w:rsid w:val="00EF4F6B"/>
    <w:rsid w:val="00EF5023"/>
    <w:rsid w:val="00EF5A3C"/>
    <w:rsid w:val="00EF6925"/>
    <w:rsid w:val="00EF7AFD"/>
    <w:rsid w:val="00F011C4"/>
    <w:rsid w:val="00F01893"/>
    <w:rsid w:val="00F01EAE"/>
    <w:rsid w:val="00F01EEC"/>
    <w:rsid w:val="00F01FDA"/>
    <w:rsid w:val="00F022EF"/>
    <w:rsid w:val="00F02567"/>
    <w:rsid w:val="00F03BE1"/>
    <w:rsid w:val="00F0456A"/>
    <w:rsid w:val="00F056F1"/>
    <w:rsid w:val="00F0602E"/>
    <w:rsid w:val="00F061F0"/>
    <w:rsid w:val="00F0686F"/>
    <w:rsid w:val="00F071E9"/>
    <w:rsid w:val="00F11750"/>
    <w:rsid w:val="00F11CC0"/>
    <w:rsid w:val="00F12118"/>
    <w:rsid w:val="00F13EA4"/>
    <w:rsid w:val="00F153A2"/>
    <w:rsid w:val="00F1750C"/>
    <w:rsid w:val="00F17C19"/>
    <w:rsid w:val="00F2094A"/>
    <w:rsid w:val="00F22AD5"/>
    <w:rsid w:val="00F24479"/>
    <w:rsid w:val="00F25B29"/>
    <w:rsid w:val="00F2628B"/>
    <w:rsid w:val="00F26E2E"/>
    <w:rsid w:val="00F26ED3"/>
    <w:rsid w:val="00F278E2"/>
    <w:rsid w:val="00F30A9A"/>
    <w:rsid w:val="00F317DA"/>
    <w:rsid w:val="00F347CC"/>
    <w:rsid w:val="00F351DE"/>
    <w:rsid w:val="00F354FD"/>
    <w:rsid w:val="00F362BC"/>
    <w:rsid w:val="00F36364"/>
    <w:rsid w:val="00F36D71"/>
    <w:rsid w:val="00F37AA9"/>
    <w:rsid w:val="00F40642"/>
    <w:rsid w:val="00F40FEE"/>
    <w:rsid w:val="00F4103C"/>
    <w:rsid w:val="00F4197D"/>
    <w:rsid w:val="00F4276B"/>
    <w:rsid w:val="00F44C29"/>
    <w:rsid w:val="00F45B36"/>
    <w:rsid w:val="00F46C1B"/>
    <w:rsid w:val="00F46D7B"/>
    <w:rsid w:val="00F46ED0"/>
    <w:rsid w:val="00F4756C"/>
    <w:rsid w:val="00F47FB5"/>
    <w:rsid w:val="00F520E2"/>
    <w:rsid w:val="00F52388"/>
    <w:rsid w:val="00F536EB"/>
    <w:rsid w:val="00F53CC0"/>
    <w:rsid w:val="00F540B4"/>
    <w:rsid w:val="00F5481B"/>
    <w:rsid w:val="00F548E1"/>
    <w:rsid w:val="00F54A2A"/>
    <w:rsid w:val="00F573CC"/>
    <w:rsid w:val="00F57B33"/>
    <w:rsid w:val="00F609F3"/>
    <w:rsid w:val="00F61002"/>
    <w:rsid w:val="00F6207F"/>
    <w:rsid w:val="00F62269"/>
    <w:rsid w:val="00F62770"/>
    <w:rsid w:val="00F62863"/>
    <w:rsid w:val="00F62B7A"/>
    <w:rsid w:val="00F62BA6"/>
    <w:rsid w:val="00F6397D"/>
    <w:rsid w:val="00F63C36"/>
    <w:rsid w:val="00F649C3"/>
    <w:rsid w:val="00F6542E"/>
    <w:rsid w:val="00F655E3"/>
    <w:rsid w:val="00F65A80"/>
    <w:rsid w:val="00F661C5"/>
    <w:rsid w:val="00F66999"/>
    <w:rsid w:val="00F67429"/>
    <w:rsid w:val="00F67844"/>
    <w:rsid w:val="00F702DB"/>
    <w:rsid w:val="00F70F80"/>
    <w:rsid w:val="00F72842"/>
    <w:rsid w:val="00F7293E"/>
    <w:rsid w:val="00F72C0A"/>
    <w:rsid w:val="00F73C94"/>
    <w:rsid w:val="00F745E0"/>
    <w:rsid w:val="00F75FEC"/>
    <w:rsid w:val="00F76650"/>
    <w:rsid w:val="00F76947"/>
    <w:rsid w:val="00F77B4D"/>
    <w:rsid w:val="00F77EF0"/>
    <w:rsid w:val="00F80642"/>
    <w:rsid w:val="00F80EC6"/>
    <w:rsid w:val="00F81370"/>
    <w:rsid w:val="00F81BE9"/>
    <w:rsid w:val="00F823C6"/>
    <w:rsid w:val="00F833C3"/>
    <w:rsid w:val="00F8379D"/>
    <w:rsid w:val="00F83B53"/>
    <w:rsid w:val="00F852CF"/>
    <w:rsid w:val="00F857E5"/>
    <w:rsid w:val="00F85B32"/>
    <w:rsid w:val="00F85D34"/>
    <w:rsid w:val="00F86980"/>
    <w:rsid w:val="00F86AA2"/>
    <w:rsid w:val="00F872CD"/>
    <w:rsid w:val="00F87A8E"/>
    <w:rsid w:val="00F87CB7"/>
    <w:rsid w:val="00F9187B"/>
    <w:rsid w:val="00F92385"/>
    <w:rsid w:val="00F92D97"/>
    <w:rsid w:val="00F93EF1"/>
    <w:rsid w:val="00F957D9"/>
    <w:rsid w:val="00F96157"/>
    <w:rsid w:val="00F96866"/>
    <w:rsid w:val="00F9794D"/>
    <w:rsid w:val="00F979F9"/>
    <w:rsid w:val="00FA1B4F"/>
    <w:rsid w:val="00FA66CA"/>
    <w:rsid w:val="00FB10CC"/>
    <w:rsid w:val="00FB3341"/>
    <w:rsid w:val="00FB3538"/>
    <w:rsid w:val="00FB3F34"/>
    <w:rsid w:val="00FB3FD9"/>
    <w:rsid w:val="00FB4144"/>
    <w:rsid w:val="00FB53BF"/>
    <w:rsid w:val="00FB6CA2"/>
    <w:rsid w:val="00FB6E6F"/>
    <w:rsid w:val="00FB7019"/>
    <w:rsid w:val="00FC06FC"/>
    <w:rsid w:val="00FC18D0"/>
    <w:rsid w:val="00FC22D5"/>
    <w:rsid w:val="00FC253D"/>
    <w:rsid w:val="00FC4591"/>
    <w:rsid w:val="00FC47F9"/>
    <w:rsid w:val="00FC493F"/>
    <w:rsid w:val="00FC52B8"/>
    <w:rsid w:val="00FC57EF"/>
    <w:rsid w:val="00FC6A84"/>
    <w:rsid w:val="00FC6D1F"/>
    <w:rsid w:val="00FC71BD"/>
    <w:rsid w:val="00FC76E4"/>
    <w:rsid w:val="00FC7E0F"/>
    <w:rsid w:val="00FD0822"/>
    <w:rsid w:val="00FD0E96"/>
    <w:rsid w:val="00FD1110"/>
    <w:rsid w:val="00FD284D"/>
    <w:rsid w:val="00FD3609"/>
    <w:rsid w:val="00FD5580"/>
    <w:rsid w:val="00FD61B9"/>
    <w:rsid w:val="00FD6329"/>
    <w:rsid w:val="00FE0D0D"/>
    <w:rsid w:val="00FE129E"/>
    <w:rsid w:val="00FE1379"/>
    <w:rsid w:val="00FE13EE"/>
    <w:rsid w:val="00FE2351"/>
    <w:rsid w:val="00FE2A53"/>
    <w:rsid w:val="00FE2FBC"/>
    <w:rsid w:val="00FE337D"/>
    <w:rsid w:val="00FE3ECC"/>
    <w:rsid w:val="00FE5580"/>
    <w:rsid w:val="00FE5F0C"/>
    <w:rsid w:val="00FE623C"/>
    <w:rsid w:val="00FE6696"/>
    <w:rsid w:val="00FE6757"/>
    <w:rsid w:val="00FE7655"/>
    <w:rsid w:val="00FF110C"/>
    <w:rsid w:val="00FF17A5"/>
    <w:rsid w:val="00FF2482"/>
    <w:rsid w:val="00FF2F87"/>
    <w:rsid w:val="00FF49EA"/>
    <w:rsid w:val="00FF4B45"/>
    <w:rsid w:val="00FF4CB0"/>
    <w:rsid w:val="00FF5069"/>
    <w:rsid w:val="00FF55E7"/>
    <w:rsid w:val="00FF625F"/>
    <w:rsid w:val="010D3E65"/>
    <w:rsid w:val="01133CB0"/>
    <w:rsid w:val="011E75C8"/>
    <w:rsid w:val="012F3DB0"/>
    <w:rsid w:val="0140E399"/>
    <w:rsid w:val="01844894"/>
    <w:rsid w:val="01847910"/>
    <w:rsid w:val="0187B0B3"/>
    <w:rsid w:val="01B8BBFD"/>
    <w:rsid w:val="01E8F479"/>
    <w:rsid w:val="021D2ECA"/>
    <w:rsid w:val="0245971E"/>
    <w:rsid w:val="02691D41"/>
    <w:rsid w:val="02951AEB"/>
    <w:rsid w:val="02A6081F"/>
    <w:rsid w:val="02D20F2D"/>
    <w:rsid w:val="02FE1C7F"/>
    <w:rsid w:val="03213CD6"/>
    <w:rsid w:val="032412A6"/>
    <w:rsid w:val="0353B29C"/>
    <w:rsid w:val="0370C1A9"/>
    <w:rsid w:val="0372F49A"/>
    <w:rsid w:val="0389D185"/>
    <w:rsid w:val="03B1F25B"/>
    <w:rsid w:val="03B6A672"/>
    <w:rsid w:val="03E025FD"/>
    <w:rsid w:val="04129876"/>
    <w:rsid w:val="042D53E8"/>
    <w:rsid w:val="043DE689"/>
    <w:rsid w:val="04408280"/>
    <w:rsid w:val="04B310A1"/>
    <w:rsid w:val="04D02136"/>
    <w:rsid w:val="04F14589"/>
    <w:rsid w:val="05045283"/>
    <w:rsid w:val="050C5F56"/>
    <w:rsid w:val="051595E5"/>
    <w:rsid w:val="05706431"/>
    <w:rsid w:val="057F1FA7"/>
    <w:rsid w:val="05934330"/>
    <w:rsid w:val="05FF0298"/>
    <w:rsid w:val="0627B6F0"/>
    <w:rsid w:val="063E3DEE"/>
    <w:rsid w:val="066FD718"/>
    <w:rsid w:val="070AA731"/>
    <w:rsid w:val="073E880F"/>
    <w:rsid w:val="076BC9B2"/>
    <w:rsid w:val="078D04CF"/>
    <w:rsid w:val="07957353"/>
    <w:rsid w:val="07B7222A"/>
    <w:rsid w:val="07DAA897"/>
    <w:rsid w:val="07EAAAA6"/>
    <w:rsid w:val="08006C9B"/>
    <w:rsid w:val="0838D1B8"/>
    <w:rsid w:val="08505D30"/>
    <w:rsid w:val="08824D2A"/>
    <w:rsid w:val="08867F61"/>
    <w:rsid w:val="08979407"/>
    <w:rsid w:val="089A8677"/>
    <w:rsid w:val="08B6C857"/>
    <w:rsid w:val="08C38224"/>
    <w:rsid w:val="0907A1B6"/>
    <w:rsid w:val="0952C64B"/>
    <w:rsid w:val="09AC1729"/>
    <w:rsid w:val="09AF26CA"/>
    <w:rsid w:val="09DC6D9D"/>
    <w:rsid w:val="09E0E9DA"/>
    <w:rsid w:val="0A18830B"/>
    <w:rsid w:val="0A255C18"/>
    <w:rsid w:val="0A3A65CA"/>
    <w:rsid w:val="0A724695"/>
    <w:rsid w:val="0A9A64D3"/>
    <w:rsid w:val="0ACCD421"/>
    <w:rsid w:val="0AF00E8D"/>
    <w:rsid w:val="0B1FAE89"/>
    <w:rsid w:val="0B7956FF"/>
    <w:rsid w:val="0BA96185"/>
    <w:rsid w:val="0C267500"/>
    <w:rsid w:val="0CC2FA3F"/>
    <w:rsid w:val="0CD78007"/>
    <w:rsid w:val="0CE6E9D9"/>
    <w:rsid w:val="0CEE656D"/>
    <w:rsid w:val="0DA33A9C"/>
    <w:rsid w:val="0DF426C9"/>
    <w:rsid w:val="0E232E9B"/>
    <w:rsid w:val="0E5F8455"/>
    <w:rsid w:val="0EEBAC42"/>
    <w:rsid w:val="0F3F1D3A"/>
    <w:rsid w:val="0F3F7E21"/>
    <w:rsid w:val="0F6275C3"/>
    <w:rsid w:val="0F913D4D"/>
    <w:rsid w:val="0FF007E5"/>
    <w:rsid w:val="0FF6D2CE"/>
    <w:rsid w:val="102D30EF"/>
    <w:rsid w:val="10310FEC"/>
    <w:rsid w:val="10349901"/>
    <w:rsid w:val="1048786F"/>
    <w:rsid w:val="1050635B"/>
    <w:rsid w:val="105DABF5"/>
    <w:rsid w:val="10812949"/>
    <w:rsid w:val="1175E10A"/>
    <w:rsid w:val="11E7740E"/>
    <w:rsid w:val="11EB4D7C"/>
    <w:rsid w:val="12398848"/>
    <w:rsid w:val="1257C62F"/>
    <w:rsid w:val="1277761D"/>
    <w:rsid w:val="12CED9E1"/>
    <w:rsid w:val="12D9AEB4"/>
    <w:rsid w:val="130359A3"/>
    <w:rsid w:val="13392D1C"/>
    <w:rsid w:val="1350AFB9"/>
    <w:rsid w:val="136DE502"/>
    <w:rsid w:val="13BFD0E9"/>
    <w:rsid w:val="14706C83"/>
    <w:rsid w:val="148452BA"/>
    <w:rsid w:val="14A9AB7F"/>
    <w:rsid w:val="14D0849A"/>
    <w:rsid w:val="14E7D8C8"/>
    <w:rsid w:val="1547B00E"/>
    <w:rsid w:val="15809A45"/>
    <w:rsid w:val="158C1C17"/>
    <w:rsid w:val="15A2EF18"/>
    <w:rsid w:val="164443FF"/>
    <w:rsid w:val="1670FBBC"/>
    <w:rsid w:val="1675EF10"/>
    <w:rsid w:val="17296BB5"/>
    <w:rsid w:val="173C698A"/>
    <w:rsid w:val="174736C4"/>
    <w:rsid w:val="177AAF78"/>
    <w:rsid w:val="17A055F6"/>
    <w:rsid w:val="17ADA7E8"/>
    <w:rsid w:val="17D09B9E"/>
    <w:rsid w:val="17D25C15"/>
    <w:rsid w:val="17FD4060"/>
    <w:rsid w:val="184A2AA7"/>
    <w:rsid w:val="18D5EF30"/>
    <w:rsid w:val="18D72D1B"/>
    <w:rsid w:val="19076A44"/>
    <w:rsid w:val="1911E740"/>
    <w:rsid w:val="192A967F"/>
    <w:rsid w:val="194A3A07"/>
    <w:rsid w:val="199A04EA"/>
    <w:rsid w:val="19A182D1"/>
    <w:rsid w:val="19AC6E9B"/>
    <w:rsid w:val="19DECBBB"/>
    <w:rsid w:val="19F2A0C6"/>
    <w:rsid w:val="19F2A109"/>
    <w:rsid w:val="1A0EED92"/>
    <w:rsid w:val="1A28EAB0"/>
    <w:rsid w:val="1A38306B"/>
    <w:rsid w:val="1A4C7809"/>
    <w:rsid w:val="1A6690E0"/>
    <w:rsid w:val="1AC4DA54"/>
    <w:rsid w:val="1ADC7530"/>
    <w:rsid w:val="1AE9ABBF"/>
    <w:rsid w:val="1B0FA88E"/>
    <w:rsid w:val="1B23DC15"/>
    <w:rsid w:val="1B3767D3"/>
    <w:rsid w:val="1B5D641A"/>
    <w:rsid w:val="1BB9AEB5"/>
    <w:rsid w:val="1BC274A1"/>
    <w:rsid w:val="1BFBBC62"/>
    <w:rsid w:val="1CB35F7C"/>
    <w:rsid w:val="1CD88BE1"/>
    <w:rsid w:val="1D037FB7"/>
    <w:rsid w:val="1D0E88BD"/>
    <w:rsid w:val="1D5BF4CD"/>
    <w:rsid w:val="1D89660F"/>
    <w:rsid w:val="1DBD6B9A"/>
    <w:rsid w:val="1DCA1814"/>
    <w:rsid w:val="1DCB065D"/>
    <w:rsid w:val="1E03347E"/>
    <w:rsid w:val="1E24A1FD"/>
    <w:rsid w:val="1E3C2DE1"/>
    <w:rsid w:val="1E442474"/>
    <w:rsid w:val="1E6524B6"/>
    <w:rsid w:val="1E6AC2F9"/>
    <w:rsid w:val="1E899866"/>
    <w:rsid w:val="1F1141A1"/>
    <w:rsid w:val="1F403880"/>
    <w:rsid w:val="1F44C6F3"/>
    <w:rsid w:val="1F48B183"/>
    <w:rsid w:val="1F5057AB"/>
    <w:rsid w:val="1F75C60F"/>
    <w:rsid w:val="1F8DCC35"/>
    <w:rsid w:val="1FB91DDB"/>
    <w:rsid w:val="1FCEF0FC"/>
    <w:rsid w:val="1FD53B0E"/>
    <w:rsid w:val="1FE4FDCA"/>
    <w:rsid w:val="202FF278"/>
    <w:rsid w:val="2091158C"/>
    <w:rsid w:val="2169718B"/>
    <w:rsid w:val="21D5ADE7"/>
    <w:rsid w:val="221022F2"/>
    <w:rsid w:val="2242B9CD"/>
    <w:rsid w:val="22D883E8"/>
    <w:rsid w:val="230DFDC2"/>
    <w:rsid w:val="233A5B16"/>
    <w:rsid w:val="234BB51F"/>
    <w:rsid w:val="238F44DF"/>
    <w:rsid w:val="23AF3FA7"/>
    <w:rsid w:val="24261620"/>
    <w:rsid w:val="2430D8C4"/>
    <w:rsid w:val="243E409F"/>
    <w:rsid w:val="24548F67"/>
    <w:rsid w:val="247BDC3B"/>
    <w:rsid w:val="2480E73E"/>
    <w:rsid w:val="24C0BFDF"/>
    <w:rsid w:val="24E1B274"/>
    <w:rsid w:val="2580C1D0"/>
    <w:rsid w:val="25C169EA"/>
    <w:rsid w:val="25D11684"/>
    <w:rsid w:val="25D158FF"/>
    <w:rsid w:val="25DB1036"/>
    <w:rsid w:val="262A8821"/>
    <w:rsid w:val="269CB787"/>
    <w:rsid w:val="26D25627"/>
    <w:rsid w:val="26F14AE9"/>
    <w:rsid w:val="270AFCCE"/>
    <w:rsid w:val="27399015"/>
    <w:rsid w:val="274406E7"/>
    <w:rsid w:val="27560C6D"/>
    <w:rsid w:val="277132E0"/>
    <w:rsid w:val="27C486DF"/>
    <w:rsid w:val="27F47244"/>
    <w:rsid w:val="28165195"/>
    <w:rsid w:val="284ED890"/>
    <w:rsid w:val="2852ACC4"/>
    <w:rsid w:val="289C69CD"/>
    <w:rsid w:val="28A27BC4"/>
    <w:rsid w:val="28CFA256"/>
    <w:rsid w:val="28D2708C"/>
    <w:rsid w:val="28E1DA9E"/>
    <w:rsid w:val="28EC1A8E"/>
    <w:rsid w:val="28F3EE4D"/>
    <w:rsid w:val="29316B63"/>
    <w:rsid w:val="295611E6"/>
    <w:rsid w:val="295D3CA1"/>
    <w:rsid w:val="296477A7"/>
    <w:rsid w:val="2980F801"/>
    <w:rsid w:val="29AA8529"/>
    <w:rsid w:val="29C93F91"/>
    <w:rsid w:val="29CDECD1"/>
    <w:rsid w:val="29E8AAB4"/>
    <w:rsid w:val="29FB4190"/>
    <w:rsid w:val="2A267F0D"/>
    <w:rsid w:val="2A2F66E7"/>
    <w:rsid w:val="2A5BB92D"/>
    <w:rsid w:val="2A5BC6B5"/>
    <w:rsid w:val="2A5F3385"/>
    <w:rsid w:val="2A734D0A"/>
    <w:rsid w:val="2A7C7D1F"/>
    <w:rsid w:val="2A8E1BD8"/>
    <w:rsid w:val="2ACF0FAC"/>
    <w:rsid w:val="2B8523C0"/>
    <w:rsid w:val="2BB8AECC"/>
    <w:rsid w:val="2BCA7737"/>
    <w:rsid w:val="2BDD925B"/>
    <w:rsid w:val="2C0B8095"/>
    <w:rsid w:val="2C282DF6"/>
    <w:rsid w:val="2C45C2FD"/>
    <w:rsid w:val="2C4EB93F"/>
    <w:rsid w:val="2C7C485A"/>
    <w:rsid w:val="2C98FB52"/>
    <w:rsid w:val="2C9C488E"/>
    <w:rsid w:val="2C9F6BC6"/>
    <w:rsid w:val="2CB520A0"/>
    <w:rsid w:val="2CC46EE2"/>
    <w:rsid w:val="2CD963F3"/>
    <w:rsid w:val="2CE43F69"/>
    <w:rsid w:val="2D370B42"/>
    <w:rsid w:val="2D38831B"/>
    <w:rsid w:val="2D3E1DD9"/>
    <w:rsid w:val="2D6027AA"/>
    <w:rsid w:val="2DC8B130"/>
    <w:rsid w:val="2E3254D6"/>
    <w:rsid w:val="2E4F4691"/>
    <w:rsid w:val="2E6A95EE"/>
    <w:rsid w:val="2E71F307"/>
    <w:rsid w:val="2E81B4C9"/>
    <w:rsid w:val="2E9A16C7"/>
    <w:rsid w:val="2F2BA22D"/>
    <w:rsid w:val="2F3B3F07"/>
    <w:rsid w:val="2F649651"/>
    <w:rsid w:val="2F73632D"/>
    <w:rsid w:val="2F844F4D"/>
    <w:rsid w:val="2F8D2F32"/>
    <w:rsid w:val="2FA1668B"/>
    <w:rsid w:val="2FAEE104"/>
    <w:rsid w:val="2FEF67D1"/>
    <w:rsid w:val="2FFF1DF1"/>
    <w:rsid w:val="303C98AF"/>
    <w:rsid w:val="306405EE"/>
    <w:rsid w:val="307460FD"/>
    <w:rsid w:val="309BDA24"/>
    <w:rsid w:val="30ABC603"/>
    <w:rsid w:val="312F298E"/>
    <w:rsid w:val="312F66C9"/>
    <w:rsid w:val="318A8D5A"/>
    <w:rsid w:val="32023A86"/>
    <w:rsid w:val="32176615"/>
    <w:rsid w:val="324917CE"/>
    <w:rsid w:val="327568D8"/>
    <w:rsid w:val="327CD222"/>
    <w:rsid w:val="3280E326"/>
    <w:rsid w:val="3292936E"/>
    <w:rsid w:val="32AEB0FB"/>
    <w:rsid w:val="32E0CB99"/>
    <w:rsid w:val="32F30C76"/>
    <w:rsid w:val="3327AF17"/>
    <w:rsid w:val="3399763D"/>
    <w:rsid w:val="33A813B3"/>
    <w:rsid w:val="33ABB6B4"/>
    <w:rsid w:val="33ACC23B"/>
    <w:rsid w:val="33C644EA"/>
    <w:rsid w:val="34124F7D"/>
    <w:rsid w:val="341FD53B"/>
    <w:rsid w:val="343C9D88"/>
    <w:rsid w:val="34743B96"/>
    <w:rsid w:val="347D5BD6"/>
    <w:rsid w:val="34DB7964"/>
    <w:rsid w:val="350F396F"/>
    <w:rsid w:val="35439EFF"/>
    <w:rsid w:val="355792B0"/>
    <w:rsid w:val="355E123A"/>
    <w:rsid w:val="3581C420"/>
    <w:rsid w:val="3594BD99"/>
    <w:rsid w:val="359EEA2B"/>
    <w:rsid w:val="35A7E03D"/>
    <w:rsid w:val="35A8F522"/>
    <w:rsid w:val="3634DC14"/>
    <w:rsid w:val="363FFC86"/>
    <w:rsid w:val="365DE03C"/>
    <w:rsid w:val="37111697"/>
    <w:rsid w:val="371D26B6"/>
    <w:rsid w:val="3772EE0C"/>
    <w:rsid w:val="3775DA95"/>
    <w:rsid w:val="378C24AE"/>
    <w:rsid w:val="37A7A8C3"/>
    <w:rsid w:val="37B27258"/>
    <w:rsid w:val="37B850F6"/>
    <w:rsid w:val="37E0CF7A"/>
    <w:rsid w:val="38579480"/>
    <w:rsid w:val="385DB576"/>
    <w:rsid w:val="389246A1"/>
    <w:rsid w:val="38AD0B7C"/>
    <w:rsid w:val="38D351D9"/>
    <w:rsid w:val="38E3CCD8"/>
    <w:rsid w:val="390A3BBD"/>
    <w:rsid w:val="391E8454"/>
    <w:rsid w:val="398B2401"/>
    <w:rsid w:val="39A69232"/>
    <w:rsid w:val="39AA52BD"/>
    <w:rsid w:val="39AC969E"/>
    <w:rsid w:val="39B9746B"/>
    <w:rsid w:val="39C06F5F"/>
    <w:rsid w:val="3A0D36F1"/>
    <w:rsid w:val="3A24F837"/>
    <w:rsid w:val="3A4A1530"/>
    <w:rsid w:val="3A636385"/>
    <w:rsid w:val="3A7EE448"/>
    <w:rsid w:val="3AD78577"/>
    <w:rsid w:val="3B19E743"/>
    <w:rsid w:val="3B62A17A"/>
    <w:rsid w:val="3B6D106F"/>
    <w:rsid w:val="3B6DB60E"/>
    <w:rsid w:val="3B8E8104"/>
    <w:rsid w:val="3BE3D893"/>
    <w:rsid w:val="3C39B97A"/>
    <w:rsid w:val="3C5E003F"/>
    <w:rsid w:val="3C71B45D"/>
    <w:rsid w:val="3CACECF3"/>
    <w:rsid w:val="3D0F199E"/>
    <w:rsid w:val="3D0F9A74"/>
    <w:rsid w:val="3D3140B7"/>
    <w:rsid w:val="3D4D4BD9"/>
    <w:rsid w:val="3D750592"/>
    <w:rsid w:val="3D93D712"/>
    <w:rsid w:val="3D9613DD"/>
    <w:rsid w:val="3DC58B16"/>
    <w:rsid w:val="3E926052"/>
    <w:rsid w:val="3EA2D9F6"/>
    <w:rsid w:val="3EA80E12"/>
    <w:rsid w:val="3EB91BED"/>
    <w:rsid w:val="3EBCAD21"/>
    <w:rsid w:val="3EDE0C8B"/>
    <w:rsid w:val="3F0E1387"/>
    <w:rsid w:val="3F2D0A12"/>
    <w:rsid w:val="3F5E655A"/>
    <w:rsid w:val="3F94872C"/>
    <w:rsid w:val="400C03D3"/>
    <w:rsid w:val="4029666E"/>
    <w:rsid w:val="403FD46A"/>
    <w:rsid w:val="408E771E"/>
    <w:rsid w:val="40C59194"/>
    <w:rsid w:val="40FC5C1A"/>
    <w:rsid w:val="412A3EF5"/>
    <w:rsid w:val="41467983"/>
    <w:rsid w:val="414DE756"/>
    <w:rsid w:val="416B2350"/>
    <w:rsid w:val="4174D3CA"/>
    <w:rsid w:val="41C80440"/>
    <w:rsid w:val="42268461"/>
    <w:rsid w:val="426574D0"/>
    <w:rsid w:val="4278D91D"/>
    <w:rsid w:val="427DFB23"/>
    <w:rsid w:val="4294A30B"/>
    <w:rsid w:val="42AFC0A3"/>
    <w:rsid w:val="42AFF5FB"/>
    <w:rsid w:val="42D7A8A2"/>
    <w:rsid w:val="43150FF2"/>
    <w:rsid w:val="4364FB0B"/>
    <w:rsid w:val="43681B43"/>
    <w:rsid w:val="43695EA9"/>
    <w:rsid w:val="439F232C"/>
    <w:rsid w:val="43D9C07E"/>
    <w:rsid w:val="441F63A0"/>
    <w:rsid w:val="4426BE5B"/>
    <w:rsid w:val="446E4847"/>
    <w:rsid w:val="447078A8"/>
    <w:rsid w:val="447D0653"/>
    <w:rsid w:val="4486277C"/>
    <w:rsid w:val="44E55188"/>
    <w:rsid w:val="44E586AA"/>
    <w:rsid w:val="4525AE79"/>
    <w:rsid w:val="45433A2E"/>
    <w:rsid w:val="456F5A8D"/>
    <w:rsid w:val="457AC4D5"/>
    <w:rsid w:val="4591138C"/>
    <w:rsid w:val="45A7AA4B"/>
    <w:rsid w:val="462FC4DF"/>
    <w:rsid w:val="46749814"/>
    <w:rsid w:val="469DFA8B"/>
    <w:rsid w:val="46A577E8"/>
    <w:rsid w:val="474125D8"/>
    <w:rsid w:val="4784099A"/>
    <w:rsid w:val="47A2E415"/>
    <w:rsid w:val="47DDAE7B"/>
    <w:rsid w:val="4804928D"/>
    <w:rsid w:val="48360F7A"/>
    <w:rsid w:val="485F698E"/>
    <w:rsid w:val="48693640"/>
    <w:rsid w:val="48816CB6"/>
    <w:rsid w:val="488C063B"/>
    <w:rsid w:val="48D317B4"/>
    <w:rsid w:val="4915A22F"/>
    <w:rsid w:val="493331AB"/>
    <w:rsid w:val="49527088"/>
    <w:rsid w:val="49E2E06E"/>
    <w:rsid w:val="49EAD590"/>
    <w:rsid w:val="4A39ED6F"/>
    <w:rsid w:val="4A3C902E"/>
    <w:rsid w:val="4A5EFE1E"/>
    <w:rsid w:val="4AC4833C"/>
    <w:rsid w:val="4B03FB99"/>
    <w:rsid w:val="4B304967"/>
    <w:rsid w:val="4B5564AE"/>
    <w:rsid w:val="4BA417C9"/>
    <w:rsid w:val="4C381584"/>
    <w:rsid w:val="4C3E2F16"/>
    <w:rsid w:val="4C5E2548"/>
    <w:rsid w:val="4C7F96EF"/>
    <w:rsid w:val="4C9BA445"/>
    <w:rsid w:val="4D0DC087"/>
    <w:rsid w:val="4D0E278E"/>
    <w:rsid w:val="4D220618"/>
    <w:rsid w:val="4D353378"/>
    <w:rsid w:val="4D87A1D9"/>
    <w:rsid w:val="4DB0D89C"/>
    <w:rsid w:val="4DE53818"/>
    <w:rsid w:val="4DEB1117"/>
    <w:rsid w:val="4DFD566C"/>
    <w:rsid w:val="4E492D98"/>
    <w:rsid w:val="4E4B14E5"/>
    <w:rsid w:val="4E845D3F"/>
    <w:rsid w:val="4E9E172D"/>
    <w:rsid w:val="4E9FFA90"/>
    <w:rsid w:val="4EAF63A2"/>
    <w:rsid w:val="4EBD6BCA"/>
    <w:rsid w:val="4EC024DA"/>
    <w:rsid w:val="4F51456A"/>
    <w:rsid w:val="4F5774DD"/>
    <w:rsid w:val="4F9FD710"/>
    <w:rsid w:val="4FC3E3FD"/>
    <w:rsid w:val="4FE80A46"/>
    <w:rsid w:val="500B6B31"/>
    <w:rsid w:val="502273F5"/>
    <w:rsid w:val="5032601A"/>
    <w:rsid w:val="5048F8C5"/>
    <w:rsid w:val="50DD64D8"/>
    <w:rsid w:val="5150E1C4"/>
    <w:rsid w:val="5198EF24"/>
    <w:rsid w:val="51FB9FEB"/>
    <w:rsid w:val="52318728"/>
    <w:rsid w:val="52391FBE"/>
    <w:rsid w:val="52579A36"/>
    <w:rsid w:val="52631CF9"/>
    <w:rsid w:val="52D947FC"/>
    <w:rsid w:val="530CD128"/>
    <w:rsid w:val="5324C373"/>
    <w:rsid w:val="5330451B"/>
    <w:rsid w:val="533A81AA"/>
    <w:rsid w:val="534B790F"/>
    <w:rsid w:val="5392A4EE"/>
    <w:rsid w:val="53B0B041"/>
    <w:rsid w:val="53FB40AF"/>
    <w:rsid w:val="541577A5"/>
    <w:rsid w:val="5418B8F1"/>
    <w:rsid w:val="542DFDD3"/>
    <w:rsid w:val="548D6114"/>
    <w:rsid w:val="54974871"/>
    <w:rsid w:val="54C803E0"/>
    <w:rsid w:val="54E81D1C"/>
    <w:rsid w:val="54F8AFEE"/>
    <w:rsid w:val="5574C79C"/>
    <w:rsid w:val="557E4C2D"/>
    <w:rsid w:val="5594D8E4"/>
    <w:rsid w:val="562EA147"/>
    <w:rsid w:val="56434D11"/>
    <w:rsid w:val="565EA10D"/>
    <w:rsid w:val="5667F4FA"/>
    <w:rsid w:val="5674B2C6"/>
    <w:rsid w:val="56784AA8"/>
    <w:rsid w:val="578EA62D"/>
    <w:rsid w:val="57AD5ED7"/>
    <w:rsid w:val="57D8AED9"/>
    <w:rsid w:val="57D9C31C"/>
    <w:rsid w:val="580578A7"/>
    <w:rsid w:val="5811C11A"/>
    <w:rsid w:val="5863BCF5"/>
    <w:rsid w:val="58A175D0"/>
    <w:rsid w:val="58B43375"/>
    <w:rsid w:val="58EC5209"/>
    <w:rsid w:val="5924D402"/>
    <w:rsid w:val="595AE9DE"/>
    <w:rsid w:val="596949AD"/>
    <w:rsid w:val="5985FCDE"/>
    <w:rsid w:val="59DC118D"/>
    <w:rsid w:val="5A59AE0C"/>
    <w:rsid w:val="5A782056"/>
    <w:rsid w:val="5A89FD11"/>
    <w:rsid w:val="5B327086"/>
    <w:rsid w:val="5B5E0329"/>
    <w:rsid w:val="5B8CBEA9"/>
    <w:rsid w:val="5B911ACF"/>
    <w:rsid w:val="5BF4FBA4"/>
    <w:rsid w:val="5C22504A"/>
    <w:rsid w:val="5C33D28A"/>
    <w:rsid w:val="5C3633DA"/>
    <w:rsid w:val="5C4D6D5D"/>
    <w:rsid w:val="5C8339C9"/>
    <w:rsid w:val="5CBB9BD9"/>
    <w:rsid w:val="5CE26D0F"/>
    <w:rsid w:val="5D0B5A59"/>
    <w:rsid w:val="5D12FB4E"/>
    <w:rsid w:val="5D4257DE"/>
    <w:rsid w:val="5D4EC628"/>
    <w:rsid w:val="5D51FE51"/>
    <w:rsid w:val="5D5577E4"/>
    <w:rsid w:val="5D5822EB"/>
    <w:rsid w:val="5D7B1E3F"/>
    <w:rsid w:val="5E4E15D8"/>
    <w:rsid w:val="5E53FEE8"/>
    <w:rsid w:val="5EA2A9F9"/>
    <w:rsid w:val="5EC3C318"/>
    <w:rsid w:val="5EC9DA3C"/>
    <w:rsid w:val="5F1CBED8"/>
    <w:rsid w:val="5F39D2E0"/>
    <w:rsid w:val="5F4359FB"/>
    <w:rsid w:val="5F5FC138"/>
    <w:rsid w:val="5F66A39F"/>
    <w:rsid w:val="5F7B24C7"/>
    <w:rsid w:val="5F97D1CA"/>
    <w:rsid w:val="5FD19644"/>
    <w:rsid w:val="5FD9CAFF"/>
    <w:rsid w:val="60329C3D"/>
    <w:rsid w:val="6043F7EA"/>
    <w:rsid w:val="605FE265"/>
    <w:rsid w:val="6070F377"/>
    <w:rsid w:val="6076E9D5"/>
    <w:rsid w:val="60868B6F"/>
    <w:rsid w:val="6098F690"/>
    <w:rsid w:val="60BFE9BE"/>
    <w:rsid w:val="619AC3B9"/>
    <w:rsid w:val="61B04EE5"/>
    <w:rsid w:val="61C11916"/>
    <w:rsid w:val="61C54EAD"/>
    <w:rsid w:val="61D2375E"/>
    <w:rsid w:val="622D8A09"/>
    <w:rsid w:val="6239F5DC"/>
    <w:rsid w:val="628CA508"/>
    <w:rsid w:val="62F0063F"/>
    <w:rsid w:val="62FD885A"/>
    <w:rsid w:val="6329A612"/>
    <w:rsid w:val="63A163AE"/>
    <w:rsid w:val="63A6E90C"/>
    <w:rsid w:val="63BF7047"/>
    <w:rsid w:val="641D47FB"/>
    <w:rsid w:val="6423C24C"/>
    <w:rsid w:val="642ACE55"/>
    <w:rsid w:val="645B0E34"/>
    <w:rsid w:val="645BE666"/>
    <w:rsid w:val="64A49B99"/>
    <w:rsid w:val="64C22DB9"/>
    <w:rsid w:val="64C2FC7D"/>
    <w:rsid w:val="64CA9D27"/>
    <w:rsid w:val="64F0CD07"/>
    <w:rsid w:val="6526306B"/>
    <w:rsid w:val="65645880"/>
    <w:rsid w:val="656B5050"/>
    <w:rsid w:val="6576C9DF"/>
    <w:rsid w:val="65838C4B"/>
    <w:rsid w:val="661FF306"/>
    <w:rsid w:val="6626C530"/>
    <w:rsid w:val="663CB7C7"/>
    <w:rsid w:val="666EC018"/>
    <w:rsid w:val="670173C3"/>
    <w:rsid w:val="67310ADA"/>
    <w:rsid w:val="67459A90"/>
    <w:rsid w:val="676454F8"/>
    <w:rsid w:val="6767F6C1"/>
    <w:rsid w:val="6787FCE5"/>
    <w:rsid w:val="67B9A0F3"/>
    <w:rsid w:val="67BA35C4"/>
    <w:rsid w:val="67C6017B"/>
    <w:rsid w:val="67D90E68"/>
    <w:rsid w:val="680D4FF3"/>
    <w:rsid w:val="6818C69A"/>
    <w:rsid w:val="68394D47"/>
    <w:rsid w:val="684EA596"/>
    <w:rsid w:val="68687833"/>
    <w:rsid w:val="68A37AA5"/>
    <w:rsid w:val="68CA9E9C"/>
    <w:rsid w:val="691095AB"/>
    <w:rsid w:val="6929B5A8"/>
    <w:rsid w:val="6936C2A9"/>
    <w:rsid w:val="693BD538"/>
    <w:rsid w:val="69BDA7B1"/>
    <w:rsid w:val="69F7D1D7"/>
    <w:rsid w:val="6A01D249"/>
    <w:rsid w:val="6A1264BA"/>
    <w:rsid w:val="6A150736"/>
    <w:rsid w:val="6A207CAE"/>
    <w:rsid w:val="6A20B19B"/>
    <w:rsid w:val="6A546C02"/>
    <w:rsid w:val="6A8D891B"/>
    <w:rsid w:val="6A982FAF"/>
    <w:rsid w:val="6A9CAF3B"/>
    <w:rsid w:val="6A9ED209"/>
    <w:rsid w:val="6AD5E3C9"/>
    <w:rsid w:val="6AF3C3BA"/>
    <w:rsid w:val="6AF3CCA0"/>
    <w:rsid w:val="6B2C3F32"/>
    <w:rsid w:val="6B3633FE"/>
    <w:rsid w:val="6B56AB82"/>
    <w:rsid w:val="6B63CF18"/>
    <w:rsid w:val="6B6651BD"/>
    <w:rsid w:val="6BAD6E6C"/>
    <w:rsid w:val="6BC3F26A"/>
    <w:rsid w:val="6BFF6FD5"/>
    <w:rsid w:val="6C08EF31"/>
    <w:rsid w:val="6C0CCBB3"/>
    <w:rsid w:val="6C6347C0"/>
    <w:rsid w:val="6C6FB026"/>
    <w:rsid w:val="6C770F85"/>
    <w:rsid w:val="6C7803F3"/>
    <w:rsid w:val="6C7BBF6B"/>
    <w:rsid w:val="6C8611D4"/>
    <w:rsid w:val="6C9DF266"/>
    <w:rsid w:val="6D1522CB"/>
    <w:rsid w:val="6D31092C"/>
    <w:rsid w:val="6D59B631"/>
    <w:rsid w:val="6D7585DA"/>
    <w:rsid w:val="6D80F1F5"/>
    <w:rsid w:val="6DF38E63"/>
    <w:rsid w:val="6E17B5A5"/>
    <w:rsid w:val="6E3491C0"/>
    <w:rsid w:val="6E365C2E"/>
    <w:rsid w:val="6E61A788"/>
    <w:rsid w:val="6E6F49CD"/>
    <w:rsid w:val="6F0BBA6A"/>
    <w:rsid w:val="6F0D9BA0"/>
    <w:rsid w:val="6F29E0DF"/>
    <w:rsid w:val="6F2E2A66"/>
    <w:rsid w:val="6F74A1CC"/>
    <w:rsid w:val="6FAF93AD"/>
    <w:rsid w:val="6FBF2C0F"/>
    <w:rsid w:val="6FD37253"/>
    <w:rsid w:val="6FF040DD"/>
    <w:rsid w:val="705ABEB5"/>
    <w:rsid w:val="70953FF2"/>
    <w:rsid w:val="709F3603"/>
    <w:rsid w:val="70ACC822"/>
    <w:rsid w:val="70B0D90A"/>
    <w:rsid w:val="710C3FB9"/>
    <w:rsid w:val="713461BD"/>
    <w:rsid w:val="71396CC2"/>
    <w:rsid w:val="71407953"/>
    <w:rsid w:val="71469100"/>
    <w:rsid w:val="714694C6"/>
    <w:rsid w:val="71BA8CAB"/>
    <w:rsid w:val="71EEBFB9"/>
    <w:rsid w:val="721ED431"/>
    <w:rsid w:val="72701EAE"/>
    <w:rsid w:val="727CFACB"/>
    <w:rsid w:val="72864E5D"/>
    <w:rsid w:val="7290876D"/>
    <w:rsid w:val="73062DD5"/>
    <w:rsid w:val="7341A503"/>
    <w:rsid w:val="737C8E6B"/>
    <w:rsid w:val="73A1AA9F"/>
    <w:rsid w:val="73BD5030"/>
    <w:rsid w:val="74255165"/>
    <w:rsid w:val="743E8A01"/>
    <w:rsid w:val="744E0509"/>
    <w:rsid w:val="7474C577"/>
    <w:rsid w:val="74CEEEBA"/>
    <w:rsid w:val="752BD787"/>
    <w:rsid w:val="7537B811"/>
    <w:rsid w:val="759CD388"/>
    <w:rsid w:val="75AF9C64"/>
    <w:rsid w:val="76284F82"/>
    <w:rsid w:val="76579B83"/>
    <w:rsid w:val="7678812B"/>
    <w:rsid w:val="76B905AA"/>
    <w:rsid w:val="76BF78D0"/>
    <w:rsid w:val="76D0FA49"/>
    <w:rsid w:val="76D6621D"/>
    <w:rsid w:val="77179B88"/>
    <w:rsid w:val="773B6498"/>
    <w:rsid w:val="77522BC3"/>
    <w:rsid w:val="776EFA12"/>
    <w:rsid w:val="777D9DF9"/>
    <w:rsid w:val="77C3890D"/>
    <w:rsid w:val="78108D38"/>
    <w:rsid w:val="781BC84B"/>
    <w:rsid w:val="78231F50"/>
    <w:rsid w:val="78793CBD"/>
    <w:rsid w:val="7896FCDB"/>
    <w:rsid w:val="78B91B75"/>
    <w:rsid w:val="78C1FCAB"/>
    <w:rsid w:val="78E3BDDD"/>
    <w:rsid w:val="790541AA"/>
    <w:rsid w:val="7935878A"/>
    <w:rsid w:val="7941868A"/>
    <w:rsid w:val="79B94181"/>
    <w:rsid w:val="79C9F8F3"/>
    <w:rsid w:val="79F6384A"/>
    <w:rsid w:val="7A4D9B6B"/>
    <w:rsid w:val="7A7F4E35"/>
    <w:rsid w:val="7AA30ADD"/>
    <w:rsid w:val="7AC44293"/>
    <w:rsid w:val="7AC7C92A"/>
    <w:rsid w:val="7ADD5603"/>
    <w:rsid w:val="7B227D1A"/>
    <w:rsid w:val="7B6E3296"/>
    <w:rsid w:val="7B76401E"/>
    <w:rsid w:val="7BA16632"/>
    <w:rsid w:val="7C04295F"/>
    <w:rsid w:val="7C0ED138"/>
    <w:rsid w:val="7C19975B"/>
    <w:rsid w:val="7C223E77"/>
    <w:rsid w:val="7C442513"/>
    <w:rsid w:val="7C4BBCFD"/>
    <w:rsid w:val="7C51BD3E"/>
    <w:rsid w:val="7C562A41"/>
    <w:rsid w:val="7C610F41"/>
    <w:rsid w:val="7C70A832"/>
    <w:rsid w:val="7C908FD6"/>
    <w:rsid w:val="7CABE5DA"/>
    <w:rsid w:val="7CE9B961"/>
    <w:rsid w:val="7D23E34D"/>
    <w:rsid w:val="7D2BD9BF"/>
    <w:rsid w:val="7D5790A0"/>
    <w:rsid w:val="7D6AA6B3"/>
    <w:rsid w:val="7DD94C0D"/>
    <w:rsid w:val="7DDF3D5C"/>
    <w:rsid w:val="7DE36C4D"/>
    <w:rsid w:val="7DF15B2D"/>
    <w:rsid w:val="7E06F849"/>
    <w:rsid w:val="7E2500FE"/>
    <w:rsid w:val="7E8A2E25"/>
    <w:rsid w:val="7EC03B98"/>
    <w:rsid w:val="7EF5FC9E"/>
    <w:rsid w:val="7F32556D"/>
    <w:rsid w:val="7F551D5F"/>
    <w:rsid w:val="7F584358"/>
    <w:rsid w:val="7F58FB8F"/>
    <w:rsid w:val="7F5E672A"/>
    <w:rsid w:val="7FA90366"/>
    <w:rsid w:val="7FC33AEF"/>
    <w:rsid w:val="7FF1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4DF80"/>
  <w15:chartTrackingRefBased/>
  <w15:docId w15:val="{98F5B08F-8C65-4C9A-A5B1-948A6F380ED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2 Char Char Char,Footnote Text Char Char Char Char Char,Footnote Text Char2 Char Char Char Char1 Char,Footnote Text Char2,fn,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 Char Char,Footnote Text Char2 Char Char,Footnote Text Char2 Char Char Char Char,Footnote Text Char Char Char Char Char Char,Footnote Text Char2 Char Char Char Char1 Char Char,Footnote Text Char2 Char1,fn Char,f Char"/>
    <w:basedOn w:val="DefaultParagraphFont"/>
    <w:link w:val="FootnoteText"/>
    <w:uiPriority w:val="99"/>
    <w:rsid w:val="007657C1"/>
    <w:rPr>
      <w:rFonts w:ascii="Book Antiqua" w:hAnsi="Book Antiqua"/>
      <w:szCs w:val="20"/>
    </w:rPr>
  </w:style>
  <w:style w:type="character" w:styleId="FootnoteReference">
    <w:name w:val="footnote reference"/>
    <w:aliases w:val="o,fr,Style 3,o1,o2,o3,o4,o5,o6,o11,o21,o7,o + Times New Roman,Style 12,(NECG) Footnote Reference,Appel note de bas de p,Style 124,Style 58"/>
    <w:basedOn w:val="DefaultParagraphFont"/>
    <w:uiPriority w:val="99"/>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customStyle="1" w:styleId="xstandard">
    <w:name w:val="x_standard"/>
    <w:basedOn w:val="Normal"/>
    <w:rsid w:val="00C615E5"/>
    <w:rPr>
      <w:rFonts w:cs="Calibri"/>
      <w:szCs w:val="26"/>
    </w:rPr>
  </w:style>
  <w:style w:type="paragraph" w:styleId="Revision">
    <w:name w:val="Revision"/>
    <w:hidden/>
    <w:uiPriority w:val="99"/>
    <w:semiHidden/>
    <w:rsid w:val="00DB7D03"/>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3065CB"/>
    <w:rPr>
      <w:sz w:val="16"/>
      <w:szCs w:val="16"/>
    </w:rPr>
  </w:style>
  <w:style w:type="paragraph" w:styleId="CommentText">
    <w:name w:val="annotation text"/>
    <w:basedOn w:val="Normal"/>
    <w:link w:val="CommentTextChar"/>
    <w:uiPriority w:val="99"/>
    <w:unhideWhenUsed/>
    <w:rsid w:val="003065CB"/>
    <w:pPr>
      <w:spacing w:line="240" w:lineRule="auto"/>
    </w:pPr>
    <w:rPr>
      <w:sz w:val="20"/>
      <w:szCs w:val="20"/>
    </w:rPr>
  </w:style>
  <w:style w:type="character" w:customStyle="1" w:styleId="CommentTextChar">
    <w:name w:val="Comment Text Char"/>
    <w:basedOn w:val="DefaultParagraphFont"/>
    <w:link w:val="CommentText"/>
    <w:uiPriority w:val="99"/>
    <w:rsid w:val="003065CB"/>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3065CB"/>
    <w:rPr>
      <w:b/>
      <w:bCs/>
    </w:rPr>
  </w:style>
  <w:style w:type="character" w:customStyle="1" w:styleId="CommentSubjectChar">
    <w:name w:val="Comment Subject Char"/>
    <w:basedOn w:val="CommentTextChar"/>
    <w:link w:val="CommentSubject"/>
    <w:uiPriority w:val="99"/>
    <w:semiHidden/>
    <w:rsid w:val="003065CB"/>
    <w:rPr>
      <w:rFonts w:ascii="Book Antiqua" w:hAnsi="Book Antiqua"/>
      <w:b/>
      <w:bCs/>
      <w:sz w:val="20"/>
      <w:szCs w:val="20"/>
    </w:rPr>
  </w:style>
  <w:style w:type="paragraph" w:styleId="ListParagraph">
    <w:name w:val="List Paragraph"/>
    <w:basedOn w:val="Normal"/>
    <w:uiPriority w:val="34"/>
    <w:qFormat/>
    <w:rsid w:val="00F24479"/>
    <w:pPr>
      <w:spacing w:line="240" w:lineRule="auto"/>
      <w:ind w:left="720" w:firstLine="0"/>
    </w:pPr>
    <w:rPr>
      <w:rFonts w:ascii="Aptos" w:hAnsi="Aptos" w:cs="Aptos"/>
      <w:sz w:val="24"/>
      <w:szCs w:val="24"/>
    </w:rPr>
  </w:style>
  <w:style w:type="paragraph" w:customStyle="1" w:styleId="Default">
    <w:name w:val="Default"/>
    <w:rsid w:val="008C4A1A"/>
    <w:pPr>
      <w:autoSpaceDE w:val="0"/>
      <w:autoSpaceDN w:val="0"/>
      <w:adjustRightInd w:val="0"/>
      <w:spacing w:after="0" w:line="240" w:lineRule="auto"/>
    </w:pPr>
    <w:rPr>
      <w:rFonts w:ascii="Aptos" w:hAnsi="Aptos" w:cs="Aptos"/>
      <w:color w:val="000000"/>
      <w:sz w:val="24"/>
      <w:szCs w:val="24"/>
    </w:rPr>
  </w:style>
  <w:style w:type="character" w:styleId="Mention">
    <w:name w:val="Mention"/>
    <w:basedOn w:val="DefaultParagraphFont"/>
    <w:uiPriority w:val="99"/>
    <w:unhideWhenUsed/>
    <w:rsid w:val="00CE64EE"/>
    <w:rPr>
      <w:color w:val="2B579A"/>
      <w:shd w:val="clear" w:color="auto" w:fill="E1DFDD"/>
    </w:rPr>
  </w:style>
  <w:style w:type="character" w:styleId="EndnoteReference">
    <w:name w:val="endnote reference"/>
    <w:basedOn w:val="DefaultParagraphFont"/>
    <w:uiPriority w:val="99"/>
    <w:semiHidden/>
    <w:unhideWhenUsed/>
    <w:rsid w:val="00AB0E97"/>
    <w:rPr>
      <w:vertAlign w:val="superscript"/>
    </w:rPr>
  </w:style>
  <w:style w:type="table" w:styleId="GridTable5Dark-Accent1">
    <w:name w:val="Grid Table 5 Dark Accent 1"/>
    <w:basedOn w:val="TableNormal"/>
    <w:uiPriority w:val="50"/>
    <w:rsid w:val="00FC6D1F"/>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semiHidden/>
    <w:unhideWhenUsed/>
    <w:rsid w:val="00CA04B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25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671841102">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 Type="http://schemas.openxmlformats.org/officeDocument/2006/relationships/hyperlink" Target="https://docs.cpuc.ca.gov/PublishedDocs/Published/G000/M602/K738/602738128.pdf" TargetMode="External" Id="Rc8c2b2190b77477c" /><Relationship Type="http://schemas.openxmlformats.org/officeDocument/2006/relationships/hyperlink" Target="https://docs.cpuc.ca.gov/PublishedDocs/Published/G000/M602/K740/602740029.pdf" TargetMode="External" Id="R122713790f794e91" /><Relationship Type="http://schemas.openxmlformats.org/officeDocument/2006/relationships/hyperlink" Target="https://docs.cpuc.ca.gov/PublishedDocs/Published/G000/M602/K744/602744890.pdf" TargetMode="External" Id="R8844479753a749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C9F7E5E4-8A2F-4453-AD3B-277F79F0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43</ap:Pages>
  <ap:Words>9276</ap:Words>
  <ap:Characters>52876</ap:Characters>
  <ap:Application>Microsoft Office Word</ap:Application>
  <ap:DocSecurity>0</ap:DocSecurity>
  <ap:Lines>440</ap:Lines>
  <ap:Paragraphs>124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62028</ap:CharactersWithSpaces>
  <ap:SharedDoc>false</ap:SharedDoc>
  <ap:HLinks>
    <vt:vector baseType="variant" size="234">
      <vt:variant>
        <vt:i4>1507387</vt:i4>
      </vt:variant>
      <vt:variant>
        <vt:i4>224</vt:i4>
      </vt:variant>
      <vt:variant>
        <vt:i4>0</vt:i4>
      </vt:variant>
      <vt:variant>
        <vt:i4>5</vt:i4>
      </vt:variant>
      <vt:variant>
        <vt:lpwstr/>
      </vt:variant>
      <vt:variant>
        <vt:lpwstr>_Toc221714917</vt:lpwstr>
      </vt:variant>
      <vt:variant>
        <vt:i4>1507387</vt:i4>
      </vt:variant>
      <vt:variant>
        <vt:i4>218</vt:i4>
      </vt:variant>
      <vt:variant>
        <vt:i4>0</vt:i4>
      </vt:variant>
      <vt:variant>
        <vt:i4>5</vt:i4>
      </vt:variant>
      <vt:variant>
        <vt:lpwstr/>
      </vt:variant>
      <vt:variant>
        <vt:lpwstr>_Toc221714916</vt:lpwstr>
      </vt:variant>
      <vt:variant>
        <vt:i4>1507387</vt:i4>
      </vt:variant>
      <vt:variant>
        <vt:i4>212</vt:i4>
      </vt:variant>
      <vt:variant>
        <vt:i4>0</vt:i4>
      </vt:variant>
      <vt:variant>
        <vt:i4>5</vt:i4>
      </vt:variant>
      <vt:variant>
        <vt:lpwstr/>
      </vt:variant>
      <vt:variant>
        <vt:lpwstr>_Toc221714915</vt:lpwstr>
      </vt:variant>
      <vt:variant>
        <vt:i4>1507387</vt:i4>
      </vt:variant>
      <vt:variant>
        <vt:i4>206</vt:i4>
      </vt:variant>
      <vt:variant>
        <vt:i4>0</vt:i4>
      </vt:variant>
      <vt:variant>
        <vt:i4>5</vt:i4>
      </vt:variant>
      <vt:variant>
        <vt:lpwstr/>
      </vt:variant>
      <vt:variant>
        <vt:lpwstr>_Toc221714914</vt:lpwstr>
      </vt:variant>
      <vt:variant>
        <vt:i4>1507387</vt:i4>
      </vt:variant>
      <vt:variant>
        <vt:i4>200</vt:i4>
      </vt:variant>
      <vt:variant>
        <vt:i4>0</vt:i4>
      </vt:variant>
      <vt:variant>
        <vt:i4>5</vt:i4>
      </vt:variant>
      <vt:variant>
        <vt:lpwstr/>
      </vt:variant>
      <vt:variant>
        <vt:lpwstr>_Toc221714913</vt:lpwstr>
      </vt:variant>
      <vt:variant>
        <vt:i4>1507387</vt:i4>
      </vt:variant>
      <vt:variant>
        <vt:i4>194</vt:i4>
      </vt:variant>
      <vt:variant>
        <vt:i4>0</vt:i4>
      </vt:variant>
      <vt:variant>
        <vt:i4>5</vt:i4>
      </vt:variant>
      <vt:variant>
        <vt:lpwstr/>
      </vt:variant>
      <vt:variant>
        <vt:lpwstr>_Toc221714912</vt:lpwstr>
      </vt:variant>
      <vt:variant>
        <vt:i4>1507387</vt:i4>
      </vt:variant>
      <vt:variant>
        <vt:i4>188</vt:i4>
      </vt:variant>
      <vt:variant>
        <vt:i4>0</vt:i4>
      </vt:variant>
      <vt:variant>
        <vt:i4>5</vt:i4>
      </vt:variant>
      <vt:variant>
        <vt:lpwstr/>
      </vt:variant>
      <vt:variant>
        <vt:lpwstr>_Toc221714911</vt:lpwstr>
      </vt:variant>
      <vt:variant>
        <vt:i4>1507387</vt:i4>
      </vt:variant>
      <vt:variant>
        <vt:i4>182</vt:i4>
      </vt:variant>
      <vt:variant>
        <vt:i4>0</vt:i4>
      </vt:variant>
      <vt:variant>
        <vt:i4>5</vt:i4>
      </vt:variant>
      <vt:variant>
        <vt:lpwstr/>
      </vt:variant>
      <vt:variant>
        <vt:lpwstr>_Toc221714910</vt:lpwstr>
      </vt:variant>
      <vt:variant>
        <vt:i4>1441851</vt:i4>
      </vt:variant>
      <vt:variant>
        <vt:i4>176</vt:i4>
      </vt:variant>
      <vt:variant>
        <vt:i4>0</vt:i4>
      </vt:variant>
      <vt:variant>
        <vt:i4>5</vt:i4>
      </vt:variant>
      <vt:variant>
        <vt:lpwstr/>
      </vt:variant>
      <vt:variant>
        <vt:lpwstr>_Toc221714909</vt:lpwstr>
      </vt:variant>
      <vt:variant>
        <vt:i4>1441851</vt:i4>
      </vt:variant>
      <vt:variant>
        <vt:i4>170</vt:i4>
      </vt:variant>
      <vt:variant>
        <vt:i4>0</vt:i4>
      </vt:variant>
      <vt:variant>
        <vt:i4>5</vt:i4>
      </vt:variant>
      <vt:variant>
        <vt:lpwstr/>
      </vt:variant>
      <vt:variant>
        <vt:lpwstr>_Toc221714908</vt:lpwstr>
      </vt:variant>
      <vt:variant>
        <vt:i4>1441851</vt:i4>
      </vt:variant>
      <vt:variant>
        <vt:i4>164</vt:i4>
      </vt:variant>
      <vt:variant>
        <vt:i4>0</vt:i4>
      </vt:variant>
      <vt:variant>
        <vt:i4>5</vt:i4>
      </vt:variant>
      <vt:variant>
        <vt:lpwstr/>
      </vt:variant>
      <vt:variant>
        <vt:lpwstr>_Toc221714907</vt:lpwstr>
      </vt:variant>
      <vt:variant>
        <vt:i4>1441851</vt:i4>
      </vt:variant>
      <vt:variant>
        <vt:i4>158</vt:i4>
      </vt:variant>
      <vt:variant>
        <vt:i4>0</vt:i4>
      </vt:variant>
      <vt:variant>
        <vt:i4>5</vt:i4>
      </vt:variant>
      <vt:variant>
        <vt:lpwstr/>
      </vt:variant>
      <vt:variant>
        <vt:lpwstr>_Toc221714906</vt:lpwstr>
      </vt:variant>
      <vt:variant>
        <vt:i4>1441851</vt:i4>
      </vt:variant>
      <vt:variant>
        <vt:i4>152</vt:i4>
      </vt:variant>
      <vt:variant>
        <vt:i4>0</vt:i4>
      </vt:variant>
      <vt:variant>
        <vt:i4>5</vt:i4>
      </vt:variant>
      <vt:variant>
        <vt:lpwstr/>
      </vt:variant>
      <vt:variant>
        <vt:lpwstr>_Toc221714905</vt:lpwstr>
      </vt:variant>
      <vt:variant>
        <vt:i4>1441851</vt:i4>
      </vt:variant>
      <vt:variant>
        <vt:i4>146</vt:i4>
      </vt:variant>
      <vt:variant>
        <vt:i4>0</vt:i4>
      </vt:variant>
      <vt:variant>
        <vt:i4>5</vt:i4>
      </vt:variant>
      <vt:variant>
        <vt:lpwstr/>
      </vt:variant>
      <vt:variant>
        <vt:lpwstr>_Toc221714904</vt:lpwstr>
      </vt:variant>
      <vt:variant>
        <vt:i4>1441851</vt:i4>
      </vt:variant>
      <vt:variant>
        <vt:i4>140</vt:i4>
      </vt:variant>
      <vt:variant>
        <vt:i4>0</vt:i4>
      </vt:variant>
      <vt:variant>
        <vt:i4>5</vt:i4>
      </vt:variant>
      <vt:variant>
        <vt:lpwstr/>
      </vt:variant>
      <vt:variant>
        <vt:lpwstr>_Toc221714903</vt:lpwstr>
      </vt:variant>
      <vt:variant>
        <vt:i4>1441851</vt:i4>
      </vt:variant>
      <vt:variant>
        <vt:i4>134</vt:i4>
      </vt:variant>
      <vt:variant>
        <vt:i4>0</vt:i4>
      </vt:variant>
      <vt:variant>
        <vt:i4>5</vt:i4>
      </vt:variant>
      <vt:variant>
        <vt:lpwstr/>
      </vt:variant>
      <vt:variant>
        <vt:lpwstr>_Toc221714902</vt:lpwstr>
      </vt:variant>
      <vt:variant>
        <vt:i4>1441851</vt:i4>
      </vt:variant>
      <vt:variant>
        <vt:i4>128</vt:i4>
      </vt:variant>
      <vt:variant>
        <vt:i4>0</vt:i4>
      </vt:variant>
      <vt:variant>
        <vt:i4>5</vt:i4>
      </vt:variant>
      <vt:variant>
        <vt:lpwstr/>
      </vt:variant>
      <vt:variant>
        <vt:lpwstr>_Toc221714901</vt:lpwstr>
      </vt:variant>
      <vt:variant>
        <vt:i4>1441851</vt:i4>
      </vt:variant>
      <vt:variant>
        <vt:i4>122</vt:i4>
      </vt:variant>
      <vt:variant>
        <vt:i4>0</vt:i4>
      </vt:variant>
      <vt:variant>
        <vt:i4>5</vt:i4>
      </vt:variant>
      <vt:variant>
        <vt:lpwstr/>
      </vt:variant>
      <vt:variant>
        <vt:lpwstr>_Toc221714900</vt:lpwstr>
      </vt:variant>
      <vt:variant>
        <vt:i4>2031674</vt:i4>
      </vt:variant>
      <vt:variant>
        <vt:i4>116</vt:i4>
      </vt:variant>
      <vt:variant>
        <vt:i4>0</vt:i4>
      </vt:variant>
      <vt:variant>
        <vt:i4>5</vt:i4>
      </vt:variant>
      <vt:variant>
        <vt:lpwstr/>
      </vt:variant>
      <vt:variant>
        <vt:lpwstr>_Toc221714899</vt:lpwstr>
      </vt:variant>
      <vt:variant>
        <vt:i4>2031674</vt:i4>
      </vt:variant>
      <vt:variant>
        <vt:i4>110</vt:i4>
      </vt:variant>
      <vt:variant>
        <vt:i4>0</vt:i4>
      </vt:variant>
      <vt:variant>
        <vt:i4>5</vt:i4>
      </vt:variant>
      <vt:variant>
        <vt:lpwstr/>
      </vt:variant>
      <vt:variant>
        <vt:lpwstr>_Toc221714898</vt:lpwstr>
      </vt:variant>
      <vt:variant>
        <vt:i4>2031674</vt:i4>
      </vt:variant>
      <vt:variant>
        <vt:i4>104</vt:i4>
      </vt:variant>
      <vt:variant>
        <vt:i4>0</vt:i4>
      </vt:variant>
      <vt:variant>
        <vt:i4>5</vt:i4>
      </vt:variant>
      <vt:variant>
        <vt:lpwstr/>
      </vt:variant>
      <vt:variant>
        <vt:lpwstr>_Toc221714897</vt:lpwstr>
      </vt:variant>
      <vt:variant>
        <vt:i4>2031674</vt:i4>
      </vt:variant>
      <vt:variant>
        <vt:i4>98</vt:i4>
      </vt:variant>
      <vt:variant>
        <vt:i4>0</vt:i4>
      </vt:variant>
      <vt:variant>
        <vt:i4>5</vt:i4>
      </vt:variant>
      <vt:variant>
        <vt:lpwstr/>
      </vt:variant>
      <vt:variant>
        <vt:lpwstr>_Toc221714896</vt:lpwstr>
      </vt:variant>
      <vt:variant>
        <vt:i4>2031674</vt:i4>
      </vt:variant>
      <vt:variant>
        <vt:i4>92</vt:i4>
      </vt:variant>
      <vt:variant>
        <vt:i4>0</vt:i4>
      </vt:variant>
      <vt:variant>
        <vt:i4>5</vt:i4>
      </vt:variant>
      <vt:variant>
        <vt:lpwstr/>
      </vt:variant>
      <vt:variant>
        <vt:lpwstr>_Toc221714895</vt:lpwstr>
      </vt:variant>
      <vt:variant>
        <vt:i4>2031674</vt:i4>
      </vt:variant>
      <vt:variant>
        <vt:i4>86</vt:i4>
      </vt:variant>
      <vt:variant>
        <vt:i4>0</vt:i4>
      </vt:variant>
      <vt:variant>
        <vt:i4>5</vt:i4>
      </vt:variant>
      <vt:variant>
        <vt:lpwstr/>
      </vt:variant>
      <vt:variant>
        <vt:lpwstr>_Toc221714894</vt:lpwstr>
      </vt:variant>
      <vt:variant>
        <vt:i4>2031674</vt:i4>
      </vt:variant>
      <vt:variant>
        <vt:i4>80</vt:i4>
      </vt:variant>
      <vt:variant>
        <vt:i4>0</vt:i4>
      </vt:variant>
      <vt:variant>
        <vt:i4>5</vt:i4>
      </vt:variant>
      <vt:variant>
        <vt:lpwstr/>
      </vt:variant>
      <vt:variant>
        <vt:lpwstr>_Toc221714893</vt:lpwstr>
      </vt:variant>
      <vt:variant>
        <vt:i4>2031674</vt:i4>
      </vt:variant>
      <vt:variant>
        <vt:i4>74</vt:i4>
      </vt:variant>
      <vt:variant>
        <vt:i4>0</vt:i4>
      </vt:variant>
      <vt:variant>
        <vt:i4>5</vt:i4>
      </vt:variant>
      <vt:variant>
        <vt:lpwstr/>
      </vt:variant>
      <vt:variant>
        <vt:lpwstr>_Toc221714892</vt:lpwstr>
      </vt:variant>
      <vt:variant>
        <vt:i4>2031674</vt:i4>
      </vt:variant>
      <vt:variant>
        <vt:i4>68</vt:i4>
      </vt:variant>
      <vt:variant>
        <vt:i4>0</vt:i4>
      </vt:variant>
      <vt:variant>
        <vt:i4>5</vt:i4>
      </vt:variant>
      <vt:variant>
        <vt:lpwstr/>
      </vt:variant>
      <vt:variant>
        <vt:lpwstr>_Toc221714891</vt:lpwstr>
      </vt:variant>
      <vt:variant>
        <vt:i4>2031674</vt:i4>
      </vt:variant>
      <vt:variant>
        <vt:i4>62</vt:i4>
      </vt:variant>
      <vt:variant>
        <vt:i4>0</vt:i4>
      </vt:variant>
      <vt:variant>
        <vt:i4>5</vt:i4>
      </vt:variant>
      <vt:variant>
        <vt:lpwstr/>
      </vt:variant>
      <vt:variant>
        <vt:lpwstr>_Toc221714890</vt:lpwstr>
      </vt:variant>
      <vt:variant>
        <vt:i4>1966138</vt:i4>
      </vt:variant>
      <vt:variant>
        <vt:i4>56</vt:i4>
      </vt:variant>
      <vt:variant>
        <vt:i4>0</vt:i4>
      </vt:variant>
      <vt:variant>
        <vt:i4>5</vt:i4>
      </vt:variant>
      <vt:variant>
        <vt:lpwstr/>
      </vt:variant>
      <vt:variant>
        <vt:lpwstr>_Toc221714889</vt:lpwstr>
      </vt:variant>
      <vt:variant>
        <vt:i4>1966138</vt:i4>
      </vt:variant>
      <vt:variant>
        <vt:i4>50</vt:i4>
      </vt:variant>
      <vt:variant>
        <vt:i4>0</vt:i4>
      </vt:variant>
      <vt:variant>
        <vt:i4>5</vt:i4>
      </vt:variant>
      <vt:variant>
        <vt:lpwstr/>
      </vt:variant>
      <vt:variant>
        <vt:lpwstr>_Toc221714888</vt:lpwstr>
      </vt:variant>
      <vt:variant>
        <vt:i4>1966138</vt:i4>
      </vt:variant>
      <vt:variant>
        <vt:i4>44</vt:i4>
      </vt:variant>
      <vt:variant>
        <vt:i4>0</vt:i4>
      </vt:variant>
      <vt:variant>
        <vt:i4>5</vt:i4>
      </vt:variant>
      <vt:variant>
        <vt:lpwstr/>
      </vt:variant>
      <vt:variant>
        <vt:lpwstr>_Toc221714887</vt:lpwstr>
      </vt:variant>
      <vt:variant>
        <vt:i4>1966138</vt:i4>
      </vt:variant>
      <vt:variant>
        <vt:i4>38</vt:i4>
      </vt:variant>
      <vt:variant>
        <vt:i4>0</vt:i4>
      </vt:variant>
      <vt:variant>
        <vt:i4>5</vt:i4>
      </vt:variant>
      <vt:variant>
        <vt:lpwstr/>
      </vt:variant>
      <vt:variant>
        <vt:lpwstr>_Toc221714886</vt:lpwstr>
      </vt:variant>
      <vt:variant>
        <vt:i4>1966138</vt:i4>
      </vt:variant>
      <vt:variant>
        <vt:i4>32</vt:i4>
      </vt:variant>
      <vt:variant>
        <vt:i4>0</vt:i4>
      </vt:variant>
      <vt:variant>
        <vt:i4>5</vt:i4>
      </vt:variant>
      <vt:variant>
        <vt:lpwstr/>
      </vt:variant>
      <vt:variant>
        <vt:lpwstr>_Toc221714885</vt:lpwstr>
      </vt:variant>
      <vt:variant>
        <vt:i4>1966138</vt:i4>
      </vt:variant>
      <vt:variant>
        <vt:i4>26</vt:i4>
      </vt:variant>
      <vt:variant>
        <vt:i4>0</vt:i4>
      </vt:variant>
      <vt:variant>
        <vt:i4>5</vt:i4>
      </vt:variant>
      <vt:variant>
        <vt:lpwstr/>
      </vt:variant>
      <vt:variant>
        <vt:lpwstr>_Toc221714884</vt:lpwstr>
      </vt:variant>
      <vt:variant>
        <vt:i4>1966138</vt:i4>
      </vt:variant>
      <vt:variant>
        <vt:i4>20</vt:i4>
      </vt:variant>
      <vt:variant>
        <vt:i4>0</vt:i4>
      </vt:variant>
      <vt:variant>
        <vt:i4>5</vt:i4>
      </vt:variant>
      <vt:variant>
        <vt:lpwstr/>
      </vt:variant>
      <vt:variant>
        <vt:lpwstr>_Toc221714883</vt:lpwstr>
      </vt:variant>
      <vt:variant>
        <vt:i4>1966138</vt:i4>
      </vt:variant>
      <vt:variant>
        <vt:i4>14</vt:i4>
      </vt:variant>
      <vt:variant>
        <vt:i4>0</vt:i4>
      </vt:variant>
      <vt:variant>
        <vt:i4>5</vt:i4>
      </vt:variant>
      <vt:variant>
        <vt:lpwstr/>
      </vt:variant>
      <vt:variant>
        <vt:lpwstr>_Toc221714882</vt:lpwstr>
      </vt:variant>
      <vt:variant>
        <vt:i4>1966138</vt:i4>
      </vt:variant>
      <vt:variant>
        <vt:i4>8</vt:i4>
      </vt:variant>
      <vt:variant>
        <vt:i4>0</vt:i4>
      </vt:variant>
      <vt:variant>
        <vt:i4>5</vt:i4>
      </vt:variant>
      <vt:variant>
        <vt:lpwstr/>
      </vt:variant>
      <vt:variant>
        <vt:lpwstr>_Toc221714881</vt:lpwstr>
      </vt:variant>
      <vt:variant>
        <vt:i4>1966138</vt:i4>
      </vt:variant>
      <vt:variant>
        <vt:i4>2</vt:i4>
      </vt:variant>
      <vt:variant>
        <vt:i4>0</vt:i4>
      </vt:variant>
      <vt:variant>
        <vt:i4>5</vt:i4>
      </vt:variant>
      <vt:variant>
        <vt:lpwstr/>
      </vt:variant>
      <vt:variant>
        <vt:lpwstr>_Toc221714880</vt:lpwstr>
      </vt:variant>
      <vt:variant>
        <vt:i4>589900</vt:i4>
      </vt:variant>
      <vt:variant>
        <vt:i4>0</vt:i4>
      </vt:variant>
      <vt:variant>
        <vt:i4>0</vt:i4>
      </vt:variant>
      <vt:variant>
        <vt:i4>5</vt:i4>
      </vt:variant>
      <vt:variant>
        <vt:lpwstr>https://docs.cpuc.ca.gov/PublishedDocs/Efile/G000/M601/K780/601780407.PDF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2026-03-16T21:26:00Z</cp:lastPrinted>
  <dcterms:created xsi:type="dcterms:W3CDTF">2026-03-16T16:09:46Z</dcterms:created>
  <dcterms:modified xsi:type="dcterms:W3CDTF">2026-03-16T16:09:46Z</dcterms:modified>
</cp:coreProperties>
</file>