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DA7A0F" w:rsidP="00FF1E89" w:rsidRDefault="002F47C7" w14:paraId="71B359BB" w14:textId="2DC1F6B1">
      <w:pPr>
        <w:tabs>
          <w:tab w:val="center" w:pos="4320"/>
          <w:tab w:val="right" w:pos="9360"/>
        </w:tabs>
        <w:spacing w:line="240" w:lineRule="auto"/>
        <w:ind w:firstLine="0"/>
        <w:rPr>
          <w:b/>
        </w:rPr>
      </w:pPr>
      <w:r>
        <w:t>ALJ</w:t>
      </w:r>
      <w:r w:rsidR="00DA7B5D">
        <w:t>/</w:t>
      </w:r>
      <w:r>
        <w:t>EO2</w:t>
      </w:r>
      <w:r w:rsidR="00DA7B5D">
        <w:t>/</w:t>
      </w:r>
      <w:r>
        <w:t>cg7</w:t>
      </w:r>
      <w:r w:rsidR="007E0FEE">
        <w:tab/>
      </w:r>
      <w:r w:rsidR="00FF1E89">
        <w:tab/>
      </w:r>
      <w:r w:rsidRPr="00171C30" w:rsidR="00FF1E89">
        <w:rPr>
          <w:rFonts w:cs="Arial"/>
          <w:b/>
          <w:szCs w:val="26"/>
        </w:rPr>
        <w:t>Date of Issuance 03/2</w:t>
      </w:r>
      <w:r w:rsidR="00232EFF">
        <w:rPr>
          <w:rFonts w:cs="Arial"/>
          <w:b/>
          <w:szCs w:val="26"/>
        </w:rPr>
        <w:t>3</w:t>
      </w:r>
      <w:r w:rsidRPr="00171C30" w:rsidR="00FF1E89">
        <w:rPr>
          <w:rFonts w:cs="Arial"/>
          <w:b/>
          <w:szCs w:val="26"/>
        </w:rPr>
        <w:t>/2026</w:t>
      </w:r>
    </w:p>
    <w:p w:rsidR="00DA7B5D" w:rsidP="00015F65" w:rsidRDefault="00DA7B5D" w14:paraId="39E09732" w14:textId="77777777">
      <w:pPr>
        <w:spacing w:line="240" w:lineRule="auto"/>
        <w:ind w:firstLine="0"/>
      </w:pPr>
    </w:p>
    <w:p w:rsidR="00015F65" w:rsidP="00015F65" w:rsidRDefault="00015F65" w14:paraId="281D351E" w14:textId="77777777">
      <w:pPr>
        <w:spacing w:line="240" w:lineRule="auto"/>
        <w:ind w:firstLine="0"/>
      </w:pPr>
    </w:p>
    <w:p w:rsidRPr="005B32FC" w:rsidR="00DA7B5D" w:rsidP="0098655A" w:rsidRDefault="00DA7B5D" w14:paraId="781526A3" w14:textId="66977466">
      <w:pPr>
        <w:ind w:left="1080" w:hanging="1080"/>
      </w:pPr>
      <w:r w:rsidRPr="005B32FC">
        <w:t xml:space="preserve">Decision </w:t>
      </w:r>
      <w:r w:rsidRPr="003C4651" w:rsidR="003C4651">
        <w:t>26-03-</w:t>
      </w:r>
      <w:proofErr w:type="gramStart"/>
      <w:r w:rsidRPr="003C4651" w:rsidR="003C4651">
        <w:t>011</w:t>
      </w:r>
      <w:r w:rsidR="003C4651">
        <w:t xml:space="preserve">  March</w:t>
      </w:r>
      <w:proofErr w:type="gramEnd"/>
      <w:r w:rsidR="003C4651">
        <w:t xml:space="preserve"> </w:t>
      </w:r>
      <w:r w:rsidR="005E0EBE">
        <w:t>19</w:t>
      </w:r>
      <w:r w:rsidR="003C4651">
        <w:t>, 2026</w:t>
      </w:r>
    </w:p>
    <w:p w:rsidR="00DA7B5D" w:rsidP="00015F65" w:rsidRDefault="00DA7B5D" w14:paraId="5E78345F" w14:textId="77777777">
      <w:pPr>
        <w:spacing w:line="240" w:lineRule="auto"/>
        <w:ind w:firstLine="0"/>
        <w:rPr>
          <w:u w:val="single"/>
        </w:rPr>
      </w:pPr>
    </w:p>
    <w:p w:rsidR="00015F65" w:rsidP="00015F65" w:rsidRDefault="00015F65" w14:paraId="0212690A" w14:textId="77777777">
      <w:pPr>
        <w:spacing w:line="240" w:lineRule="auto"/>
        <w:ind w:firstLine="0"/>
        <w:rPr>
          <w:u w:val="single"/>
        </w:rPr>
      </w:pPr>
    </w:p>
    <w:p w:rsidR="00DA7B5D" w:rsidP="00BB0243" w:rsidRDefault="00DA7B5D" w14:paraId="447E15C6"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34163109" w14:textId="77777777">
      <w:pPr>
        <w:spacing w:line="240" w:lineRule="auto"/>
        <w:ind w:firstLine="0"/>
        <w:rPr>
          <w:rFonts w:ascii="Arial" w:hAnsi="Arial" w:cs="Arial"/>
          <w:sz w:val="24"/>
          <w:szCs w:val="24"/>
        </w:rPr>
      </w:pPr>
    </w:p>
    <w:p w:rsidR="00015F65" w:rsidP="008F0116" w:rsidRDefault="00015F65" w14:paraId="199CD4A8"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D1BD13B"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6C1162" w14:paraId="5263F385" w14:textId="4CFB56E5">
            <w:pPr>
              <w:spacing w:line="240" w:lineRule="auto"/>
              <w:ind w:firstLine="0"/>
              <w:rPr>
                <w:rFonts w:cs="Arial"/>
                <w:szCs w:val="26"/>
              </w:rPr>
            </w:pPr>
            <w:r w:rsidRPr="006C1162">
              <w:rPr>
                <w:rFonts w:cs="Arial"/>
                <w:szCs w:val="26"/>
              </w:rPr>
              <w:t>In the Matter of the Application of Southern California Gas Company (U904G) Regarding Year 31 (2024</w:t>
            </w:r>
            <w:r w:rsidR="00421BBB">
              <w:rPr>
                <w:rFonts w:cs="Arial"/>
                <w:szCs w:val="26"/>
              </w:rPr>
              <w:t>–</w:t>
            </w:r>
            <w:r w:rsidRPr="006C1162">
              <w:rPr>
                <w:rFonts w:cs="Arial"/>
                <w:szCs w:val="26"/>
              </w:rPr>
              <w:t>2025) of Its Gas Cost Incentive Mechanism.</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6C1162" w14:paraId="5F821992" w14:textId="56079161">
            <w:pPr>
              <w:spacing w:line="240" w:lineRule="auto"/>
              <w:ind w:firstLine="0"/>
              <w:jc w:val="center"/>
              <w:rPr>
                <w:rFonts w:cs="Arial"/>
                <w:szCs w:val="26"/>
              </w:rPr>
            </w:pPr>
            <w:r>
              <w:rPr>
                <w:rFonts w:cs="Arial"/>
                <w:szCs w:val="26"/>
              </w:rPr>
              <w:t>Application 25-06-012</w:t>
            </w:r>
          </w:p>
        </w:tc>
      </w:tr>
    </w:tbl>
    <w:p w:rsidR="00DA7B5D" w:rsidP="008F0116" w:rsidRDefault="00DA7B5D" w14:paraId="4F367A15" w14:textId="77777777">
      <w:pPr>
        <w:spacing w:line="240" w:lineRule="auto"/>
        <w:ind w:firstLine="0"/>
        <w:rPr>
          <w:rFonts w:ascii="Arial" w:hAnsi="Arial" w:cs="Arial"/>
          <w:sz w:val="24"/>
          <w:szCs w:val="24"/>
        </w:rPr>
      </w:pPr>
    </w:p>
    <w:p w:rsidR="00DA7B5D" w:rsidP="008F0116" w:rsidRDefault="00DA7B5D" w14:paraId="77F65390" w14:textId="77777777">
      <w:pPr>
        <w:spacing w:line="240" w:lineRule="auto"/>
        <w:ind w:firstLine="0"/>
        <w:rPr>
          <w:rFonts w:ascii="Arial" w:hAnsi="Arial" w:cs="Arial"/>
          <w:sz w:val="24"/>
          <w:szCs w:val="24"/>
        </w:rPr>
      </w:pPr>
    </w:p>
    <w:p w:rsidR="00083EC0" w:rsidP="00083EC0" w:rsidRDefault="006C1162" w14:paraId="3186D598" w14:textId="326C17F2">
      <w:pPr>
        <w:pStyle w:val="Dummy"/>
        <w:spacing w:after="0"/>
        <w:contextualSpacing/>
        <w:jc w:val="center"/>
      </w:pPr>
      <w:r>
        <w:t>DECISION APPROVING SOUTHERN CALIFORNIA GAS COMPANY’S SHAREHOLDER REWARD FOR YEAR 31 (2024</w:t>
      </w:r>
      <w:r w:rsidR="00421BBB">
        <w:t>–</w:t>
      </w:r>
      <w:r>
        <w:t xml:space="preserve">2025) OF THE </w:t>
      </w:r>
    </w:p>
    <w:p w:rsidRPr="001E2A62" w:rsidR="00D50119" w:rsidP="00015F65" w:rsidRDefault="006C1162" w14:paraId="109BB12F" w14:textId="2BC9C0C2">
      <w:pPr>
        <w:pStyle w:val="Dummy"/>
        <w:jc w:val="center"/>
        <w:rPr>
          <w:rFonts w:ascii="Book Antiqua" w:hAnsi="Book Antiqua"/>
        </w:rPr>
      </w:pPr>
      <w:r>
        <w:t>GAS COST INCENTIVE MECHANISM</w:t>
      </w:r>
    </w:p>
    <w:p w:rsidR="005A148C" w:rsidP="00015F65" w:rsidRDefault="005A148C" w14:paraId="4AA1835C" w14:textId="77777777">
      <w:pPr>
        <w:pStyle w:val="Dummy"/>
        <w:ind w:firstLine="720"/>
      </w:pPr>
      <w:bookmarkStart w:name="_Toc8123714" w:id="0"/>
      <w:bookmarkStart w:name="_Toc133843842" w:id="1"/>
      <w:r>
        <w:t>Summary</w:t>
      </w:r>
      <w:bookmarkEnd w:id="0"/>
      <w:bookmarkEnd w:id="1"/>
    </w:p>
    <w:p w:rsidR="002C7FE9" w:rsidP="006C1162" w:rsidRDefault="006C1162" w14:paraId="7D79B71E" w14:textId="7DBC5BA3">
      <w:pPr>
        <w:pStyle w:val="Standard"/>
      </w:pPr>
      <w:r>
        <w:t xml:space="preserve">This </w:t>
      </w:r>
      <w:r w:rsidR="00083EC0">
        <w:t>d</w:t>
      </w:r>
      <w:r>
        <w:t>ecision approves Southern California Gas Company’s (SoCalGas) request for a shareholder reward of $</w:t>
      </w:r>
      <w:r w:rsidR="00040840">
        <w:t>8,374,056 for Year 31 (2024</w:t>
      </w:r>
      <w:r w:rsidR="008015AF">
        <w:t>–</w:t>
      </w:r>
      <w:r w:rsidR="00040840">
        <w:t>2025) of the company’s Gas Cost Incentive Mechanism</w:t>
      </w:r>
      <w:r w:rsidR="00B75405">
        <w:t xml:space="preserve"> performance</w:t>
      </w:r>
      <w:r w:rsidR="00040840">
        <w:t xml:space="preserve">. The Public Advocates Office at the California Public Utilities Commission verified that SoCalGas’s recorded </w:t>
      </w:r>
      <w:r w:rsidRPr="00AA7E87" w:rsidR="00AA7E87">
        <w:t>procurement annual actual</w:t>
      </w:r>
      <w:r w:rsidR="00AA7E87">
        <w:t xml:space="preserve"> </w:t>
      </w:r>
      <w:r w:rsidR="00040840">
        <w:t>costs were $42,142,370 below the benchmark, which results in a reward of $8,374,056 to SoCalGas’s shareholders and a ratepayer</w:t>
      </w:r>
      <w:r w:rsidR="007A30A3">
        <w:t xml:space="preserve"> savings</w:t>
      </w:r>
      <w:r w:rsidR="00040840">
        <w:t xml:space="preserve"> benefit of $</w:t>
      </w:r>
      <w:r w:rsidR="00405489">
        <w:t>33,768,315</w:t>
      </w:r>
      <w:r w:rsidR="00F02F1D">
        <w:t xml:space="preserve"> in lower gas costs</w:t>
      </w:r>
      <w:r w:rsidR="00040840">
        <w:t>.</w:t>
      </w:r>
    </w:p>
    <w:p w:rsidR="0073353F" w:rsidP="006E6574" w:rsidRDefault="00040840" w14:paraId="4172F920" w14:textId="39A6EB45">
      <w:pPr>
        <w:pStyle w:val="Standard"/>
      </w:pPr>
      <w:r>
        <w:t>Application 25-06-012 is closed.</w:t>
      </w:r>
    </w:p>
    <w:p w:rsidRPr="00121089" w:rsidR="005A148C" w:rsidP="0045376B" w:rsidRDefault="00040840" w14:paraId="72CC2AF2" w14:textId="7ED55C34">
      <w:pPr>
        <w:pStyle w:val="Heading1"/>
      </w:pPr>
      <w:bookmarkStart w:name="_Toc8123715" w:id="2"/>
      <w:bookmarkStart w:name="_Toc133843843" w:id="3"/>
      <w:r w:rsidRPr="0045376B">
        <w:t>Procedural</w:t>
      </w:r>
      <w:r>
        <w:t xml:space="preserve"> </w:t>
      </w:r>
      <w:r w:rsidRPr="00121089" w:rsidR="002C7FE9">
        <w:t>Background</w:t>
      </w:r>
      <w:bookmarkEnd w:id="2"/>
      <w:bookmarkEnd w:id="3"/>
    </w:p>
    <w:p w:rsidR="002C7FE9" w:rsidP="006E6574" w:rsidRDefault="00040840" w14:paraId="1D987C74" w14:textId="4B813E23">
      <w:pPr>
        <w:pStyle w:val="Standard"/>
      </w:pPr>
      <w:r>
        <w:t>On June 13, 2025, Southern California Gas Company (SoCalGas) filed Application (A.) 25-06-012</w:t>
      </w:r>
      <w:r w:rsidR="00352E38">
        <w:t xml:space="preserve"> with the California Public Utilities Commission (Commission) requesting a shareholder reward of $</w:t>
      </w:r>
      <w:r w:rsidR="002E3C55">
        <w:t>8,374,056</w:t>
      </w:r>
      <w:r w:rsidR="00352E38">
        <w:t xml:space="preserve"> for its</w:t>
      </w:r>
      <w:r w:rsidR="002E3C55">
        <w:t xml:space="preserve"> p</w:t>
      </w:r>
      <w:r w:rsidR="00352E38">
        <w:t xml:space="preserve">erformance </w:t>
      </w:r>
      <w:r w:rsidR="00352E38">
        <w:lastRenderedPageBreak/>
        <w:t>during Year 31 (April 1, 2024</w:t>
      </w:r>
      <w:r w:rsidR="00F0388C">
        <w:t>,</w:t>
      </w:r>
      <w:r w:rsidR="00352E38">
        <w:t xml:space="preserve"> through March 31, 2025</w:t>
      </w:r>
      <w:r w:rsidR="0000098D">
        <w:t>) of the Gas Cost Incentive Mechanism (GCIM). SoCalGas included its Annual Report on the Gas Cost I</w:t>
      </w:r>
      <w:r w:rsidR="002E3C55">
        <w:t>ncentive Mechanism</w:t>
      </w:r>
      <w:r w:rsidR="0000098D">
        <w:t xml:space="preserve"> as Attachment A to the </w:t>
      </w:r>
      <w:r w:rsidR="00B75405">
        <w:t>a</w:t>
      </w:r>
      <w:r w:rsidR="0000098D">
        <w:t>pplication.</w:t>
      </w:r>
    </w:p>
    <w:p w:rsidR="0000098D" w:rsidP="006E6574" w:rsidRDefault="0000098D" w14:paraId="2D5007F3" w14:textId="68E68A8D">
      <w:pPr>
        <w:pStyle w:val="Standard"/>
      </w:pPr>
      <w:r>
        <w:t>On July 17, 2025</w:t>
      </w:r>
      <w:r w:rsidR="002E3C55">
        <w:t>,</w:t>
      </w:r>
      <w:r>
        <w:t xml:space="preserve"> </w:t>
      </w:r>
      <w:r w:rsidR="00523A44">
        <w:t xml:space="preserve">the Public Advocates Office at the </w:t>
      </w:r>
      <w:r w:rsidR="00137BCD">
        <w:t xml:space="preserve">California Public Utilities </w:t>
      </w:r>
      <w:r w:rsidR="00523A44">
        <w:t xml:space="preserve">Commission (Cal Advocates) filed a response to the </w:t>
      </w:r>
      <w:r w:rsidR="00B75405">
        <w:t>a</w:t>
      </w:r>
      <w:r w:rsidR="00523A44">
        <w:t>pplication.</w:t>
      </w:r>
    </w:p>
    <w:p w:rsidR="00523A44" w:rsidP="006E6574" w:rsidRDefault="0033765D" w14:paraId="7B4956C0" w14:textId="7B975F8E">
      <w:pPr>
        <w:pStyle w:val="Standard"/>
      </w:pPr>
      <w:r>
        <w:t xml:space="preserve">On August 22, 2025, the Commission held a </w:t>
      </w:r>
      <w:r w:rsidR="00ED75E8">
        <w:t xml:space="preserve">virtual </w:t>
      </w:r>
      <w:r w:rsidR="00B61052">
        <w:t>prehearing conference</w:t>
      </w:r>
      <w:r>
        <w:t>.</w:t>
      </w:r>
    </w:p>
    <w:p w:rsidR="0033765D" w:rsidP="006E6574" w:rsidRDefault="0033765D" w14:paraId="4262B83D" w14:textId="535C8F9A">
      <w:pPr>
        <w:pStyle w:val="Standard"/>
      </w:pPr>
      <w:r>
        <w:t>On September 9, 2025, the assigned Commissioner issued a Scoping Memo and Ruling</w:t>
      </w:r>
      <w:r w:rsidR="004D7134">
        <w:t xml:space="preserve"> (Scoping Memo)</w:t>
      </w:r>
      <w:r>
        <w:t>.</w:t>
      </w:r>
    </w:p>
    <w:p w:rsidR="0033765D" w:rsidP="006E6574" w:rsidRDefault="0033765D" w14:paraId="2539197A" w14:textId="6B53FFF5">
      <w:pPr>
        <w:pStyle w:val="Standard"/>
      </w:pPr>
      <w:r>
        <w:t>On October 15, 2025, Cal Advocates filed and served its Monitoring and Evaluation Report</w:t>
      </w:r>
      <w:r w:rsidR="009E5121">
        <w:t xml:space="preserve"> (M&amp;E Report)</w:t>
      </w:r>
      <w:r>
        <w:t xml:space="preserve">. </w:t>
      </w:r>
      <w:r w:rsidR="00B61052">
        <w:t xml:space="preserve">Opening comments were due on November 7, 2025, and reply comments were due on November 21, 2025. </w:t>
      </w:r>
      <w:r>
        <w:t>No parties submitted comments on Cal Advocates’ M</w:t>
      </w:r>
      <w:r w:rsidR="002E3C55">
        <w:t>&amp;E</w:t>
      </w:r>
      <w:r>
        <w:t xml:space="preserve"> Report.</w:t>
      </w:r>
    </w:p>
    <w:p w:rsidR="0033765D" w:rsidP="006E6574" w:rsidRDefault="0033765D" w14:paraId="4D88E71D" w14:textId="7B93E827">
      <w:pPr>
        <w:pStyle w:val="Standard"/>
      </w:pPr>
      <w:r>
        <w:t>On December 12, 2025, SoCalGas and Cal Advocates filed and served a Joint Case Management Statement</w:t>
      </w:r>
      <w:r w:rsidR="002E3C55">
        <w:t xml:space="preserve"> indicating that SoCalGas agrees with the findings in the M&amp;E Report, and that there are no facts or issues in dispute in this proceeding.</w:t>
      </w:r>
    </w:p>
    <w:p w:rsidR="00405489" w:rsidP="00405489" w:rsidRDefault="00405489" w14:paraId="036079CA" w14:textId="52372232">
      <w:pPr>
        <w:pStyle w:val="Standard"/>
      </w:pPr>
      <w:r>
        <w:t xml:space="preserve">On </w:t>
      </w:r>
      <w:r w:rsidR="00935319">
        <w:t>December 22, 2025,</w:t>
      </w:r>
      <w:r>
        <w:t xml:space="preserve"> Cal Advocates filed a Motion to Admit its M&amp;E Report into the record of this proceeding</w:t>
      </w:r>
      <w:r w:rsidR="00B61052">
        <w:t>.</w:t>
      </w:r>
      <w:r>
        <w:t xml:space="preserve"> </w:t>
      </w:r>
      <w:r w:rsidR="00B61052">
        <w:t>N</w:t>
      </w:r>
      <w:r>
        <w:t xml:space="preserve">o party opposed the Motion to Admit. </w:t>
      </w:r>
    </w:p>
    <w:p w:rsidR="00683B2C" w:rsidP="0045376B" w:rsidRDefault="00683B2C" w14:paraId="7AB8F25D" w14:textId="77777777">
      <w:pPr>
        <w:pStyle w:val="Heading1"/>
      </w:pPr>
      <w:bookmarkStart w:name="_Toc133843846" w:id="4"/>
      <w:r w:rsidRPr="0045376B">
        <w:t>Submission</w:t>
      </w:r>
      <w:r>
        <w:t xml:space="preserve"> Date</w:t>
      </w:r>
      <w:bookmarkEnd w:id="4"/>
    </w:p>
    <w:p w:rsidR="00683B2C" w:rsidP="0033765D" w:rsidRDefault="00683B2C" w14:paraId="665E5BC7" w14:textId="187E12D1">
      <w:pPr>
        <w:pStyle w:val="Standard"/>
      </w:pPr>
      <w:r w:rsidRPr="00FF0265">
        <w:t xml:space="preserve">This matter was submitted on </w:t>
      </w:r>
      <w:r w:rsidR="0033765D">
        <w:t>November 21, 2025</w:t>
      </w:r>
      <w:r w:rsidR="004D7134">
        <w:t>,</w:t>
      </w:r>
      <w:r w:rsidRPr="00FF0265">
        <w:t xml:space="preserve"> upon </w:t>
      </w:r>
      <w:r w:rsidR="0033765D">
        <w:t xml:space="preserve">the deadline to provide reply comments on Cal Advocates’ </w:t>
      </w:r>
      <w:r w:rsidR="009E5121">
        <w:t xml:space="preserve">M&amp;E </w:t>
      </w:r>
      <w:r w:rsidR="0033765D">
        <w:t>Report.</w:t>
      </w:r>
    </w:p>
    <w:p w:rsidR="005A148C" w:rsidP="0045376B" w:rsidRDefault="0063491C" w14:paraId="4CF3CACB" w14:textId="3515BCA2">
      <w:pPr>
        <w:pStyle w:val="Heading1"/>
      </w:pPr>
      <w:bookmarkStart w:name="_Toc8123718" w:id="5"/>
      <w:bookmarkStart w:name="_Toc133843847" w:id="6"/>
      <w:r w:rsidRPr="0045376B">
        <w:t>Jurisdiction</w:t>
      </w:r>
      <w:r>
        <w:t xml:space="preserve"> </w:t>
      </w:r>
      <w:bookmarkEnd w:id="5"/>
      <w:bookmarkEnd w:id="6"/>
      <w:r w:rsidR="004D7134">
        <w:t>and Legal Framework</w:t>
      </w:r>
    </w:p>
    <w:p w:rsidR="0033765D" w:rsidP="006E6574" w:rsidRDefault="0033765D" w14:paraId="28FBB5B9" w14:textId="29A30BCC">
      <w:pPr>
        <w:pStyle w:val="Standard"/>
      </w:pPr>
      <w:r w:rsidRPr="0033765D">
        <w:t>The Commission has jurisdiction over th</w:t>
      </w:r>
      <w:r w:rsidR="0076786D">
        <w:t xml:space="preserve">is </w:t>
      </w:r>
      <w:r w:rsidR="00CD7F75">
        <w:t>a</w:t>
      </w:r>
      <w:r w:rsidRPr="0033765D">
        <w:t xml:space="preserve">pplication pursuant to the California Constitution and the Public Utilities Code, including </w:t>
      </w:r>
      <w:r>
        <w:t>s</w:t>
      </w:r>
      <w:r w:rsidRPr="0033765D">
        <w:t xml:space="preserve">ections 451, 454, </w:t>
      </w:r>
      <w:r w:rsidRPr="0033765D">
        <w:lastRenderedPageBreak/>
        <w:t>701, and 728. SoCalGas is a regulated public utility under the Commission</w:t>
      </w:r>
      <w:r w:rsidR="00FA3493">
        <w:t>’</w:t>
      </w:r>
      <w:r w:rsidRPr="0033765D">
        <w:t xml:space="preserve">s jurisdiction. </w:t>
      </w:r>
    </w:p>
    <w:p w:rsidR="00764CE9" w:rsidP="00764CE9" w:rsidRDefault="0033765D" w14:paraId="0A632E79" w14:textId="77777777">
      <w:pPr>
        <w:pStyle w:val="Standard"/>
      </w:pPr>
      <w:r w:rsidRPr="0033765D">
        <w:t xml:space="preserve">The GCIM is designed to provide SoCalGas with a </w:t>
      </w:r>
      <w:r w:rsidR="007A30A3">
        <w:t xml:space="preserve">market-based </w:t>
      </w:r>
      <w:r w:rsidRPr="0033765D">
        <w:t xml:space="preserve">financial incentive to purchase and transport gas for core ratepayers at a cost that is equal to or less than prevailing market prices. The GCIM was originally approved in Decision (D.) 94-03-076, and has been modified over time, including </w:t>
      </w:r>
      <w:r w:rsidR="00ED75E8">
        <w:t>by</w:t>
      </w:r>
      <w:r w:rsidRPr="0033765D">
        <w:t xml:space="preserve"> D.97-06-061, D.98-12-057, D.02-06-023</w:t>
      </w:r>
      <w:r w:rsidR="008D2B5F">
        <w:t>, and D.06-10-029</w:t>
      </w:r>
      <w:r w:rsidRPr="0033765D">
        <w:t>.</w:t>
      </w:r>
    </w:p>
    <w:p w:rsidR="00764CE9" w:rsidP="00764CE9" w:rsidRDefault="00FC7077" w14:paraId="2D5CC862" w14:textId="5776FA0A">
      <w:pPr>
        <w:pStyle w:val="Standard"/>
      </w:pPr>
      <w:r w:rsidRPr="0033765D">
        <w:t xml:space="preserve">The GCIM operates on a 12-month cycle that ends on March 31 of each calendar year. </w:t>
      </w:r>
      <w:r w:rsidRPr="00A072A2" w:rsidR="00A072A2">
        <w:t xml:space="preserve">SoCalGas is required to file its GCIM application by June 15 of each year for the preceding GCIM year. The application must include a detailed report that summarizes procurement performance, identifies variances from </w:t>
      </w:r>
      <w:r w:rsidR="007A30A3">
        <w:t xml:space="preserve">the </w:t>
      </w:r>
      <w:r w:rsidR="00B61052">
        <w:t>b</w:t>
      </w:r>
      <w:r w:rsidRPr="00A072A2" w:rsidR="00A072A2">
        <w:t xml:space="preserve">enchmark, and calculates any resulting shareholder reward or penalty. Cal Advocates is required to conduct an audit </w:t>
      </w:r>
      <w:r w:rsidR="007A30A3">
        <w:t xml:space="preserve">of SoCalGas’s performance </w:t>
      </w:r>
      <w:r w:rsidRPr="00A072A2" w:rsidR="00A072A2">
        <w:t xml:space="preserve">and file </w:t>
      </w:r>
      <w:r w:rsidR="00A072A2">
        <w:t>a</w:t>
      </w:r>
      <w:r w:rsidR="0069255F">
        <w:t>n</w:t>
      </w:r>
      <w:r w:rsidR="00A072A2">
        <w:t xml:space="preserve"> </w:t>
      </w:r>
      <w:r w:rsidR="009E5121">
        <w:t>M&amp;E</w:t>
      </w:r>
      <w:r w:rsidRPr="00A072A2" w:rsidR="00A072A2">
        <w:t xml:space="preserve"> Report annually.</w:t>
      </w:r>
      <w:bookmarkStart w:name="_Toc8123719" w:id="7"/>
      <w:bookmarkStart w:name="_Toc133843848" w:id="8"/>
    </w:p>
    <w:p w:rsidR="005A148C" w:rsidP="0045376B" w:rsidRDefault="005939A5" w14:paraId="023507B9" w14:textId="48E8FDC8">
      <w:pPr>
        <w:pStyle w:val="Heading1"/>
      </w:pPr>
      <w:r>
        <w:t xml:space="preserve">Issues Before the </w:t>
      </w:r>
      <w:bookmarkEnd w:id="7"/>
      <w:r w:rsidR="008A08BF">
        <w:t>Commission</w:t>
      </w:r>
      <w:bookmarkEnd w:id="8"/>
    </w:p>
    <w:p w:rsidR="005939A5" w:rsidP="00A44E8D" w:rsidRDefault="004D7134" w14:paraId="4775EDA4" w14:textId="0597AFD9">
      <w:pPr>
        <w:pStyle w:val="Standard"/>
      </w:pPr>
      <w:r>
        <w:t xml:space="preserve">The Scoping Memo identified the following issues to be determined: </w:t>
      </w:r>
    </w:p>
    <w:p w:rsidR="004D7134" w:rsidP="004D0DC5" w:rsidRDefault="004D7134" w14:paraId="0D6F671F" w14:textId="77777777">
      <w:pPr>
        <w:pStyle w:val="Standard"/>
        <w:numPr>
          <w:ilvl w:val="0"/>
          <w:numId w:val="18"/>
        </w:numPr>
        <w:spacing w:after="120" w:line="240" w:lineRule="auto"/>
        <w:ind w:left="1080" w:right="1440"/>
      </w:pPr>
      <w:r w:rsidRPr="004D7134">
        <w:t xml:space="preserve">Has SoCalGas calculated its requested shareholder reward of $8,374,056 in accordance with applicable Commission decisions and SoCalGas’s GCIM tariff? </w:t>
      </w:r>
    </w:p>
    <w:p w:rsidR="004D7134" w:rsidP="004D0DC5" w:rsidRDefault="004D7134" w14:paraId="23469A2F" w14:textId="4D7E9D8F">
      <w:pPr>
        <w:pStyle w:val="Standard"/>
        <w:numPr>
          <w:ilvl w:val="0"/>
          <w:numId w:val="18"/>
        </w:numPr>
        <w:spacing w:after="120" w:line="240" w:lineRule="auto"/>
        <w:ind w:left="1080" w:right="1440"/>
      </w:pPr>
      <w:r w:rsidRPr="004D7134">
        <w:t>Should the Commission approve the requested shareholder reward of $8,374,056 for GCIM Year 31?</w:t>
      </w:r>
    </w:p>
    <w:p w:rsidR="005939A5" w:rsidP="0045376B" w:rsidRDefault="009E5121" w14:paraId="122A9795" w14:textId="58EBD005">
      <w:pPr>
        <w:pStyle w:val="Heading1"/>
      </w:pPr>
      <w:r w:rsidRPr="0045376B">
        <w:t>Evaluation</w:t>
      </w:r>
      <w:r>
        <w:t xml:space="preserve"> of </w:t>
      </w:r>
      <w:r w:rsidR="00B61052">
        <w:t>SoCalGas</w:t>
      </w:r>
      <w:r>
        <w:t xml:space="preserve">’s Year 31 </w:t>
      </w:r>
      <w:r w:rsidR="00B61052">
        <w:t>GCIM</w:t>
      </w:r>
      <w:r>
        <w:t xml:space="preserve"> Requests</w:t>
      </w:r>
    </w:p>
    <w:p w:rsidR="0073353F" w:rsidP="004D7134" w:rsidRDefault="004D7134" w14:paraId="0705E1EF" w14:textId="65F367C8">
      <w:pPr>
        <w:pStyle w:val="Standard"/>
      </w:pPr>
      <w:r>
        <w:t>As discussed below</w:t>
      </w:r>
      <w:r w:rsidR="00185487">
        <w:t>,</w:t>
      </w:r>
      <w:r>
        <w:t xml:space="preserve"> SoCalGas calculated its requested shareholder reward of </w:t>
      </w:r>
      <w:r w:rsidRPr="004D7134">
        <w:t>$8,374,056</w:t>
      </w:r>
      <w:r>
        <w:t xml:space="preserve"> in accordance with applicable Commission decisions and SoCalGas’</w:t>
      </w:r>
      <w:r w:rsidR="0069255F">
        <w:t>s</w:t>
      </w:r>
      <w:r>
        <w:t xml:space="preserve"> GCIM tariff. As such, this decision approves the requested shareholder reward of $8,374,056 for GCIM Year 31. </w:t>
      </w:r>
    </w:p>
    <w:p w:rsidR="00EA36C6" w:rsidP="0045376B" w:rsidRDefault="004D7134" w14:paraId="07B94726" w14:textId="7685C9FB">
      <w:pPr>
        <w:pStyle w:val="Heading2"/>
      </w:pPr>
      <w:r w:rsidRPr="0045376B">
        <w:lastRenderedPageBreak/>
        <w:t>Overview</w:t>
      </w:r>
      <w:r>
        <w:t xml:space="preserve"> of </w:t>
      </w:r>
      <w:r w:rsidR="00B61052">
        <w:t>SoCalGas</w:t>
      </w:r>
      <w:r>
        <w:t xml:space="preserve">’s Year 31 </w:t>
      </w:r>
      <w:r w:rsidR="00B61052">
        <w:t>GCIM</w:t>
      </w:r>
      <w:r>
        <w:t xml:space="preserve"> Application</w:t>
      </w:r>
    </w:p>
    <w:p w:rsidR="004D7134" w:rsidP="00AC68EE" w:rsidRDefault="004D7134" w14:paraId="56963306" w14:textId="6963E790">
      <w:r>
        <w:t xml:space="preserve">In </w:t>
      </w:r>
      <w:r w:rsidR="00185487">
        <w:t xml:space="preserve">its </w:t>
      </w:r>
      <w:r w:rsidR="00F30B03">
        <w:t>a</w:t>
      </w:r>
      <w:r w:rsidRPr="004D7134">
        <w:t>pplication, SoCalGas requests a shareholder reward of $8,374,056</w:t>
      </w:r>
      <w:r>
        <w:t xml:space="preserve"> </w:t>
      </w:r>
      <w:r w:rsidRPr="004D7134">
        <w:t xml:space="preserve">for GCIM. The GCIM compares </w:t>
      </w:r>
      <w:r w:rsidR="004F7C63">
        <w:t xml:space="preserve">SoCalGas’s </w:t>
      </w:r>
      <w:r w:rsidR="00B61052">
        <w:t>a</w:t>
      </w:r>
      <w:r w:rsidRPr="004D7134">
        <w:t xml:space="preserve">ctual </w:t>
      </w:r>
      <w:r w:rsidR="00B61052">
        <w:t>a</w:t>
      </w:r>
      <w:r w:rsidRPr="004D7134">
        <w:t xml:space="preserve">nnual </w:t>
      </w:r>
      <w:r w:rsidR="00B61052">
        <w:t>c</w:t>
      </w:r>
      <w:r w:rsidRPr="004D7134">
        <w:t>ost</w:t>
      </w:r>
      <w:r w:rsidR="004F7C63">
        <w:t>s</w:t>
      </w:r>
      <w:r w:rsidRPr="004D7134">
        <w:t xml:space="preserve"> to </w:t>
      </w:r>
      <w:r w:rsidR="00AA5BB4">
        <w:t>its</w:t>
      </w:r>
      <w:r w:rsidRPr="004D7134">
        <w:t xml:space="preserve"> </w:t>
      </w:r>
      <w:r w:rsidR="00B61052">
        <w:t>b</w:t>
      </w:r>
      <w:r w:rsidRPr="004D7134">
        <w:t>enchmark</w:t>
      </w:r>
      <w:r w:rsidR="00AA5BB4">
        <w:t xml:space="preserve"> </w:t>
      </w:r>
      <w:r w:rsidR="00B61052">
        <w:t>b</w:t>
      </w:r>
      <w:r w:rsidR="00AA5BB4">
        <w:t>udget</w:t>
      </w:r>
      <w:r w:rsidR="009715D1">
        <w:t xml:space="preserve"> for purchased gas</w:t>
      </w:r>
      <w:r w:rsidRPr="004D7134">
        <w:t xml:space="preserve">. </w:t>
      </w:r>
      <w:r w:rsidR="00E42481">
        <w:t>T</w:t>
      </w:r>
      <w:r w:rsidRPr="004D7134">
        <w:t xml:space="preserve">he </w:t>
      </w:r>
      <w:r w:rsidR="00B61052">
        <w:t>a</w:t>
      </w:r>
      <w:r w:rsidRPr="004D7134">
        <w:t xml:space="preserve">ctual </w:t>
      </w:r>
      <w:r w:rsidR="00B61052">
        <w:t>a</w:t>
      </w:r>
      <w:r w:rsidRPr="004D7134">
        <w:t xml:space="preserve">nnual </w:t>
      </w:r>
      <w:r w:rsidR="00B61052">
        <w:t>c</w:t>
      </w:r>
      <w:r w:rsidRPr="004D7134">
        <w:t>ost is the sum of: (1) actual gas commodity costs and transportation costs, (2) net gain</w:t>
      </w:r>
      <w:r w:rsidR="004F7C63">
        <w:t>s</w:t>
      </w:r>
      <w:r w:rsidRPr="004D7134">
        <w:t xml:space="preserve"> or loss</w:t>
      </w:r>
      <w:r w:rsidR="004F7C63">
        <w:t>es</w:t>
      </w:r>
      <w:r w:rsidRPr="004D7134">
        <w:t xml:space="preserve"> from certain gas hedging transactions, (3) net revenues from</w:t>
      </w:r>
      <w:r w:rsidR="00D85D8E">
        <w:t xml:space="preserve"> </w:t>
      </w:r>
      <w:r w:rsidR="00CA53D6">
        <w:t>secondary market services (</w:t>
      </w:r>
      <w:r w:rsidR="00D85D8E">
        <w:t>SMS</w:t>
      </w:r>
      <w:r w:rsidR="00CA53D6">
        <w:t>)</w:t>
      </w:r>
      <w:r w:rsidRPr="004D7134">
        <w:t>, and (4) other revenues, expenses, and adjustments identified in SoCalGa</w:t>
      </w:r>
      <w:r w:rsidR="00185487">
        <w:t>s’s</w:t>
      </w:r>
      <w:r w:rsidRPr="004D7134">
        <w:t xml:space="preserve"> GCIM tariff.</w:t>
      </w:r>
      <w:r w:rsidR="00904F08">
        <w:rPr>
          <w:rStyle w:val="FootnoteReference"/>
        </w:rPr>
        <w:footnoteReference w:id="2"/>
      </w:r>
      <w:r w:rsidRPr="004D7134">
        <w:t xml:space="preserve"> </w:t>
      </w:r>
    </w:p>
    <w:p w:rsidR="00EA36C6" w:rsidP="00AC68EE" w:rsidRDefault="004D7134" w14:paraId="69EB2E8E" w14:textId="0C495053">
      <w:r w:rsidRPr="004D7134">
        <w:t xml:space="preserve">The </w:t>
      </w:r>
      <w:r w:rsidR="00B61052">
        <w:t>b</w:t>
      </w:r>
      <w:r w:rsidRPr="004D7134">
        <w:t xml:space="preserve">enchmark </w:t>
      </w:r>
      <w:r w:rsidR="00B61052">
        <w:t>b</w:t>
      </w:r>
      <w:r w:rsidR="00AA5BB4">
        <w:t xml:space="preserve">udget </w:t>
      </w:r>
      <w:r w:rsidRPr="004D7134">
        <w:t>consists of monthly benchmark gas commodity costs, monthly benchmark commodity transportation costs, and monthly benchmark transportation reservation charges, as described in SoCalGa</w:t>
      </w:r>
      <w:r w:rsidR="00185487">
        <w:t>s’s</w:t>
      </w:r>
      <w:r w:rsidRPr="004D7134">
        <w:t xml:space="preserve"> GCIM tariff. The</w:t>
      </w:r>
      <w:r w:rsidR="00AA5BB4">
        <w:t xml:space="preserve">se components, in turn, incorporate </w:t>
      </w:r>
      <w:r w:rsidR="00F05746">
        <w:t>prices that</w:t>
      </w:r>
      <w:r w:rsidRPr="004D7134">
        <w:t xml:space="preserve"> reflect market conditions, using publicly available price indices approved by the Commission.</w:t>
      </w:r>
      <w:r w:rsidR="00F05746">
        <w:rPr>
          <w:rStyle w:val="FootnoteReference"/>
        </w:rPr>
        <w:footnoteReference w:id="3"/>
      </w:r>
    </w:p>
    <w:p w:rsidR="004D7134" w:rsidP="00AC68EE" w:rsidRDefault="004D7134" w14:paraId="687461B7" w14:textId="020BC5C9">
      <w:r w:rsidRPr="004D7134">
        <w:t xml:space="preserve">To determine the annual GCIM shareholder reward or penalty, SoCalGas compares its </w:t>
      </w:r>
      <w:r w:rsidR="00094BF5">
        <w:t>a</w:t>
      </w:r>
      <w:r w:rsidRPr="004D7134">
        <w:t xml:space="preserve">ctual </w:t>
      </w:r>
      <w:r w:rsidR="00094BF5">
        <w:t>a</w:t>
      </w:r>
      <w:r w:rsidRPr="004D7134">
        <w:t xml:space="preserve">nnual </w:t>
      </w:r>
      <w:r w:rsidR="009715D1">
        <w:t xml:space="preserve">gas purchase </w:t>
      </w:r>
      <w:r w:rsidR="00094BF5">
        <w:t>c</w:t>
      </w:r>
      <w:r w:rsidRPr="004D7134">
        <w:t>ost</w:t>
      </w:r>
      <w:r w:rsidR="00D85D8E">
        <w:t>s</w:t>
      </w:r>
      <w:r w:rsidRPr="004D7134">
        <w:t xml:space="preserve"> to the </w:t>
      </w:r>
      <w:r w:rsidR="00094BF5">
        <w:t>b</w:t>
      </w:r>
      <w:r w:rsidRPr="004D7134">
        <w:t xml:space="preserve">enchmark </w:t>
      </w:r>
      <w:r w:rsidR="00094BF5">
        <w:t>b</w:t>
      </w:r>
      <w:r w:rsidRPr="004D7134">
        <w:t xml:space="preserve">udget. Core ratepayers are assigned all gains and losses within a defined </w:t>
      </w:r>
      <w:r w:rsidR="00094BF5">
        <w:t>“t</w:t>
      </w:r>
      <w:r w:rsidRPr="004D7134">
        <w:t xml:space="preserve">olerance </w:t>
      </w:r>
      <w:r w:rsidR="00094BF5">
        <w:t>b</w:t>
      </w:r>
      <w:r w:rsidRPr="004D7134">
        <w:t>and.</w:t>
      </w:r>
      <w:r w:rsidR="00094BF5">
        <w:t>”</w:t>
      </w:r>
      <w:r w:rsidRPr="004D7134">
        <w:t xml:space="preserve"> Gains and losses outside of the </w:t>
      </w:r>
      <w:r w:rsidR="00094BF5">
        <w:t>t</w:t>
      </w:r>
      <w:r w:rsidRPr="004D7134">
        <w:t xml:space="preserve">olerance </w:t>
      </w:r>
      <w:r w:rsidR="00094BF5">
        <w:t>b</w:t>
      </w:r>
      <w:r w:rsidRPr="004D7134">
        <w:t>and are shared between core ratepayers and shareholders according to an established formula described below.</w:t>
      </w:r>
    </w:p>
    <w:p w:rsidR="004D7134" w:rsidP="00AC68EE" w:rsidRDefault="004D7134" w14:paraId="0678668F" w14:textId="6EE79A2F">
      <w:r w:rsidRPr="004D7134">
        <w:t xml:space="preserve">The upper limit of the </w:t>
      </w:r>
      <w:r w:rsidR="00094BF5">
        <w:t>t</w:t>
      </w:r>
      <w:r w:rsidRPr="004D7134">
        <w:t xml:space="preserve">olerance </w:t>
      </w:r>
      <w:r w:rsidR="00094BF5">
        <w:t>b</w:t>
      </w:r>
      <w:r w:rsidRPr="004D7134">
        <w:t xml:space="preserve">and is defined as the </w:t>
      </w:r>
      <w:r w:rsidR="00094BF5">
        <w:t>b</w:t>
      </w:r>
      <w:r w:rsidRPr="004D7134">
        <w:t xml:space="preserve">enchmark </w:t>
      </w:r>
      <w:r w:rsidR="00094BF5">
        <w:t>b</w:t>
      </w:r>
      <w:r w:rsidRPr="004D7134">
        <w:t>udget plus two percent of the annual Benchmark Gas Commodity Cost (BGCC). If SoCalGa</w:t>
      </w:r>
      <w:r w:rsidR="00185487">
        <w:t>s’s</w:t>
      </w:r>
      <w:r w:rsidRPr="004D7134">
        <w:t xml:space="preserve"> </w:t>
      </w:r>
      <w:r w:rsidR="00094BF5">
        <w:t>a</w:t>
      </w:r>
      <w:r w:rsidRPr="004D7134">
        <w:t xml:space="preserve">ctual </w:t>
      </w:r>
      <w:r w:rsidR="00094BF5">
        <w:t>a</w:t>
      </w:r>
      <w:r w:rsidRPr="004D7134">
        <w:t xml:space="preserve">nnual </w:t>
      </w:r>
      <w:r w:rsidR="00094BF5">
        <w:t>c</w:t>
      </w:r>
      <w:r w:rsidRPr="004D7134">
        <w:t>ost</w:t>
      </w:r>
      <w:r w:rsidR="00ED75E8">
        <w:t>s</w:t>
      </w:r>
      <w:r w:rsidRPr="004D7134">
        <w:t xml:space="preserve"> exceed the upper </w:t>
      </w:r>
      <w:r w:rsidR="00F05746">
        <w:t>two percent</w:t>
      </w:r>
      <w:r w:rsidRPr="004D7134">
        <w:t xml:space="preserve"> limit of the </w:t>
      </w:r>
      <w:r w:rsidR="00094BF5">
        <w:lastRenderedPageBreak/>
        <w:t>t</w:t>
      </w:r>
      <w:r w:rsidRPr="004D7134">
        <w:t xml:space="preserve">olerance </w:t>
      </w:r>
      <w:r w:rsidR="00094BF5">
        <w:t>b</w:t>
      </w:r>
      <w:r w:rsidRPr="004D7134">
        <w:t>and, the excess cost</w:t>
      </w:r>
      <w:r w:rsidR="00ED75E8">
        <w:t>s</w:t>
      </w:r>
      <w:r w:rsidRPr="004D7134">
        <w:t xml:space="preserve"> (</w:t>
      </w:r>
      <w:r w:rsidRPr="00F7106E">
        <w:rPr>
          <w:i/>
          <w:iCs/>
        </w:rPr>
        <w:t>i.e.</w:t>
      </w:r>
      <w:r w:rsidRPr="00E42481">
        <w:t>,</w:t>
      </w:r>
      <w:r w:rsidRPr="004D7134">
        <w:t xml:space="preserve"> loss</w:t>
      </w:r>
      <w:r w:rsidR="00ED75E8">
        <w:t>es</w:t>
      </w:r>
      <w:r w:rsidRPr="004D7134">
        <w:t xml:space="preserve">) </w:t>
      </w:r>
      <w:r w:rsidR="00ED75E8">
        <w:t>are</w:t>
      </w:r>
      <w:r w:rsidRPr="004D7134">
        <w:t xml:space="preserve"> shared equally between core ratepayers and shareholders.</w:t>
      </w:r>
    </w:p>
    <w:p w:rsidR="009E3F00" w:rsidP="00E8111F" w:rsidRDefault="004D7134" w14:paraId="6A2AE716" w14:textId="4C50EBE6">
      <w:r w:rsidRPr="004D7134">
        <w:t xml:space="preserve">Conversely, if </w:t>
      </w:r>
      <w:r w:rsidR="00094BF5">
        <w:t>a</w:t>
      </w:r>
      <w:r w:rsidRPr="004D7134">
        <w:t xml:space="preserve">ctual </w:t>
      </w:r>
      <w:r w:rsidR="00094BF5">
        <w:t>a</w:t>
      </w:r>
      <w:r w:rsidRPr="004D7134">
        <w:t xml:space="preserve">nnual </w:t>
      </w:r>
      <w:r w:rsidR="00094BF5">
        <w:t>c</w:t>
      </w:r>
      <w:r w:rsidRPr="004D7134">
        <w:t>ost</w:t>
      </w:r>
      <w:r w:rsidR="00ED75E8">
        <w:t>s</w:t>
      </w:r>
      <w:r w:rsidRPr="004D7134">
        <w:t xml:space="preserve"> fall below the </w:t>
      </w:r>
      <w:r w:rsidR="00094BF5">
        <w:t>b</w:t>
      </w:r>
      <w:r w:rsidRPr="004D7134">
        <w:t xml:space="preserve">enchmark </w:t>
      </w:r>
      <w:r w:rsidR="00094BF5">
        <w:t>b</w:t>
      </w:r>
      <w:r w:rsidRPr="004D7134">
        <w:t xml:space="preserve">udget, the first one percent of savings below the </w:t>
      </w:r>
      <w:r w:rsidR="00094BF5">
        <w:t>b</w:t>
      </w:r>
      <w:r w:rsidRPr="004D7134">
        <w:t xml:space="preserve">enchmark (the </w:t>
      </w:r>
      <w:r w:rsidR="00094BF5">
        <w:t>t</w:t>
      </w:r>
      <w:r w:rsidRPr="004D7134">
        <w:t xml:space="preserve">olerance </w:t>
      </w:r>
      <w:r w:rsidR="00094BF5">
        <w:t>b</w:t>
      </w:r>
      <w:r w:rsidRPr="004D7134">
        <w:t xml:space="preserve">and) </w:t>
      </w:r>
      <w:r w:rsidR="00ED75E8">
        <w:t>are</w:t>
      </w:r>
      <w:r w:rsidRPr="004D7134">
        <w:t xml:space="preserve"> allocated entirely to core ratepayers. Savings between one percent and five percent below the </w:t>
      </w:r>
      <w:r w:rsidR="00094BF5">
        <w:t>b</w:t>
      </w:r>
      <w:r w:rsidRPr="004D7134">
        <w:t xml:space="preserve">enchmark </w:t>
      </w:r>
      <w:r w:rsidR="00094BF5">
        <w:t>b</w:t>
      </w:r>
      <w:r w:rsidRPr="004D7134">
        <w:t>udget are shared</w:t>
      </w:r>
      <w:r>
        <w:t>,</w:t>
      </w:r>
      <w:r w:rsidRPr="004D7134">
        <w:t xml:space="preserve"> </w:t>
      </w:r>
      <w:r>
        <w:t xml:space="preserve">with </w:t>
      </w:r>
      <w:r w:rsidRPr="004D7134">
        <w:t xml:space="preserve">75 percent </w:t>
      </w:r>
      <w:r>
        <w:t xml:space="preserve">of the savings allocated </w:t>
      </w:r>
      <w:r w:rsidRPr="004D7134">
        <w:t xml:space="preserve">to ratepayers and 25 percent </w:t>
      </w:r>
      <w:r>
        <w:t xml:space="preserve">allocated </w:t>
      </w:r>
      <w:r w:rsidRPr="004D7134">
        <w:t>to shareholders. Savings greater than five percent below th</w:t>
      </w:r>
      <w:r>
        <w:t xml:space="preserve">e </w:t>
      </w:r>
      <w:r w:rsidR="00094BF5">
        <w:t>b</w:t>
      </w:r>
      <w:r w:rsidRPr="004D7134">
        <w:t xml:space="preserve">enchmark </w:t>
      </w:r>
      <w:r w:rsidR="00094BF5">
        <w:t>b</w:t>
      </w:r>
      <w:r w:rsidRPr="004D7134">
        <w:t xml:space="preserve">udget are shared </w:t>
      </w:r>
      <w:r>
        <w:t xml:space="preserve">with </w:t>
      </w:r>
      <w:r w:rsidRPr="004D7134">
        <w:t xml:space="preserve">90 percent </w:t>
      </w:r>
      <w:r>
        <w:t xml:space="preserve">allocated </w:t>
      </w:r>
      <w:r w:rsidRPr="004D7134">
        <w:t xml:space="preserve">to ratepayers and 10 percent </w:t>
      </w:r>
      <w:r>
        <w:t xml:space="preserve">allocated </w:t>
      </w:r>
      <w:r w:rsidRPr="004D7134">
        <w:t>to shareholders. The shareholder reward is capped at 1.5 percent of SoCalGa</w:t>
      </w:r>
      <w:r w:rsidR="00185487">
        <w:t>s’s</w:t>
      </w:r>
      <w:r w:rsidRPr="004D7134">
        <w:t xml:space="preserve"> actual annual gas commodity costs, consistent with D.02-06-023.</w:t>
      </w:r>
      <w:r w:rsidR="0006226C">
        <w:rPr>
          <w:rStyle w:val="FootnoteReference"/>
        </w:rPr>
        <w:footnoteReference w:id="4"/>
      </w:r>
      <w:r w:rsidR="009E3F00">
        <w:t xml:space="preserve"> </w:t>
      </w:r>
      <w:r w:rsidRPr="004D7134">
        <w:t>Table 1</w:t>
      </w:r>
      <w:r w:rsidR="00AF5787">
        <w:t>,</w:t>
      </w:r>
      <w:r w:rsidRPr="004D7134">
        <w:t xml:space="preserve"> below</w:t>
      </w:r>
      <w:r w:rsidR="00AF5787">
        <w:t>,</w:t>
      </w:r>
      <w:r w:rsidRPr="004D7134">
        <w:t xml:space="preserve"> shows the GCIM sharing formula in tabular form:</w:t>
      </w:r>
    </w:p>
    <w:p w:rsidR="00E8111F" w:rsidP="00E8111F" w:rsidRDefault="00E8111F" w14:paraId="7FB5E039" w14:textId="77777777"/>
    <w:p w:rsidR="00E8111F" w:rsidP="00E8111F" w:rsidRDefault="00E8111F" w14:paraId="4E169C23" w14:textId="77777777"/>
    <w:p w:rsidR="00E8111F" w:rsidP="00E8111F" w:rsidRDefault="00E8111F" w14:paraId="047F1548" w14:textId="77777777"/>
    <w:p w:rsidR="00E8111F" w:rsidP="00E8111F" w:rsidRDefault="00E8111F" w14:paraId="727E95CD" w14:textId="77777777"/>
    <w:p w:rsidR="00E8111F" w:rsidP="00E8111F" w:rsidRDefault="00E8111F" w14:paraId="77DA0057" w14:textId="77777777"/>
    <w:p w:rsidR="00E8111F" w:rsidP="00E8111F" w:rsidRDefault="00E8111F" w14:paraId="595587A8" w14:textId="77777777"/>
    <w:p w:rsidR="00E8111F" w:rsidP="00E8111F" w:rsidRDefault="00E8111F" w14:paraId="120D3563" w14:textId="77777777">
      <w:pPr>
        <w:rPr>
          <w:b/>
          <w:bCs/>
        </w:rPr>
      </w:pPr>
    </w:p>
    <w:p w:rsidR="004022BD" w:rsidP="009427F6" w:rsidRDefault="004022BD" w14:paraId="3D556956" w14:textId="77465F0F">
      <w:pPr>
        <w:spacing w:line="240" w:lineRule="auto"/>
        <w:ind w:firstLine="0"/>
        <w:jc w:val="center"/>
        <w:rPr>
          <w:b/>
          <w:bCs/>
        </w:rPr>
      </w:pPr>
      <w:r w:rsidRPr="004022BD">
        <w:rPr>
          <w:b/>
          <w:bCs/>
        </w:rPr>
        <w:t xml:space="preserve">Table 1: </w:t>
      </w:r>
      <w:r w:rsidR="00094BF5">
        <w:rPr>
          <w:b/>
          <w:bCs/>
        </w:rPr>
        <w:t>GCIM</w:t>
      </w:r>
      <w:r w:rsidRPr="004022BD">
        <w:rPr>
          <w:b/>
          <w:bCs/>
        </w:rPr>
        <w:t xml:space="preserve"> Sharing Formula:</w:t>
      </w:r>
    </w:p>
    <w:p w:rsidRPr="004022BD" w:rsidR="004022BD" w:rsidP="00764CE9" w:rsidRDefault="004022BD" w14:paraId="1AB09A84" w14:textId="4CDC5FD6">
      <w:pPr>
        <w:spacing w:after="120" w:line="240" w:lineRule="auto"/>
        <w:ind w:firstLine="0"/>
        <w:jc w:val="center"/>
        <w:rPr>
          <w:b/>
          <w:bCs/>
        </w:rPr>
      </w:pPr>
      <w:r w:rsidRPr="004022BD">
        <w:rPr>
          <w:b/>
          <w:bCs/>
        </w:rPr>
        <w:t>Actual Annual Cost vs. Benchmark Budget</w:t>
      </w:r>
    </w:p>
    <w:tbl>
      <w:tblPr>
        <w:tblStyle w:val="TableGrid"/>
        <w:tblW w:w="0" w:type="auto"/>
        <w:tblLook w:val="04A0" w:firstRow="1" w:lastRow="0" w:firstColumn="1" w:lastColumn="0" w:noHBand="0" w:noVBand="1"/>
      </w:tblPr>
      <w:tblGrid>
        <w:gridCol w:w="3116"/>
        <w:gridCol w:w="3117"/>
        <w:gridCol w:w="3117"/>
      </w:tblGrid>
      <w:tr w:rsidR="004D7134" w:rsidTr="004022BD" w14:paraId="5DE97C28" w14:textId="77777777">
        <w:tc>
          <w:tcPr>
            <w:tcW w:w="3116" w:type="dxa"/>
            <w:shd w:val="clear" w:color="auto" w:fill="D0CECE" w:themeFill="background2" w:themeFillShade="E6"/>
            <w:vAlign w:val="center"/>
          </w:tcPr>
          <w:p w:rsidRPr="004022BD" w:rsidR="004D7134" w:rsidP="004022BD" w:rsidRDefault="004022BD" w14:paraId="2F0B2B8E" w14:textId="77777777">
            <w:pPr>
              <w:spacing w:line="240" w:lineRule="auto"/>
              <w:ind w:firstLine="0"/>
              <w:contextualSpacing/>
              <w:jc w:val="center"/>
              <w:rPr>
                <w:b/>
                <w:bCs/>
              </w:rPr>
            </w:pPr>
            <w:r w:rsidRPr="004022BD">
              <w:rPr>
                <w:b/>
                <w:bCs/>
              </w:rPr>
              <w:t>Actual Annual Cost &gt; Benchmark</w:t>
            </w:r>
          </w:p>
          <w:p w:rsidRPr="004022BD" w:rsidR="004022BD" w:rsidP="004022BD" w:rsidRDefault="004022BD" w14:paraId="66FBAA2D" w14:textId="2761208A">
            <w:pPr>
              <w:spacing w:line="240" w:lineRule="auto"/>
              <w:ind w:firstLine="0"/>
              <w:contextualSpacing/>
              <w:jc w:val="center"/>
              <w:rPr>
                <w:b/>
                <w:bCs/>
              </w:rPr>
            </w:pPr>
            <w:r w:rsidRPr="004022BD">
              <w:rPr>
                <w:b/>
                <w:bCs/>
              </w:rPr>
              <w:lastRenderedPageBreak/>
              <w:t>Difference as a Percentage of BGCC</w:t>
            </w:r>
          </w:p>
        </w:tc>
        <w:tc>
          <w:tcPr>
            <w:tcW w:w="3117" w:type="dxa"/>
            <w:shd w:val="clear" w:color="auto" w:fill="D0CECE" w:themeFill="background2" w:themeFillShade="E6"/>
            <w:vAlign w:val="center"/>
          </w:tcPr>
          <w:p w:rsidRPr="004022BD" w:rsidR="004D7134" w:rsidP="004022BD" w:rsidRDefault="004022BD" w14:paraId="5FBC7CBA" w14:textId="579BB0EA">
            <w:pPr>
              <w:ind w:firstLine="0"/>
              <w:contextualSpacing/>
              <w:jc w:val="center"/>
              <w:rPr>
                <w:b/>
                <w:bCs/>
              </w:rPr>
            </w:pPr>
            <w:r w:rsidRPr="004022BD">
              <w:rPr>
                <w:b/>
                <w:bCs/>
              </w:rPr>
              <w:lastRenderedPageBreak/>
              <w:t>Ratepayers (Loss)</w:t>
            </w:r>
          </w:p>
        </w:tc>
        <w:tc>
          <w:tcPr>
            <w:tcW w:w="3117" w:type="dxa"/>
            <w:shd w:val="clear" w:color="auto" w:fill="D0CECE" w:themeFill="background2" w:themeFillShade="E6"/>
            <w:vAlign w:val="center"/>
          </w:tcPr>
          <w:p w:rsidRPr="004022BD" w:rsidR="004D7134" w:rsidP="004022BD" w:rsidRDefault="004022BD" w14:paraId="5D09D97D" w14:textId="439949DD">
            <w:pPr>
              <w:ind w:firstLine="0"/>
              <w:contextualSpacing/>
              <w:jc w:val="center"/>
              <w:rPr>
                <w:b/>
                <w:bCs/>
              </w:rPr>
            </w:pPr>
            <w:r w:rsidRPr="004022BD">
              <w:rPr>
                <w:b/>
                <w:bCs/>
              </w:rPr>
              <w:t>Shareholders (Penalty)</w:t>
            </w:r>
          </w:p>
        </w:tc>
      </w:tr>
      <w:tr w:rsidR="004D7134" w:rsidTr="004022BD" w14:paraId="4DCCDE23" w14:textId="77777777">
        <w:tc>
          <w:tcPr>
            <w:tcW w:w="3116" w:type="dxa"/>
            <w:vAlign w:val="center"/>
          </w:tcPr>
          <w:p w:rsidR="004D7134" w:rsidP="004022BD" w:rsidRDefault="004022BD" w14:paraId="614CEC03" w14:textId="6B7B8C21">
            <w:pPr>
              <w:ind w:firstLine="0"/>
              <w:contextualSpacing/>
              <w:jc w:val="center"/>
            </w:pPr>
            <w:r w:rsidRPr="004022BD">
              <w:t>0 – 2% (</w:t>
            </w:r>
            <w:r w:rsidR="00094BF5">
              <w:t>t</w:t>
            </w:r>
            <w:r w:rsidRPr="004022BD">
              <w:t xml:space="preserve">olerance </w:t>
            </w:r>
            <w:r w:rsidR="00094BF5">
              <w:t>b</w:t>
            </w:r>
            <w:r w:rsidRPr="004022BD">
              <w:t>and)</w:t>
            </w:r>
          </w:p>
        </w:tc>
        <w:tc>
          <w:tcPr>
            <w:tcW w:w="3117" w:type="dxa"/>
            <w:vAlign w:val="center"/>
          </w:tcPr>
          <w:p w:rsidR="004D7134" w:rsidP="004022BD" w:rsidRDefault="004022BD" w14:paraId="5F0714FE" w14:textId="2B20D42A">
            <w:pPr>
              <w:ind w:firstLine="0"/>
              <w:contextualSpacing/>
              <w:jc w:val="center"/>
            </w:pPr>
            <w:r w:rsidRPr="004022BD">
              <w:t>(100%)</w:t>
            </w:r>
          </w:p>
        </w:tc>
        <w:tc>
          <w:tcPr>
            <w:tcW w:w="3117" w:type="dxa"/>
            <w:vAlign w:val="center"/>
          </w:tcPr>
          <w:p w:rsidR="004D7134" w:rsidP="004022BD" w:rsidRDefault="004022BD" w14:paraId="2DBD2F50" w14:textId="181BB3F4">
            <w:pPr>
              <w:ind w:firstLine="0"/>
              <w:contextualSpacing/>
              <w:jc w:val="center"/>
            </w:pPr>
            <w:r>
              <w:t>0%</w:t>
            </w:r>
          </w:p>
        </w:tc>
      </w:tr>
      <w:tr w:rsidR="004D7134" w:rsidTr="004022BD" w14:paraId="5E77205B" w14:textId="77777777">
        <w:tc>
          <w:tcPr>
            <w:tcW w:w="3116" w:type="dxa"/>
            <w:vAlign w:val="center"/>
          </w:tcPr>
          <w:p w:rsidR="004D7134" w:rsidP="004022BD" w:rsidRDefault="004022BD" w14:paraId="4772C8E5" w14:textId="62E05C56">
            <w:pPr>
              <w:ind w:firstLine="0"/>
              <w:contextualSpacing/>
              <w:jc w:val="center"/>
            </w:pPr>
            <w:r>
              <w:t>&gt;2%</w:t>
            </w:r>
          </w:p>
        </w:tc>
        <w:tc>
          <w:tcPr>
            <w:tcW w:w="3117" w:type="dxa"/>
            <w:vAlign w:val="center"/>
          </w:tcPr>
          <w:p w:rsidR="004D7134" w:rsidP="004022BD" w:rsidRDefault="004022BD" w14:paraId="1991CD6A" w14:textId="18EA260B">
            <w:pPr>
              <w:ind w:firstLine="0"/>
              <w:contextualSpacing/>
              <w:jc w:val="center"/>
            </w:pPr>
            <w:r>
              <w:t>(50%)</w:t>
            </w:r>
          </w:p>
        </w:tc>
        <w:tc>
          <w:tcPr>
            <w:tcW w:w="3117" w:type="dxa"/>
            <w:vAlign w:val="center"/>
          </w:tcPr>
          <w:p w:rsidR="004D7134" w:rsidP="004022BD" w:rsidRDefault="004022BD" w14:paraId="09821548" w14:textId="1D34873B">
            <w:pPr>
              <w:ind w:firstLine="0"/>
              <w:contextualSpacing/>
              <w:jc w:val="center"/>
            </w:pPr>
            <w:r>
              <w:t>(50%)</w:t>
            </w:r>
          </w:p>
        </w:tc>
      </w:tr>
      <w:tr w:rsidR="004D7134" w:rsidTr="004022BD" w14:paraId="1A9AD872" w14:textId="77777777">
        <w:tc>
          <w:tcPr>
            <w:tcW w:w="3116" w:type="dxa"/>
            <w:shd w:val="clear" w:color="auto" w:fill="D0CECE" w:themeFill="background2" w:themeFillShade="E6"/>
            <w:vAlign w:val="center"/>
          </w:tcPr>
          <w:p w:rsidRPr="004022BD" w:rsidR="004022BD" w:rsidP="004022BD" w:rsidRDefault="004022BD" w14:paraId="64B0117D" w14:textId="1C588425">
            <w:pPr>
              <w:spacing w:line="240" w:lineRule="auto"/>
              <w:ind w:firstLine="0"/>
              <w:contextualSpacing/>
              <w:jc w:val="center"/>
              <w:rPr>
                <w:b/>
                <w:bCs/>
              </w:rPr>
            </w:pPr>
            <w:r w:rsidRPr="004022BD">
              <w:rPr>
                <w:b/>
                <w:bCs/>
              </w:rPr>
              <w:t>Benchmark &gt; Actual Annual Cost</w:t>
            </w:r>
          </w:p>
          <w:p w:rsidRPr="004022BD" w:rsidR="004D7134" w:rsidP="004022BD" w:rsidRDefault="004022BD" w14:paraId="1B211B8D" w14:textId="519BD32F">
            <w:pPr>
              <w:spacing w:line="240" w:lineRule="auto"/>
              <w:ind w:firstLine="0"/>
              <w:contextualSpacing/>
              <w:jc w:val="center"/>
              <w:rPr>
                <w:b/>
                <w:bCs/>
              </w:rPr>
            </w:pPr>
            <w:r w:rsidRPr="004022BD">
              <w:rPr>
                <w:b/>
                <w:bCs/>
              </w:rPr>
              <w:t>Difference as a Percentage of BGCC</w:t>
            </w:r>
          </w:p>
        </w:tc>
        <w:tc>
          <w:tcPr>
            <w:tcW w:w="3117" w:type="dxa"/>
            <w:shd w:val="clear" w:color="auto" w:fill="D0CECE" w:themeFill="background2" w:themeFillShade="E6"/>
            <w:vAlign w:val="center"/>
          </w:tcPr>
          <w:p w:rsidRPr="004022BD" w:rsidR="004D7134" w:rsidP="004022BD" w:rsidRDefault="004022BD" w14:paraId="602AB78E" w14:textId="51FFEFE2">
            <w:pPr>
              <w:ind w:firstLine="0"/>
              <w:contextualSpacing/>
              <w:jc w:val="center"/>
              <w:rPr>
                <w:b/>
                <w:bCs/>
              </w:rPr>
            </w:pPr>
            <w:r w:rsidRPr="004022BD">
              <w:rPr>
                <w:b/>
                <w:bCs/>
              </w:rPr>
              <w:t>Ratepayers Gain</w:t>
            </w:r>
          </w:p>
        </w:tc>
        <w:tc>
          <w:tcPr>
            <w:tcW w:w="3117" w:type="dxa"/>
            <w:shd w:val="clear" w:color="auto" w:fill="D0CECE" w:themeFill="background2" w:themeFillShade="E6"/>
            <w:vAlign w:val="center"/>
          </w:tcPr>
          <w:p w:rsidRPr="004022BD" w:rsidR="004D7134" w:rsidP="004022BD" w:rsidRDefault="004022BD" w14:paraId="61D0996D" w14:textId="6AF0A3BA">
            <w:pPr>
              <w:ind w:firstLine="0"/>
              <w:contextualSpacing/>
              <w:jc w:val="center"/>
              <w:rPr>
                <w:b/>
                <w:bCs/>
              </w:rPr>
            </w:pPr>
            <w:r w:rsidRPr="004022BD">
              <w:rPr>
                <w:b/>
                <w:bCs/>
              </w:rPr>
              <w:t>Shareholders Reward</w:t>
            </w:r>
          </w:p>
        </w:tc>
      </w:tr>
      <w:tr w:rsidR="004D7134" w:rsidTr="004022BD" w14:paraId="4D785DA8" w14:textId="77777777">
        <w:tc>
          <w:tcPr>
            <w:tcW w:w="3116" w:type="dxa"/>
            <w:vAlign w:val="center"/>
          </w:tcPr>
          <w:p w:rsidR="004D7134" w:rsidP="004022BD" w:rsidRDefault="004022BD" w14:paraId="416E4BD4" w14:textId="38223C64">
            <w:pPr>
              <w:ind w:firstLine="0"/>
              <w:contextualSpacing/>
              <w:jc w:val="center"/>
            </w:pPr>
            <w:r w:rsidRPr="004022BD">
              <w:t>0 – 1% (</w:t>
            </w:r>
            <w:r w:rsidR="00094BF5">
              <w:t>t</w:t>
            </w:r>
            <w:r w:rsidRPr="004022BD">
              <w:t xml:space="preserve">olerance </w:t>
            </w:r>
            <w:r w:rsidR="00094BF5">
              <w:t>b</w:t>
            </w:r>
            <w:r w:rsidRPr="004022BD">
              <w:t>and)</w:t>
            </w:r>
          </w:p>
        </w:tc>
        <w:tc>
          <w:tcPr>
            <w:tcW w:w="3117" w:type="dxa"/>
            <w:vAlign w:val="center"/>
          </w:tcPr>
          <w:p w:rsidR="004D7134" w:rsidP="004022BD" w:rsidRDefault="004022BD" w14:paraId="3F5FE99E" w14:textId="01439081">
            <w:pPr>
              <w:ind w:firstLine="0"/>
              <w:contextualSpacing/>
              <w:jc w:val="center"/>
            </w:pPr>
            <w:r w:rsidRPr="004022BD">
              <w:t>100%</w:t>
            </w:r>
          </w:p>
        </w:tc>
        <w:tc>
          <w:tcPr>
            <w:tcW w:w="3117" w:type="dxa"/>
            <w:vAlign w:val="center"/>
          </w:tcPr>
          <w:p w:rsidR="004D7134" w:rsidP="004022BD" w:rsidRDefault="004022BD" w14:paraId="5D9237ED" w14:textId="4816789A">
            <w:pPr>
              <w:ind w:firstLine="0"/>
              <w:contextualSpacing/>
              <w:jc w:val="center"/>
            </w:pPr>
            <w:r w:rsidRPr="004022BD">
              <w:t>0%</w:t>
            </w:r>
          </w:p>
        </w:tc>
      </w:tr>
      <w:tr w:rsidR="004D7134" w:rsidTr="004022BD" w14:paraId="02F27AE3" w14:textId="77777777">
        <w:tc>
          <w:tcPr>
            <w:tcW w:w="3116" w:type="dxa"/>
            <w:vAlign w:val="center"/>
          </w:tcPr>
          <w:p w:rsidR="004D7134" w:rsidP="004022BD" w:rsidRDefault="004022BD" w14:paraId="1DADD8B7" w14:textId="66E23EFC">
            <w:pPr>
              <w:ind w:firstLine="0"/>
              <w:contextualSpacing/>
              <w:jc w:val="center"/>
            </w:pPr>
            <w:r w:rsidRPr="004022BD">
              <w:t xml:space="preserve">1% </w:t>
            </w:r>
            <w:r w:rsidRPr="004022BD" w:rsidR="00077BDD">
              <w:t>–</w:t>
            </w:r>
            <w:r w:rsidRPr="004022BD">
              <w:t xml:space="preserve"> 5%</w:t>
            </w:r>
          </w:p>
        </w:tc>
        <w:tc>
          <w:tcPr>
            <w:tcW w:w="3117" w:type="dxa"/>
            <w:vAlign w:val="center"/>
          </w:tcPr>
          <w:p w:rsidR="004D7134" w:rsidP="004022BD" w:rsidRDefault="004022BD" w14:paraId="315FA06D" w14:textId="2EA3CED1">
            <w:pPr>
              <w:ind w:firstLine="0"/>
              <w:contextualSpacing/>
              <w:jc w:val="center"/>
            </w:pPr>
            <w:r w:rsidRPr="004022BD">
              <w:t>75%</w:t>
            </w:r>
          </w:p>
        </w:tc>
        <w:tc>
          <w:tcPr>
            <w:tcW w:w="3117" w:type="dxa"/>
            <w:vAlign w:val="center"/>
          </w:tcPr>
          <w:p w:rsidR="004D7134" w:rsidP="004022BD" w:rsidRDefault="004022BD" w14:paraId="3C9A3510" w14:textId="15FD1C7F">
            <w:pPr>
              <w:ind w:firstLine="0"/>
              <w:contextualSpacing/>
              <w:jc w:val="center"/>
            </w:pPr>
            <w:r w:rsidRPr="004022BD">
              <w:t>25%</w:t>
            </w:r>
          </w:p>
        </w:tc>
      </w:tr>
      <w:tr w:rsidR="004D7134" w:rsidTr="004022BD" w14:paraId="44C2A722" w14:textId="77777777">
        <w:tc>
          <w:tcPr>
            <w:tcW w:w="3116" w:type="dxa"/>
            <w:vAlign w:val="center"/>
          </w:tcPr>
          <w:p w:rsidR="004D7134" w:rsidP="004022BD" w:rsidRDefault="004022BD" w14:paraId="1A51830E" w14:textId="2834C9C2">
            <w:pPr>
              <w:ind w:firstLine="0"/>
              <w:contextualSpacing/>
              <w:jc w:val="center"/>
            </w:pPr>
            <w:r w:rsidRPr="004022BD">
              <w:t xml:space="preserve">5% </w:t>
            </w:r>
            <w:r>
              <w:t>and</w:t>
            </w:r>
            <w:r w:rsidRPr="004022BD">
              <w:t xml:space="preserve"> </w:t>
            </w:r>
            <w:r>
              <w:t>a</w:t>
            </w:r>
            <w:r w:rsidRPr="004022BD">
              <w:t>bove</w:t>
            </w:r>
          </w:p>
        </w:tc>
        <w:tc>
          <w:tcPr>
            <w:tcW w:w="3117" w:type="dxa"/>
            <w:vAlign w:val="center"/>
          </w:tcPr>
          <w:p w:rsidR="004D7134" w:rsidP="004022BD" w:rsidRDefault="004022BD" w14:paraId="441D753F" w14:textId="2CDA627C">
            <w:pPr>
              <w:ind w:firstLine="0"/>
              <w:contextualSpacing/>
              <w:jc w:val="center"/>
            </w:pPr>
            <w:r w:rsidRPr="004022BD">
              <w:t>90%</w:t>
            </w:r>
          </w:p>
        </w:tc>
        <w:tc>
          <w:tcPr>
            <w:tcW w:w="3117" w:type="dxa"/>
            <w:vAlign w:val="center"/>
          </w:tcPr>
          <w:p w:rsidR="004D7134" w:rsidP="004022BD" w:rsidRDefault="004022BD" w14:paraId="3927BE77" w14:textId="6E83963C">
            <w:pPr>
              <w:ind w:firstLine="0"/>
              <w:contextualSpacing/>
              <w:jc w:val="center"/>
            </w:pPr>
            <w:r w:rsidRPr="004022BD">
              <w:t>10%</w:t>
            </w:r>
          </w:p>
        </w:tc>
      </w:tr>
    </w:tbl>
    <w:p w:rsidR="004D7134" w:rsidP="009427F6" w:rsidRDefault="004022BD" w14:paraId="5F703521" w14:textId="49FBBA38">
      <w:pPr>
        <w:spacing w:before="240"/>
      </w:pPr>
      <w:r>
        <w:t xml:space="preserve">The current </w:t>
      </w:r>
      <w:r w:rsidR="00F30B03">
        <w:t>a</w:t>
      </w:r>
      <w:r>
        <w:t>pplication is SoCalGas’s 31</w:t>
      </w:r>
      <w:r w:rsidR="007F2C48">
        <w:t>st</w:t>
      </w:r>
      <w:r>
        <w:t xml:space="preserve"> annual application under the GCIM. The Commission issued D.25-06-050 and approved a </w:t>
      </w:r>
      <w:r w:rsidRPr="004022BD">
        <w:t xml:space="preserve">$13,865,089 </w:t>
      </w:r>
      <w:r>
        <w:t>shareholder reward for SoCalGas’s GCIM Year 30 application.</w:t>
      </w:r>
    </w:p>
    <w:p w:rsidR="004022BD" w:rsidP="00AC68EE" w:rsidRDefault="004022BD" w14:paraId="4AFB81E8" w14:textId="0EB1A6F5">
      <w:r>
        <w:t xml:space="preserve">SoCalGas states that its Year 31 </w:t>
      </w:r>
      <w:r w:rsidR="00094BF5">
        <w:t>a</w:t>
      </w:r>
      <w:r>
        <w:t xml:space="preserve">ctual </w:t>
      </w:r>
      <w:r w:rsidR="00094BF5">
        <w:t>a</w:t>
      </w:r>
      <w:r w:rsidR="00AF5787">
        <w:t xml:space="preserve">nnual </w:t>
      </w:r>
      <w:r w:rsidR="00094BF5">
        <w:t>c</w:t>
      </w:r>
      <w:r w:rsidR="00AF5787">
        <w:t>osts</w:t>
      </w:r>
      <w:r>
        <w:t xml:space="preserve"> for all gas purchases subject to the GCIM </w:t>
      </w:r>
      <w:r w:rsidR="009427F6">
        <w:t>totaled</w:t>
      </w:r>
      <w:r>
        <w:t xml:space="preserve"> </w:t>
      </w:r>
      <w:r w:rsidRPr="009427F6" w:rsidR="009427F6">
        <w:t>$1,159,939,848</w:t>
      </w:r>
      <w:r w:rsidR="009427F6">
        <w:t xml:space="preserve"> while </w:t>
      </w:r>
      <w:r w:rsidR="00D85D8E">
        <w:t>its</w:t>
      </w:r>
      <w:r w:rsidR="009427F6">
        <w:t xml:space="preserve"> </w:t>
      </w:r>
      <w:r w:rsidR="00094BF5">
        <w:t>b</w:t>
      </w:r>
      <w:r w:rsidR="009427F6">
        <w:t>enchmark cost</w:t>
      </w:r>
      <w:r w:rsidR="00D85D8E">
        <w:t>s</w:t>
      </w:r>
      <w:r w:rsidR="009427F6">
        <w:t xml:space="preserve"> totaled </w:t>
      </w:r>
      <w:r w:rsidRPr="009427F6" w:rsidR="009427F6">
        <w:t>$1,202,082,218</w:t>
      </w:r>
      <w:r w:rsidR="009427F6">
        <w:t xml:space="preserve">. Therefore, SoCalGas acquired gas at </w:t>
      </w:r>
      <w:r w:rsidRPr="009427F6" w:rsidR="009427F6">
        <w:t>$42,142,370</w:t>
      </w:r>
      <w:r w:rsidR="009427F6">
        <w:t xml:space="preserve"> below the </w:t>
      </w:r>
      <w:r w:rsidR="00094BF5">
        <w:t>b</w:t>
      </w:r>
      <w:r w:rsidR="009427F6">
        <w:t>enchmark in Year 31.</w:t>
      </w:r>
      <w:r w:rsidR="00D85D8E">
        <w:rPr>
          <w:rStyle w:val="FootnoteReference"/>
        </w:rPr>
        <w:footnoteReference w:id="5"/>
      </w:r>
      <w:r w:rsidR="009427F6">
        <w:t xml:space="preserve"> Pursuant to the GCIM revisions adopted in D.02-06-023, of the </w:t>
      </w:r>
      <w:r w:rsidRPr="009427F6" w:rsidR="009427F6">
        <w:t>$42,142,370</w:t>
      </w:r>
      <w:r w:rsidR="009427F6">
        <w:t xml:space="preserve"> total savings, </w:t>
      </w:r>
      <w:r w:rsidRPr="009427F6" w:rsidR="009427F6">
        <w:t xml:space="preserve">$33,768,315 </w:t>
      </w:r>
      <w:r w:rsidR="009427F6">
        <w:t xml:space="preserve">is allocated to core ratepayers, with the remaining </w:t>
      </w:r>
      <w:r w:rsidRPr="004D7134" w:rsidR="009427F6">
        <w:t>$8,374,056</w:t>
      </w:r>
      <w:r w:rsidR="009427F6">
        <w:t xml:space="preserve"> allocated to shareholders.</w:t>
      </w:r>
      <w:r w:rsidR="00D85D8E">
        <w:rPr>
          <w:rStyle w:val="FootnoteReference"/>
        </w:rPr>
        <w:footnoteReference w:id="6"/>
      </w:r>
    </w:p>
    <w:p w:rsidR="00D85D8E" w:rsidP="00D85D8E" w:rsidRDefault="009427F6" w14:paraId="282060B6" w14:textId="11608267">
      <w:r>
        <w:t>Table</w:t>
      </w:r>
      <w:r w:rsidR="00752D32">
        <w:t>s</w:t>
      </w:r>
      <w:r>
        <w:t xml:space="preserve"> 2</w:t>
      </w:r>
      <w:r w:rsidR="00752D32">
        <w:t xml:space="preserve"> and 3</w:t>
      </w:r>
      <w:r>
        <w:t>, below, summarize SoCalGas’s Year 31 GCIM results</w:t>
      </w:r>
      <w:r w:rsidR="00697473">
        <w:t xml:space="preserve"> and sharing calculations</w:t>
      </w:r>
      <w:r>
        <w:t>:</w:t>
      </w:r>
    </w:p>
    <w:p w:rsidR="009427F6" w:rsidP="009427F6" w:rsidRDefault="009427F6" w14:paraId="5B1AD78B" w14:textId="55CBA620">
      <w:pPr>
        <w:spacing w:line="240" w:lineRule="auto"/>
        <w:ind w:firstLine="0"/>
        <w:jc w:val="center"/>
        <w:rPr>
          <w:b/>
          <w:bCs/>
        </w:rPr>
      </w:pPr>
      <w:r w:rsidRPr="009427F6">
        <w:rPr>
          <w:b/>
          <w:bCs/>
        </w:rPr>
        <w:t xml:space="preserve">Table 2: </w:t>
      </w:r>
      <w:r w:rsidR="00094BF5">
        <w:rPr>
          <w:b/>
          <w:bCs/>
        </w:rPr>
        <w:t>SoCalGas</w:t>
      </w:r>
      <w:r w:rsidRPr="009427F6">
        <w:rPr>
          <w:b/>
          <w:bCs/>
        </w:rPr>
        <w:t xml:space="preserve">’s Reported </w:t>
      </w:r>
    </w:p>
    <w:p w:rsidR="005053D3" w:rsidP="00A60447" w:rsidRDefault="009427F6" w14:paraId="47D46855" w14:textId="1BECA135">
      <w:pPr>
        <w:spacing w:after="120" w:line="240" w:lineRule="auto"/>
        <w:ind w:firstLine="0"/>
        <w:jc w:val="center"/>
        <w:rPr>
          <w:b/>
          <w:bCs/>
        </w:rPr>
      </w:pPr>
      <w:r w:rsidRPr="009427F6">
        <w:rPr>
          <w:b/>
          <w:bCs/>
        </w:rPr>
        <w:lastRenderedPageBreak/>
        <w:t>G</w:t>
      </w:r>
      <w:r w:rsidR="00094BF5">
        <w:rPr>
          <w:b/>
          <w:bCs/>
        </w:rPr>
        <w:t>CIM</w:t>
      </w:r>
      <w:r w:rsidRPr="009427F6">
        <w:rPr>
          <w:b/>
          <w:bCs/>
        </w:rPr>
        <w:t xml:space="preserve"> Year 31 Results</w:t>
      </w:r>
      <w:r w:rsidR="00C335AA">
        <w:rPr>
          <w:rStyle w:val="FootnoteReference"/>
          <w:b/>
          <w:bCs/>
        </w:rPr>
        <w:footnoteReference w:id="7"/>
      </w:r>
    </w:p>
    <w:tbl>
      <w:tblPr>
        <w:tblStyle w:val="TableGrid"/>
        <w:tblW w:w="0" w:type="auto"/>
        <w:tblLook w:val="04A0" w:firstRow="1" w:lastRow="0" w:firstColumn="1" w:lastColumn="0" w:noHBand="0" w:noVBand="1"/>
      </w:tblPr>
      <w:tblGrid>
        <w:gridCol w:w="982"/>
        <w:gridCol w:w="2426"/>
        <w:gridCol w:w="1977"/>
        <w:gridCol w:w="1977"/>
        <w:gridCol w:w="1978"/>
      </w:tblGrid>
      <w:tr w:rsidR="005053D3" w:rsidTr="004452E6" w14:paraId="568E43FC" w14:textId="77777777">
        <w:tc>
          <w:tcPr>
            <w:tcW w:w="985" w:type="dxa"/>
            <w:tcBorders>
              <w:top w:val="single" w:color="auto" w:sz="4" w:space="0"/>
              <w:left w:val="single" w:color="auto" w:sz="8" w:space="0"/>
            </w:tcBorders>
            <w:shd w:val="clear" w:color="auto" w:fill="D0CECE" w:themeFill="background2" w:themeFillShade="E6"/>
            <w:vAlign w:val="center"/>
          </w:tcPr>
          <w:p w:rsidR="005053D3" w:rsidP="005053D3" w:rsidRDefault="005053D3" w14:paraId="734C3214" w14:textId="526C6094">
            <w:pPr>
              <w:spacing w:line="240" w:lineRule="auto"/>
              <w:ind w:firstLine="0"/>
              <w:jc w:val="center"/>
              <w:rPr>
                <w:b/>
                <w:bCs/>
              </w:rPr>
            </w:pPr>
            <w:r>
              <w:rPr>
                <w:b/>
                <w:bCs/>
              </w:rPr>
              <w:t>Row</w:t>
            </w:r>
          </w:p>
        </w:tc>
        <w:tc>
          <w:tcPr>
            <w:tcW w:w="2430" w:type="dxa"/>
            <w:tcBorders>
              <w:top w:val="single" w:color="auto" w:sz="8" w:space="0"/>
            </w:tcBorders>
            <w:shd w:val="clear" w:color="auto" w:fill="D0CECE" w:themeFill="background2" w:themeFillShade="E6"/>
            <w:vAlign w:val="center"/>
          </w:tcPr>
          <w:p w:rsidR="005053D3" w:rsidP="005053D3" w:rsidRDefault="005053D3" w14:paraId="4D2A2B1E" w14:textId="6E9D2DAA">
            <w:pPr>
              <w:spacing w:line="240" w:lineRule="auto"/>
              <w:ind w:firstLine="0"/>
              <w:jc w:val="center"/>
              <w:rPr>
                <w:b/>
                <w:bCs/>
              </w:rPr>
            </w:pPr>
            <w:r>
              <w:rPr>
                <w:b/>
                <w:bCs/>
              </w:rPr>
              <w:t>Cost Category</w:t>
            </w:r>
          </w:p>
        </w:tc>
        <w:tc>
          <w:tcPr>
            <w:tcW w:w="1978" w:type="dxa"/>
            <w:tcBorders>
              <w:top w:val="single" w:color="auto" w:sz="8" w:space="0"/>
            </w:tcBorders>
            <w:shd w:val="clear" w:color="auto" w:fill="D0CECE" w:themeFill="background2" w:themeFillShade="E6"/>
            <w:vAlign w:val="center"/>
          </w:tcPr>
          <w:p w:rsidR="005053D3" w:rsidP="005053D3" w:rsidRDefault="005053D3" w14:paraId="65C4EF7E" w14:textId="279F42F4">
            <w:pPr>
              <w:spacing w:line="240" w:lineRule="auto"/>
              <w:ind w:firstLine="0"/>
              <w:jc w:val="center"/>
              <w:rPr>
                <w:b/>
                <w:bCs/>
              </w:rPr>
            </w:pPr>
            <w:r>
              <w:rPr>
                <w:b/>
                <w:bCs/>
              </w:rPr>
              <w:t>Benchmark ($)</w:t>
            </w:r>
          </w:p>
        </w:tc>
        <w:tc>
          <w:tcPr>
            <w:tcW w:w="1978" w:type="dxa"/>
            <w:tcBorders>
              <w:top w:val="single" w:color="auto" w:sz="8" w:space="0"/>
            </w:tcBorders>
            <w:shd w:val="clear" w:color="auto" w:fill="D0CECE" w:themeFill="background2" w:themeFillShade="E6"/>
            <w:vAlign w:val="center"/>
          </w:tcPr>
          <w:p w:rsidR="005053D3" w:rsidP="005053D3" w:rsidRDefault="005053D3" w14:paraId="4F24AD8F" w14:textId="6A61B0E4">
            <w:pPr>
              <w:spacing w:line="240" w:lineRule="auto"/>
              <w:ind w:firstLine="0"/>
              <w:jc w:val="center"/>
              <w:rPr>
                <w:b/>
                <w:bCs/>
              </w:rPr>
            </w:pPr>
            <w:r>
              <w:rPr>
                <w:b/>
                <w:bCs/>
              </w:rPr>
              <w:t>Actual Cost ($)</w:t>
            </w:r>
          </w:p>
        </w:tc>
        <w:tc>
          <w:tcPr>
            <w:tcW w:w="1979" w:type="dxa"/>
            <w:tcBorders>
              <w:top w:val="single" w:color="auto" w:sz="8" w:space="0"/>
              <w:right w:val="single" w:color="auto" w:sz="8" w:space="0"/>
            </w:tcBorders>
            <w:shd w:val="clear" w:color="auto" w:fill="D0CECE" w:themeFill="background2" w:themeFillShade="E6"/>
            <w:vAlign w:val="center"/>
          </w:tcPr>
          <w:p w:rsidR="005053D3" w:rsidP="005053D3" w:rsidRDefault="005053D3" w14:paraId="4D23194C" w14:textId="49259DC6">
            <w:pPr>
              <w:spacing w:line="240" w:lineRule="auto"/>
              <w:ind w:firstLine="0"/>
              <w:jc w:val="center"/>
              <w:rPr>
                <w:b/>
                <w:bCs/>
              </w:rPr>
            </w:pPr>
            <w:r w:rsidRPr="005053D3">
              <w:rPr>
                <w:b/>
                <w:bCs/>
              </w:rPr>
              <w:t>Actual Over/(Under) Benchmark ($)</w:t>
            </w:r>
          </w:p>
        </w:tc>
      </w:tr>
      <w:tr w:rsidR="005053D3" w:rsidTr="004452E6" w14:paraId="6017118E" w14:textId="77777777">
        <w:tc>
          <w:tcPr>
            <w:tcW w:w="985" w:type="dxa"/>
            <w:tcBorders>
              <w:left w:val="single" w:color="auto" w:sz="8" w:space="0"/>
            </w:tcBorders>
          </w:tcPr>
          <w:p w:rsidR="005053D3" w:rsidP="009427F6" w:rsidRDefault="005053D3" w14:paraId="2AD31069" w14:textId="676B8CD9">
            <w:pPr>
              <w:spacing w:line="240" w:lineRule="auto"/>
              <w:ind w:firstLine="0"/>
              <w:jc w:val="center"/>
              <w:rPr>
                <w:b/>
                <w:bCs/>
              </w:rPr>
            </w:pPr>
            <w:r>
              <w:rPr>
                <w:b/>
                <w:bCs/>
              </w:rPr>
              <w:t>1</w:t>
            </w:r>
          </w:p>
        </w:tc>
        <w:tc>
          <w:tcPr>
            <w:tcW w:w="2430" w:type="dxa"/>
          </w:tcPr>
          <w:p w:rsidRPr="005053D3" w:rsidR="005053D3" w:rsidP="005053D3" w:rsidRDefault="005053D3" w14:paraId="7E295B44" w14:textId="6C6B82B4">
            <w:pPr>
              <w:spacing w:line="240" w:lineRule="auto"/>
              <w:ind w:firstLine="0"/>
            </w:pPr>
            <w:r w:rsidRPr="005053D3">
              <w:t>Commodity</w:t>
            </w:r>
          </w:p>
        </w:tc>
        <w:tc>
          <w:tcPr>
            <w:tcW w:w="1978" w:type="dxa"/>
          </w:tcPr>
          <w:p w:rsidRPr="00002018" w:rsidR="005053D3" w:rsidP="009427F6" w:rsidRDefault="005053D3" w14:paraId="139F38B7" w14:textId="20874C33">
            <w:pPr>
              <w:spacing w:line="240" w:lineRule="auto"/>
              <w:ind w:firstLine="0"/>
              <w:jc w:val="center"/>
            </w:pPr>
            <w:r w:rsidRPr="00002018">
              <w:t>$8</w:t>
            </w:r>
            <w:r w:rsidR="00812BBF">
              <w:t>17,156,584</w:t>
            </w:r>
          </w:p>
        </w:tc>
        <w:tc>
          <w:tcPr>
            <w:tcW w:w="1978" w:type="dxa"/>
          </w:tcPr>
          <w:p w:rsidRPr="00002018" w:rsidR="005053D3" w:rsidP="009427F6" w:rsidRDefault="00CD6CC2" w14:paraId="5E4F8571" w14:textId="732375CB">
            <w:pPr>
              <w:spacing w:line="240" w:lineRule="auto"/>
              <w:ind w:firstLine="0"/>
              <w:jc w:val="center"/>
            </w:pPr>
            <w:r w:rsidRPr="00002018">
              <w:t>$</w:t>
            </w:r>
            <w:r w:rsidRPr="00002018" w:rsidR="005053D3">
              <w:t>787,720,449</w:t>
            </w:r>
          </w:p>
        </w:tc>
        <w:tc>
          <w:tcPr>
            <w:tcW w:w="1979" w:type="dxa"/>
            <w:tcBorders>
              <w:right w:val="single" w:color="auto" w:sz="8" w:space="0"/>
            </w:tcBorders>
          </w:tcPr>
          <w:p w:rsidRPr="00002018" w:rsidR="005053D3" w:rsidP="009427F6" w:rsidRDefault="006276E0" w14:paraId="2BBF2C66" w14:textId="22C90278">
            <w:pPr>
              <w:spacing w:line="240" w:lineRule="auto"/>
              <w:ind w:firstLine="0"/>
              <w:jc w:val="center"/>
            </w:pPr>
            <w:r w:rsidRPr="00002018">
              <w:t>($29,436,135)</w:t>
            </w:r>
          </w:p>
        </w:tc>
      </w:tr>
      <w:tr w:rsidR="005053D3" w:rsidTr="004452E6" w14:paraId="4F06D151" w14:textId="77777777">
        <w:tc>
          <w:tcPr>
            <w:tcW w:w="985" w:type="dxa"/>
            <w:tcBorders>
              <w:left w:val="single" w:color="auto" w:sz="8" w:space="0"/>
            </w:tcBorders>
          </w:tcPr>
          <w:p w:rsidR="005053D3" w:rsidP="009427F6" w:rsidRDefault="005053D3" w14:paraId="70095FE1" w14:textId="2407575F">
            <w:pPr>
              <w:spacing w:line="240" w:lineRule="auto"/>
              <w:ind w:firstLine="0"/>
              <w:jc w:val="center"/>
              <w:rPr>
                <w:b/>
                <w:bCs/>
              </w:rPr>
            </w:pPr>
            <w:r>
              <w:rPr>
                <w:b/>
                <w:bCs/>
              </w:rPr>
              <w:t>2</w:t>
            </w:r>
          </w:p>
        </w:tc>
        <w:tc>
          <w:tcPr>
            <w:tcW w:w="2430" w:type="dxa"/>
          </w:tcPr>
          <w:p w:rsidRPr="005053D3" w:rsidR="005053D3" w:rsidP="005053D3" w:rsidRDefault="005053D3" w14:paraId="32B03F23" w14:textId="08B5BA35">
            <w:pPr>
              <w:spacing w:line="240" w:lineRule="auto"/>
              <w:ind w:firstLine="0"/>
            </w:pPr>
            <w:r w:rsidRPr="005053D3">
              <w:t>SMS Net Revenue</w:t>
            </w:r>
          </w:p>
        </w:tc>
        <w:tc>
          <w:tcPr>
            <w:tcW w:w="1978" w:type="dxa"/>
          </w:tcPr>
          <w:p w:rsidRPr="00002018" w:rsidR="005053D3" w:rsidP="009427F6" w:rsidRDefault="005053D3" w14:paraId="2E72FA0F" w14:textId="3BB963A9">
            <w:pPr>
              <w:spacing w:line="240" w:lineRule="auto"/>
              <w:ind w:firstLine="0"/>
              <w:jc w:val="center"/>
            </w:pPr>
            <w:r w:rsidRPr="00002018">
              <w:t>-</w:t>
            </w:r>
          </w:p>
        </w:tc>
        <w:tc>
          <w:tcPr>
            <w:tcW w:w="1978" w:type="dxa"/>
          </w:tcPr>
          <w:p w:rsidRPr="00002018" w:rsidR="005053D3" w:rsidP="009427F6" w:rsidRDefault="005053D3" w14:paraId="0BEFCAD9" w14:textId="597B8829">
            <w:pPr>
              <w:spacing w:line="240" w:lineRule="auto"/>
              <w:ind w:firstLine="0"/>
              <w:jc w:val="center"/>
            </w:pPr>
            <w:r w:rsidRPr="00002018">
              <w:t>(</w:t>
            </w:r>
            <w:r w:rsidRPr="00002018" w:rsidR="00CD6CC2">
              <w:t>$</w:t>
            </w:r>
            <w:r w:rsidRPr="00002018">
              <w:t>20,079,592)</w:t>
            </w:r>
          </w:p>
        </w:tc>
        <w:tc>
          <w:tcPr>
            <w:tcW w:w="1979" w:type="dxa"/>
            <w:tcBorders>
              <w:right w:val="single" w:color="auto" w:sz="8" w:space="0"/>
            </w:tcBorders>
          </w:tcPr>
          <w:p w:rsidRPr="00002018" w:rsidR="005053D3" w:rsidP="009427F6" w:rsidRDefault="006276E0" w14:paraId="09459F8E" w14:textId="301C2A1F">
            <w:pPr>
              <w:spacing w:line="240" w:lineRule="auto"/>
              <w:ind w:firstLine="0"/>
              <w:jc w:val="center"/>
            </w:pPr>
            <w:r w:rsidRPr="00002018">
              <w:t>($20,079,592)</w:t>
            </w:r>
          </w:p>
        </w:tc>
      </w:tr>
      <w:tr w:rsidR="005053D3" w:rsidTr="004452E6" w14:paraId="6C0D7F80" w14:textId="77777777">
        <w:tc>
          <w:tcPr>
            <w:tcW w:w="985" w:type="dxa"/>
            <w:tcBorders>
              <w:left w:val="single" w:color="auto" w:sz="8" w:space="0"/>
            </w:tcBorders>
          </w:tcPr>
          <w:p w:rsidR="005053D3" w:rsidP="009427F6" w:rsidRDefault="005053D3" w14:paraId="5398FC3F" w14:textId="48AF98A0">
            <w:pPr>
              <w:spacing w:line="240" w:lineRule="auto"/>
              <w:ind w:firstLine="0"/>
              <w:jc w:val="center"/>
              <w:rPr>
                <w:b/>
                <w:bCs/>
              </w:rPr>
            </w:pPr>
            <w:r>
              <w:rPr>
                <w:b/>
                <w:bCs/>
              </w:rPr>
              <w:t>3</w:t>
            </w:r>
          </w:p>
        </w:tc>
        <w:tc>
          <w:tcPr>
            <w:tcW w:w="2430" w:type="dxa"/>
          </w:tcPr>
          <w:p w:rsidRPr="005053D3" w:rsidR="005053D3" w:rsidP="005053D3" w:rsidRDefault="005053D3" w14:paraId="2F11E557" w14:textId="2E72862F">
            <w:pPr>
              <w:spacing w:line="240" w:lineRule="auto"/>
              <w:ind w:firstLine="0"/>
            </w:pPr>
            <w:r w:rsidRPr="005053D3">
              <w:t>Off System Park and Loans</w:t>
            </w:r>
          </w:p>
        </w:tc>
        <w:tc>
          <w:tcPr>
            <w:tcW w:w="1978" w:type="dxa"/>
          </w:tcPr>
          <w:p w:rsidRPr="00002018" w:rsidR="005053D3" w:rsidP="009427F6" w:rsidRDefault="005053D3" w14:paraId="5C97F606" w14:textId="52312D39">
            <w:pPr>
              <w:spacing w:line="240" w:lineRule="auto"/>
              <w:ind w:firstLine="0"/>
              <w:jc w:val="center"/>
            </w:pPr>
            <w:r w:rsidRPr="00002018">
              <w:t>-</w:t>
            </w:r>
          </w:p>
        </w:tc>
        <w:tc>
          <w:tcPr>
            <w:tcW w:w="1978" w:type="dxa"/>
          </w:tcPr>
          <w:p w:rsidRPr="00002018" w:rsidR="005053D3" w:rsidP="009427F6" w:rsidRDefault="005053D3" w14:paraId="4CC61F97" w14:textId="2D455FDE">
            <w:pPr>
              <w:spacing w:line="240" w:lineRule="auto"/>
              <w:ind w:firstLine="0"/>
              <w:jc w:val="center"/>
            </w:pPr>
            <w:r w:rsidRPr="00002018">
              <w:t>(</w:t>
            </w:r>
            <w:r w:rsidRPr="00002018" w:rsidR="00CD6CC2">
              <w:t>$</w:t>
            </w:r>
            <w:r w:rsidRPr="00002018">
              <w:t>837,500)</w:t>
            </w:r>
          </w:p>
        </w:tc>
        <w:tc>
          <w:tcPr>
            <w:tcW w:w="1979" w:type="dxa"/>
            <w:tcBorders>
              <w:right w:val="single" w:color="auto" w:sz="8" w:space="0"/>
            </w:tcBorders>
          </w:tcPr>
          <w:p w:rsidRPr="00002018" w:rsidR="005053D3" w:rsidP="009427F6" w:rsidRDefault="006276E0" w14:paraId="67B6D4C5" w14:textId="6797D91A">
            <w:pPr>
              <w:spacing w:line="240" w:lineRule="auto"/>
              <w:ind w:firstLine="0"/>
              <w:jc w:val="center"/>
            </w:pPr>
            <w:r w:rsidRPr="00002018">
              <w:t>($837,500)</w:t>
            </w:r>
          </w:p>
        </w:tc>
      </w:tr>
      <w:tr w:rsidR="005053D3" w:rsidTr="004452E6" w14:paraId="70F48EB1" w14:textId="77777777">
        <w:tc>
          <w:tcPr>
            <w:tcW w:w="985" w:type="dxa"/>
            <w:tcBorders>
              <w:left w:val="single" w:color="auto" w:sz="8" w:space="0"/>
              <w:bottom w:val="single" w:color="auto" w:sz="4" w:space="0"/>
            </w:tcBorders>
          </w:tcPr>
          <w:p w:rsidR="005053D3" w:rsidP="009427F6" w:rsidRDefault="005053D3" w14:paraId="5CE14DF4" w14:textId="137F060C">
            <w:pPr>
              <w:spacing w:line="240" w:lineRule="auto"/>
              <w:ind w:firstLine="0"/>
              <w:jc w:val="center"/>
              <w:rPr>
                <w:b/>
                <w:bCs/>
              </w:rPr>
            </w:pPr>
            <w:r>
              <w:rPr>
                <w:b/>
                <w:bCs/>
              </w:rPr>
              <w:t>4</w:t>
            </w:r>
          </w:p>
        </w:tc>
        <w:tc>
          <w:tcPr>
            <w:tcW w:w="2430" w:type="dxa"/>
            <w:tcBorders>
              <w:bottom w:val="single" w:color="auto" w:sz="4" w:space="0"/>
            </w:tcBorders>
          </w:tcPr>
          <w:p w:rsidRPr="005053D3" w:rsidR="005053D3" w:rsidP="005053D3" w:rsidRDefault="005053D3" w14:paraId="4A787E9A" w14:textId="5DE95A4A">
            <w:pPr>
              <w:spacing w:line="240" w:lineRule="auto"/>
              <w:ind w:firstLine="0"/>
            </w:pPr>
            <w:r w:rsidRPr="005053D3">
              <w:t xml:space="preserve">Hedging </w:t>
            </w:r>
            <w:r w:rsidR="00CA53D6">
              <w:t>Costs</w:t>
            </w:r>
          </w:p>
        </w:tc>
        <w:tc>
          <w:tcPr>
            <w:tcW w:w="1978" w:type="dxa"/>
            <w:tcBorders>
              <w:bottom w:val="single" w:color="auto" w:sz="4" w:space="0"/>
            </w:tcBorders>
          </w:tcPr>
          <w:p w:rsidRPr="00002018" w:rsidR="005053D3" w:rsidP="009427F6" w:rsidRDefault="00CD6CC2" w14:paraId="0B9DC88B" w14:textId="72F97419">
            <w:pPr>
              <w:spacing w:line="240" w:lineRule="auto"/>
              <w:ind w:firstLine="0"/>
              <w:jc w:val="center"/>
            </w:pPr>
            <w:r w:rsidRPr="00002018">
              <w:t>$14,807,146</w:t>
            </w:r>
          </w:p>
        </w:tc>
        <w:tc>
          <w:tcPr>
            <w:tcW w:w="1978" w:type="dxa"/>
            <w:tcBorders>
              <w:bottom w:val="single" w:color="auto" w:sz="4" w:space="0"/>
            </w:tcBorders>
          </w:tcPr>
          <w:p w:rsidRPr="00002018" w:rsidR="005053D3" w:rsidP="009427F6" w:rsidRDefault="00CD6CC2" w14:paraId="3F2333DE" w14:textId="72ABE4DC">
            <w:pPr>
              <w:spacing w:line="240" w:lineRule="auto"/>
              <w:ind w:firstLine="0"/>
              <w:jc w:val="center"/>
            </w:pPr>
            <w:r w:rsidRPr="00002018">
              <w:t>$23,018,003</w:t>
            </w:r>
          </w:p>
        </w:tc>
        <w:tc>
          <w:tcPr>
            <w:tcW w:w="1979" w:type="dxa"/>
            <w:tcBorders>
              <w:bottom w:val="single" w:color="auto" w:sz="4" w:space="0"/>
              <w:right w:val="single" w:color="auto" w:sz="8" w:space="0"/>
            </w:tcBorders>
          </w:tcPr>
          <w:p w:rsidRPr="00002018" w:rsidR="005053D3" w:rsidP="009427F6" w:rsidRDefault="00752D32" w14:paraId="4489AE67" w14:textId="1736A689">
            <w:pPr>
              <w:spacing w:line="240" w:lineRule="auto"/>
              <w:ind w:firstLine="0"/>
              <w:jc w:val="center"/>
            </w:pPr>
            <w:r w:rsidRPr="00002018">
              <w:t>$8,210,857</w:t>
            </w:r>
          </w:p>
        </w:tc>
      </w:tr>
      <w:tr w:rsidR="004B6F08" w:rsidTr="004452E6" w14:paraId="6086E3D9" w14:textId="77777777">
        <w:tc>
          <w:tcPr>
            <w:tcW w:w="985" w:type="dxa"/>
            <w:tcBorders>
              <w:top w:val="single" w:color="auto" w:sz="4" w:space="0"/>
              <w:left w:val="single" w:color="auto" w:sz="8" w:space="0"/>
              <w:bottom w:val="single" w:color="auto" w:sz="4" w:space="0"/>
            </w:tcBorders>
          </w:tcPr>
          <w:p w:rsidR="004B6F08" w:rsidP="009427F6" w:rsidRDefault="004B6F08" w14:paraId="503DAE19" w14:textId="31DFED0D">
            <w:pPr>
              <w:spacing w:line="240" w:lineRule="auto"/>
              <w:ind w:firstLine="0"/>
              <w:jc w:val="center"/>
              <w:rPr>
                <w:b/>
                <w:bCs/>
              </w:rPr>
            </w:pPr>
            <w:r>
              <w:rPr>
                <w:b/>
                <w:bCs/>
              </w:rPr>
              <w:t>5</w:t>
            </w:r>
          </w:p>
        </w:tc>
        <w:tc>
          <w:tcPr>
            <w:tcW w:w="2430" w:type="dxa"/>
            <w:tcBorders>
              <w:top w:val="single" w:color="auto" w:sz="4" w:space="0"/>
              <w:bottom w:val="single" w:color="auto" w:sz="4" w:space="0"/>
            </w:tcBorders>
          </w:tcPr>
          <w:p w:rsidRPr="004452E6" w:rsidR="004B6F08" w:rsidP="005053D3" w:rsidRDefault="004B6F08" w14:paraId="694CC8ED" w14:textId="02FCEE47">
            <w:pPr>
              <w:spacing w:line="240" w:lineRule="auto"/>
              <w:ind w:firstLine="0"/>
              <w:rPr>
                <w:b/>
                <w:bCs/>
              </w:rPr>
            </w:pPr>
            <w:r w:rsidRPr="004452E6">
              <w:rPr>
                <w:b/>
                <w:bCs/>
              </w:rPr>
              <w:t>Total Commodity</w:t>
            </w:r>
          </w:p>
        </w:tc>
        <w:tc>
          <w:tcPr>
            <w:tcW w:w="1978" w:type="dxa"/>
            <w:tcBorders>
              <w:top w:val="single" w:color="auto" w:sz="4" w:space="0"/>
              <w:bottom w:val="single" w:color="auto" w:sz="4" w:space="0"/>
            </w:tcBorders>
          </w:tcPr>
          <w:p w:rsidRPr="004452E6" w:rsidR="004B6F08" w:rsidP="009427F6" w:rsidRDefault="004B6F08" w14:paraId="41C50FC1" w14:textId="77279F75">
            <w:pPr>
              <w:spacing w:line="240" w:lineRule="auto"/>
              <w:ind w:firstLine="0"/>
              <w:jc w:val="center"/>
              <w:rPr>
                <w:b/>
                <w:bCs/>
              </w:rPr>
            </w:pPr>
            <w:r w:rsidRPr="004452E6">
              <w:rPr>
                <w:b/>
                <w:bCs/>
              </w:rPr>
              <w:t>$831,963,730</w:t>
            </w:r>
          </w:p>
        </w:tc>
        <w:tc>
          <w:tcPr>
            <w:tcW w:w="1978" w:type="dxa"/>
            <w:tcBorders>
              <w:top w:val="single" w:color="auto" w:sz="4" w:space="0"/>
              <w:bottom w:val="single" w:color="auto" w:sz="4" w:space="0"/>
            </w:tcBorders>
          </w:tcPr>
          <w:p w:rsidRPr="004452E6" w:rsidR="004B6F08" w:rsidP="009427F6" w:rsidRDefault="004B6F08" w14:paraId="3FFA28EB" w14:textId="41D088F2">
            <w:pPr>
              <w:spacing w:line="240" w:lineRule="auto"/>
              <w:ind w:firstLine="0"/>
              <w:jc w:val="center"/>
              <w:rPr>
                <w:b/>
                <w:bCs/>
              </w:rPr>
            </w:pPr>
            <w:r w:rsidRPr="004452E6">
              <w:rPr>
                <w:b/>
                <w:bCs/>
              </w:rPr>
              <w:t>$789,821,359</w:t>
            </w:r>
          </w:p>
        </w:tc>
        <w:tc>
          <w:tcPr>
            <w:tcW w:w="1979" w:type="dxa"/>
            <w:tcBorders>
              <w:top w:val="single" w:color="auto" w:sz="4" w:space="0"/>
              <w:bottom w:val="single" w:color="auto" w:sz="4" w:space="0"/>
              <w:right w:val="single" w:color="auto" w:sz="8" w:space="0"/>
            </w:tcBorders>
          </w:tcPr>
          <w:p w:rsidRPr="004452E6" w:rsidR="004B6F08" w:rsidP="009427F6" w:rsidRDefault="004B6F08" w14:paraId="7B0095FC" w14:textId="42E25BE4">
            <w:pPr>
              <w:spacing w:line="240" w:lineRule="auto"/>
              <w:ind w:firstLine="0"/>
              <w:jc w:val="center"/>
              <w:rPr>
                <w:b/>
                <w:bCs/>
              </w:rPr>
            </w:pPr>
            <w:r w:rsidRPr="004452E6">
              <w:rPr>
                <w:b/>
                <w:bCs/>
              </w:rPr>
              <w:t>($42,142,370)</w:t>
            </w:r>
          </w:p>
        </w:tc>
      </w:tr>
      <w:tr w:rsidR="005053D3" w:rsidTr="004452E6" w14:paraId="201B41E6" w14:textId="77777777">
        <w:tc>
          <w:tcPr>
            <w:tcW w:w="985" w:type="dxa"/>
            <w:tcBorders>
              <w:top w:val="single" w:color="auto" w:sz="4" w:space="0"/>
              <w:left w:val="single" w:color="auto" w:sz="8" w:space="0"/>
              <w:bottom w:val="single" w:color="auto" w:sz="12" w:space="0"/>
            </w:tcBorders>
          </w:tcPr>
          <w:p w:rsidR="005053D3" w:rsidP="009427F6" w:rsidRDefault="004B6F08" w14:paraId="7112FE01" w14:textId="0DA67A51">
            <w:pPr>
              <w:spacing w:line="240" w:lineRule="auto"/>
              <w:ind w:firstLine="0"/>
              <w:jc w:val="center"/>
              <w:rPr>
                <w:b/>
                <w:bCs/>
              </w:rPr>
            </w:pPr>
            <w:r>
              <w:rPr>
                <w:b/>
                <w:bCs/>
              </w:rPr>
              <w:t>6</w:t>
            </w:r>
          </w:p>
        </w:tc>
        <w:tc>
          <w:tcPr>
            <w:tcW w:w="2430" w:type="dxa"/>
            <w:tcBorders>
              <w:top w:val="single" w:color="auto" w:sz="4" w:space="0"/>
              <w:bottom w:val="single" w:color="auto" w:sz="12" w:space="0"/>
            </w:tcBorders>
          </w:tcPr>
          <w:p w:rsidRPr="005053D3" w:rsidR="005053D3" w:rsidP="005053D3" w:rsidRDefault="005053D3" w14:paraId="00A7672D" w14:textId="4293B3E1">
            <w:pPr>
              <w:spacing w:line="240" w:lineRule="auto"/>
              <w:ind w:firstLine="0"/>
            </w:pPr>
            <w:r w:rsidRPr="005053D3">
              <w:t>Transportation</w:t>
            </w:r>
          </w:p>
        </w:tc>
        <w:tc>
          <w:tcPr>
            <w:tcW w:w="1978" w:type="dxa"/>
            <w:tcBorders>
              <w:top w:val="single" w:color="auto" w:sz="4" w:space="0"/>
              <w:bottom w:val="single" w:color="auto" w:sz="12" w:space="0"/>
            </w:tcBorders>
          </w:tcPr>
          <w:p w:rsidRPr="00002018" w:rsidR="005053D3" w:rsidP="009427F6" w:rsidRDefault="00CD6CC2" w14:paraId="312DD1BC" w14:textId="2C4AEA6A">
            <w:pPr>
              <w:spacing w:line="240" w:lineRule="auto"/>
              <w:ind w:firstLine="0"/>
              <w:jc w:val="center"/>
            </w:pPr>
            <w:r w:rsidRPr="00002018">
              <w:t>$370,118,488</w:t>
            </w:r>
          </w:p>
        </w:tc>
        <w:tc>
          <w:tcPr>
            <w:tcW w:w="1978" w:type="dxa"/>
            <w:tcBorders>
              <w:top w:val="single" w:color="auto" w:sz="4" w:space="0"/>
              <w:bottom w:val="single" w:color="auto" w:sz="12" w:space="0"/>
            </w:tcBorders>
          </w:tcPr>
          <w:p w:rsidRPr="00002018" w:rsidR="005053D3" w:rsidP="009427F6" w:rsidRDefault="00CD6CC2" w14:paraId="45D3EF77" w14:textId="2DE2D902">
            <w:pPr>
              <w:spacing w:line="240" w:lineRule="auto"/>
              <w:ind w:firstLine="0"/>
              <w:jc w:val="center"/>
            </w:pPr>
            <w:r w:rsidRPr="00002018">
              <w:t>$370,118,488</w:t>
            </w:r>
          </w:p>
        </w:tc>
        <w:tc>
          <w:tcPr>
            <w:tcW w:w="1979" w:type="dxa"/>
            <w:tcBorders>
              <w:top w:val="single" w:color="auto" w:sz="4" w:space="0"/>
              <w:bottom w:val="single" w:color="auto" w:sz="12" w:space="0"/>
              <w:right w:val="single" w:color="auto" w:sz="8" w:space="0"/>
            </w:tcBorders>
          </w:tcPr>
          <w:p w:rsidRPr="00002018" w:rsidR="005053D3" w:rsidP="009427F6" w:rsidRDefault="00002018" w14:paraId="6E968939" w14:textId="7D9688E6">
            <w:pPr>
              <w:spacing w:line="240" w:lineRule="auto"/>
              <w:ind w:firstLine="0"/>
              <w:jc w:val="center"/>
            </w:pPr>
            <w:r>
              <w:t>-</w:t>
            </w:r>
          </w:p>
        </w:tc>
      </w:tr>
      <w:tr w:rsidR="005053D3" w:rsidTr="004452E6" w14:paraId="7DB8CBCC" w14:textId="77777777">
        <w:tc>
          <w:tcPr>
            <w:tcW w:w="985" w:type="dxa"/>
            <w:tcBorders>
              <w:top w:val="single" w:color="auto" w:sz="12" w:space="0"/>
              <w:left w:val="single" w:color="auto" w:sz="8" w:space="0"/>
              <w:bottom w:val="single" w:color="auto" w:sz="8" w:space="0"/>
            </w:tcBorders>
          </w:tcPr>
          <w:p w:rsidR="005053D3" w:rsidP="009427F6" w:rsidRDefault="004B6F08" w14:paraId="0DFA10CB" w14:textId="48BE17B8">
            <w:pPr>
              <w:spacing w:line="240" w:lineRule="auto"/>
              <w:ind w:firstLine="0"/>
              <w:jc w:val="center"/>
              <w:rPr>
                <w:b/>
                <w:bCs/>
              </w:rPr>
            </w:pPr>
            <w:r>
              <w:rPr>
                <w:b/>
                <w:bCs/>
              </w:rPr>
              <w:t>7</w:t>
            </w:r>
          </w:p>
        </w:tc>
        <w:tc>
          <w:tcPr>
            <w:tcW w:w="2430" w:type="dxa"/>
            <w:tcBorders>
              <w:top w:val="single" w:color="auto" w:sz="12" w:space="0"/>
              <w:bottom w:val="single" w:color="auto" w:sz="8" w:space="0"/>
            </w:tcBorders>
          </w:tcPr>
          <w:p w:rsidRPr="004452E6" w:rsidR="005053D3" w:rsidP="005053D3" w:rsidRDefault="005053D3" w14:paraId="4D62E69B" w14:textId="3B1AE0A8">
            <w:pPr>
              <w:spacing w:line="240" w:lineRule="auto"/>
              <w:ind w:firstLine="0"/>
              <w:rPr>
                <w:b/>
                <w:bCs/>
              </w:rPr>
            </w:pPr>
            <w:r w:rsidRPr="004452E6">
              <w:rPr>
                <w:b/>
                <w:bCs/>
              </w:rPr>
              <w:t>Total</w:t>
            </w:r>
          </w:p>
        </w:tc>
        <w:tc>
          <w:tcPr>
            <w:tcW w:w="1978" w:type="dxa"/>
            <w:tcBorders>
              <w:top w:val="single" w:color="auto" w:sz="12" w:space="0"/>
              <w:bottom w:val="single" w:color="auto" w:sz="8" w:space="0"/>
            </w:tcBorders>
          </w:tcPr>
          <w:p w:rsidRPr="004452E6" w:rsidR="005053D3" w:rsidP="009427F6" w:rsidRDefault="006276E0" w14:paraId="66359E40" w14:textId="56079554">
            <w:pPr>
              <w:spacing w:line="240" w:lineRule="auto"/>
              <w:ind w:firstLine="0"/>
              <w:jc w:val="center"/>
              <w:rPr>
                <w:b/>
                <w:bCs/>
              </w:rPr>
            </w:pPr>
            <w:r w:rsidRPr="004452E6">
              <w:rPr>
                <w:b/>
                <w:bCs/>
              </w:rPr>
              <w:t>$1,202,082,218</w:t>
            </w:r>
          </w:p>
        </w:tc>
        <w:tc>
          <w:tcPr>
            <w:tcW w:w="1978" w:type="dxa"/>
            <w:tcBorders>
              <w:top w:val="single" w:color="auto" w:sz="12" w:space="0"/>
              <w:bottom w:val="single" w:color="auto" w:sz="8" w:space="0"/>
            </w:tcBorders>
          </w:tcPr>
          <w:p w:rsidRPr="004452E6" w:rsidR="005053D3" w:rsidP="009427F6" w:rsidRDefault="006276E0" w14:paraId="3204E434" w14:textId="5CD1C364">
            <w:pPr>
              <w:spacing w:line="240" w:lineRule="auto"/>
              <w:ind w:firstLine="0"/>
              <w:jc w:val="center"/>
              <w:rPr>
                <w:b/>
                <w:bCs/>
              </w:rPr>
            </w:pPr>
            <w:r w:rsidRPr="004452E6">
              <w:rPr>
                <w:b/>
                <w:bCs/>
              </w:rPr>
              <w:t>$1,159,939,848</w:t>
            </w:r>
          </w:p>
        </w:tc>
        <w:tc>
          <w:tcPr>
            <w:tcW w:w="1979" w:type="dxa"/>
            <w:tcBorders>
              <w:top w:val="single" w:color="auto" w:sz="12" w:space="0"/>
              <w:bottom w:val="single" w:color="auto" w:sz="8" w:space="0"/>
              <w:right w:val="single" w:color="auto" w:sz="8" w:space="0"/>
            </w:tcBorders>
          </w:tcPr>
          <w:p w:rsidRPr="004452E6" w:rsidR="005053D3" w:rsidP="009427F6" w:rsidRDefault="00752D32" w14:paraId="00B36866" w14:textId="6F99C804">
            <w:pPr>
              <w:spacing w:line="240" w:lineRule="auto"/>
              <w:ind w:firstLine="0"/>
              <w:jc w:val="center"/>
              <w:rPr>
                <w:b/>
                <w:bCs/>
              </w:rPr>
            </w:pPr>
            <w:r w:rsidRPr="004452E6">
              <w:rPr>
                <w:b/>
                <w:bCs/>
              </w:rPr>
              <w:t>($42,142,370)</w:t>
            </w:r>
          </w:p>
        </w:tc>
      </w:tr>
    </w:tbl>
    <w:p w:rsidR="00AF5787" w:rsidP="00752D32" w:rsidRDefault="00AF5787" w14:paraId="518C4BDA" w14:textId="77777777">
      <w:pPr>
        <w:spacing w:line="240" w:lineRule="auto"/>
        <w:ind w:firstLine="0"/>
        <w:jc w:val="center"/>
        <w:rPr>
          <w:b/>
          <w:bCs/>
        </w:rPr>
      </w:pPr>
    </w:p>
    <w:p w:rsidR="00752D32" w:rsidP="00752D32" w:rsidRDefault="00752D32" w14:paraId="5594A231" w14:textId="6577BDEC">
      <w:pPr>
        <w:spacing w:line="240" w:lineRule="auto"/>
        <w:ind w:firstLine="0"/>
        <w:jc w:val="center"/>
        <w:rPr>
          <w:b/>
          <w:bCs/>
        </w:rPr>
      </w:pPr>
      <w:r>
        <w:rPr>
          <w:b/>
          <w:bCs/>
        </w:rPr>
        <w:t xml:space="preserve">Table 3: </w:t>
      </w:r>
      <w:r w:rsidRPr="009427F6">
        <w:rPr>
          <w:b/>
          <w:bCs/>
        </w:rPr>
        <w:t>So</w:t>
      </w:r>
      <w:r w:rsidR="00094BF5">
        <w:rPr>
          <w:b/>
          <w:bCs/>
        </w:rPr>
        <w:t>CalGas</w:t>
      </w:r>
      <w:r w:rsidRPr="009427F6">
        <w:rPr>
          <w:b/>
          <w:bCs/>
        </w:rPr>
        <w:t xml:space="preserve">’s </w:t>
      </w:r>
    </w:p>
    <w:p w:rsidR="00752D32" w:rsidP="00A60447" w:rsidRDefault="00752D32" w14:paraId="421F209F" w14:textId="39ED2D99">
      <w:pPr>
        <w:spacing w:after="120" w:line="240" w:lineRule="auto"/>
        <w:ind w:firstLine="0"/>
        <w:jc w:val="center"/>
        <w:rPr>
          <w:b/>
          <w:bCs/>
        </w:rPr>
      </w:pPr>
      <w:r w:rsidRPr="009427F6">
        <w:rPr>
          <w:b/>
          <w:bCs/>
        </w:rPr>
        <w:t>G</w:t>
      </w:r>
      <w:r w:rsidR="00094BF5">
        <w:rPr>
          <w:b/>
          <w:bCs/>
        </w:rPr>
        <w:t>CIM</w:t>
      </w:r>
      <w:r w:rsidRPr="009427F6">
        <w:rPr>
          <w:b/>
          <w:bCs/>
        </w:rPr>
        <w:t xml:space="preserve"> Year 31 </w:t>
      </w:r>
      <w:r>
        <w:rPr>
          <w:b/>
          <w:bCs/>
        </w:rPr>
        <w:t>Sharing Allocations</w:t>
      </w:r>
    </w:p>
    <w:tbl>
      <w:tblPr>
        <w:tblStyle w:val="TableGrid"/>
        <w:tblW w:w="0" w:type="auto"/>
        <w:tblLook w:val="04A0" w:firstRow="1" w:lastRow="0" w:firstColumn="1" w:lastColumn="0" w:noHBand="0" w:noVBand="1"/>
      </w:tblPr>
      <w:tblGrid>
        <w:gridCol w:w="2785"/>
        <w:gridCol w:w="1761"/>
        <w:gridCol w:w="2166"/>
        <w:gridCol w:w="2638"/>
      </w:tblGrid>
      <w:tr w:rsidR="00002018" w:rsidTr="00E75BE9" w14:paraId="4C30D0F0" w14:textId="77777777">
        <w:tc>
          <w:tcPr>
            <w:tcW w:w="2785" w:type="dxa"/>
            <w:shd w:val="clear" w:color="auto" w:fill="D0CECE" w:themeFill="background2" w:themeFillShade="E6"/>
          </w:tcPr>
          <w:p w:rsidR="00002018" w:rsidP="00752D32" w:rsidRDefault="00002018" w14:paraId="5516E9C3" w14:textId="77777777">
            <w:pPr>
              <w:spacing w:line="240" w:lineRule="auto"/>
              <w:ind w:firstLine="0"/>
              <w:jc w:val="center"/>
              <w:rPr>
                <w:b/>
                <w:bCs/>
              </w:rPr>
            </w:pPr>
          </w:p>
        </w:tc>
        <w:tc>
          <w:tcPr>
            <w:tcW w:w="1761" w:type="dxa"/>
            <w:shd w:val="clear" w:color="auto" w:fill="D0CECE" w:themeFill="background2" w:themeFillShade="E6"/>
          </w:tcPr>
          <w:p w:rsidR="00002018" w:rsidP="00752D32" w:rsidRDefault="00002018" w14:paraId="47401FF3" w14:textId="72744147">
            <w:pPr>
              <w:spacing w:line="240" w:lineRule="auto"/>
              <w:ind w:firstLine="0"/>
              <w:jc w:val="center"/>
              <w:rPr>
                <w:b/>
                <w:bCs/>
              </w:rPr>
            </w:pPr>
            <w:r>
              <w:rPr>
                <w:b/>
                <w:bCs/>
              </w:rPr>
              <w:t>Total Amount</w:t>
            </w:r>
          </w:p>
        </w:tc>
        <w:tc>
          <w:tcPr>
            <w:tcW w:w="2166" w:type="dxa"/>
            <w:shd w:val="clear" w:color="auto" w:fill="D0CECE" w:themeFill="background2" w:themeFillShade="E6"/>
            <w:vAlign w:val="center"/>
          </w:tcPr>
          <w:p w:rsidR="00002018" w:rsidP="00C335AA" w:rsidRDefault="00002018" w14:paraId="3280D6FE" w14:textId="52DBA807">
            <w:pPr>
              <w:spacing w:line="240" w:lineRule="auto"/>
              <w:ind w:firstLine="0"/>
              <w:jc w:val="center"/>
              <w:rPr>
                <w:b/>
                <w:bCs/>
              </w:rPr>
            </w:pPr>
            <w:r>
              <w:rPr>
                <w:b/>
                <w:bCs/>
              </w:rPr>
              <w:t>Ratepayer Share</w:t>
            </w:r>
          </w:p>
        </w:tc>
        <w:tc>
          <w:tcPr>
            <w:tcW w:w="2638" w:type="dxa"/>
            <w:shd w:val="clear" w:color="auto" w:fill="D0CECE" w:themeFill="background2" w:themeFillShade="E6"/>
            <w:vAlign w:val="center"/>
          </w:tcPr>
          <w:p w:rsidR="00002018" w:rsidP="00C335AA" w:rsidRDefault="00002018" w14:paraId="6B12D2E0" w14:textId="58FDF8C3">
            <w:pPr>
              <w:spacing w:line="240" w:lineRule="auto"/>
              <w:ind w:firstLine="0"/>
              <w:jc w:val="center"/>
              <w:rPr>
                <w:b/>
                <w:bCs/>
              </w:rPr>
            </w:pPr>
            <w:r>
              <w:rPr>
                <w:b/>
                <w:bCs/>
              </w:rPr>
              <w:t>Shareholder Share</w:t>
            </w:r>
          </w:p>
        </w:tc>
      </w:tr>
      <w:tr w:rsidR="00002018" w:rsidTr="00E75BE9" w14:paraId="039B1298" w14:textId="77777777">
        <w:tc>
          <w:tcPr>
            <w:tcW w:w="2785" w:type="dxa"/>
          </w:tcPr>
          <w:p w:rsidR="00002018" w:rsidP="00697473" w:rsidRDefault="00002018" w14:paraId="07CC60E1" w14:textId="5F6C686A">
            <w:pPr>
              <w:spacing w:line="240" w:lineRule="auto"/>
              <w:ind w:firstLine="0"/>
              <w:jc w:val="center"/>
              <w:rPr>
                <w:b/>
                <w:bCs/>
              </w:rPr>
            </w:pPr>
            <w:r>
              <w:rPr>
                <w:b/>
                <w:bCs/>
              </w:rPr>
              <w:t xml:space="preserve">Tolerance Band, 1% of </w:t>
            </w:r>
            <w:r w:rsidR="00E75BE9">
              <w:rPr>
                <w:b/>
                <w:bCs/>
              </w:rPr>
              <w:t xml:space="preserve">BGCC, </w:t>
            </w:r>
            <w:r>
              <w:rPr>
                <w:b/>
                <w:bCs/>
              </w:rPr>
              <w:t xml:space="preserve">Table 2, Row </w:t>
            </w:r>
            <w:r w:rsidR="00E75BE9">
              <w:rPr>
                <w:b/>
                <w:bCs/>
              </w:rPr>
              <w:t>5</w:t>
            </w:r>
          </w:p>
        </w:tc>
        <w:tc>
          <w:tcPr>
            <w:tcW w:w="1761" w:type="dxa"/>
            <w:vAlign w:val="center"/>
          </w:tcPr>
          <w:p w:rsidRPr="009878A2" w:rsidR="009878A2" w:rsidP="00B97833" w:rsidRDefault="00002018" w14:paraId="3416C969" w14:textId="1B53B386">
            <w:pPr>
              <w:spacing w:line="240" w:lineRule="auto"/>
              <w:ind w:firstLine="0"/>
              <w:jc w:val="center"/>
            </w:pPr>
            <w:r w:rsidRPr="009878A2">
              <w:t>$8,319,637</w:t>
            </w:r>
          </w:p>
        </w:tc>
        <w:tc>
          <w:tcPr>
            <w:tcW w:w="2166" w:type="dxa"/>
            <w:vAlign w:val="center"/>
          </w:tcPr>
          <w:p w:rsidRPr="009878A2" w:rsidR="009878A2" w:rsidP="00B97833" w:rsidRDefault="00002018" w14:paraId="76D77BB8" w14:textId="1F5858CF">
            <w:pPr>
              <w:spacing w:line="240" w:lineRule="auto"/>
              <w:ind w:firstLine="0"/>
              <w:jc w:val="center"/>
            </w:pPr>
            <w:r w:rsidRPr="009878A2">
              <w:t>$8,319,637</w:t>
            </w:r>
          </w:p>
        </w:tc>
        <w:tc>
          <w:tcPr>
            <w:tcW w:w="2638" w:type="dxa"/>
            <w:vAlign w:val="center"/>
          </w:tcPr>
          <w:p w:rsidRPr="009878A2" w:rsidR="009878A2" w:rsidP="00B97833" w:rsidRDefault="00002018" w14:paraId="46AD5B79" w14:textId="6BBB87BB">
            <w:pPr>
              <w:spacing w:line="240" w:lineRule="auto"/>
              <w:ind w:firstLine="0"/>
              <w:jc w:val="center"/>
            </w:pPr>
            <w:r w:rsidRPr="009878A2">
              <w:t>$0</w:t>
            </w:r>
          </w:p>
        </w:tc>
      </w:tr>
      <w:tr w:rsidR="00002018" w:rsidTr="00E75BE9" w14:paraId="55C866BF" w14:textId="77777777">
        <w:tc>
          <w:tcPr>
            <w:tcW w:w="2785" w:type="dxa"/>
          </w:tcPr>
          <w:p w:rsidR="00002018" w:rsidP="00697473" w:rsidRDefault="00002018" w14:paraId="6F24F854" w14:textId="35C528FE">
            <w:pPr>
              <w:spacing w:line="240" w:lineRule="auto"/>
              <w:ind w:firstLine="0"/>
              <w:jc w:val="center"/>
              <w:rPr>
                <w:b/>
                <w:bCs/>
              </w:rPr>
            </w:pPr>
            <w:r>
              <w:rPr>
                <w:b/>
                <w:bCs/>
              </w:rPr>
              <w:t>Amount Subject to 75%/25% Sharing (Between 1% and 5%)</w:t>
            </w:r>
          </w:p>
        </w:tc>
        <w:tc>
          <w:tcPr>
            <w:tcW w:w="1761" w:type="dxa"/>
            <w:vAlign w:val="center"/>
          </w:tcPr>
          <w:p w:rsidRPr="009878A2" w:rsidR="009878A2" w:rsidP="00B97833" w:rsidRDefault="00002018" w14:paraId="5F01E07E" w14:textId="751AE99A">
            <w:pPr>
              <w:spacing w:line="240" w:lineRule="auto"/>
              <w:ind w:firstLine="0"/>
              <w:jc w:val="center"/>
            </w:pPr>
            <w:r w:rsidRPr="009878A2">
              <w:t>$33,278,549</w:t>
            </w:r>
          </w:p>
        </w:tc>
        <w:tc>
          <w:tcPr>
            <w:tcW w:w="2166" w:type="dxa"/>
            <w:vAlign w:val="center"/>
          </w:tcPr>
          <w:p w:rsidRPr="009878A2" w:rsidR="009878A2" w:rsidP="00B97833" w:rsidRDefault="00002018" w14:paraId="25919B15" w14:textId="7E5464D2">
            <w:pPr>
              <w:spacing w:line="240" w:lineRule="auto"/>
              <w:ind w:firstLine="0"/>
              <w:jc w:val="center"/>
            </w:pPr>
            <w:r w:rsidRPr="009878A2">
              <w:t>$24,958,912</w:t>
            </w:r>
          </w:p>
        </w:tc>
        <w:tc>
          <w:tcPr>
            <w:tcW w:w="2638" w:type="dxa"/>
            <w:vAlign w:val="center"/>
          </w:tcPr>
          <w:p w:rsidRPr="009878A2" w:rsidR="009878A2" w:rsidP="00B97833" w:rsidRDefault="00002018" w14:paraId="7857A7AC" w14:textId="170EED38">
            <w:pPr>
              <w:spacing w:line="240" w:lineRule="auto"/>
              <w:ind w:firstLine="0"/>
              <w:jc w:val="center"/>
            </w:pPr>
            <w:r w:rsidRPr="009878A2">
              <w:t>$8,319,637</w:t>
            </w:r>
          </w:p>
        </w:tc>
      </w:tr>
      <w:tr w:rsidR="00002018" w:rsidTr="00E75BE9" w14:paraId="1CB9A054" w14:textId="77777777">
        <w:tc>
          <w:tcPr>
            <w:tcW w:w="2785" w:type="dxa"/>
          </w:tcPr>
          <w:p w:rsidR="009878A2" w:rsidP="00697473" w:rsidRDefault="009878A2" w14:paraId="6C1451B6" w14:textId="67C26B38">
            <w:pPr>
              <w:spacing w:line="240" w:lineRule="auto"/>
              <w:ind w:firstLine="0"/>
              <w:jc w:val="center"/>
              <w:rPr>
                <w:b/>
                <w:bCs/>
              </w:rPr>
            </w:pPr>
            <w:r>
              <w:rPr>
                <w:b/>
                <w:bCs/>
              </w:rPr>
              <w:t>Amount Subject to 90%/10% Sharing</w:t>
            </w:r>
          </w:p>
          <w:p w:rsidR="00002018" w:rsidP="00697473" w:rsidRDefault="009878A2" w14:paraId="041A9192" w14:textId="32A481CD">
            <w:pPr>
              <w:spacing w:line="240" w:lineRule="auto"/>
              <w:ind w:firstLine="0"/>
              <w:jc w:val="center"/>
              <w:rPr>
                <w:b/>
                <w:bCs/>
              </w:rPr>
            </w:pPr>
            <w:r>
              <w:rPr>
                <w:b/>
                <w:bCs/>
              </w:rPr>
              <w:t xml:space="preserve">(5% and </w:t>
            </w:r>
            <w:proofErr w:type="gramStart"/>
            <w:r>
              <w:rPr>
                <w:b/>
                <w:bCs/>
              </w:rPr>
              <w:t>Above</w:t>
            </w:r>
            <w:proofErr w:type="gramEnd"/>
            <w:r>
              <w:rPr>
                <w:b/>
                <w:bCs/>
              </w:rPr>
              <w:t>)</w:t>
            </w:r>
          </w:p>
        </w:tc>
        <w:tc>
          <w:tcPr>
            <w:tcW w:w="1761" w:type="dxa"/>
            <w:vAlign w:val="center"/>
          </w:tcPr>
          <w:p w:rsidRPr="009878A2" w:rsidR="009878A2" w:rsidP="00B97833" w:rsidRDefault="009878A2" w14:paraId="47881939" w14:textId="6CCB8423">
            <w:pPr>
              <w:spacing w:line="240" w:lineRule="auto"/>
              <w:ind w:firstLine="0"/>
              <w:jc w:val="center"/>
            </w:pPr>
            <w:r w:rsidRPr="009878A2">
              <w:t>$544,184</w:t>
            </w:r>
          </w:p>
        </w:tc>
        <w:tc>
          <w:tcPr>
            <w:tcW w:w="2166" w:type="dxa"/>
            <w:vAlign w:val="center"/>
          </w:tcPr>
          <w:p w:rsidRPr="009878A2" w:rsidR="009878A2" w:rsidP="00B97833" w:rsidRDefault="009878A2" w14:paraId="6E5CFEE2" w14:textId="03AAC7D2">
            <w:pPr>
              <w:spacing w:line="240" w:lineRule="auto"/>
              <w:ind w:firstLine="0"/>
              <w:jc w:val="center"/>
            </w:pPr>
            <w:r w:rsidRPr="009878A2">
              <w:t>$489,765</w:t>
            </w:r>
          </w:p>
        </w:tc>
        <w:tc>
          <w:tcPr>
            <w:tcW w:w="2638" w:type="dxa"/>
            <w:vAlign w:val="center"/>
          </w:tcPr>
          <w:p w:rsidRPr="009878A2" w:rsidR="009878A2" w:rsidP="00B97833" w:rsidRDefault="009878A2" w14:paraId="0A4F3BE6" w14:textId="67FC24EF">
            <w:pPr>
              <w:spacing w:line="240" w:lineRule="auto"/>
              <w:ind w:firstLine="0"/>
              <w:jc w:val="center"/>
            </w:pPr>
            <w:r w:rsidRPr="009878A2">
              <w:t>$54,418</w:t>
            </w:r>
          </w:p>
        </w:tc>
      </w:tr>
      <w:tr w:rsidR="00002018" w:rsidTr="00E75BE9" w14:paraId="4FC5CECA" w14:textId="77777777">
        <w:tc>
          <w:tcPr>
            <w:tcW w:w="2785" w:type="dxa"/>
          </w:tcPr>
          <w:p w:rsidR="00002018" w:rsidP="00697473" w:rsidRDefault="009878A2" w14:paraId="18486BB8" w14:textId="4BAF7C50">
            <w:pPr>
              <w:spacing w:line="240" w:lineRule="auto"/>
              <w:ind w:firstLine="0"/>
              <w:jc w:val="center"/>
              <w:rPr>
                <w:b/>
                <w:bCs/>
              </w:rPr>
            </w:pPr>
            <w:r>
              <w:rPr>
                <w:b/>
                <w:bCs/>
              </w:rPr>
              <w:t>Excess of 1.5% Shareholder Cap</w:t>
            </w:r>
          </w:p>
        </w:tc>
        <w:tc>
          <w:tcPr>
            <w:tcW w:w="1761" w:type="dxa"/>
            <w:vAlign w:val="center"/>
          </w:tcPr>
          <w:p w:rsidRPr="009878A2" w:rsidR="009878A2" w:rsidP="00B97833" w:rsidRDefault="009878A2" w14:paraId="69D08460" w14:textId="24BC746F">
            <w:pPr>
              <w:spacing w:line="240" w:lineRule="auto"/>
              <w:ind w:firstLine="0"/>
              <w:jc w:val="center"/>
            </w:pPr>
            <w:r w:rsidRPr="009878A2">
              <w:t>$0</w:t>
            </w:r>
          </w:p>
        </w:tc>
        <w:tc>
          <w:tcPr>
            <w:tcW w:w="2166" w:type="dxa"/>
            <w:vAlign w:val="center"/>
          </w:tcPr>
          <w:p w:rsidRPr="009878A2" w:rsidR="009878A2" w:rsidP="00B97833" w:rsidRDefault="009878A2" w14:paraId="3DCB1678" w14:textId="1EB1C417">
            <w:pPr>
              <w:spacing w:line="240" w:lineRule="auto"/>
              <w:ind w:firstLine="0"/>
              <w:jc w:val="center"/>
            </w:pPr>
            <w:r w:rsidRPr="009878A2">
              <w:t>$0</w:t>
            </w:r>
          </w:p>
        </w:tc>
        <w:tc>
          <w:tcPr>
            <w:tcW w:w="2638" w:type="dxa"/>
            <w:vAlign w:val="center"/>
          </w:tcPr>
          <w:p w:rsidRPr="009878A2" w:rsidR="009878A2" w:rsidP="00B97833" w:rsidRDefault="009878A2" w14:paraId="2D5923F9" w14:textId="673824E6">
            <w:pPr>
              <w:spacing w:line="240" w:lineRule="auto"/>
              <w:ind w:firstLine="0"/>
              <w:jc w:val="center"/>
            </w:pPr>
            <w:r w:rsidRPr="009878A2">
              <w:t>$0</w:t>
            </w:r>
          </w:p>
        </w:tc>
      </w:tr>
      <w:tr w:rsidR="00002018" w:rsidTr="00E75BE9" w14:paraId="1010A028" w14:textId="77777777">
        <w:tc>
          <w:tcPr>
            <w:tcW w:w="2785" w:type="dxa"/>
          </w:tcPr>
          <w:p w:rsidR="00002018" w:rsidP="00697473" w:rsidRDefault="009878A2" w14:paraId="729AF239" w14:textId="7DA97A16">
            <w:pPr>
              <w:spacing w:line="240" w:lineRule="auto"/>
              <w:ind w:firstLine="0"/>
              <w:jc w:val="center"/>
              <w:rPr>
                <w:b/>
                <w:bCs/>
              </w:rPr>
            </w:pPr>
            <w:r>
              <w:rPr>
                <w:b/>
                <w:bCs/>
              </w:rPr>
              <w:t>Total</w:t>
            </w:r>
            <w:r w:rsidR="00E75BE9">
              <w:rPr>
                <w:b/>
                <w:bCs/>
              </w:rPr>
              <w:t>, Table 2, Row 7</w:t>
            </w:r>
          </w:p>
        </w:tc>
        <w:tc>
          <w:tcPr>
            <w:tcW w:w="1761" w:type="dxa"/>
          </w:tcPr>
          <w:p w:rsidRPr="009878A2" w:rsidR="00002018" w:rsidP="00752D32" w:rsidRDefault="009878A2" w14:paraId="032616E1" w14:textId="7A7AD51C">
            <w:pPr>
              <w:spacing w:line="240" w:lineRule="auto"/>
              <w:ind w:firstLine="0"/>
              <w:jc w:val="center"/>
            </w:pPr>
            <w:r w:rsidRPr="009878A2">
              <w:t>$42,142,370</w:t>
            </w:r>
          </w:p>
        </w:tc>
        <w:tc>
          <w:tcPr>
            <w:tcW w:w="2166" w:type="dxa"/>
          </w:tcPr>
          <w:p w:rsidRPr="009878A2" w:rsidR="00002018" w:rsidP="00752D32" w:rsidRDefault="009878A2" w14:paraId="665949B1" w14:textId="7180ECEF">
            <w:pPr>
              <w:spacing w:line="240" w:lineRule="auto"/>
              <w:ind w:firstLine="0"/>
              <w:jc w:val="center"/>
            </w:pPr>
            <w:r w:rsidRPr="009878A2">
              <w:t>$33,768,315</w:t>
            </w:r>
          </w:p>
        </w:tc>
        <w:tc>
          <w:tcPr>
            <w:tcW w:w="2638" w:type="dxa"/>
          </w:tcPr>
          <w:p w:rsidRPr="009878A2" w:rsidR="00002018" w:rsidP="00752D32" w:rsidRDefault="009878A2" w14:paraId="3D4B628D" w14:textId="1A270D2B">
            <w:pPr>
              <w:spacing w:line="240" w:lineRule="auto"/>
              <w:ind w:firstLine="0"/>
              <w:jc w:val="center"/>
            </w:pPr>
            <w:r w:rsidRPr="009878A2">
              <w:t>$8,374,056</w:t>
            </w:r>
          </w:p>
        </w:tc>
      </w:tr>
    </w:tbl>
    <w:p w:rsidR="003E706D" w:rsidP="00764CE9" w:rsidRDefault="00764CE9" w14:paraId="55A2AD2A" w14:textId="1546852F">
      <w:r>
        <w:tab/>
      </w:r>
      <w:r w:rsidR="00AF5787">
        <w:t xml:space="preserve">In its GCIM Report, </w:t>
      </w:r>
      <w:r w:rsidRPr="00697473" w:rsidR="00697473">
        <w:t xml:space="preserve">SoCalGas </w:t>
      </w:r>
      <w:r w:rsidR="00697473">
        <w:t>describes the weather and market conditions that impacted its GCIM Year 31 results. A mild 2023</w:t>
      </w:r>
      <w:r w:rsidR="007F2C48">
        <w:t>–</w:t>
      </w:r>
      <w:r w:rsidR="00697473">
        <w:t xml:space="preserve">2024 winter season led to a surplus in natural gas storage across the </w:t>
      </w:r>
      <w:r w:rsidR="00094BF5">
        <w:t>w</w:t>
      </w:r>
      <w:r w:rsidR="00697473">
        <w:t>estern U</w:t>
      </w:r>
      <w:r w:rsidR="00F30B03">
        <w:t xml:space="preserve">nited </w:t>
      </w:r>
      <w:r w:rsidR="00697473">
        <w:t>S</w:t>
      </w:r>
      <w:r w:rsidR="00F30B03">
        <w:t>tates</w:t>
      </w:r>
      <w:r w:rsidR="00697473">
        <w:t xml:space="preserve"> and the </w:t>
      </w:r>
      <w:r w:rsidR="00094BF5">
        <w:t>l</w:t>
      </w:r>
      <w:r w:rsidR="00697473">
        <w:t>ower 48</w:t>
      </w:r>
      <w:r w:rsidR="00094BF5">
        <w:t xml:space="preserve"> states</w:t>
      </w:r>
      <w:r w:rsidR="00697473">
        <w:t>, keeping prices low throughout the April</w:t>
      </w:r>
      <w:r w:rsidR="009C007E">
        <w:t>–</w:t>
      </w:r>
      <w:r w:rsidR="00697473">
        <w:t xml:space="preserve">October 2024 </w:t>
      </w:r>
      <w:r w:rsidR="00697473">
        <w:lastRenderedPageBreak/>
        <w:t>injection season.</w:t>
      </w:r>
      <w:r w:rsidR="003E706D">
        <w:t xml:space="preserve"> </w:t>
      </w:r>
      <w:r w:rsidR="00CB101E">
        <w:t xml:space="preserve">Production decreased from February through May of 2024. </w:t>
      </w:r>
      <w:r w:rsidR="003E706D">
        <w:t>Mild temperatures in the beginning of winter 202</w:t>
      </w:r>
      <w:r w:rsidR="00CB101E">
        <w:t>4</w:t>
      </w:r>
      <w:r w:rsidR="009C007E">
        <w:t>–</w:t>
      </w:r>
      <w:r w:rsidR="003E706D">
        <w:t>202</w:t>
      </w:r>
      <w:r w:rsidR="00CB101E">
        <w:t>5</w:t>
      </w:r>
      <w:r w:rsidR="003E706D">
        <w:t xml:space="preserve"> kept demand down</w:t>
      </w:r>
      <w:r w:rsidR="00CA53D6">
        <w:t xml:space="preserve"> to a level</w:t>
      </w:r>
      <w:r w:rsidR="003E706D">
        <w:t xml:space="preserve"> slightly lower than </w:t>
      </w:r>
      <w:r w:rsidR="00CA53D6">
        <w:t>that of</w:t>
      </w:r>
      <w:r w:rsidR="003E706D">
        <w:t xml:space="preserve"> the same period in the prior year.</w:t>
      </w:r>
      <w:r w:rsidR="00CB101E">
        <w:rPr>
          <w:rStyle w:val="FootnoteReference"/>
        </w:rPr>
        <w:footnoteReference w:id="8"/>
      </w:r>
      <w:r w:rsidR="00CB101E">
        <w:t xml:space="preserve"> </w:t>
      </w:r>
      <w:r w:rsidR="003E706D">
        <w:t xml:space="preserve"> </w:t>
      </w:r>
    </w:p>
    <w:p w:rsidR="007F7D7F" w:rsidP="00B97833" w:rsidRDefault="003E706D" w14:paraId="79059CD6" w14:textId="7EF56FF0">
      <w:r>
        <w:t xml:space="preserve">In January 2025, however, notable cold weather events impacted the eastern </w:t>
      </w:r>
      <w:r w:rsidR="00CB101E">
        <w:t>part of the country</w:t>
      </w:r>
      <w:r w:rsidR="00B97833">
        <w:t>, including</w:t>
      </w:r>
      <w:r>
        <w:t xml:space="preserve"> the January 18</w:t>
      </w:r>
      <w:r w:rsidR="008176E9">
        <w:t>–</w:t>
      </w:r>
      <w:r>
        <w:t>21 cold weather event in the Midwest and Texas</w:t>
      </w:r>
      <w:r w:rsidR="00B97833">
        <w:t>.</w:t>
      </w:r>
      <w:r>
        <w:t xml:space="preserve"> Storage withdrawals increased to 29</w:t>
      </w:r>
      <w:r w:rsidR="00E75BE9">
        <w:t xml:space="preserve"> percent</w:t>
      </w:r>
      <w:r>
        <w:t xml:space="preserve"> above the five-year average in January and February 2025.</w:t>
      </w:r>
      <w:r w:rsidRPr="00B97833" w:rsidR="00B97833">
        <w:rPr>
          <w:rStyle w:val="FootnoteReference"/>
        </w:rPr>
        <w:t xml:space="preserve"> </w:t>
      </w:r>
      <w:r>
        <w:t xml:space="preserve">While Pacific Region storage levels remained </w:t>
      </w:r>
      <w:r w:rsidR="00881760">
        <w:t>above average</w:t>
      </w:r>
      <w:r>
        <w:t xml:space="preserve">, by the end of the winter season, </w:t>
      </w:r>
      <w:r w:rsidR="00CB101E">
        <w:t xml:space="preserve">total inventory </w:t>
      </w:r>
      <w:r>
        <w:t xml:space="preserve">storage levels </w:t>
      </w:r>
      <w:r w:rsidR="00CB101E">
        <w:t xml:space="preserve">in the </w:t>
      </w:r>
      <w:r w:rsidR="00094BF5">
        <w:t>l</w:t>
      </w:r>
      <w:r w:rsidR="00CB101E">
        <w:t>ower 48</w:t>
      </w:r>
      <w:r w:rsidR="00094BF5">
        <w:t xml:space="preserve"> states</w:t>
      </w:r>
      <w:r w:rsidR="00CB101E">
        <w:t xml:space="preserve"> had </w:t>
      </w:r>
      <w:r>
        <w:t>decreased to below</w:t>
      </w:r>
      <w:r w:rsidR="00CB101E">
        <w:t xml:space="preserve"> the five-year</w:t>
      </w:r>
      <w:r>
        <w:t xml:space="preserve"> average.</w:t>
      </w:r>
      <w:r w:rsidR="00E32312">
        <w:rPr>
          <w:rStyle w:val="FootnoteReference"/>
        </w:rPr>
        <w:footnoteReference w:id="9"/>
      </w:r>
      <w:r w:rsidR="00881760">
        <w:t xml:space="preserve"> </w:t>
      </w:r>
      <w:r w:rsidRPr="00881760" w:rsidR="00881760">
        <w:t xml:space="preserve">European storage </w:t>
      </w:r>
      <w:r w:rsidR="00881760">
        <w:t xml:space="preserve">also </w:t>
      </w:r>
      <w:r w:rsidRPr="00881760" w:rsidR="00881760">
        <w:t>fell to just 34</w:t>
      </w:r>
      <w:r w:rsidR="00953A38">
        <w:t xml:space="preserve"> percent</w:t>
      </w:r>
      <w:r w:rsidRPr="00881760" w:rsidR="00881760">
        <w:t xml:space="preserve"> of capacity, placing an upward pressure on global demand.</w:t>
      </w:r>
      <w:r w:rsidR="00881760">
        <w:t xml:space="preserve"> </w:t>
      </w:r>
      <w:r w:rsidR="00F30B03">
        <w:t>P</w:t>
      </w:r>
      <w:r w:rsidR="00881760">
        <w:t xml:space="preserve">roducers </w:t>
      </w:r>
      <w:r w:rsidR="00F30B03">
        <w:t xml:space="preserve">in the United States </w:t>
      </w:r>
      <w:r w:rsidR="00881760">
        <w:t>increased production in response</w:t>
      </w:r>
      <w:r w:rsidR="00953A38">
        <w:t>,</w:t>
      </w:r>
      <w:r w:rsidR="00881760">
        <w:t xml:space="preserve"> “signaling a measured return to production as the market rebalanced.”</w:t>
      </w:r>
      <w:r w:rsidR="00881760">
        <w:rPr>
          <w:rStyle w:val="FootnoteReference"/>
        </w:rPr>
        <w:footnoteReference w:id="10"/>
      </w:r>
      <w:r w:rsidR="00E32312">
        <w:t xml:space="preserve"> </w:t>
      </w:r>
    </w:p>
    <w:p w:rsidR="003E706D" w:rsidP="00B97833" w:rsidRDefault="00E32312" w14:paraId="34BEB6AF" w14:textId="4F2A1B7B">
      <w:r>
        <w:t>SoCalGas states that its Gas Acquisition Department</w:t>
      </w:r>
      <w:r w:rsidR="00F7106E">
        <w:t xml:space="preserve">, </w:t>
      </w:r>
      <w:r w:rsidR="00CA53D6">
        <w:t>(</w:t>
      </w:r>
      <w:r w:rsidR="00F7106E">
        <w:t xml:space="preserve">its </w:t>
      </w:r>
      <w:r w:rsidR="00CA53D6">
        <w:t xml:space="preserve">core </w:t>
      </w:r>
      <w:r w:rsidR="00F7106E">
        <w:t>procurement division</w:t>
      </w:r>
      <w:r w:rsidR="00CA53D6">
        <w:t>)</w:t>
      </w:r>
      <w:r w:rsidR="00F7106E">
        <w:t>,</w:t>
      </w:r>
      <w:r>
        <w:t xml:space="preserve"> </w:t>
      </w:r>
      <w:r w:rsidR="007F7D7F">
        <w:t>“</w:t>
      </w:r>
      <w:r w:rsidRPr="007F7D7F" w:rsidR="007F7D7F">
        <w:t>effectively managed its gas procurement activities during GCIM Year 31 and provided reliable gas supplies at reasonable gas commodity costs for retail core customers given existing market conditions.</w:t>
      </w:r>
      <w:r w:rsidR="007F7D7F">
        <w:t>”</w:t>
      </w:r>
      <w:r w:rsidR="007F7D7F">
        <w:rPr>
          <w:rStyle w:val="FootnoteReference"/>
        </w:rPr>
        <w:footnoteReference w:id="11"/>
      </w:r>
    </w:p>
    <w:p w:rsidR="004D32EB" w:rsidP="00077BDD" w:rsidRDefault="007F7D7F" w14:paraId="7382BC7B" w14:textId="61762C6A">
      <w:r>
        <w:t xml:space="preserve">Table 4, below, provides a </w:t>
      </w:r>
      <w:r w:rsidR="009E5121">
        <w:t>comparison</w:t>
      </w:r>
      <w:r>
        <w:t xml:space="preserve"> of Year 30 and Year 31 </w:t>
      </w:r>
      <w:r w:rsidR="00094BF5">
        <w:t>b</w:t>
      </w:r>
      <w:r>
        <w:t>enchmark</w:t>
      </w:r>
      <w:r w:rsidR="00764CE9">
        <w:t>s</w:t>
      </w:r>
      <w:r>
        <w:t xml:space="preserve"> and </w:t>
      </w:r>
      <w:r w:rsidR="00094BF5">
        <w:t>a</w:t>
      </w:r>
      <w:r>
        <w:t xml:space="preserve">ctual </w:t>
      </w:r>
      <w:r w:rsidR="00094BF5">
        <w:t>a</w:t>
      </w:r>
      <w:r w:rsidR="00ED75E8">
        <w:t xml:space="preserve">nnual </w:t>
      </w:r>
      <w:r w:rsidR="00094BF5">
        <w:t>c</w:t>
      </w:r>
      <w:r>
        <w:t>osts.</w:t>
      </w:r>
      <w:r w:rsidR="00953A38">
        <w:t xml:space="preserve"> </w:t>
      </w:r>
    </w:p>
    <w:p w:rsidR="009E5121" w:rsidP="007F7D7F" w:rsidRDefault="007F7D7F" w14:paraId="4A6EBAB7" w14:textId="77777777">
      <w:pPr>
        <w:spacing w:line="240" w:lineRule="auto"/>
        <w:ind w:firstLine="0"/>
        <w:jc w:val="center"/>
        <w:rPr>
          <w:b/>
          <w:bCs/>
        </w:rPr>
      </w:pPr>
      <w:r w:rsidRPr="007F7D7F">
        <w:rPr>
          <w:b/>
          <w:bCs/>
        </w:rPr>
        <w:t xml:space="preserve">Table 4: Comparison of GCIM Year 30 and Year 31 </w:t>
      </w:r>
    </w:p>
    <w:p w:rsidR="007F7D7F" w:rsidP="00A60447" w:rsidRDefault="007F7D7F" w14:paraId="1ACB9275" w14:textId="13348288">
      <w:pPr>
        <w:spacing w:after="120" w:line="240" w:lineRule="auto"/>
        <w:ind w:firstLine="0"/>
        <w:jc w:val="center"/>
        <w:rPr>
          <w:b/>
          <w:bCs/>
        </w:rPr>
      </w:pPr>
      <w:r w:rsidRPr="007F7D7F">
        <w:rPr>
          <w:b/>
          <w:bCs/>
        </w:rPr>
        <w:t xml:space="preserve">Benchmark </w:t>
      </w:r>
      <w:r w:rsidR="005E3B35">
        <w:rPr>
          <w:b/>
          <w:bCs/>
        </w:rPr>
        <w:t>Budget</w:t>
      </w:r>
      <w:r w:rsidRPr="007F7D7F">
        <w:rPr>
          <w:b/>
          <w:bCs/>
        </w:rPr>
        <w:t xml:space="preserve"> and Actual Costs</w:t>
      </w:r>
      <w:r w:rsidR="009E5121">
        <w:rPr>
          <w:rStyle w:val="FootnoteReference"/>
          <w:b/>
          <w:bCs/>
        </w:rPr>
        <w:footnoteReference w:id="12"/>
      </w:r>
      <w:r w:rsidRPr="007F7D7F">
        <w:rPr>
          <w:b/>
          <w:bCs/>
        </w:rPr>
        <w:t xml:space="preserve"> </w:t>
      </w:r>
    </w:p>
    <w:tbl>
      <w:tblPr>
        <w:tblStyle w:val="TableGrid"/>
        <w:tblW w:w="0" w:type="auto"/>
        <w:tblLook w:val="04A0" w:firstRow="1" w:lastRow="0" w:firstColumn="1" w:lastColumn="0" w:noHBand="0" w:noVBand="1"/>
      </w:tblPr>
      <w:tblGrid>
        <w:gridCol w:w="2953"/>
        <w:gridCol w:w="2132"/>
        <w:gridCol w:w="2132"/>
        <w:gridCol w:w="2133"/>
      </w:tblGrid>
      <w:tr w:rsidR="007F7D7F" w:rsidTr="005217BE" w14:paraId="4D849E6C" w14:textId="77777777">
        <w:tc>
          <w:tcPr>
            <w:tcW w:w="2953" w:type="dxa"/>
            <w:shd w:val="clear" w:color="auto" w:fill="D0CECE" w:themeFill="background2" w:themeFillShade="E6"/>
          </w:tcPr>
          <w:p w:rsidRPr="005217BE" w:rsidR="007F7D7F" w:rsidP="007F7D7F" w:rsidRDefault="007F7D7F" w14:paraId="02FD8F9D" w14:textId="77777777">
            <w:pPr>
              <w:spacing w:line="240" w:lineRule="auto"/>
              <w:ind w:firstLine="0"/>
              <w:jc w:val="center"/>
              <w:rPr>
                <w:b/>
                <w:bCs/>
              </w:rPr>
            </w:pPr>
          </w:p>
        </w:tc>
        <w:tc>
          <w:tcPr>
            <w:tcW w:w="2132" w:type="dxa"/>
            <w:shd w:val="clear" w:color="auto" w:fill="D0CECE" w:themeFill="background2" w:themeFillShade="E6"/>
            <w:vAlign w:val="center"/>
          </w:tcPr>
          <w:p w:rsidRPr="005217BE" w:rsidR="007F7D7F" w:rsidP="005217BE" w:rsidRDefault="007F7D7F" w14:paraId="547B2737" w14:textId="6DD4DB84">
            <w:pPr>
              <w:spacing w:line="240" w:lineRule="auto"/>
              <w:ind w:firstLine="0"/>
              <w:jc w:val="center"/>
              <w:rPr>
                <w:b/>
                <w:bCs/>
              </w:rPr>
            </w:pPr>
            <w:r w:rsidRPr="005217BE">
              <w:rPr>
                <w:b/>
                <w:bCs/>
              </w:rPr>
              <w:t>Year 30</w:t>
            </w:r>
          </w:p>
        </w:tc>
        <w:tc>
          <w:tcPr>
            <w:tcW w:w="2132" w:type="dxa"/>
            <w:shd w:val="clear" w:color="auto" w:fill="D0CECE" w:themeFill="background2" w:themeFillShade="E6"/>
            <w:vAlign w:val="center"/>
          </w:tcPr>
          <w:p w:rsidRPr="005217BE" w:rsidR="007F7D7F" w:rsidP="005217BE" w:rsidRDefault="007F7D7F" w14:paraId="139C5721" w14:textId="4A7DD348">
            <w:pPr>
              <w:spacing w:line="240" w:lineRule="auto"/>
              <w:ind w:firstLine="0"/>
              <w:jc w:val="center"/>
              <w:rPr>
                <w:b/>
                <w:bCs/>
              </w:rPr>
            </w:pPr>
            <w:r w:rsidRPr="005217BE">
              <w:rPr>
                <w:b/>
                <w:bCs/>
              </w:rPr>
              <w:t>Year 31</w:t>
            </w:r>
          </w:p>
        </w:tc>
        <w:tc>
          <w:tcPr>
            <w:tcW w:w="2133" w:type="dxa"/>
            <w:shd w:val="clear" w:color="auto" w:fill="D0CECE" w:themeFill="background2" w:themeFillShade="E6"/>
            <w:vAlign w:val="center"/>
          </w:tcPr>
          <w:p w:rsidRPr="005217BE" w:rsidR="007F7D7F" w:rsidP="005217BE" w:rsidRDefault="007F7D7F" w14:paraId="6FC757EA" w14:textId="18595881">
            <w:pPr>
              <w:spacing w:line="240" w:lineRule="auto"/>
              <w:ind w:firstLine="0"/>
              <w:jc w:val="center"/>
              <w:rPr>
                <w:b/>
                <w:bCs/>
              </w:rPr>
            </w:pPr>
            <w:r w:rsidRPr="005217BE">
              <w:rPr>
                <w:b/>
                <w:bCs/>
              </w:rPr>
              <w:t>Difference</w:t>
            </w:r>
          </w:p>
        </w:tc>
      </w:tr>
      <w:tr w:rsidR="007F7D7F" w:rsidTr="005E3B35" w14:paraId="2C0B7F3C" w14:textId="77777777">
        <w:tc>
          <w:tcPr>
            <w:tcW w:w="2953" w:type="dxa"/>
            <w:tcBorders>
              <w:bottom w:val="single" w:color="auto" w:sz="12" w:space="0"/>
            </w:tcBorders>
          </w:tcPr>
          <w:p w:rsidR="007F7D7F" w:rsidP="007F7D7F" w:rsidRDefault="007F7D7F" w14:paraId="73BE7D28" w14:textId="1D520AF2">
            <w:pPr>
              <w:spacing w:line="240" w:lineRule="auto"/>
              <w:ind w:firstLine="0"/>
              <w:jc w:val="center"/>
              <w:rPr>
                <w:b/>
                <w:bCs/>
              </w:rPr>
            </w:pPr>
            <w:r>
              <w:rPr>
                <w:b/>
                <w:bCs/>
              </w:rPr>
              <w:lastRenderedPageBreak/>
              <w:t>Commodity Benchmark</w:t>
            </w:r>
          </w:p>
        </w:tc>
        <w:tc>
          <w:tcPr>
            <w:tcW w:w="2132" w:type="dxa"/>
            <w:tcBorders>
              <w:bottom w:val="single" w:color="auto" w:sz="12" w:space="0"/>
            </w:tcBorders>
            <w:vAlign w:val="center"/>
          </w:tcPr>
          <w:p w:rsidRPr="005217BE" w:rsidR="007F7D7F" w:rsidP="005217BE" w:rsidRDefault="005217BE" w14:paraId="6DD46542" w14:textId="154AD371">
            <w:pPr>
              <w:spacing w:line="240" w:lineRule="auto"/>
              <w:ind w:firstLine="0"/>
              <w:jc w:val="center"/>
            </w:pPr>
            <w:r>
              <w:t>$</w:t>
            </w:r>
            <w:r w:rsidRPr="005217BE" w:rsidR="007F7D7F">
              <w:t>1,287,677,197</w:t>
            </w:r>
          </w:p>
        </w:tc>
        <w:tc>
          <w:tcPr>
            <w:tcW w:w="2132" w:type="dxa"/>
            <w:tcBorders>
              <w:bottom w:val="single" w:color="auto" w:sz="12" w:space="0"/>
            </w:tcBorders>
            <w:vAlign w:val="center"/>
          </w:tcPr>
          <w:p w:rsidRPr="005217BE" w:rsidR="007F7D7F" w:rsidP="005217BE" w:rsidRDefault="005217BE" w14:paraId="083D8D64" w14:textId="76BF4F88">
            <w:pPr>
              <w:spacing w:line="240" w:lineRule="auto"/>
              <w:ind w:firstLine="0"/>
              <w:jc w:val="center"/>
            </w:pPr>
            <w:r>
              <w:t>$</w:t>
            </w:r>
            <w:r w:rsidRPr="005217BE">
              <w:t>831,963,730</w:t>
            </w:r>
          </w:p>
        </w:tc>
        <w:tc>
          <w:tcPr>
            <w:tcW w:w="2133" w:type="dxa"/>
            <w:tcBorders>
              <w:bottom w:val="single" w:color="auto" w:sz="12" w:space="0"/>
            </w:tcBorders>
            <w:vAlign w:val="center"/>
          </w:tcPr>
          <w:p w:rsidRPr="005217BE" w:rsidR="007F7D7F" w:rsidP="005217BE" w:rsidRDefault="005217BE" w14:paraId="3C65E4E8" w14:textId="245AFEE2">
            <w:pPr>
              <w:spacing w:line="240" w:lineRule="auto"/>
              <w:ind w:firstLine="0"/>
              <w:jc w:val="center"/>
            </w:pPr>
            <w:r w:rsidRPr="005217BE">
              <w:t>(</w:t>
            </w:r>
            <w:r>
              <w:t>$</w:t>
            </w:r>
            <w:r w:rsidRPr="005217BE">
              <w:t>455,713,467)</w:t>
            </w:r>
          </w:p>
        </w:tc>
      </w:tr>
      <w:tr w:rsidR="007F7D7F" w:rsidTr="005E3B35" w14:paraId="79BD2AB7" w14:textId="77777777">
        <w:tc>
          <w:tcPr>
            <w:tcW w:w="2953" w:type="dxa"/>
            <w:tcBorders>
              <w:top w:val="single" w:color="auto" w:sz="12" w:space="0"/>
            </w:tcBorders>
          </w:tcPr>
          <w:p w:rsidR="007F7D7F" w:rsidP="007F7D7F" w:rsidRDefault="007F7D7F" w14:paraId="501CEA4D" w14:textId="48456F2C">
            <w:pPr>
              <w:spacing w:line="240" w:lineRule="auto"/>
              <w:ind w:firstLine="0"/>
              <w:jc w:val="center"/>
              <w:rPr>
                <w:b/>
                <w:bCs/>
              </w:rPr>
            </w:pPr>
            <w:r>
              <w:rPr>
                <w:b/>
                <w:bCs/>
              </w:rPr>
              <w:t>Commodity Actual</w:t>
            </w:r>
          </w:p>
        </w:tc>
        <w:tc>
          <w:tcPr>
            <w:tcW w:w="2132" w:type="dxa"/>
            <w:tcBorders>
              <w:top w:val="single" w:color="auto" w:sz="12" w:space="0"/>
            </w:tcBorders>
            <w:vAlign w:val="center"/>
          </w:tcPr>
          <w:p w:rsidRPr="005217BE" w:rsidR="007F7D7F" w:rsidP="005217BE" w:rsidRDefault="005217BE" w14:paraId="00556D15" w14:textId="729E4A0C">
            <w:pPr>
              <w:spacing w:line="240" w:lineRule="auto"/>
              <w:ind w:firstLine="0"/>
              <w:jc w:val="center"/>
            </w:pPr>
            <w:r>
              <w:t>$</w:t>
            </w:r>
            <w:r w:rsidRPr="005217BE" w:rsidR="007F7D7F">
              <w:t>1,113,360,461</w:t>
            </w:r>
          </w:p>
        </w:tc>
        <w:tc>
          <w:tcPr>
            <w:tcW w:w="2132" w:type="dxa"/>
            <w:tcBorders>
              <w:top w:val="single" w:color="auto" w:sz="12" w:space="0"/>
            </w:tcBorders>
            <w:vAlign w:val="center"/>
          </w:tcPr>
          <w:p w:rsidRPr="005217BE" w:rsidR="007F7D7F" w:rsidP="005217BE" w:rsidRDefault="005217BE" w14:paraId="684681B0" w14:textId="196761AC">
            <w:pPr>
              <w:spacing w:line="240" w:lineRule="auto"/>
              <w:ind w:firstLine="0"/>
              <w:jc w:val="center"/>
            </w:pPr>
            <w:r>
              <w:t>$</w:t>
            </w:r>
            <w:r w:rsidRPr="005217BE">
              <w:t>787,720,449</w:t>
            </w:r>
          </w:p>
        </w:tc>
        <w:tc>
          <w:tcPr>
            <w:tcW w:w="2133" w:type="dxa"/>
            <w:tcBorders>
              <w:top w:val="single" w:color="auto" w:sz="12" w:space="0"/>
            </w:tcBorders>
            <w:vAlign w:val="center"/>
          </w:tcPr>
          <w:p w:rsidRPr="005217BE" w:rsidR="007F7D7F" w:rsidP="005217BE" w:rsidRDefault="005217BE" w14:paraId="73EA2C94" w14:textId="51F0DBEC">
            <w:pPr>
              <w:spacing w:line="240" w:lineRule="auto"/>
              <w:ind w:firstLine="0"/>
              <w:jc w:val="center"/>
            </w:pPr>
            <w:r w:rsidRPr="005217BE">
              <w:t>(</w:t>
            </w:r>
            <w:r>
              <w:t>$</w:t>
            </w:r>
            <w:r w:rsidRPr="005217BE">
              <w:t>325,640,013)</w:t>
            </w:r>
          </w:p>
        </w:tc>
      </w:tr>
      <w:tr w:rsidR="007F7D7F" w:rsidTr="005217BE" w14:paraId="58C9B43C" w14:textId="77777777">
        <w:tc>
          <w:tcPr>
            <w:tcW w:w="2953" w:type="dxa"/>
          </w:tcPr>
          <w:p w:rsidR="007F7D7F" w:rsidP="007F7D7F" w:rsidRDefault="007F7D7F" w14:paraId="691C9F8C" w14:textId="7EE3218A">
            <w:pPr>
              <w:spacing w:line="240" w:lineRule="auto"/>
              <w:ind w:firstLine="0"/>
              <w:jc w:val="center"/>
              <w:rPr>
                <w:b/>
                <w:bCs/>
              </w:rPr>
            </w:pPr>
            <w:r>
              <w:rPr>
                <w:b/>
                <w:bCs/>
              </w:rPr>
              <w:t>SMS Net Revenue</w:t>
            </w:r>
          </w:p>
        </w:tc>
        <w:tc>
          <w:tcPr>
            <w:tcW w:w="2132" w:type="dxa"/>
            <w:vAlign w:val="center"/>
          </w:tcPr>
          <w:p w:rsidRPr="005217BE" w:rsidR="007F7D7F" w:rsidP="005217BE" w:rsidRDefault="007F7D7F" w14:paraId="0A219B73" w14:textId="3D8BB0CF">
            <w:pPr>
              <w:spacing w:line="240" w:lineRule="auto"/>
              <w:ind w:firstLine="0"/>
              <w:jc w:val="center"/>
            </w:pPr>
            <w:r w:rsidRPr="005217BE">
              <w:t>(</w:t>
            </w:r>
            <w:r w:rsidR="005217BE">
              <w:t>$</w:t>
            </w:r>
            <w:r w:rsidRPr="005217BE">
              <w:t>13,676,610)</w:t>
            </w:r>
          </w:p>
        </w:tc>
        <w:tc>
          <w:tcPr>
            <w:tcW w:w="2132" w:type="dxa"/>
            <w:vAlign w:val="center"/>
          </w:tcPr>
          <w:p w:rsidRPr="005217BE" w:rsidR="007F7D7F" w:rsidP="005217BE" w:rsidRDefault="005217BE" w14:paraId="4655393C" w14:textId="09A1A5EE">
            <w:pPr>
              <w:spacing w:line="240" w:lineRule="auto"/>
              <w:ind w:firstLine="0"/>
              <w:jc w:val="center"/>
            </w:pPr>
            <w:r w:rsidRPr="005217BE">
              <w:t>(</w:t>
            </w:r>
            <w:r>
              <w:t>$</w:t>
            </w:r>
            <w:r w:rsidRPr="005217BE">
              <w:t>20,079,592)</w:t>
            </w:r>
          </w:p>
        </w:tc>
        <w:tc>
          <w:tcPr>
            <w:tcW w:w="2133" w:type="dxa"/>
            <w:vAlign w:val="center"/>
          </w:tcPr>
          <w:p w:rsidRPr="005217BE" w:rsidR="007F7D7F" w:rsidP="005217BE" w:rsidRDefault="005217BE" w14:paraId="4E817DF3" w14:textId="57D265D7">
            <w:pPr>
              <w:spacing w:line="240" w:lineRule="auto"/>
              <w:ind w:firstLine="0"/>
              <w:jc w:val="center"/>
            </w:pPr>
            <w:r w:rsidRPr="005217BE">
              <w:t>(</w:t>
            </w:r>
            <w:r>
              <w:t>$</w:t>
            </w:r>
            <w:r w:rsidR="00147227">
              <w:t>6,402,982)</w:t>
            </w:r>
          </w:p>
        </w:tc>
      </w:tr>
      <w:tr w:rsidR="007F7D7F" w:rsidTr="005217BE" w14:paraId="518A160A" w14:textId="77777777">
        <w:tc>
          <w:tcPr>
            <w:tcW w:w="2953" w:type="dxa"/>
            <w:tcBorders>
              <w:bottom w:val="single" w:color="auto" w:sz="4" w:space="0"/>
            </w:tcBorders>
          </w:tcPr>
          <w:p w:rsidR="007F7D7F" w:rsidP="007F7D7F" w:rsidRDefault="007F7D7F" w14:paraId="4D143D49" w14:textId="3334379F">
            <w:pPr>
              <w:spacing w:line="240" w:lineRule="auto"/>
              <w:ind w:firstLine="0"/>
              <w:jc w:val="center"/>
              <w:rPr>
                <w:b/>
                <w:bCs/>
              </w:rPr>
            </w:pPr>
            <w:r>
              <w:rPr>
                <w:b/>
                <w:bCs/>
              </w:rPr>
              <w:t>Off System Park and Loans</w:t>
            </w:r>
          </w:p>
        </w:tc>
        <w:tc>
          <w:tcPr>
            <w:tcW w:w="2132" w:type="dxa"/>
            <w:vAlign w:val="center"/>
          </w:tcPr>
          <w:p w:rsidRPr="005217BE" w:rsidR="007F7D7F" w:rsidP="005217BE" w:rsidRDefault="007F7D7F" w14:paraId="1C7FEB0B" w14:textId="330AD82E">
            <w:pPr>
              <w:spacing w:line="240" w:lineRule="auto"/>
              <w:ind w:firstLine="0"/>
              <w:jc w:val="center"/>
            </w:pPr>
            <w:r w:rsidRPr="005217BE">
              <w:t>(</w:t>
            </w:r>
            <w:r w:rsidR="005217BE">
              <w:t>$</w:t>
            </w:r>
            <w:r w:rsidRPr="005217BE">
              <w:t>899,800)</w:t>
            </w:r>
          </w:p>
        </w:tc>
        <w:tc>
          <w:tcPr>
            <w:tcW w:w="2132" w:type="dxa"/>
            <w:vAlign w:val="center"/>
          </w:tcPr>
          <w:p w:rsidRPr="005217BE" w:rsidR="007F7D7F" w:rsidP="005217BE" w:rsidRDefault="005217BE" w14:paraId="7268D072" w14:textId="76933D40">
            <w:pPr>
              <w:spacing w:line="240" w:lineRule="auto"/>
              <w:ind w:firstLine="0"/>
              <w:jc w:val="center"/>
            </w:pPr>
            <w:r>
              <w:t>($837,500)</w:t>
            </w:r>
          </w:p>
        </w:tc>
        <w:tc>
          <w:tcPr>
            <w:tcW w:w="2133" w:type="dxa"/>
            <w:vAlign w:val="center"/>
          </w:tcPr>
          <w:p w:rsidRPr="005217BE" w:rsidR="007F7D7F" w:rsidP="005217BE" w:rsidRDefault="005217BE" w14:paraId="3A11A23F" w14:textId="327611BD">
            <w:pPr>
              <w:spacing w:line="240" w:lineRule="auto"/>
              <w:ind w:firstLine="0"/>
              <w:jc w:val="center"/>
            </w:pPr>
            <w:r>
              <w:t>$62,300</w:t>
            </w:r>
          </w:p>
        </w:tc>
      </w:tr>
      <w:tr w:rsidR="007F7D7F" w:rsidTr="005217BE" w14:paraId="0F59538A" w14:textId="77777777">
        <w:tc>
          <w:tcPr>
            <w:tcW w:w="2953" w:type="dxa"/>
            <w:tcBorders>
              <w:bottom w:val="single" w:color="auto" w:sz="12" w:space="0"/>
            </w:tcBorders>
          </w:tcPr>
          <w:p w:rsidR="007F7D7F" w:rsidP="007F7D7F" w:rsidRDefault="007F7D7F" w14:paraId="397C5E97" w14:textId="5789F31C">
            <w:pPr>
              <w:spacing w:line="240" w:lineRule="auto"/>
              <w:ind w:firstLine="0"/>
              <w:jc w:val="center"/>
              <w:rPr>
                <w:b/>
                <w:bCs/>
              </w:rPr>
            </w:pPr>
            <w:r>
              <w:rPr>
                <w:b/>
                <w:bCs/>
              </w:rPr>
              <w:t>Hedging</w:t>
            </w:r>
          </w:p>
        </w:tc>
        <w:tc>
          <w:tcPr>
            <w:tcW w:w="2132" w:type="dxa"/>
            <w:tcBorders>
              <w:bottom w:val="single" w:color="auto" w:sz="12" w:space="0"/>
            </w:tcBorders>
            <w:vAlign w:val="center"/>
          </w:tcPr>
          <w:p w:rsidRPr="005217BE" w:rsidR="007F7D7F" w:rsidP="005217BE" w:rsidRDefault="005217BE" w14:paraId="7345A257" w14:textId="42143487">
            <w:pPr>
              <w:spacing w:line="240" w:lineRule="auto"/>
              <w:ind w:firstLine="0"/>
              <w:jc w:val="center"/>
            </w:pPr>
            <w:r>
              <w:t>$</w:t>
            </w:r>
            <w:r w:rsidRPr="005217BE" w:rsidR="007F7D7F">
              <w:t>114,626,117</w:t>
            </w:r>
          </w:p>
        </w:tc>
        <w:tc>
          <w:tcPr>
            <w:tcW w:w="2132" w:type="dxa"/>
            <w:tcBorders>
              <w:bottom w:val="single" w:color="auto" w:sz="12" w:space="0"/>
            </w:tcBorders>
            <w:vAlign w:val="center"/>
          </w:tcPr>
          <w:p w:rsidRPr="005217BE" w:rsidR="007F7D7F" w:rsidP="005217BE" w:rsidRDefault="005217BE" w14:paraId="5171DB7D" w14:textId="1495F56F">
            <w:pPr>
              <w:spacing w:line="240" w:lineRule="auto"/>
              <w:ind w:firstLine="0"/>
              <w:jc w:val="center"/>
            </w:pPr>
            <w:r>
              <w:t>$23,018,003</w:t>
            </w:r>
          </w:p>
        </w:tc>
        <w:tc>
          <w:tcPr>
            <w:tcW w:w="2133" w:type="dxa"/>
            <w:tcBorders>
              <w:bottom w:val="single" w:color="auto" w:sz="12" w:space="0"/>
            </w:tcBorders>
            <w:vAlign w:val="center"/>
          </w:tcPr>
          <w:p w:rsidRPr="005217BE" w:rsidR="007F7D7F" w:rsidP="005217BE" w:rsidRDefault="005217BE" w14:paraId="17FE3C3B" w14:textId="64A3C323">
            <w:pPr>
              <w:spacing w:line="240" w:lineRule="auto"/>
              <w:ind w:firstLine="0"/>
              <w:jc w:val="center"/>
            </w:pPr>
            <w:r>
              <w:t>($91,608,114)</w:t>
            </w:r>
          </w:p>
        </w:tc>
      </w:tr>
      <w:tr w:rsidR="00147227" w:rsidTr="005217BE" w14:paraId="4735544D" w14:textId="77777777">
        <w:tc>
          <w:tcPr>
            <w:tcW w:w="2953" w:type="dxa"/>
            <w:tcBorders>
              <w:bottom w:val="single" w:color="auto" w:sz="12" w:space="0"/>
            </w:tcBorders>
          </w:tcPr>
          <w:p w:rsidR="00147227" w:rsidP="007F7D7F" w:rsidRDefault="00147227" w14:paraId="2149E5DB" w14:textId="5DA88FFC">
            <w:pPr>
              <w:spacing w:line="240" w:lineRule="auto"/>
              <w:ind w:firstLine="0"/>
              <w:jc w:val="center"/>
              <w:rPr>
                <w:b/>
                <w:bCs/>
              </w:rPr>
            </w:pPr>
            <w:r>
              <w:rPr>
                <w:b/>
                <w:bCs/>
              </w:rPr>
              <w:t>Total Commodity</w:t>
            </w:r>
          </w:p>
        </w:tc>
        <w:tc>
          <w:tcPr>
            <w:tcW w:w="2132" w:type="dxa"/>
            <w:tcBorders>
              <w:bottom w:val="single" w:color="auto" w:sz="12" w:space="0"/>
            </w:tcBorders>
            <w:vAlign w:val="center"/>
          </w:tcPr>
          <w:p w:rsidR="00147227" w:rsidP="005217BE" w:rsidRDefault="00147227" w14:paraId="2B03D488" w14:textId="65BA793D">
            <w:pPr>
              <w:spacing w:line="240" w:lineRule="auto"/>
              <w:ind w:firstLine="0"/>
              <w:jc w:val="center"/>
            </w:pPr>
            <w:r>
              <w:t>$1,213,410,168</w:t>
            </w:r>
          </w:p>
        </w:tc>
        <w:tc>
          <w:tcPr>
            <w:tcW w:w="2132" w:type="dxa"/>
            <w:tcBorders>
              <w:bottom w:val="single" w:color="auto" w:sz="12" w:space="0"/>
            </w:tcBorders>
            <w:vAlign w:val="center"/>
          </w:tcPr>
          <w:p w:rsidR="00147227" w:rsidP="005217BE" w:rsidRDefault="00147227" w14:paraId="4CFD344E" w14:textId="2BD777D5">
            <w:pPr>
              <w:spacing w:line="240" w:lineRule="auto"/>
              <w:ind w:firstLine="0"/>
              <w:jc w:val="center"/>
            </w:pPr>
            <w:r>
              <w:t>$789,821,359</w:t>
            </w:r>
          </w:p>
        </w:tc>
        <w:tc>
          <w:tcPr>
            <w:tcW w:w="2133" w:type="dxa"/>
            <w:tcBorders>
              <w:bottom w:val="single" w:color="auto" w:sz="12" w:space="0"/>
            </w:tcBorders>
            <w:vAlign w:val="center"/>
          </w:tcPr>
          <w:p w:rsidR="00147227" w:rsidP="005217BE" w:rsidRDefault="00147227" w14:paraId="28CC7871" w14:textId="352925AA">
            <w:pPr>
              <w:spacing w:line="240" w:lineRule="auto"/>
              <w:ind w:firstLine="0"/>
              <w:jc w:val="center"/>
            </w:pPr>
            <w:r>
              <w:t>($423,588,809)</w:t>
            </w:r>
          </w:p>
        </w:tc>
      </w:tr>
      <w:tr w:rsidR="005217BE" w:rsidTr="005217BE" w14:paraId="2BB2C163" w14:textId="77777777">
        <w:tc>
          <w:tcPr>
            <w:tcW w:w="2953" w:type="dxa"/>
            <w:tcBorders>
              <w:top w:val="single" w:color="auto" w:sz="12" w:space="0"/>
            </w:tcBorders>
          </w:tcPr>
          <w:p w:rsidR="005217BE" w:rsidP="007F7D7F" w:rsidRDefault="005217BE" w14:paraId="3F555413" w14:textId="45AE9762">
            <w:pPr>
              <w:spacing w:line="240" w:lineRule="auto"/>
              <w:ind w:firstLine="0"/>
              <w:jc w:val="center"/>
              <w:rPr>
                <w:b/>
                <w:bCs/>
              </w:rPr>
            </w:pPr>
            <w:r>
              <w:rPr>
                <w:b/>
                <w:bCs/>
              </w:rPr>
              <w:t xml:space="preserve">Benchmark </w:t>
            </w:r>
            <w:r w:rsidRPr="007F7D7F">
              <w:rPr>
                <w:b/>
                <w:bCs/>
              </w:rPr>
              <w:t>Over/(Under)</w:t>
            </w:r>
          </w:p>
        </w:tc>
        <w:tc>
          <w:tcPr>
            <w:tcW w:w="2132" w:type="dxa"/>
            <w:tcBorders>
              <w:top w:val="single" w:color="auto" w:sz="12" w:space="0"/>
            </w:tcBorders>
            <w:vAlign w:val="center"/>
          </w:tcPr>
          <w:p w:rsidRPr="005217BE" w:rsidR="005217BE" w:rsidP="005217BE" w:rsidRDefault="005217BE" w14:paraId="47873E29" w14:textId="1C2FF464">
            <w:pPr>
              <w:spacing w:line="240" w:lineRule="auto"/>
              <w:ind w:firstLine="0"/>
              <w:jc w:val="center"/>
            </w:pPr>
            <w:r w:rsidRPr="005217BE">
              <w:t>(</w:t>
            </w:r>
            <w:r>
              <w:t>$</w:t>
            </w:r>
            <w:r w:rsidRPr="005217BE">
              <w:t>74,267,029)</w:t>
            </w:r>
          </w:p>
        </w:tc>
        <w:tc>
          <w:tcPr>
            <w:tcW w:w="2132" w:type="dxa"/>
            <w:tcBorders>
              <w:top w:val="single" w:color="auto" w:sz="12" w:space="0"/>
            </w:tcBorders>
            <w:vAlign w:val="center"/>
          </w:tcPr>
          <w:p w:rsidRPr="005217BE" w:rsidR="005217BE" w:rsidP="005217BE" w:rsidRDefault="005217BE" w14:paraId="2A687BE5" w14:textId="2C7E4D2E">
            <w:pPr>
              <w:spacing w:line="240" w:lineRule="auto"/>
              <w:ind w:firstLine="0"/>
              <w:jc w:val="center"/>
            </w:pPr>
            <w:r>
              <w:t>($42,142,370)</w:t>
            </w:r>
          </w:p>
        </w:tc>
        <w:tc>
          <w:tcPr>
            <w:tcW w:w="2133" w:type="dxa"/>
            <w:tcBorders>
              <w:top w:val="single" w:color="auto" w:sz="12" w:space="0"/>
            </w:tcBorders>
            <w:vAlign w:val="center"/>
          </w:tcPr>
          <w:p w:rsidRPr="005217BE" w:rsidR="005217BE" w:rsidP="005217BE" w:rsidRDefault="005217BE" w14:paraId="0565C13C" w14:textId="04DB10A4">
            <w:pPr>
              <w:spacing w:line="240" w:lineRule="auto"/>
              <w:ind w:firstLine="0"/>
              <w:jc w:val="center"/>
            </w:pPr>
            <w:r>
              <w:t>$32,124,659</w:t>
            </w:r>
          </w:p>
        </w:tc>
      </w:tr>
    </w:tbl>
    <w:p w:rsidR="007F7D7F" w:rsidP="007F7D7F" w:rsidRDefault="007F7D7F" w14:paraId="28B98293" w14:textId="77777777">
      <w:pPr>
        <w:spacing w:line="240" w:lineRule="auto"/>
        <w:ind w:firstLine="0"/>
        <w:jc w:val="center"/>
        <w:rPr>
          <w:b/>
          <w:bCs/>
        </w:rPr>
      </w:pPr>
    </w:p>
    <w:p w:rsidR="009E5121" w:rsidP="0045376B" w:rsidRDefault="009E5121" w14:paraId="2471D676" w14:textId="5A80DCC1">
      <w:pPr>
        <w:pStyle w:val="Heading2"/>
      </w:pPr>
      <w:r w:rsidRPr="0045376B">
        <w:t>Summary</w:t>
      </w:r>
      <w:r>
        <w:t xml:space="preserve"> of Cal Advocate</w:t>
      </w:r>
      <w:r w:rsidR="00185487">
        <w:t>s’</w:t>
      </w:r>
      <w:r>
        <w:t xml:space="preserve"> </w:t>
      </w:r>
      <w:r w:rsidR="00094BF5">
        <w:t xml:space="preserve">M&amp;E </w:t>
      </w:r>
      <w:r>
        <w:t>Report</w:t>
      </w:r>
    </w:p>
    <w:p w:rsidR="00B350A1" w:rsidP="004D32EB" w:rsidRDefault="00B350A1" w14:paraId="503BD4BD" w14:textId="17DA6FCC">
      <w:pPr>
        <w:pStyle w:val="Standard"/>
      </w:pPr>
      <w:r w:rsidRPr="00B350A1">
        <w:t>Cal Advocates’ M&amp;E Report verified that SoCalGa</w:t>
      </w:r>
      <w:r w:rsidR="00185487">
        <w:t>s’s</w:t>
      </w:r>
      <w:r w:rsidRPr="00B350A1">
        <w:t xml:space="preserve"> recorded gas procurement </w:t>
      </w:r>
      <w:r w:rsidR="00094BF5">
        <w:t>a</w:t>
      </w:r>
      <w:r w:rsidR="00953A38">
        <w:t xml:space="preserve">nnual </w:t>
      </w:r>
      <w:r w:rsidR="00094BF5">
        <w:t>a</w:t>
      </w:r>
      <w:r w:rsidR="00953A38">
        <w:t xml:space="preserve">ctual </w:t>
      </w:r>
      <w:r w:rsidR="00094BF5">
        <w:t>c</w:t>
      </w:r>
      <w:r w:rsidRPr="00B350A1">
        <w:t>osts were $</w:t>
      </w:r>
      <w:r>
        <w:t>42</w:t>
      </w:r>
      <w:r w:rsidRPr="00B350A1">
        <w:t>,</w:t>
      </w:r>
      <w:r>
        <w:t>142</w:t>
      </w:r>
      <w:r w:rsidRPr="00B350A1">
        <w:t>,</w:t>
      </w:r>
      <w:r>
        <w:t>370</w:t>
      </w:r>
      <w:r w:rsidRPr="00B350A1">
        <w:t xml:space="preserve"> below the GCIM </w:t>
      </w:r>
      <w:r w:rsidR="00094BF5">
        <w:t>b</w:t>
      </w:r>
      <w:r w:rsidRPr="00B350A1">
        <w:t>enchmark for Year 3</w:t>
      </w:r>
      <w:r>
        <w:t>1</w:t>
      </w:r>
      <w:r w:rsidRPr="00B350A1">
        <w:t>. Cal Advocates confirmed that, based on the GCIM formula adopted by the Commission, SoCalGa</w:t>
      </w:r>
      <w:r w:rsidR="00185487">
        <w:t>s’s</w:t>
      </w:r>
      <w:r w:rsidRPr="00B350A1">
        <w:t xml:space="preserve"> recorded savings result in a shareholder reward of $8,374,056</w:t>
      </w:r>
      <w:r>
        <w:t xml:space="preserve"> </w:t>
      </w:r>
      <w:r w:rsidRPr="00B350A1">
        <w:t>and a core ratepayer benefit of $33,768,315.</w:t>
      </w:r>
      <w:r>
        <w:rPr>
          <w:rStyle w:val="FootnoteReference"/>
        </w:rPr>
        <w:footnoteReference w:id="13"/>
      </w:r>
      <w:r w:rsidRPr="00B350A1">
        <w:t xml:space="preserve"> </w:t>
      </w:r>
      <w:r w:rsidR="004D32EB">
        <w:t>Cal Advocates reviewed SoCalGas’s actual purchase and sale volumes</w:t>
      </w:r>
      <w:r w:rsidR="00D42AA2">
        <w:t>, reference prices, and</w:t>
      </w:r>
      <w:r w:rsidR="004D32EB">
        <w:t xml:space="preserve"> the calculations underlying </w:t>
      </w:r>
      <w:r w:rsidR="00D42AA2">
        <w:t>SoCalGas’s</w:t>
      </w:r>
      <w:r w:rsidR="004D32EB">
        <w:t xml:space="preserve"> </w:t>
      </w:r>
      <w:r w:rsidR="00372BCC">
        <w:t>b</w:t>
      </w:r>
      <w:r w:rsidR="004D32EB">
        <w:t xml:space="preserve">enchmark </w:t>
      </w:r>
      <w:r w:rsidR="00372BCC">
        <w:t>b</w:t>
      </w:r>
      <w:r w:rsidR="004D32EB">
        <w:t>udget</w:t>
      </w:r>
      <w:r w:rsidR="00D42AA2">
        <w:t xml:space="preserve"> and </w:t>
      </w:r>
      <w:r w:rsidR="00372BCC">
        <w:t>a</w:t>
      </w:r>
      <w:r w:rsidR="00D42AA2">
        <w:t xml:space="preserve">ctual </w:t>
      </w:r>
      <w:r w:rsidR="00372BCC">
        <w:t>a</w:t>
      </w:r>
      <w:r w:rsidR="00D42AA2">
        <w:t xml:space="preserve">nnual </w:t>
      </w:r>
      <w:r w:rsidR="00372BCC">
        <w:t>c</w:t>
      </w:r>
      <w:r w:rsidR="00D42AA2">
        <w:t>osts</w:t>
      </w:r>
      <w:r w:rsidR="004D32EB">
        <w:t>.</w:t>
      </w:r>
      <w:r w:rsidR="004D32EB">
        <w:rPr>
          <w:rStyle w:val="FootnoteReference"/>
        </w:rPr>
        <w:footnoteReference w:id="14"/>
      </w:r>
      <w:r w:rsidR="004D32EB">
        <w:t xml:space="preserve"> </w:t>
      </w:r>
      <w:r w:rsidRPr="00B350A1">
        <w:t>Cal Advocates did not recommend any adjustments to SoCalGa</w:t>
      </w:r>
      <w:r w:rsidR="00185487">
        <w:t>s’s</w:t>
      </w:r>
      <w:r w:rsidRPr="00B350A1">
        <w:t xml:space="preserve"> shareholder reward or to the overall reported savings for Year 3</w:t>
      </w:r>
      <w:r w:rsidR="007A272A">
        <w:t>1</w:t>
      </w:r>
      <w:r w:rsidRPr="00B350A1">
        <w:t>. Accordingly, Cal Advocates recommended that the Commission approve SoCalGa</w:t>
      </w:r>
      <w:r w:rsidR="00185487">
        <w:t>s’s</w:t>
      </w:r>
      <w:r w:rsidRPr="00B350A1">
        <w:t xml:space="preserve"> request for a shareholder reward of </w:t>
      </w:r>
      <w:r w:rsidRPr="00B350A1" w:rsidR="007A272A">
        <w:t>$8,374,056</w:t>
      </w:r>
      <w:r w:rsidR="007A272A">
        <w:t xml:space="preserve"> </w:t>
      </w:r>
      <w:r w:rsidRPr="00B350A1">
        <w:t>for GCIM Year 3</w:t>
      </w:r>
      <w:r w:rsidR="007A272A">
        <w:t>1</w:t>
      </w:r>
      <w:r w:rsidRPr="00B350A1">
        <w:t>.</w:t>
      </w:r>
      <w:r w:rsidR="004D32EB">
        <w:rPr>
          <w:rStyle w:val="FootnoteReference"/>
        </w:rPr>
        <w:footnoteReference w:id="15"/>
      </w:r>
    </w:p>
    <w:p w:rsidR="00B350A1" w:rsidP="0045376B" w:rsidRDefault="00B350A1" w14:paraId="032A3C49" w14:textId="6F067B1D">
      <w:pPr>
        <w:pStyle w:val="Heading2"/>
      </w:pPr>
      <w:r w:rsidRPr="0045376B">
        <w:t>Discussion</w:t>
      </w:r>
    </w:p>
    <w:p w:rsidR="0004468C" w:rsidP="007B328E" w:rsidRDefault="007B328E" w14:paraId="650356C6" w14:textId="5895194F">
      <w:pPr>
        <w:pStyle w:val="Standard"/>
      </w:pPr>
      <w:r>
        <w:t>SoCalGas’s</w:t>
      </w:r>
      <w:r w:rsidRPr="00B350A1" w:rsidR="00B350A1">
        <w:t xml:space="preserve"> GCIM </w:t>
      </w:r>
      <w:r w:rsidR="00372BCC">
        <w:t>b</w:t>
      </w:r>
      <w:r w:rsidRPr="00B350A1" w:rsidR="00B350A1">
        <w:t xml:space="preserve">enchmark and </w:t>
      </w:r>
      <w:r w:rsidR="00372BCC">
        <w:t>a</w:t>
      </w:r>
      <w:r w:rsidR="00B83B6F">
        <w:t xml:space="preserve">nnual </w:t>
      </w:r>
      <w:r w:rsidR="00372BCC">
        <w:t>a</w:t>
      </w:r>
      <w:r w:rsidRPr="00B350A1" w:rsidR="00B350A1">
        <w:t xml:space="preserve">ctual </w:t>
      </w:r>
      <w:r w:rsidR="00372BCC">
        <w:t>c</w:t>
      </w:r>
      <w:r w:rsidRPr="00B350A1" w:rsidR="00B350A1">
        <w:t xml:space="preserve">osts were calculated pursuant to the methodology set forth in D.94-03-076, as subsequently modified </w:t>
      </w:r>
      <w:r w:rsidRPr="00B350A1" w:rsidR="00B350A1">
        <w:lastRenderedPageBreak/>
        <w:t>in D.97-06-061, D.98-12-057, D.02-06-023</w:t>
      </w:r>
      <w:r w:rsidR="00137BCD">
        <w:t>, and D.06-10-029</w:t>
      </w:r>
      <w:r w:rsidRPr="00B350A1" w:rsidR="00B350A1">
        <w:t>. SoCalGas</w:t>
      </w:r>
      <w:r w:rsidR="00185487">
        <w:t>’s</w:t>
      </w:r>
      <w:r w:rsidRPr="00B350A1" w:rsidR="00B350A1">
        <w:t xml:space="preserve"> GCIM Year 3</w:t>
      </w:r>
      <w:r w:rsidR="00B350A1">
        <w:t>1</w:t>
      </w:r>
      <w:r w:rsidRPr="00B350A1" w:rsidR="00B350A1">
        <w:t xml:space="preserve"> results reflect actual gas procurement costs of $</w:t>
      </w:r>
      <w:r w:rsidRPr="00002018" w:rsidR="00B350A1">
        <w:t>1,159,939,848</w:t>
      </w:r>
      <w:r w:rsidRPr="00B350A1" w:rsidR="00B350A1">
        <w:t xml:space="preserve">, compared to a </w:t>
      </w:r>
      <w:r w:rsidR="00372BCC">
        <w:t>b</w:t>
      </w:r>
      <w:r w:rsidRPr="00B350A1" w:rsidR="00B350A1">
        <w:t>enchmark of</w:t>
      </w:r>
      <w:r w:rsidR="00B350A1">
        <w:t xml:space="preserve"> </w:t>
      </w:r>
      <w:r w:rsidRPr="00002018" w:rsidR="00B350A1">
        <w:t>$1,202,082,218</w:t>
      </w:r>
      <w:r w:rsidRPr="00B350A1" w:rsidR="00B350A1">
        <w:t xml:space="preserve">, resulting in </w:t>
      </w:r>
      <w:r w:rsidRPr="007B328E">
        <w:t>$42,142,370</w:t>
      </w:r>
      <w:r>
        <w:t xml:space="preserve"> </w:t>
      </w:r>
      <w:r w:rsidRPr="00B350A1" w:rsidR="00B350A1">
        <w:t xml:space="preserve">in savings. </w:t>
      </w:r>
    </w:p>
    <w:p w:rsidR="007B328E" w:rsidP="007B328E" w:rsidRDefault="00B350A1" w14:paraId="708E3EA4" w14:textId="47A00CAE">
      <w:pPr>
        <w:pStyle w:val="Standard"/>
      </w:pPr>
      <w:r w:rsidRPr="00B350A1">
        <w:t xml:space="preserve">Consistent with the established sharing formula, </w:t>
      </w:r>
      <w:r w:rsidRPr="009878A2" w:rsidR="007B328E">
        <w:t>$33,768,315</w:t>
      </w:r>
      <w:r w:rsidR="007B328E">
        <w:t xml:space="preserve"> </w:t>
      </w:r>
      <w:r w:rsidRPr="00B350A1">
        <w:t xml:space="preserve">of those savings are allocated to core ratepayers and </w:t>
      </w:r>
      <w:r w:rsidRPr="009878A2" w:rsidR="007B328E">
        <w:t>$8,374,056</w:t>
      </w:r>
      <w:r w:rsidR="007B328E">
        <w:t xml:space="preserve"> </w:t>
      </w:r>
      <w:r w:rsidRPr="00B350A1">
        <w:t xml:space="preserve">to SoCalGas shareholders. </w:t>
      </w:r>
      <w:r w:rsidR="0004468C">
        <w:t xml:space="preserve">The proposed shareholder reward falls well below the 1.5 percent cap. </w:t>
      </w:r>
      <w:r w:rsidRPr="007B328E" w:rsidR="007B328E">
        <w:t xml:space="preserve">SoCalGas notes that the requested shareholder reward in this </w:t>
      </w:r>
      <w:r w:rsidR="00BF55A3">
        <w:t>a</w:t>
      </w:r>
      <w:r w:rsidRPr="007B328E" w:rsidR="007B328E">
        <w:t>pplication is not passed through to its customers as a cost of service, in accordance with Rule 3.2(a)(10)</w:t>
      </w:r>
      <w:r w:rsidR="007B328E">
        <w:t xml:space="preserve"> of the Commission’s Rules of Practice and Procedure (Rules)</w:t>
      </w:r>
      <w:r w:rsidRPr="007B328E" w:rsidR="007B328E">
        <w:t>.</w:t>
      </w:r>
      <w:r w:rsidR="007B328E">
        <w:rPr>
          <w:rStyle w:val="FootnoteReference"/>
        </w:rPr>
        <w:footnoteReference w:id="16"/>
      </w:r>
    </w:p>
    <w:p w:rsidR="00B350A1" w:rsidP="007B328E" w:rsidRDefault="00B350A1" w14:paraId="686A08B0" w14:textId="03E73A39">
      <w:pPr>
        <w:pStyle w:val="Standard"/>
      </w:pPr>
      <w:r w:rsidRPr="00B350A1">
        <w:t>Cal Advocates</w:t>
      </w:r>
      <w:r w:rsidR="0008382B">
        <w:t>’</w:t>
      </w:r>
      <w:r w:rsidRPr="00B350A1">
        <w:t xml:space="preserve"> M&amp;E Report </w:t>
      </w:r>
      <w:r w:rsidR="007B328E">
        <w:t xml:space="preserve">independently </w:t>
      </w:r>
      <w:r w:rsidRPr="00B350A1">
        <w:t>verified SoCalGa</w:t>
      </w:r>
      <w:r w:rsidR="00185487">
        <w:t>s’s</w:t>
      </w:r>
      <w:r w:rsidRPr="00B350A1">
        <w:t xml:space="preserve"> </w:t>
      </w:r>
      <w:r w:rsidR="007B328E">
        <w:t>reported costs</w:t>
      </w:r>
      <w:r w:rsidR="00372BCC">
        <w:t xml:space="preserve"> and</w:t>
      </w:r>
      <w:r w:rsidR="007B328E">
        <w:t xml:space="preserve"> benchmark </w:t>
      </w:r>
      <w:r w:rsidRPr="00B350A1">
        <w:t>calculations and confirmed the accuracy of the shareholder reward and the ratepayer benefit. No adjustments were proposed to SoCalGa</w:t>
      </w:r>
      <w:r w:rsidR="00185487">
        <w:t>s’s</w:t>
      </w:r>
      <w:r w:rsidRPr="00B350A1">
        <w:t xml:space="preserve"> recorded figures or the resulting shareholder reward.</w:t>
      </w:r>
      <w:r w:rsidR="007B328E">
        <w:t xml:space="preserve"> </w:t>
      </w:r>
      <w:r w:rsidRPr="007B328E" w:rsidR="007B328E">
        <w:t>No party contested the reward calculation, and no evidence</w:t>
      </w:r>
      <w:r w:rsidR="00372BCC">
        <w:t xml:space="preserve"> was</w:t>
      </w:r>
      <w:r w:rsidRPr="007B328E" w:rsidR="007B328E">
        <w:t xml:space="preserve"> presented that any adjustment or disallowance is warranted.</w:t>
      </w:r>
    </w:p>
    <w:p w:rsidRPr="00B350A1" w:rsidR="007B328E" w:rsidP="007B328E" w:rsidRDefault="007B328E" w14:paraId="6927D80B" w14:textId="2582D41E">
      <w:pPr>
        <w:pStyle w:val="Standard"/>
      </w:pPr>
      <w:r w:rsidRPr="007B328E">
        <w:t xml:space="preserve">Based on the foregoing, we find that SoCalGas calculated its requested shareholder reward of </w:t>
      </w:r>
      <w:r w:rsidRPr="009878A2" w:rsidR="00E226FF">
        <w:t>$8,374,056</w:t>
      </w:r>
      <w:r w:rsidR="00E226FF">
        <w:t xml:space="preserve"> </w:t>
      </w:r>
      <w:r w:rsidRPr="007B328E">
        <w:t>for GCIM Year 3</w:t>
      </w:r>
      <w:r w:rsidR="00E226FF">
        <w:t>1</w:t>
      </w:r>
      <w:r w:rsidRPr="007B328E">
        <w:t xml:space="preserve"> in accordance with applicable Commission decisions and its GCIM tariff, and we approve the calculation. We further find that SoCalGa</w:t>
      </w:r>
      <w:r w:rsidR="00185487">
        <w:t>s’s</w:t>
      </w:r>
      <w:r w:rsidRPr="007B328E">
        <w:t xml:space="preserve"> requested shareholder reward of </w:t>
      </w:r>
      <w:r w:rsidRPr="009878A2" w:rsidR="00E226FF">
        <w:t>$8,374,056</w:t>
      </w:r>
      <w:r w:rsidR="00E226FF">
        <w:t xml:space="preserve"> </w:t>
      </w:r>
      <w:r w:rsidRPr="007B328E">
        <w:t>for GCIM Year 3</w:t>
      </w:r>
      <w:r w:rsidR="00E226FF">
        <w:t>1</w:t>
      </w:r>
      <w:r w:rsidRPr="007B328E">
        <w:t xml:space="preserve"> is reasonable and justified, and we approve the requested reward.</w:t>
      </w:r>
    </w:p>
    <w:p w:rsidR="00603238" w:rsidP="0045376B" w:rsidRDefault="00603238" w14:paraId="2AEB630F" w14:textId="77777777">
      <w:pPr>
        <w:pStyle w:val="Heading1"/>
      </w:pPr>
      <w:bookmarkStart w:name="_Toc133843852" w:id="10"/>
      <w:bookmarkStart w:name="_Toc8123721" w:id="11"/>
      <w:r w:rsidRPr="0045376B">
        <w:t>Summary</w:t>
      </w:r>
      <w:r>
        <w:t xml:space="preserve"> of Public Comment</w:t>
      </w:r>
      <w:bookmarkEnd w:id="10"/>
    </w:p>
    <w:p w:rsidR="00603238" w:rsidP="00284D8D" w:rsidRDefault="00603238" w14:paraId="00830E7D" w14:textId="21593B28">
      <w:r w:rsidRPr="007B328E">
        <w:t xml:space="preserve">Rule 1.18 allows any member of the public to submit written comment in any Commission proceeding using the “Public Comment” tab of the online </w:t>
      </w:r>
      <w:r w:rsidRPr="007B328E">
        <w:lastRenderedPageBreak/>
        <w:t>Docket Card for that proceeding on the Commission’s website. Rule 1.18(b) requires that relevant written comment submitted in a proceeding be summarized in the final decision issued in that proceeding.</w:t>
      </w:r>
    </w:p>
    <w:p w:rsidR="00E226FF" w:rsidP="00284D8D" w:rsidRDefault="00E226FF" w14:paraId="2D41C0E6" w14:textId="4366B0FF">
      <w:r>
        <w:t xml:space="preserve">At the time of issuance of this </w:t>
      </w:r>
      <w:r w:rsidR="00372BCC">
        <w:t>d</w:t>
      </w:r>
      <w:r>
        <w:t>ecision, ten public comments had been submitted in this proceeding.</w:t>
      </w:r>
    </w:p>
    <w:p w:rsidRPr="007B328E" w:rsidR="00E226FF" w:rsidP="00284D8D" w:rsidRDefault="00E226FF" w14:paraId="6EC0919F" w14:textId="7AC68FE9">
      <w:pPr>
        <w:rPr>
          <w:rFonts w:ascii="Calibri" w:hAnsi="Calibri"/>
          <w:sz w:val="22"/>
        </w:rPr>
      </w:pPr>
      <w:r>
        <w:t>Most comment</w:t>
      </w:r>
      <w:r w:rsidR="00515306">
        <w:t>ers</w:t>
      </w:r>
      <w:r>
        <w:t xml:space="preserve"> </w:t>
      </w:r>
      <w:r w:rsidR="00351750">
        <w:t xml:space="preserve">opposed </w:t>
      </w:r>
      <w:r w:rsidR="00C83558">
        <w:t xml:space="preserve">the </w:t>
      </w:r>
      <w:r w:rsidR="00BF55A3">
        <w:t>a</w:t>
      </w:r>
      <w:r w:rsidR="00C83558">
        <w:t xml:space="preserve">pplication and opposed </w:t>
      </w:r>
      <w:r w:rsidR="0004468C">
        <w:t xml:space="preserve">allocating </w:t>
      </w:r>
      <w:r w:rsidR="000420D6">
        <w:t xml:space="preserve">to </w:t>
      </w:r>
      <w:r w:rsidR="00351750">
        <w:t>shareholders</w:t>
      </w:r>
      <w:r w:rsidR="0004468C">
        <w:t xml:space="preserve"> </w:t>
      </w:r>
      <w:r w:rsidR="00351750">
        <w:t>an</w:t>
      </w:r>
      <w:r w:rsidR="00C83558">
        <w:t>y portion of the savings SoCalGas achieved in Year 31</w:t>
      </w:r>
      <w:r w:rsidR="0004468C">
        <w:t xml:space="preserve"> of the GCIM</w:t>
      </w:r>
      <w:r w:rsidR="00C83558">
        <w:t xml:space="preserve">. Some commenters </w:t>
      </w:r>
      <w:r w:rsidR="0004468C">
        <w:t>sta</w:t>
      </w:r>
      <w:r w:rsidR="00C83558">
        <w:t xml:space="preserve">ted that </w:t>
      </w:r>
      <w:r w:rsidR="0004468C">
        <w:t>SoCalGa</w:t>
      </w:r>
      <w:r w:rsidR="00185487">
        <w:t>s’s</w:t>
      </w:r>
      <w:r w:rsidR="0004468C">
        <w:t xml:space="preserve"> r</w:t>
      </w:r>
      <w:r w:rsidR="00C83558">
        <w:t xml:space="preserve">ates </w:t>
      </w:r>
      <w:r w:rsidR="0004468C">
        <w:t>a</w:t>
      </w:r>
      <w:r w:rsidR="00C83558">
        <w:t xml:space="preserve">re already too high and that all the savings </w:t>
      </w:r>
      <w:r w:rsidR="0004468C">
        <w:t>SoCalGas achieved as stated</w:t>
      </w:r>
      <w:r w:rsidR="00C83558">
        <w:t xml:space="preserve"> in the </w:t>
      </w:r>
      <w:r w:rsidR="00BF55A3">
        <w:t>a</w:t>
      </w:r>
      <w:r w:rsidR="00C83558">
        <w:t>pplication should be used to lower customer rates.</w:t>
      </w:r>
      <w:r w:rsidR="00515306">
        <w:t xml:space="preserve"> Most commenters stated that ratepayers should be favored over shareholders. One commenter stated that there was an error in the notice received from SoCalGas regarding the </w:t>
      </w:r>
      <w:r w:rsidR="00BF55A3">
        <w:t>a</w:t>
      </w:r>
      <w:r w:rsidR="00515306">
        <w:t xml:space="preserve">pplication that rendered the </w:t>
      </w:r>
      <w:r w:rsidR="00BF55A3">
        <w:t>a</w:t>
      </w:r>
      <w:r w:rsidR="00515306">
        <w:t>pplication “fraudulent</w:t>
      </w:r>
      <w:r w:rsidR="00B83B6F">
        <w:t>,</w:t>
      </w:r>
      <w:r w:rsidR="00515306">
        <w:t xml:space="preserve">” and, for this reason, the commenter stated that the </w:t>
      </w:r>
      <w:r w:rsidR="00BF55A3">
        <w:t>a</w:t>
      </w:r>
      <w:r w:rsidR="00515306">
        <w:t>pplication should be denied.</w:t>
      </w:r>
    </w:p>
    <w:p w:rsidR="004A1EAD" w:rsidP="0045376B" w:rsidRDefault="004A1EAD" w14:paraId="6EC631BD" w14:textId="77777777">
      <w:pPr>
        <w:pStyle w:val="Heading1"/>
      </w:pPr>
      <w:bookmarkStart w:name="_Toc8123723" w:id="12"/>
      <w:bookmarkStart w:name="_Toc133843854" w:id="13"/>
      <w:bookmarkEnd w:id="11"/>
      <w:r w:rsidRPr="0045376B">
        <w:t>Procedural</w:t>
      </w:r>
      <w:r>
        <w:t xml:space="preserve"> Matters</w:t>
      </w:r>
    </w:p>
    <w:p w:rsidR="00077BDD" w:rsidP="004A1EAD" w:rsidRDefault="00077BDD" w14:paraId="371BC5CA" w14:textId="4B379A80">
      <w:pPr>
        <w:pStyle w:val="Standard"/>
      </w:pPr>
      <w:r>
        <w:t>As noted above, on December 22, 2025, Cal Advocates filed a motion requesting that its M&amp;E Report be admitted into the administrative record of this proceeding. No party opposed Cal Advocates’ motion. Cal Advocates’ motion is granted.</w:t>
      </w:r>
    </w:p>
    <w:p w:rsidRPr="008B175A" w:rsidR="004A1EAD" w:rsidP="004A1EAD" w:rsidRDefault="004A1EAD" w14:paraId="446F0856" w14:textId="48AA38BC">
      <w:pPr>
        <w:pStyle w:val="Standard"/>
      </w:pPr>
      <w:r w:rsidRPr="008B175A">
        <w:t xml:space="preserve">This decision affirms all rulings made by the Administrative Law Judge </w:t>
      </w:r>
      <w:r w:rsidR="00372BCC">
        <w:t xml:space="preserve">(ALJ) </w:t>
      </w:r>
      <w:r w:rsidRPr="008B175A">
        <w:t>and assigned Commissioner in this proceeding. All motions not ruled on are deemed denied.</w:t>
      </w:r>
    </w:p>
    <w:p w:rsidR="005939A5" w:rsidP="0045376B" w:rsidRDefault="005939A5" w14:paraId="729F9BA3" w14:textId="77777777">
      <w:pPr>
        <w:pStyle w:val="Heading1"/>
      </w:pPr>
      <w:r w:rsidRPr="0045376B">
        <w:t>Comments</w:t>
      </w:r>
      <w:r>
        <w:t xml:space="preserve"> on Proposed Decision</w:t>
      </w:r>
      <w:bookmarkEnd w:id="12"/>
      <w:bookmarkEnd w:id="13"/>
    </w:p>
    <w:p w:rsidRPr="00515306" w:rsidR="005939A5" w:rsidP="00515306" w:rsidRDefault="005C58FA" w14:paraId="7F108D23" w14:textId="7EA61527">
      <w:pPr>
        <w:pStyle w:val="Standard"/>
        <w:rPr>
          <w:highlight w:val="yellow"/>
        </w:rPr>
      </w:pPr>
      <w:r w:rsidRPr="00515306">
        <w:t xml:space="preserve">The proposed decision of ALJ </w:t>
      </w:r>
      <w:r w:rsidRPr="00515306" w:rsidR="00515306">
        <w:t xml:space="preserve">Eileen Odell </w:t>
      </w:r>
      <w:r w:rsidRPr="00515306">
        <w:t>in this matter was mailed to the parties in accordance with Section 311 of the Public Utilities Code and comments were allowed under Rule 14.3 of the Commission’s Rules of Practice and</w:t>
      </w:r>
      <w:r>
        <w:t xml:space="preserve"> </w:t>
      </w:r>
      <w:r>
        <w:lastRenderedPageBreak/>
        <w:t xml:space="preserve">Procedure. </w:t>
      </w:r>
      <w:r w:rsidR="00A451CF">
        <w:t>No parties filed opening or reply comments on the proposed decision.</w:t>
      </w:r>
    </w:p>
    <w:p w:rsidR="005939A5" w:rsidP="0045376B" w:rsidRDefault="005939A5" w14:paraId="3903638A" w14:textId="77777777">
      <w:pPr>
        <w:pStyle w:val="Heading1"/>
      </w:pPr>
      <w:bookmarkStart w:name="_Toc8123724" w:id="14"/>
      <w:bookmarkStart w:name="_Toc133843855" w:id="15"/>
      <w:r w:rsidRPr="0045376B">
        <w:t>Assignment</w:t>
      </w:r>
      <w:r>
        <w:t xml:space="preserve"> of Proceeding</w:t>
      </w:r>
      <w:bookmarkEnd w:id="14"/>
      <w:bookmarkEnd w:id="15"/>
    </w:p>
    <w:p w:rsidR="005939A5" w:rsidP="006E6574" w:rsidRDefault="00515306" w14:paraId="520E674B" w14:textId="168497E9">
      <w:pPr>
        <w:pStyle w:val="Standard"/>
      </w:pPr>
      <w:r>
        <w:t xml:space="preserve">Commissioner </w:t>
      </w:r>
      <w:r w:rsidR="00B75405">
        <w:t>Matthew Baker</w:t>
      </w:r>
      <w:r w:rsidR="005939A5">
        <w:t xml:space="preserve"> is the assigned Commissioner and </w:t>
      </w:r>
      <w:r>
        <w:t>Eileen Odell</w:t>
      </w:r>
      <w:r w:rsidR="005939A5">
        <w:t xml:space="preserve"> is the assigned </w:t>
      </w:r>
      <w:r w:rsidR="00E04E9E">
        <w:t>ALJ</w:t>
      </w:r>
      <w:r w:rsidR="005939A5">
        <w:t xml:space="preserve"> in this proceeding.</w:t>
      </w:r>
    </w:p>
    <w:p w:rsidR="005939A5" w:rsidP="005939A5" w:rsidRDefault="005939A5" w14:paraId="0D9D9100" w14:textId="77777777">
      <w:pPr>
        <w:pStyle w:val="Dummy"/>
      </w:pPr>
      <w:bookmarkStart w:name="_Toc8123725" w:id="16"/>
      <w:bookmarkStart w:name="_Toc133843856" w:id="17"/>
      <w:r>
        <w:t>Findings of Fact</w:t>
      </w:r>
      <w:bookmarkEnd w:id="16"/>
      <w:bookmarkEnd w:id="17"/>
    </w:p>
    <w:p w:rsidRPr="001741F3" w:rsidR="00F62B7A" w:rsidP="001741F3" w:rsidRDefault="00515306" w14:paraId="70D05DED" w14:textId="55892C18">
      <w:pPr>
        <w:pStyle w:val="FoF"/>
        <w:tabs>
          <w:tab w:val="left" w:pos="720"/>
        </w:tabs>
      </w:pPr>
      <w:r w:rsidRPr="001741F3">
        <w:t>SoCalGas requests a shareholder reward of $</w:t>
      </w:r>
      <w:r w:rsidRPr="001741F3" w:rsidR="004E1DB7">
        <w:t>8,374,056</w:t>
      </w:r>
      <w:r w:rsidRPr="001741F3">
        <w:t xml:space="preserve"> for GCIM Year 31 covering April 1, 2024</w:t>
      </w:r>
      <w:r w:rsidRPr="001741F3" w:rsidR="00E04E9E">
        <w:t>,</w:t>
      </w:r>
      <w:r w:rsidRPr="001741F3">
        <w:t xml:space="preserve"> through March 31, 2025.</w:t>
      </w:r>
    </w:p>
    <w:p w:rsidRPr="001741F3" w:rsidR="00F62B7A" w:rsidP="001741F3" w:rsidRDefault="00515306" w14:paraId="04B03E65" w14:textId="25B838C9">
      <w:pPr>
        <w:pStyle w:val="FoF"/>
        <w:tabs>
          <w:tab w:val="left" w:pos="720"/>
        </w:tabs>
      </w:pPr>
      <w:r w:rsidRPr="001741F3">
        <w:t>For GCIM Year 31, SoCalGa</w:t>
      </w:r>
      <w:r w:rsidRPr="001741F3" w:rsidR="00185487">
        <w:t>s’s</w:t>
      </w:r>
      <w:r w:rsidRPr="001741F3">
        <w:t xml:space="preserve"> </w:t>
      </w:r>
      <w:r w:rsidRPr="001741F3" w:rsidR="00372BCC">
        <w:t>b</w:t>
      </w:r>
      <w:r w:rsidRPr="001741F3">
        <w:t xml:space="preserve">enchmark </w:t>
      </w:r>
      <w:r w:rsidRPr="001741F3" w:rsidR="00372BCC">
        <w:t>c</w:t>
      </w:r>
      <w:r w:rsidRPr="001741F3">
        <w:t>ost was $</w:t>
      </w:r>
      <w:r w:rsidRPr="001741F3" w:rsidR="00AD6EBC">
        <w:t>1,202,082,218</w:t>
      </w:r>
      <w:r w:rsidRPr="001741F3">
        <w:t xml:space="preserve">, and its </w:t>
      </w:r>
      <w:r w:rsidRPr="001741F3" w:rsidR="00372BCC">
        <w:t>a</w:t>
      </w:r>
      <w:r w:rsidRPr="001741F3">
        <w:t xml:space="preserve">ctual </w:t>
      </w:r>
      <w:r w:rsidRPr="001741F3" w:rsidR="00372BCC">
        <w:t>a</w:t>
      </w:r>
      <w:r w:rsidRPr="001741F3">
        <w:t xml:space="preserve">nnual </w:t>
      </w:r>
      <w:r w:rsidRPr="001741F3" w:rsidR="00372BCC">
        <w:t>c</w:t>
      </w:r>
      <w:r w:rsidRPr="001741F3">
        <w:t>ost was $</w:t>
      </w:r>
      <w:r w:rsidRPr="001741F3" w:rsidR="00AD6EBC">
        <w:t>1,159,939,848,</w:t>
      </w:r>
      <w:r w:rsidRPr="001741F3">
        <w:t xml:space="preserve"> resulting in savings of $</w:t>
      </w:r>
      <w:r w:rsidRPr="001741F3" w:rsidR="00481146">
        <w:t>42,142,370</w:t>
      </w:r>
      <w:r w:rsidRPr="001741F3">
        <w:t>.</w:t>
      </w:r>
    </w:p>
    <w:p w:rsidRPr="001741F3" w:rsidR="00515306" w:rsidP="001741F3" w:rsidRDefault="00515306" w14:paraId="64450984" w14:textId="3C06F99C">
      <w:pPr>
        <w:pStyle w:val="FoF"/>
        <w:tabs>
          <w:tab w:val="left" w:pos="720"/>
        </w:tabs>
      </w:pPr>
      <w:r w:rsidRPr="001741F3">
        <w:t>Cal Advocate</w:t>
      </w:r>
      <w:r w:rsidRPr="001741F3" w:rsidR="00185487">
        <w:t>s’</w:t>
      </w:r>
      <w:r w:rsidRPr="001741F3">
        <w:t xml:space="preserve"> M&amp;E Report verified that SoCalGa</w:t>
      </w:r>
      <w:r w:rsidRPr="001741F3" w:rsidR="00185487">
        <w:t>s’s</w:t>
      </w:r>
      <w:r w:rsidRPr="001741F3">
        <w:t xml:space="preserve"> recorded gas procurement costs were $</w:t>
      </w:r>
      <w:r w:rsidRPr="001741F3" w:rsidR="00CE48CC">
        <w:t>42,142,370</w:t>
      </w:r>
      <w:r w:rsidRPr="001741F3">
        <w:t xml:space="preserve"> below the </w:t>
      </w:r>
      <w:r w:rsidRPr="001741F3" w:rsidR="00372BCC">
        <w:t>b</w:t>
      </w:r>
      <w:r w:rsidRPr="001741F3">
        <w:t>enchmark, resulting in a shareholder reward of $</w:t>
      </w:r>
      <w:r w:rsidRPr="001741F3" w:rsidR="00AD6EBC">
        <w:t>8,374,056</w:t>
      </w:r>
      <w:r w:rsidRPr="001741F3">
        <w:t xml:space="preserve"> and a ratepayer benefit of $</w:t>
      </w:r>
      <w:r w:rsidRPr="001741F3" w:rsidR="00CE48CC">
        <w:t>33,768,315</w:t>
      </w:r>
      <w:r w:rsidRPr="001741F3">
        <w:t xml:space="preserve">. </w:t>
      </w:r>
    </w:p>
    <w:p w:rsidRPr="001741F3" w:rsidR="00515306" w:rsidP="001741F3" w:rsidRDefault="00515306" w14:paraId="04FB99C9" w14:textId="67229B87">
      <w:pPr>
        <w:pStyle w:val="FoF"/>
        <w:tabs>
          <w:tab w:val="left" w:pos="720"/>
        </w:tabs>
      </w:pPr>
      <w:r w:rsidRPr="001741F3">
        <w:t>Cal Advocates confirmed that SoCalGas calculated its GCIM Year 31 shareholder reward and ratepayer benefit in accordance with applicable Commission decisions and SoCalGa</w:t>
      </w:r>
      <w:r w:rsidRPr="001741F3" w:rsidR="00185487">
        <w:t>s’s</w:t>
      </w:r>
      <w:r w:rsidRPr="001741F3">
        <w:t xml:space="preserve"> GCIM tariff.</w:t>
      </w:r>
    </w:p>
    <w:p w:rsidR="005939A5" w:rsidP="005939A5" w:rsidRDefault="005939A5" w14:paraId="2209C717" w14:textId="648935C2">
      <w:pPr>
        <w:pStyle w:val="Dummy"/>
      </w:pPr>
      <w:bookmarkStart w:name="_Toc8123726" w:id="18"/>
      <w:bookmarkStart w:name="_Toc133843857" w:id="19"/>
      <w:r>
        <w:t>Conclusions of Law</w:t>
      </w:r>
      <w:bookmarkEnd w:id="18"/>
      <w:bookmarkEnd w:id="19"/>
    </w:p>
    <w:p w:rsidRPr="001741F3" w:rsidR="00932865" w:rsidP="001741F3" w:rsidRDefault="00E23CBB" w14:paraId="447BBADF" w14:textId="261A0791">
      <w:pPr>
        <w:pStyle w:val="CoL"/>
        <w:tabs>
          <w:tab w:val="left" w:pos="720"/>
        </w:tabs>
      </w:pPr>
      <w:r w:rsidRPr="001741F3">
        <w:t>S</w:t>
      </w:r>
      <w:r w:rsidRPr="001741F3" w:rsidR="00515306">
        <w:t>oCalGa</w:t>
      </w:r>
      <w:r w:rsidRPr="001741F3" w:rsidR="00185487">
        <w:t>s’s</w:t>
      </w:r>
      <w:r w:rsidRPr="001741F3" w:rsidR="00515306">
        <w:t xml:space="preserve"> proposed shareholder reward of $</w:t>
      </w:r>
      <w:r w:rsidRPr="001741F3" w:rsidR="00CE48CC">
        <w:t>8,374,056</w:t>
      </w:r>
      <w:r w:rsidRPr="001741F3" w:rsidR="00515306">
        <w:t xml:space="preserve"> for GCIM Year 31 should be approved.</w:t>
      </w:r>
    </w:p>
    <w:p w:rsidRPr="001741F3" w:rsidR="004E1DB7" w:rsidP="001741F3" w:rsidRDefault="004E1DB7" w14:paraId="69048BF9" w14:textId="6E18981D">
      <w:pPr>
        <w:pStyle w:val="CoL"/>
        <w:tabs>
          <w:tab w:val="left" w:pos="720"/>
        </w:tabs>
      </w:pPr>
      <w:r w:rsidRPr="001741F3">
        <w:t xml:space="preserve">SoCalGas should receive the approved shareholder reward by adjusting its Purchased Gas Account, but only to the extent that SoCalGas has not already recovered this reward pursuant to its GCIM tariff. </w:t>
      </w:r>
    </w:p>
    <w:p w:rsidRPr="001741F3" w:rsidR="00077BDD" w:rsidP="001741F3" w:rsidRDefault="00077BDD" w14:paraId="72C55418" w14:textId="019DDBFC">
      <w:pPr>
        <w:pStyle w:val="CoL"/>
        <w:tabs>
          <w:tab w:val="left" w:pos="720"/>
        </w:tabs>
      </w:pPr>
      <w:r w:rsidRPr="001741F3">
        <w:t xml:space="preserve">Cal Advocates’ M&amp;E Report should be </w:t>
      </w:r>
      <w:r w:rsidRPr="001741F3" w:rsidR="00BF55A3">
        <w:t>admitted into the administrative record</w:t>
      </w:r>
      <w:r w:rsidRPr="001741F3">
        <w:t>.</w:t>
      </w:r>
    </w:p>
    <w:p w:rsidRPr="001741F3" w:rsidR="004E1DB7" w:rsidP="001741F3" w:rsidRDefault="004E1DB7" w14:paraId="5F9335A9" w14:textId="2EE94323">
      <w:pPr>
        <w:pStyle w:val="CoL"/>
        <w:tabs>
          <w:tab w:val="left" w:pos="720"/>
        </w:tabs>
      </w:pPr>
      <w:r w:rsidRPr="001741F3">
        <w:t>All rulings issued by the ALJ and assigned Commissioner in this proceeding should be affirmed.</w:t>
      </w:r>
    </w:p>
    <w:p w:rsidRPr="001741F3" w:rsidR="004E1DB7" w:rsidP="001741F3" w:rsidRDefault="004E1DB7" w14:paraId="76D9AAF2" w14:textId="4CB6EC78">
      <w:pPr>
        <w:pStyle w:val="CoL"/>
        <w:tabs>
          <w:tab w:val="left" w:pos="720"/>
        </w:tabs>
      </w:pPr>
      <w:r w:rsidRPr="001741F3">
        <w:lastRenderedPageBreak/>
        <w:t>All pending motions not expressly ruled on should be denied.</w:t>
      </w:r>
    </w:p>
    <w:p w:rsidRPr="001741F3" w:rsidR="004E1DB7" w:rsidP="001741F3" w:rsidRDefault="004E1DB7" w14:paraId="1DCB8075" w14:textId="672B8594">
      <w:pPr>
        <w:pStyle w:val="CoL"/>
        <w:tabs>
          <w:tab w:val="left" w:pos="720"/>
        </w:tabs>
      </w:pPr>
      <w:r w:rsidRPr="001741F3">
        <w:t>This proceeding should be closed.</w:t>
      </w:r>
    </w:p>
    <w:p w:rsidR="00BB0243" w:rsidP="000A6E05" w:rsidRDefault="005939A5" w14:paraId="3E57262D" w14:textId="77777777">
      <w:pPr>
        <w:pStyle w:val="Mainex"/>
      </w:pPr>
      <w:bookmarkStart w:name="_Toc133843858" w:id="20"/>
      <w:r>
        <w:t>O</w:t>
      </w:r>
      <w:r w:rsidR="00722850">
        <w:t>RDER</w:t>
      </w:r>
      <w:bookmarkEnd w:id="20"/>
    </w:p>
    <w:p w:rsidR="00BB0243" w:rsidP="000A6E05" w:rsidRDefault="00BB0243" w14:paraId="30605E8C" w14:textId="77777777">
      <w:pPr>
        <w:keepNext/>
      </w:pPr>
      <w:r w:rsidRPr="00BB0243">
        <w:rPr>
          <w:b/>
        </w:rPr>
        <w:t>IT IS ORDERED</w:t>
      </w:r>
      <w:r>
        <w:t xml:space="preserve"> that:</w:t>
      </w:r>
    </w:p>
    <w:p w:rsidRPr="001741F3" w:rsidR="00932865" w:rsidP="001741F3" w:rsidRDefault="00F732F1" w14:paraId="7C17DE4C" w14:textId="65979B18">
      <w:pPr>
        <w:pStyle w:val="OP"/>
        <w:tabs>
          <w:tab w:val="left" w:pos="720"/>
        </w:tabs>
      </w:pPr>
      <w:r w:rsidRPr="001741F3">
        <w:t xml:space="preserve"> </w:t>
      </w:r>
      <w:r w:rsidRPr="001741F3" w:rsidR="004E1DB7">
        <w:t>Southern California Gas Company is authorized to receive a shareholder reward of $</w:t>
      </w:r>
      <w:r w:rsidRPr="001741F3" w:rsidR="00CE48CC">
        <w:t>8,374,056</w:t>
      </w:r>
      <w:r w:rsidRPr="001741F3" w:rsidR="004E1DB7">
        <w:t xml:space="preserve"> for Year 31 of its Gas Cost Incentive Mechanism.</w:t>
      </w:r>
    </w:p>
    <w:p w:rsidRPr="001741F3" w:rsidR="004E1DB7" w:rsidP="001741F3" w:rsidRDefault="00F732F1" w14:paraId="59190E6F" w14:textId="0425C682">
      <w:pPr>
        <w:pStyle w:val="OP"/>
        <w:tabs>
          <w:tab w:val="left" w:pos="720"/>
        </w:tabs>
      </w:pPr>
      <w:r w:rsidRPr="001741F3">
        <w:t xml:space="preserve"> </w:t>
      </w:r>
      <w:r w:rsidRPr="001741F3" w:rsidR="004E1DB7">
        <w:t>Southern California Gas Company (SoCalGas) is authorized to adjust its Purchased Gas Account to receive a shareholder reward of $</w:t>
      </w:r>
      <w:r w:rsidRPr="001741F3" w:rsidR="00CE48CC">
        <w:t>8,374,056</w:t>
      </w:r>
      <w:r w:rsidRPr="001741F3" w:rsidR="004E1DB7">
        <w:t xml:space="preserve"> for Year 31 of its Gas Cost Incentive Mechanism (GCIM), but only to the extent that SoCalGas has not already recovered this reward pursuant to its GCIM tariff.</w:t>
      </w:r>
    </w:p>
    <w:p w:rsidRPr="001741F3" w:rsidR="00077BDD" w:rsidP="001741F3" w:rsidRDefault="00077BDD" w14:paraId="61D1007F" w14:textId="2A2945C6">
      <w:pPr>
        <w:pStyle w:val="OP"/>
        <w:tabs>
          <w:tab w:val="left" w:pos="720"/>
        </w:tabs>
      </w:pPr>
      <w:r w:rsidRPr="001741F3">
        <w:t xml:space="preserve">The motion of the Public Advocates Office </w:t>
      </w:r>
      <w:r w:rsidRPr="001741F3" w:rsidR="00372BCC">
        <w:t xml:space="preserve">at the California Public Utilities Commission </w:t>
      </w:r>
      <w:r w:rsidRPr="001741F3">
        <w:t>to admit its Monitoring and Evaluation Report to the administrative record of this proceeding is granted.</w:t>
      </w:r>
    </w:p>
    <w:p w:rsidRPr="001741F3" w:rsidR="004E1DB7" w:rsidP="001741F3" w:rsidRDefault="004E1DB7" w14:paraId="2C6F5FDD" w14:textId="532C3DD9">
      <w:pPr>
        <w:pStyle w:val="OP"/>
        <w:tabs>
          <w:tab w:val="left" w:pos="720"/>
        </w:tabs>
      </w:pPr>
      <w:r w:rsidRPr="001741F3">
        <w:t>All rulings issued by the Administrative Law Judge and assigned Commissioner in this proceeding are affirmed.</w:t>
      </w:r>
    </w:p>
    <w:p w:rsidRPr="001741F3" w:rsidR="004E1DB7" w:rsidP="001741F3" w:rsidRDefault="004E1DB7" w14:paraId="24386ED6" w14:textId="2EBCB5C8">
      <w:pPr>
        <w:pStyle w:val="OP"/>
        <w:tabs>
          <w:tab w:val="left" w:pos="720"/>
        </w:tabs>
      </w:pPr>
      <w:r w:rsidRPr="001741F3">
        <w:t>All pending motions not expressly ruled on are denied.</w:t>
      </w:r>
    </w:p>
    <w:p w:rsidR="00F6397D" w:rsidP="001741F3" w:rsidRDefault="00E23CBB" w14:paraId="3AB807B7" w14:textId="51DF01D0">
      <w:pPr>
        <w:pStyle w:val="OP"/>
        <w:tabs>
          <w:tab w:val="left" w:pos="720"/>
        </w:tabs>
      </w:pPr>
      <w:r w:rsidRPr="001741F3">
        <w:t>Application</w:t>
      </w:r>
      <w:r w:rsidRPr="001741F3" w:rsidR="004E1DB7">
        <w:t xml:space="preserve"> 25</w:t>
      </w:r>
      <w:r w:rsidRPr="001741F3">
        <w:t>-</w:t>
      </w:r>
      <w:r w:rsidRPr="001741F3" w:rsidR="004E1DB7">
        <w:t>06</w:t>
      </w:r>
      <w:r w:rsidRPr="001741F3">
        <w:t>-</w:t>
      </w:r>
      <w:r w:rsidRPr="001741F3" w:rsidR="004E1DB7">
        <w:t>012</w:t>
      </w:r>
      <w:r w:rsidRPr="001741F3">
        <w:t xml:space="preserve"> is closed.</w:t>
      </w:r>
    </w:p>
    <w:p w:rsidR="008F0116" w:rsidP="008F0116" w:rsidRDefault="008F0116" w14:paraId="410CC5EE" w14:textId="77777777">
      <w:r>
        <w:t>This order is effective today.</w:t>
      </w:r>
    </w:p>
    <w:p w:rsidR="00714CF2" w:rsidP="00816E05" w:rsidRDefault="008F0116" w14:paraId="22121C1F" w14:textId="2BC7F008">
      <w:r>
        <w:t xml:space="preserve">Dated </w:t>
      </w:r>
      <w:r w:rsidR="006A615D">
        <w:t xml:space="preserve">March </w:t>
      </w:r>
      <w:r w:rsidR="000C3F58">
        <w:t>20</w:t>
      </w:r>
      <w:r w:rsidR="006A615D">
        <w:t>, 2026</w:t>
      </w:r>
      <w:r>
        <w:t xml:space="preserve">, </w:t>
      </w:r>
      <w:proofErr w:type="gramStart"/>
      <w:r>
        <w:t>at</w:t>
      </w:r>
      <w:proofErr w:type="gramEnd"/>
      <w:r>
        <w:t xml:space="preserve"> </w:t>
      </w:r>
      <w:r w:rsidR="006A615D">
        <w:t>Sacramento</w:t>
      </w:r>
      <w:r>
        <w:t>, California</w:t>
      </w:r>
      <w:r w:rsidR="004B28E9">
        <w:t>.</w:t>
      </w:r>
    </w:p>
    <w:p w:rsidR="00411779" w:rsidP="00411779" w:rsidRDefault="00411779" w14:paraId="3955CA21" w14:textId="77777777">
      <w:pPr>
        <w:autoSpaceDE w:val="0"/>
        <w:autoSpaceDN w:val="0"/>
        <w:adjustRightInd w:val="0"/>
        <w:spacing w:line="240" w:lineRule="auto"/>
        <w:ind w:left="4320"/>
        <w:jc w:val="both"/>
        <w:rPr>
          <w:rFonts w:cs="Times New Roman"/>
          <w:szCs w:val="20"/>
        </w:rPr>
      </w:pPr>
    </w:p>
    <w:p w:rsidRPr="00143BC5" w:rsidR="00411779" w:rsidP="00411779" w:rsidRDefault="00411779" w14:paraId="2B3835B2" w14:textId="77777777">
      <w:pPr>
        <w:autoSpaceDE w:val="0"/>
        <w:autoSpaceDN w:val="0"/>
        <w:adjustRightInd w:val="0"/>
        <w:spacing w:line="240" w:lineRule="auto"/>
        <w:ind w:left="3600"/>
        <w:jc w:val="both"/>
        <w:rPr>
          <w:rFonts w:cs="Times New Roman"/>
          <w:szCs w:val="20"/>
        </w:rPr>
      </w:pPr>
      <w:r w:rsidRPr="00143BC5">
        <w:rPr>
          <w:rFonts w:cs="Times New Roman"/>
          <w:szCs w:val="20"/>
        </w:rPr>
        <w:t>JOHN REYNOLDS</w:t>
      </w:r>
    </w:p>
    <w:p w:rsidRPr="00143BC5" w:rsidR="00411779" w:rsidP="00E6004A" w:rsidRDefault="00411779" w14:paraId="2670C21C" w14:textId="17BC88EC">
      <w:pPr>
        <w:autoSpaceDE w:val="0"/>
        <w:autoSpaceDN w:val="0"/>
        <w:adjustRightInd w:val="0"/>
        <w:spacing w:line="240" w:lineRule="auto"/>
        <w:ind w:firstLine="3960"/>
        <w:jc w:val="both"/>
        <w:rPr>
          <w:rFonts w:cs="Times New Roman"/>
          <w:szCs w:val="20"/>
        </w:rPr>
      </w:pPr>
      <w:r w:rsidRPr="00143BC5">
        <w:rPr>
          <w:rFonts w:cs="Times New Roman"/>
          <w:szCs w:val="20"/>
        </w:rPr>
        <w:t xml:space="preserve">               President</w:t>
      </w:r>
    </w:p>
    <w:p w:rsidRPr="00143BC5" w:rsidR="00411779" w:rsidP="00411779" w:rsidRDefault="00411779" w14:paraId="4ED37AD9" w14:textId="77777777">
      <w:pPr>
        <w:autoSpaceDE w:val="0"/>
        <w:autoSpaceDN w:val="0"/>
        <w:adjustRightInd w:val="0"/>
        <w:spacing w:line="240" w:lineRule="auto"/>
        <w:ind w:left="3600"/>
        <w:jc w:val="both"/>
        <w:rPr>
          <w:rFonts w:cs="Times New Roman"/>
          <w:szCs w:val="20"/>
        </w:rPr>
      </w:pPr>
      <w:r w:rsidRPr="00143BC5">
        <w:rPr>
          <w:rFonts w:cs="Times New Roman"/>
          <w:szCs w:val="20"/>
        </w:rPr>
        <w:t>DARCIE L. HOUCK</w:t>
      </w:r>
    </w:p>
    <w:p w:rsidR="00411779" w:rsidP="00411779" w:rsidRDefault="00411779" w14:paraId="221CA609" w14:textId="77777777">
      <w:pPr>
        <w:autoSpaceDE w:val="0"/>
        <w:autoSpaceDN w:val="0"/>
        <w:adjustRightInd w:val="0"/>
        <w:spacing w:line="240" w:lineRule="auto"/>
        <w:ind w:left="3600"/>
        <w:jc w:val="both"/>
        <w:rPr>
          <w:rFonts w:eastAsia="Times New Roman" w:cs="Calibri"/>
          <w:color w:val="000000"/>
          <w:szCs w:val="26"/>
        </w:rPr>
      </w:pPr>
      <w:r w:rsidRPr="00143BC5">
        <w:rPr>
          <w:rFonts w:eastAsia="Times New Roman" w:cs="Calibri"/>
          <w:color w:val="000000"/>
          <w:szCs w:val="26"/>
        </w:rPr>
        <w:t>KAREN DOUGLAS</w:t>
      </w:r>
    </w:p>
    <w:p w:rsidR="00411779" w:rsidP="00411779" w:rsidRDefault="00411779" w14:paraId="401A5A85" w14:textId="77777777">
      <w:pPr>
        <w:autoSpaceDE w:val="0"/>
        <w:autoSpaceDN w:val="0"/>
        <w:adjustRightInd w:val="0"/>
        <w:spacing w:line="240" w:lineRule="auto"/>
        <w:ind w:left="3600"/>
        <w:jc w:val="both"/>
        <w:rPr>
          <w:rFonts w:eastAsia="Times New Roman" w:cs="Calibri"/>
          <w:color w:val="000000"/>
          <w:szCs w:val="26"/>
        </w:rPr>
      </w:pPr>
      <w:r>
        <w:rPr>
          <w:rFonts w:eastAsia="Times New Roman" w:cs="Calibri"/>
          <w:color w:val="000000"/>
          <w:szCs w:val="26"/>
        </w:rPr>
        <w:t>MATTHEW BAKER</w:t>
      </w:r>
    </w:p>
    <w:p w:rsidRPr="004E3B33" w:rsidR="00411779" w:rsidP="00411779" w:rsidRDefault="00411779" w14:paraId="4E0F8372" w14:textId="77777777">
      <w:pPr>
        <w:autoSpaceDE w:val="0"/>
        <w:autoSpaceDN w:val="0"/>
        <w:adjustRightInd w:val="0"/>
        <w:spacing w:line="240" w:lineRule="auto"/>
        <w:ind w:left="3600"/>
        <w:jc w:val="both"/>
        <w:rPr>
          <w:rFonts w:cs="Times New Roman"/>
          <w:szCs w:val="20"/>
        </w:rPr>
      </w:pPr>
      <w:r w:rsidRPr="004E3B33">
        <w:rPr>
          <w:rFonts w:cs="Times New Roman"/>
          <w:szCs w:val="20"/>
        </w:rPr>
        <w:t>CHRISTINE HARADA</w:t>
      </w:r>
    </w:p>
    <w:p w:rsidR="00411779" w:rsidP="00E6004A" w:rsidRDefault="00411779" w14:paraId="4432922B" w14:textId="77777777">
      <w:pPr>
        <w:autoSpaceDE w:val="0"/>
        <w:autoSpaceDN w:val="0"/>
        <w:adjustRightInd w:val="0"/>
        <w:spacing w:line="240" w:lineRule="auto"/>
        <w:ind w:left="4320" w:hanging="180"/>
        <w:jc w:val="both"/>
        <w:rPr>
          <w:rFonts w:cs="Times New Roman"/>
          <w:szCs w:val="20"/>
        </w:rPr>
      </w:pPr>
      <w:r w:rsidRPr="00143BC5">
        <w:rPr>
          <w:rFonts w:cs="Times New Roman"/>
          <w:szCs w:val="20"/>
        </w:rPr>
        <w:t xml:space="preserve">            Commissioners</w:t>
      </w:r>
    </w:p>
    <w:p w:rsidR="00411779" w:rsidP="00816E05" w:rsidRDefault="00411779" w14:paraId="07574098" w14:textId="77777777"/>
    <w:sectPr w:rsidR="00411779" w:rsidSect="00F732F1">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E7BE" w14:textId="77777777" w:rsidR="001B7821" w:rsidRDefault="001B7821" w:rsidP="0098138E">
      <w:pPr>
        <w:spacing w:line="240" w:lineRule="auto"/>
      </w:pPr>
      <w:r>
        <w:separator/>
      </w:r>
    </w:p>
  </w:endnote>
  <w:endnote w:type="continuationSeparator" w:id="0">
    <w:p w14:paraId="6DFA85DF" w14:textId="77777777" w:rsidR="001B7821" w:rsidRDefault="001B7821"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61834"/>
      <w:docPartObj>
        <w:docPartGallery w:val="Page Numbers (Bottom of Page)"/>
        <w:docPartUnique/>
      </w:docPartObj>
    </w:sdtPr>
    <w:sdtEndPr>
      <w:rPr>
        <w:noProof/>
      </w:rPr>
    </w:sdtEndPr>
    <w:sdtContent>
      <w:p w14:paraId="5F141F14" w14:textId="3BFC1F1C" w:rsidR="004D0DC5" w:rsidRPr="00405FFD" w:rsidRDefault="004D0DC5" w:rsidP="00744D20">
        <w:pPr>
          <w:pStyle w:val="Footer"/>
        </w:pPr>
        <w:r>
          <w:rPr>
            <w:sz w:val="16"/>
            <w:szCs w:val="16"/>
          </w:rP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CF2A" w14:textId="129B9120" w:rsidR="004D0DC5" w:rsidRDefault="00DF1446" w:rsidP="00493F6D">
    <w:pPr>
      <w:pStyle w:val="Footer"/>
      <w:ind w:firstLine="0"/>
    </w:pPr>
    <w:r w:rsidRPr="00DF1446">
      <w:rPr>
        <w:sz w:val="16"/>
        <w:szCs w:val="16"/>
      </w:rPr>
      <w:t>602988661</w:t>
    </w:r>
    <w:r w:rsidR="004D0DC5">
      <w:rPr>
        <w:sz w:val="16"/>
        <w:szCs w:val="16"/>
      </w:rPr>
      <w:tab/>
    </w:r>
    <w:sdt>
      <w:sdtPr>
        <w:id w:val="111182895"/>
        <w:docPartObj>
          <w:docPartGallery w:val="Page Numbers (Bottom of Page)"/>
          <w:docPartUnique/>
        </w:docPartObj>
      </w:sdtPr>
      <w:sdtEndPr>
        <w:rPr>
          <w:noProof/>
        </w:rPr>
      </w:sdtEndPr>
      <w:sdtContent>
        <w:r w:rsidR="004D0DC5">
          <w:fldChar w:fldCharType="begin"/>
        </w:r>
        <w:r w:rsidR="004D0DC5">
          <w:instrText xml:space="preserve"> PAGE   \* MERGEFORMAT </w:instrText>
        </w:r>
        <w:r w:rsidR="004D0DC5">
          <w:fldChar w:fldCharType="separate"/>
        </w:r>
        <w:r w:rsidR="004D0DC5">
          <w:rPr>
            <w:noProof/>
          </w:rPr>
          <w:t>2</w:t>
        </w:r>
        <w:r w:rsidR="004D0DC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A205" w14:textId="77777777" w:rsidR="001B7821" w:rsidRDefault="001B7821" w:rsidP="00DF58E7">
      <w:pPr>
        <w:spacing w:line="240" w:lineRule="auto"/>
        <w:ind w:firstLine="0"/>
      </w:pPr>
      <w:r>
        <w:separator/>
      </w:r>
    </w:p>
  </w:footnote>
  <w:footnote w:type="continuationSeparator" w:id="0">
    <w:p w14:paraId="71B09725" w14:textId="77777777" w:rsidR="001B7821" w:rsidRDefault="001B7821" w:rsidP="00DF58E7">
      <w:pPr>
        <w:spacing w:line="240" w:lineRule="auto"/>
        <w:ind w:firstLine="0"/>
      </w:pPr>
      <w:r>
        <w:continuationSeparator/>
      </w:r>
    </w:p>
  </w:footnote>
  <w:footnote w:type="continuationNotice" w:id="1">
    <w:p w14:paraId="79B786F3" w14:textId="77777777" w:rsidR="001B7821" w:rsidRPr="00DF58E7" w:rsidRDefault="001B7821"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6AEF9C84" w14:textId="63FC6BE1" w:rsidR="00904F08" w:rsidRDefault="00904F08">
      <w:pPr>
        <w:pStyle w:val="FootnoteText"/>
      </w:pPr>
      <w:r>
        <w:rPr>
          <w:rStyle w:val="FootnoteReference"/>
        </w:rPr>
        <w:footnoteRef/>
      </w:r>
      <w:r>
        <w:t xml:space="preserve"> Southern California Gas Company (SoCalGas) Revised Cal. P.U.C. Sheet No. 45891-G</w:t>
      </w:r>
      <w:r>
        <w:rPr>
          <w:i/>
          <w:iCs/>
        </w:rPr>
        <w:t xml:space="preserve"> </w:t>
      </w:r>
      <w:r>
        <w:t>(GCIM Tariff</w:t>
      </w:r>
      <w:r w:rsidR="00137BCD">
        <w:t>)</w:t>
      </w:r>
      <w:r>
        <w:t xml:space="preserve"> at 2. </w:t>
      </w:r>
      <w:r w:rsidRPr="00F54ADE">
        <w:t>The GCIM is implemented through SoCalGas’s Preliminary Statement, Part VIII, of its Commission-approved tariff.</w:t>
      </w:r>
    </w:p>
  </w:footnote>
  <w:footnote w:id="3">
    <w:p w14:paraId="6CD6946B" w14:textId="23F3448E" w:rsidR="00F05746" w:rsidRDefault="00F05746">
      <w:pPr>
        <w:pStyle w:val="FootnoteText"/>
      </w:pPr>
      <w:r>
        <w:rPr>
          <w:rStyle w:val="FootnoteReference"/>
        </w:rPr>
        <w:footnoteRef/>
      </w:r>
      <w:r>
        <w:t xml:space="preserve"> GCIM Tariff </w:t>
      </w:r>
      <w:r w:rsidR="0040156E">
        <w:t xml:space="preserve">at </w:t>
      </w:r>
      <w:r>
        <w:t>2-3.</w:t>
      </w:r>
    </w:p>
  </w:footnote>
  <w:footnote w:id="4">
    <w:p w14:paraId="6EDBB941" w14:textId="6EEB1D30" w:rsidR="0006226C" w:rsidRDefault="0006226C">
      <w:pPr>
        <w:pStyle w:val="FootnoteText"/>
      </w:pPr>
      <w:r>
        <w:rPr>
          <w:rStyle w:val="FootnoteReference"/>
        </w:rPr>
        <w:footnoteRef/>
      </w:r>
      <w:r>
        <w:t xml:space="preserve"> Decision (D.) 02-06-0</w:t>
      </w:r>
      <w:r w:rsidR="004C4EAD">
        <w:t xml:space="preserve">23 adopted a settlement agreement </w:t>
      </w:r>
      <w:r w:rsidR="00CF0EF9">
        <w:t xml:space="preserve">among </w:t>
      </w:r>
      <w:r w:rsidR="004C4EAD">
        <w:t xml:space="preserve">SoCalGas, The Utility Reform Network, and </w:t>
      </w:r>
      <w:r w:rsidR="0040156E">
        <w:t>Cal Advocates</w:t>
      </w:r>
      <w:r w:rsidR="004C4EAD">
        <w:t xml:space="preserve"> (then called the Office of Ratepayer Advocates). The agreement extended the GCIM, modified the savings formula as presented herein to increase ratepayer benefits in case of savings below the benchmark, and capped shareholder benefits at 1.5 percent of actual annual gas commodity costs. </w:t>
      </w:r>
      <w:r w:rsidR="0040156E">
        <w:t>(</w:t>
      </w:r>
      <w:r w:rsidR="004C4EAD">
        <w:t>D.02-06-023, Attachment 1 at 1, 3.</w:t>
      </w:r>
      <w:r w:rsidR="0040156E">
        <w:t>)</w:t>
      </w:r>
      <w:r w:rsidR="004C4EAD">
        <w:t xml:space="preserve"> </w:t>
      </w:r>
    </w:p>
  </w:footnote>
  <w:footnote w:id="5">
    <w:p w14:paraId="364A3DBD" w14:textId="681BBEC5" w:rsidR="00D85D8E" w:rsidRDefault="00D85D8E">
      <w:pPr>
        <w:pStyle w:val="FootnoteText"/>
      </w:pPr>
      <w:r>
        <w:rPr>
          <w:rStyle w:val="FootnoteReference"/>
        </w:rPr>
        <w:footnoteRef/>
      </w:r>
      <w:r>
        <w:t xml:space="preserve"> Application (A.) 25-06-012, Application of Southern California Gas Company (U 904 G) Regarding Year 31 (2024–2025) of Its Gas Cost Incentive Mechanism</w:t>
      </w:r>
      <w:r w:rsidR="008568AF">
        <w:t xml:space="preserve"> at</w:t>
      </w:r>
      <w:r>
        <w:t xml:space="preserve"> Attachment A, A-6 (A.25-06-012). </w:t>
      </w:r>
    </w:p>
  </w:footnote>
  <w:footnote w:id="6">
    <w:p w14:paraId="1B113ABE" w14:textId="062201F5" w:rsidR="00D85D8E" w:rsidRDefault="00D85D8E">
      <w:pPr>
        <w:pStyle w:val="FootnoteText"/>
      </w:pPr>
      <w:r>
        <w:rPr>
          <w:rStyle w:val="FootnoteReference"/>
        </w:rPr>
        <w:footnoteRef/>
      </w:r>
      <w:r>
        <w:t xml:space="preserve"> A.25-06-012, Attachment A at A-7.</w:t>
      </w:r>
    </w:p>
  </w:footnote>
  <w:footnote w:id="7">
    <w:p w14:paraId="112EF8EE" w14:textId="321A24E1" w:rsidR="00C335AA" w:rsidRDefault="00C335AA">
      <w:pPr>
        <w:pStyle w:val="FootnoteText"/>
      </w:pPr>
      <w:r>
        <w:rPr>
          <w:rStyle w:val="FootnoteReference"/>
        </w:rPr>
        <w:footnoteRef/>
      </w:r>
      <w:r>
        <w:t xml:space="preserve"> A</w:t>
      </w:r>
      <w:r w:rsidR="00D85D8E">
        <w:t>.</w:t>
      </w:r>
      <w:r>
        <w:t>25-06-012</w:t>
      </w:r>
      <w:r w:rsidR="008568AF">
        <w:t xml:space="preserve"> at</w:t>
      </w:r>
      <w:r>
        <w:t xml:space="preserve"> Attachment A</w:t>
      </w:r>
      <w:r w:rsidR="008568AF">
        <w:t>,</w:t>
      </w:r>
      <w:r>
        <w:t xml:space="preserve"> Table 2</w:t>
      </w:r>
      <w:r w:rsidR="0040156E">
        <w:t>;</w:t>
      </w:r>
      <w:r>
        <w:t xml:space="preserve"> </w:t>
      </w:r>
      <w:r w:rsidR="0040156E">
        <w:t>Cal Advocates</w:t>
      </w:r>
      <w:r>
        <w:t xml:space="preserve"> Monitoring and Evaluation Report at </w:t>
      </w:r>
      <w:r w:rsidR="00697473">
        <w:t xml:space="preserve">Table 2-1 </w:t>
      </w:r>
      <w:r w:rsidR="009C007E">
        <w:t>(</w:t>
      </w:r>
      <w:r w:rsidR="00697473">
        <w:t xml:space="preserve">Cal Advocates </w:t>
      </w:r>
      <w:r w:rsidR="00AF5787">
        <w:t xml:space="preserve">M&amp;E </w:t>
      </w:r>
      <w:r w:rsidR="00697473">
        <w:t>Report</w:t>
      </w:r>
      <w:r w:rsidR="009C007E">
        <w:t>)</w:t>
      </w:r>
      <w:r w:rsidR="00697473">
        <w:t>.</w:t>
      </w:r>
    </w:p>
  </w:footnote>
  <w:footnote w:id="8">
    <w:p w14:paraId="2554CDE8" w14:textId="49C28D3C" w:rsidR="00CB101E" w:rsidRDefault="00CB101E" w:rsidP="00CB101E">
      <w:pPr>
        <w:pStyle w:val="FootnoteText"/>
      </w:pPr>
      <w:r>
        <w:rPr>
          <w:rStyle w:val="FootnoteReference"/>
        </w:rPr>
        <w:footnoteRef/>
      </w:r>
      <w:r>
        <w:t xml:space="preserve"> A.25-06-012 at Attachment A, A-1 through A-2.</w:t>
      </w:r>
    </w:p>
  </w:footnote>
  <w:footnote w:id="9">
    <w:p w14:paraId="718426B9" w14:textId="77777777" w:rsidR="00E32312" w:rsidRDefault="00E32312" w:rsidP="00E32312">
      <w:pPr>
        <w:pStyle w:val="FootnoteText"/>
      </w:pPr>
      <w:r>
        <w:rPr>
          <w:rStyle w:val="FootnoteReference"/>
        </w:rPr>
        <w:footnoteRef/>
      </w:r>
      <w:r>
        <w:t xml:space="preserve"> </w:t>
      </w:r>
      <w:bookmarkStart w:id="9" w:name="_Hlk214358787"/>
      <w:r>
        <w:t>A.25-06-012 at Attachment A, A-2 through A-3.</w:t>
      </w:r>
      <w:bookmarkEnd w:id="9"/>
    </w:p>
  </w:footnote>
  <w:footnote w:id="10">
    <w:p w14:paraId="1A976DDC" w14:textId="36F1E273" w:rsidR="00881760" w:rsidRDefault="00881760">
      <w:pPr>
        <w:pStyle w:val="FootnoteText"/>
      </w:pPr>
      <w:r>
        <w:rPr>
          <w:rStyle w:val="FootnoteReference"/>
        </w:rPr>
        <w:footnoteRef/>
      </w:r>
      <w:r>
        <w:t xml:space="preserve"> A.25-06-012 at Attachment A, A-3.</w:t>
      </w:r>
    </w:p>
  </w:footnote>
  <w:footnote w:id="11">
    <w:p w14:paraId="3750CE2E" w14:textId="22358DD3" w:rsidR="007F7D7F" w:rsidRDefault="007F7D7F">
      <w:pPr>
        <w:pStyle w:val="FootnoteText"/>
      </w:pPr>
      <w:r>
        <w:rPr>
          <w:rStyle w:val="FootnoteReference"/>
        </w:rPr>
        <w:footnoteRef/>
      </w:r>
      <w:r>
        <w:t xml:space="preserve"> </w:t>
      </w:r>
      <w:r w:rsidR="009E5121">
        <w:t>A.25-06-012 at Attachment A, A-9.</w:t>
      </w:r>
    </w:p>
  </w:footnote>
  <w:footnote w:id="12">
    <w:p w14:paraId="67ABA71E" w14:textId="404C84CA" w:rsidR="009E5121" w:rsidRDefault="009E5121">
      <w:pPr>
        <w:pStyle w:val="FootnoteText"/>
      </w:pPr>
      <w:r>
        <w:rPr>
          <w:rStyle w:val="FootnoteReference"/>
        </w:rPr>
        <w:footnoteRef/>
      </w:r>
      <w:r>
        <w:t xml:space="preserve"> A.25-06-012 at Attachment A at Table 3.</w:t>
      </w:r>
    </w:p>
  </w:footnote>
  <w:footnote w:id="13">
    <w:p w14:paraId="3BA43FDF" w14:textId="54EB4C28" w:rsidR="00B350A1" w:rsidRDefault="00B350A1">
      <w:pPr>
        <w:pStyle w:val="FootnoteText"/>
      </w:pPr>
      <w:r>
        <w:rPr>
          <w:rStyle w:val="FootnoteReference"/>
        </w:rPr>
        <w:footnoteRef/>
      </w:r>
      <w:r>
        <w:t xml:space="preserve"> </w:t>
      </w:r>
      <w:r w:rsidR="00137BCD">
        <w:t>Cal Advocates M&amp;E Report</w:t>
      </w:r>
      <w:r w:rsidR="00137BCD" w:rsidDel="00137BCD">
        <w:t xml:space="preserve"> </w:t>
      </w:r>
      <w:r>
        <w:t>at 2-2.</w:t>
      </w:r>
    </w:p>
  </w:footnote>
  <w:footnote w:id="14">
    <w:p w14:paraId="1B52C529" w14:textId="6EABE467" w:rsidR="004D32EB" w:rsidRDefault="004D32EB">
      <w:pPr>
        <w:pStyle w:val="FootnoteText"/>
      </w:pPr>
      <w:r>
        <w:rPr>
          <w:rStyle w:val="FootnoteReference"/>
        </w:rPr>
        <w:footnoteRef/>
      </w:r>
      <w:r>
        <w:t xml:space="preserve"> </w:t>
      </w:r>
      <w:r w:rsidR="00137BCD">
        <w:t>Cal Advocates M&amp;E Report</w:t>
      </w:r>
      <w:r w:rsidR="00137BCD" w:rsidDel="00137BCD">
        <w:t xml:space="preserve"> </w:t>
      </w:r>
      <w:r>
        <w:t>at 2-3 through 2-19.</w:t>
      </w:r>
    </w:p>
  </w:footnote>
  <w:footnote w:id="15">
    <w:p w14:paraId="66FCFE03" w14:textId="7A4ED9D2" w:rsidR="004D32EB" w:rsidRDefault="004D32EB">
      <w:pPr>
        <w:pStyle w:val="FootnoteText"/>
      </w:pPr>
      <w:r>
        <w:rPr>
          <w:rStyle w:val="FootnoteReference"/>
        </w:rPr>
        <w:footnoteRef/>
      </w:r>
      <w:r>
        <w:t xml:space="preserve"> </w:t>
      </w:r>
      <w:r w:rsidR="00137BCD">
        <w:t>Cal Advocates M&amp;E Report</w:t>
      </w:r>
      <w:r w:rsidR="00137BCD" w:rsidDel="00137BCD">
        <w:t xml:space="preserve"> </w:t>
      </w:r>
      <w:r>
        <w:t>at 1-1 through 1-2.</w:t>
      </w:r>
    </w:p>
  </w:footnote>
  <w:footnote w:id="16">
    <w:p w14:paraId="727483FD" w14:textId="7CE1B7EC" w:rsidR="007B328E" w:rsidRDefault="007B328E">
      <w:pPr>
        <w:pStyle w:val="FootnoteText"/>
      </w:pPr>
      <w:r>
        <w:rPr>
          <w:rStyle w:val="FootnoteReference"/>
        </w:rPr>
        <w:footnoteRef/>
      </w:r>
      <w:r>
        <w:t xml:space="preserve"> A.25-06-012 at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4E37" w14:textId="60382C9A" w:rsidR="004D0DC5" w:rsidRDefault="004D0DC5" w:rsidP="00EE4315">
    <w:pPr>
      <w:pStyle w:val="Header"/>
      <w:tabs>
        <w:tab w:val="clear" w:pos="4680"/>
      </w:tabs>
      <w:ind w:firstLine="0"/>
      <w:rPr>
        <w:b/>
      </w:rPr>
    </w:pPr>
    <w:r>
      <w:t>A.</w:t>
    </w:r>
    <w:r>
      <w:rPr>
        <w:rFonts w:cs="Arial"/>
        <w:szCs w:val="26"/>
      </w:rPr>
      <w:t>25-06-</w:t>
    </w:r>
    <w:proofErr w:type="gramStart"/>
    <w:r>
      <w:rPr>
        <w:rFonts w:cs="Arial"/>
        <w:szCs w:val="26"/>
      </w:rPr>
      <w:t>012  ALJ</w:t>
    </w:r>
    <w:proofErr w:type="gramEnd"/>
    <w:r>
      <w:rPr>
        <w:rFonts w:cs="Arial"/>
        <w:szCs w:val="26"/>
      </w:rPr>
      <w:t>/EO2/cg7</w:t>
    </w:r>
    <w:r>
      <w:tab/>
    </w:r>
  </w:p>
  <w:p w14:paraId="553313E0" w14:textId="77777777" w:rsidR="004D0DC5" w:rsidRPr="007C0AC3" w:rsidRDefault="004D0DC5" w:rsidP="00B3087D">
    <w:pPr>
      <w:pStyle w:val="Header"/>
      <w:tabs>
        <w:tab w:val="clear" w:pos="4680"/>
      </w:tabs>
      <w:ind w:firstLine="0"/>
      <w:rPr>
        <w:i/>
      </w:rPr>
    </w:pPr>
  </w:p>
  <w:p w14:paraId="238E695E" w14:textId="77777777" w:rsidR="004D0DC5" w:rsidRPr="007C0AC3" w:rsidRDefault="004D0DC5" w:rsidP="00B3087D">
    <w:pPr>
      <w:pStyle w:val="Header"/>
      <w:tabs>
        <w:tab w:val="clear" w:pos="4680"/>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5B9B03E4"/>
    <w:multiLevelType w:val="hybridMultilevel"/>
    <w:tmpl w:val="04545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A25780"/>
    <w:multiLevelType w:val="multilevel"/>
    <w:tmpl w:val="3C526EDE"/>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354526949">
    <w:abstractNumId w:val="11"/>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num>
  <w:num w:numId="2" w16cid:durableId="140774137">
    <w:abstractNumId w:val="1"/>
  </w:num>
  <w:num w:numId="3" w16cid:durableId="1898543446">
    <w:abstractNumId w:val="10"/>
  </w:num>
  <w:num w:numId="4" w16cid:durableId="701521005">
    <w:abstractNumId w:val="2"/>
  </w:num>
  <w:num w:numId="5" w16cid:durableId="2017029027">
    <w:abstractNumId w:val="15"/>
  </w:num>
  <w:num w:numId="6" w16cid:durableId="973756952">
    <w:abstractNumId w:val="9"/>
  </w:num>
  <w:num w:numId="7" w16cid:durableId="827667741">
    <w:abstractNumId w:val="5"/>
  </w:num>
  <w:num w:numId="8" w16cid:durableId="1760327020">
    <w:abstractNumId w:val="14"/>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1114132130">
    <w:abstractNumId w:val="12"/>
  </w:num>
  <w:num w:numId="19" w16cid:durableId="187715314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BC"/>
    <w:rsid w:val="0000098D"/>
    <w:rsid w:val="00000F6A"/>
    <w:rsid w:val="00002018"/>
    <w:rsid w:val="00015F65"/>
    <w:rsid w:val="00024D86"/>
    <w:rsid w:val="000255C7"/>
    <w:rsid w:val="00040840"/>
    <w:rsid w:val="000420D6"/>
    <w:rsid w:val="0004468C"/>
    <w:rsid w:val="0006226C"/>
    <w:rsid w:val="000642B4"/>
    <w:rsid w:val="00070300"/>
    <w:rsid w:val="0007115A"/>
    <w:rsid w:val="000722B3"/>
    <w:rsid w:val="00077BDD"/>
    <w:rsid w:val="0008382B"/>
    <w:rsid w:val="00083EC0"/>
    <w:rsid w:val="00094BF5"/>
    <w:rsid w:val="000973C8"/>
    <w:rsid w:val="000A2AA9"/>
    <w:rsid w:val="000A56F2"/>
    <w:rsid w:val="000A6E05"/>
    <w:rsid w:val="000B12FA"/>
    <w:rsid w:val="000C08BF"/>
    <w:rsid w:val="000C384F"/>
    <w:rsid w:val="000C3B9A"/>
    <w:rsid w:val="000C3F58"/>
    <w:rsid w:val="000D25A8"/>
    <w:rsid w:val="000D4A46"/>
    <w:rsid w:val="000E270A"/>
    <w:rsid w:val="000E4C53"/>
    <w:rsid w:val="000F48C6"/>
    <w:rsid w:val="0010163E"/>
    <w:rsid w:val="001053A9"/>
    <w:rsid w:val="00121089"/>
    <w:rsid w:val="00137BCD"/>
    <w:rsid w:val="00146580"/>
    <w:rsid w:val="001468FF"/>
    <w:rsid w:val="00147227"/>
    <w:rsid w:val="00151C12"/>
    <w:rsid w:val="00151FC7"/>
    <w:rsid w:val="001610E4"/>
    <w:rsid w:val="00171C30"/>
    <w:rsid w:val="001741F3"/>
    <w:rsid w:val="00184A8F"/>
    <w:rsid w:val="00185487"/>
    <w:rsid w:val="001A4064"/>
    <w:rsid w:val="001B7821"/>
    <w:rsid w:val="001C363F"/>
    <w:rsid w:val="001C36D0"/>
    <w:rsid w:val="001C3F67"/>
    <w:rsid w:val="001D5CAC"/>
    <w:rsid w:val="001E2A62"/>
    <w:rsid w:val="001F23B0"/>
    <w:rsid w:val="001F2819"/>
    <w:rsid w:val="002043EC"/>
    <w:rsid w:val="00232EFF"/>
    <w:rsid w:val="00237498"/>
    <w:rsid w:val="00243DC0"/>
    <w:rsid w:val="00244196"/>
    <w:rsid w:val="00246B7A"/>
    <w:rsid w:val="00247477"/>
    <w:rsid w:val="0025502E"/>
    <w:rsid w:val="00270440"/>
    <w:rsid w:val="00273EE1"/>
    <w:rsid w:val="00277403"/>
    <w:rsid w:val="002823C8"/>
    <w:rsid w:val="00283885"/>
    <w:rsid w:val="00284D8D"/>
    <w:rsid w:val="00287BC5"/>
    <w:rsid w:val="00293DEE"/>
    <w:rsid w:val="002A0B5D"/>
    <w:rsid w:val="002B5B76"/>
    <w:rsid w:val="002C7FE9"/>
    <w:rsid w:val="002D0DC5"/>
    <w:rsid w:val="002D4BDA"/>
    <w:rsid w:val="002D4EFB"/>
    <w:rsid w:val="002D4EFD"/>
    <w:rsid w:val="002D76F7"/>
    <w:rsid w:val="002E3C55"/>
    <w:rsid w:val="002F47C7"/>
    <w:rsid w:val="002F506B"/>
    <w:rsid w:val="00315A97"/>
    <w:rsid w:val="00316071"/>
    <w:rsid w:val="00322AB5"/>
    <w:rsid w:val="003244F9"/>
    <w:rsid w:val="00330B0A"/>
    <w:rsid w:val="00336A9E"/>
    <w:rsid w:val="0033765D"/>
    <w:rsid w:val="00343882"/>
    <w:rsid w:val="00343E5C"/>
    <w:rsid w:val="00344FB8"/>
    <w:rsid w:val="00351750"/>
    <w:rsid w:val="00352E38"/>
    <w:rsid w:val="0036017B"/>
    <w:rsid w:val="00362755"/>
    <w:rsid w:val="00372BCC"/>
    <w:rsid w:val="00373B93"/>
    <w:rsid w:val="00380CD1"/>
    <w:rsid w:val="0038701D"/>
    <w:rsid w:val="003A02CA"/>
    <w:rsid w:val="003A38F0"/>
    <w:rsid w:val="003C4651"/>
    <w:rsid w:val="003E706D"/>
    <w:rsid w:val="003F069A"/>
    <w:rsid w:val="003F4329"/>
    <w:rsid w:val="0040156E"/>
    <w:rsid w:val="004022BD"/>
    <w:rsid w:val="00405489"/>
    <w:rsid w:val="00405FFD"/>
    <w:rsid w:val="00411779"/>
    <w:rsid w:val="00412534"/>
    <w:rsid w:val="00412C83"/>
    <w:rsid w:val="00421BBB"/>
    <w:rsid w:val="00426014"/>
    <w:rsid w:val="004452E6"/>
    <w:rsid w:val="0044617E"/>
    <w:rsid w:val="0045376B"/>
    <w:rsid w:val="0046078B"/>
    <w:rsid w:val="00460B7D"/>
    <w:rsid w:val="00480CB0"/>
    <w:rsid w:val="00481146"/>
    <w:rsid w:val="00483603"/>
    <w:rsid w:val="0048567C"/>
    <w:rsid w:val="00493F6D"/>
    <w:rsid w:val="004A1EAD"/>
    <w:rsid w:val="004A47BE"/>
    <w:rsid w:val="004B28E9"/>
    <w:rsid w:val="004B34EA"/>
    <w:rsid w:val="004B5494"/>
    <w:rsid w:val="004B6F08"/>
    <w:rsid w:val="004C4EAD"/>
    <w:rsid w:val="004C7A2B"/>
    <w:rsid w:val="004C7D3A"/>
    <w:rsid w:val="004D0DC5"/>
    <w:rsid w:val="004D32EB"/>
    <w:rsid w:val="004D7134"/>
    <w:rsid w:val="004E1DB7"/>
    <w:rsid w:val="004F7C63"/>
    <w:rsid w:val="005018A8"/>
    <w:rsid w:val="005053D3"/>
    <w:rsid w:val="00505A39"/>
    <w:rsid w:val="00505ABC"/>
    <w:rsid w:val="0051417C"/>
    <w:rsid w:val="00515306"/>
    <w:rsid w:val="005217BE"/>
    <w:rsid w:val="00522CE4"/>
    <w:rsid w:val="00523A44"/>
    <w:rsid w:val="005240BF"/>
    <w:rsid w:val="00525D0E"/>
    <w:rsid w:val="00585390"/>
    <w:rsid w:val="005876EF"/>
    <w:rsid w:val="005939A5"/>
    <w:rsid w:val="005A02D6"/>
    <w:rsid w:val="005A148C"/>
    <w:rsid w:val="005B32FC"/>
    <w:rsid w:val="005C58FA"/>
    <w:rsid w:val="005E0EBE"/>
    <w:rsid w:val="005E3B35"/>
    <w:rsid w:val="00603238"/>
    <w:rsid w:val="006076B4"/>
    <w:rsid w:val="0062312F"/>
    <w:rsid w:val="006276E0"/>
    <w:rsid w:val="00632207"/>
    <w:rsid w:val="0063491C"/>
    <w:rsid w:val="00641A5C"/>
    <w:rsid w:val="00641B4C"/>
    <w:rsid w:val="00643B95"/>
    <w:rsid w:val="00661AFE"/>
    <w:rsid w:val="00674DC8"/>
    <w:rsid w:val="00680F19"/>
    <w:rsid w:val="00683B2C"/>
    <w:rsid w:val="006866DF"/>
    <w:rsid w:val="006903D9"/>
    <w:rsid w:val="0069255F"/>
    <w:rsid w:val="00697473"/>
    <w:rsid w:val="006A398E"/>
    <w:rsid w:val="006A615D"/>
    <w:rsid w:val="006B6D87"/>
    <w:rsid w:val="006C1162"/>
    <w:rsid w:val="006C1F10"/>
    <w:rsid w:val="006E5E28"/>
    <w:rsid w:val="006E6574"/>
    <w:rsid w:val="006E7FFD"/>
    <w:rsid w:val="00714CF2"/>
    <w:rsid w:val="007156B9"/>
    <w:rsid w:val="00720817"/>
    <w:rsid w:val="00722850"/>
    <w:rsid w:val="0073353F"/>
    <w:rsid w:val="00735A91"/>
    <w:rsid w:val="00742E45"/>
    <w:rsid w:val="007447AF"/>
    <w:rsid w:val="00744D20"/>
    <w:rsid w:val="00750816"/>
    <w:rsid w:val="00751D4C"/>
    <w:rsid w:val="00752D32"/>
    <w:rsid w:val="00764CE9"/>
    <w:rsid w:val="007657C1"/>
    <w:rsid w:val="0076786D"/>
    <w:rsid w:val="0077755F"/>
    <w:rsid w:val="007A272A"/>
    <w:rsid w:val="007A30A3"/>
    <w:rsid w:val="007A406D"/>
    <w:rsid w:val="007A62B0"/>
    <w:rsid w:val="007B328E"/>
    <w:rsid w:val="007C0AC3"/>
    <w:rsid w:val="007C3C7C"/>
    <w:rsid w:val="007C5A0C"/>
    <w:rsid w:val="007C793C"/>
    <w:rsid w:val="007E0FEE"/>
    <w:rsid w:val="007F2017"/>
    <w:rsid w:val="007F2C48"/>
    <w:rsid w:val="007F7D7F"/>
    <w:rsid w:val="008015AF"/>
    <w:rsid w:val="0080390E"/>
    <w:rsid w:val="00812BBF"/>
    <w:rsid w:val="008159CF"/>
    <w:rsid w:val="00816E05"/>
    <w:rsid w:val="008176E9"/>
    <w:rsid w:val="00831894"/>
    <w:rsid w:val="008339BB"/>
    <w:rsid w:val="00846FCC"/>
    <w:rsid w:val="008568AF"/>
    <w:rsid w:val="0086419A"/>
    <w:rsid w:val="0086468F"/>
    <w:rsid w:val="0087023B"/>
    <w:rsid w:val="00881760"/>
    <w:rsid w:val="00887D27"/>
    <w:rsid w:val="00892882"/>
    <w:rsid w:val="008A08BF"/>
    <w:rsid w:val="008A179F"/>
    <w:rsid w:val="008B0864"/>
    <w:rsid w:val="008B175A"/>
    <w:rsid w:val="008B7429"/>
    <w:rsid w:val="008C3CB7"/>
    <w:rsid w:val="008C5389"/>
    <w:rsid w:val="008C7375"/>
    <w:rsid w:val="008C7413"/>
    <w:rsid w:val="008D16B7"/>
    <w:rsid w:val="008D2B5F"/>
    <w:rsid w:val="008D5DE3"/>
    <w:rsid w:val="008E6AE6"/>
    <w:rsid w:val="008E7BF3"/>
    <w:rsid w:val="008F0116"/>
    <w:rsid w:val="008F143D"/>
    <w:rsid w:val="00904F08"/>
    <w:rsid w:val="00932865"/>
    <w:rsid w:val="00935319"/>
    <w:rsid w:val="009427F6"/>
    <w:rsid w:val="00953A38"/>
    <w:rsid w:val="009715D1"/>
    <w:rsid w:val="0098138E"/>
    <w:rsid w:val="00985493"/>
    <w:rsid w:val="0098655A"/>
    <w:rsid w:val="009872CC"/>
    <w:rsid w:val="009878A2"/>
    <w:rsid w:val="0099783F"/>
    <w:rsid w:val="009A6E36"/>
    <w:rsid w:val="009C007E"/>
    <w:rsid w:val="009C2F28"/>
    <w:rsid w:val="009E3F00"/>
    <w:rsid w:val="009E5121"/>
    <w:rsid w:val="009E6052"/>
    <w:rsid w:val="009E7C7F"/>
    <w:rsid w:val="009F4B5E"/>
    <w:rsid w:val="00A072A2"/>
    <w:rsid w:val="00A17CE0"/>
    <w:rsid w:val="00A23D48"/>
    <w:rsid w:val="00A37DD6"/>
    <w:rsid w:val="00A42306"/>
    <w:rsid w:val="00A42EB8"/>
    <w:rsid w:val="00A44E8D"/>
    <w:rsid w:val="00A451CF"/>
    <w:rsid w:val="00A46EA8"/>
    <w:rsid w:val="00A55ACD"/>
    <w:rsid w:val="00A60447"/>
    <w:rsid w:val="00A81DF5"/>
    <w:rsid w:val="00A85D27"/>
    <w:rsid w:val="00AA5BB4"/>
    <w:rsid w:val="00AA7E87"/>
    <w:rsid w:val="00AB19C3"/>
    <w:rsid w:val="00AB7875"/>
    <w:rsid w:val="00AC0CE2"/>
    <w:rsid w:val="00AC68EE"/>
    <w:rsid w:val="00AD6EBC"/>
    <w:rsid w:val="00AF5787"/>
    <w:rsid w:val="00B01F7E"/>
    <w:rsid w:val="00B16C2A"/>
    <w:rsid w:val="00B2246C"/>
    <w:rsid w:val="00B3087D"/>
    <w:rsid w:val="00B34794"/>
    <w:rsid w:val="00B350A1"/>
    <w:rsid w:val="00B3724C"/>
    <w:rsid w:val="00B60421"/>
    <w:rsid w:val="00B61052"/>
    <w:rsid w:val="00B70918"/>
    <w:rsid w:val="00B75405"/>
    <w:rsid w:val="00B81EB6"/>
    <w:rsid w:val="00B83B6F"/>
    <w:rsid w:val="00B97833"/>
    <w:rsid w:val="00BB0243"/>
    <w:rsid w:val="00BB64CB"/>
    <w:rsid w:val="00BC1091"/>
    <w:rsid w:val="00BF55A3"/>
    <w:rsid w:val="00C079AA"/>
    <w:rsid w:val="00C10B5F"/>
    <w:rsid w:val="00C24FD1"/>
    <w:rsid w:val="00C335AA"/>
    <w:rsid w:val="00C55C16"/>
    <w:rsid w:val="00C56CF0"/>
    <w:rsid w:val="00C570D2"/>
    <w:rsid w:val="00C6759D"/>
    <w:rsid w:val="00C83558"/>
    <w:rsid w:val="00C878D5"/>
    <w:rsid w:val="00C9033B"/>
    <w:rsid w:val="00C913A1"/>
    <w:rsid w:val="00CA53D6"/>
    <w:rsid w:val="00CB101E"/>
    <w:rsid w:val="00CC0AB3"/>
    <w:rsid w:val="00CC1A6F"/>
    <w:rsid w:val="00CC6A99"/>
    <w:rsid w:val="00CD6CC2"/>
    <w:rsid w:val="00CD7F75"/>
    <w:rsid w:val="00CE42F3"/>
    <w:rsid w:val="00CE48CC"/>
    <w:rsid w:val="00CF0EF9"/>
    <w:rsid w:val="00CF3781"/>
    <w:rsid w:val="00D00AA3"/>
    <w:rsid w:val="00D0504E"/>
    <w:rsid w:val="00D07F73"/>
    <w:rsid w:val="00D14844"/>
    <w:rsid w:val="00D2041C"/>
    <w:rsid w:val="00D25ADE"/>
    <w:rsid w:val="00D42AA2"/>
    <w:rsid w:val="00D42DA4"/>
    <w:rsid w:val="00D43297"/>
    <w:rsid w:val="00D44DB6"/>
    <w:rsid w:val="00D50119"/>
    <w:rsid w:val="00D54F17"/>
    <w:rsid w:val="00D82A43"/>
    <w:rsid w:val="00D83867"/>
    <w:rsid w:val="00D85D8E"/>
    <w:rsid w:val="00DA4A4E"/>
    <w:rsid w:val="00DA7A0F"/>
    <w:rsid w:val="00DA7B5D"/>
    <w:rsid w:val="00DB208E"/>
    <w:rsid w:val="00DC0722"/>
    <w:rsid w:val="00DC7EE4"/>
    <w:rsid w:val="00DE0BAD"/>
    <w:rsid w:val="00DF1446"/>
    <w:rsid w:val="00DF163F"/>
    <w:rsid w:val="00DF58E7"/>
    <w:rsid w:val="00E04E9E"/>
    <w:rsid w:val="00E11876"/>
    <w:rsid w:val="00E1699B"/>
    <w:rsid w:val="00E22056"/>
    <w:rsid w:val="00E226FF"/>
    <w:rsid w:val="00E23CBB"/>
    <w:rsid w:val="00E32312"/>
    <w:rsid w:val="00E37B59"/>
    <w:rsid w:val="00E42481"/>
    <w:rsid w:val="00E47B7F"/>
    <w:rsid w:val="00E47FF5"/>
    <w:rsid w:val="00E53438"/>
    <w:rsid w:val="00E6004A"/>
    <w:rsid w:val="00E71D8D"/>
    <w:rsid w:val="00E725FC"/>
    <w:rsid w:val="00E75BE9"/>
    <w:rsid w:val="00E8111F"/>
    <w:rsid w:val="00E81DB6"/>
    <w:rsid w:val="00E90414"/>
    <w:rsid w:val="00E95157"/>
    <w:rsid w:val="00EA36C6"/>
    <w:rsid w:val="00EC30F9"/>
    <w:rsid w:val="00EC6025"/>
    <w:rsid w:val="00ED5725"/>
    <w:rsid w:val="00ED7031"/>
    <w:rsid w:val="00ED75E8"/>
    <w:rsid w:val="00EE073C"/>
    <w:rsid w:val="00EE3060"/>
    <w:rsid w:val="00EE4315"/>
    <w:rsid w:val="00EF3F7C"/>
    <w:rsid w:val="00EF6532"/>
    <w:rsid w:val="00EF6925"/>
    <w:rsid w:val="00F01212"/>
    <w:rsid w:val="00F02D72"/>
    <w:rsid w:val="00F02F1D"/>
    <w:rsid w:val="00F0388C"/>
    <w:rsid w:val="00F05746"/>
    <w:rsid w:val="00F12118"/>
    <w:rsid w:val="00F1783B"/>
    <w:rsid w:val="00F24578"/>
    <w:rsid w:val="00F26ED3"/>
    <w:rsid w:val="00F30B03"/>
    <w:rsid w:val="00F34BF0"/>
    <w:rsid w:val="00F432B7"/>
    <w:rsid w:val="00F54ADE"/>
    <w:rsid w:val="00F62B7A"/>
    <w:rsid w:val="00F6397D"/>
    <w:rsid w:val="00F7106E"/>
    <w:rsid w:val="00F7293E"/>
    <w:rsid w:val="00F732F1"/>
    <w:rsid w:val="00F76650"/>
    <w:rsid w:val="00F77F50"/>
    <w:rsid w:val="00F90E41"/>
    <w:rsid w:val="00F9187B"/>
    <w:rsid w:val="00F92385"/>
    <w:rsid w:val="00FA1B4F"/>
    <w:rsid w:val="00FA3493"/>
    <w:rsid w:val="00FC3755"/>
    <w:rsid w:val="00FC47F9"/>
    <w:rsid w:val="00FC7077"/>
    <w:rsid w:val="00FE2351"/>
    <w:rsid w:val="00FE337D"/>
    <w:rsid w:val="00FE5580"/>
    <w:rsid w:val="00FF110C"/>
    <w:rsid w:val="00FF1E89"/>
    <w:rsid w:val="00FF360E"/>
    <w:rsid w:val="00FF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C8F0"/>
  <w15:chartTrackingRefBased/>
  <w15:docId w15:val="{4064740D-FED0-4F23-A24A-FAF6B8811CD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B350A1"/>
    <w:rPr>
      <w:sz w:val="16"/>
      <w:szCs w:val="16"/>
    </w:rPr>
  </w:style>
  <w:style w:type="paragraph" w:styleId="CommentText">
    <w:name w:val="annotation text"/>
    <w:basedOn w:val="Normal"/>
    <w:link w:val="CommentTextChar"/>
    <w:uiPriority w:val="99"/>
    <w:unhideWhenUsed/>
    <w:rsid w:val="00B350A1"/>
    <w:pPr>
      <w:spacing w:line="240" w:lineRule="auto"/>
    </w:pPr>
    <w:rPr>
      <w:sz w:val="20"/>
      <w:szCs w:val="20"/>
    </w:rPr>
  </w:style>
  <w:style w:type="character" w:customStyle="1" w:styleId="CommentTextChar">
    <w:name w:val="Comment Text Char"/>
    <w:basedOn w:val="DefaultParagraphFont"/>
    <w:link w:val="CommentText"/>
    <w:uiPriority w:val="99"/>
    <w:rsid w:val="00B350A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350A1"/>
    <w:rPr>
      <w:b/>
      <w:bCs/>
    </w:rPr>
  </w:style>
  <w:style w:type="character" w:customStyle="1" w:styleId="CommentSubjectChar">
    <w:name w:val="Comment Subject Char"/>
    <w:basedOn w:val="CommentTextChar"/>
    <w:link w:val="CommentSubject"/>
    <w:uiPriority w:val="99"/>
    <w:semiHidden/>
    <w:rsid w:val="00B350A1"/>
    <w:rPr>
      <w:rFonts w:ascii="Book Antiqua" w:hAnsi="Book Antiqua"/>
      <w:b/>
      <w:bCs/>
      <w:sz w:val="20"/>
      <w:szCs w:val="20"/>
    </w:rPr>
  </w:style>
  <w:style w:type="paragraph" w:styleId="Revision">
    <w:name w:val="Revision"/>
    <w:hidden/>
    <w:uiPriority w:val="99"/>
    <w:semiHidden/>
    <w:rsid w:val="007C3C7C"/>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2CFA5753-9A8F-41B0-A0DD-39CABF50B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2785</ap:Words>
  <ap:Characters>14849</ap:Characters>
  <ap:Application>Microsoft Office Word</ap:Application>
  <ap:DocSecurity>0</ap:DocSecurity>
  <ap:Lines>291</ap:Lines>
  <ap:Paragraphs>101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17533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2026-03-23T10:11:16Z</dcterms:created>
  <dcterms:modified xsi:type="dcterms:W3CDTF">2026-03-23T10:11:16Z</dcterms:modified>
</cp:coreProperties>
</file>