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246A" w:rsidR="00123974" w:rsidP="003F6053" w:rsidRDefault="00D83222" w14:paraId="14CE464F" w14:textId="5AB9EFBF">
      <w:pPr>
        <w:tabs>
          <w:tab w:val="center" w:pos="4680"/>
          <w:tab w:val="right" w:pos="9360"/>
        </w:tabs>
        <w:spacing w:line="240" w:lineRule="auto"/>
        <w:ind w:firstLine="0"/>
        <w:rPr>
          <w:b/>
        </w:rPr>
      </w:pPr>
      <w:r>
        <w:t>ALJ</w:t>
      </w:r>
      <w:r w:rsidR="00DA7B5D">
        <w:t>/</w:t>
      </w:r>
      <w:r>
        <w:t>HCF</w:t>
      </w:r>
      <w:r w:rsidR="00DA7B5D">
        <w:t>/</w:t>
      </w:r>
      <w:r>
        <w:t>cg7</w:t>
      </w:r>
      <w:r w:rsidR="007E0FEE">
        <w:tab/>
      </w:r>
      <w:r w:rsidR="003F6053">
        <w:tab/>
      </w:r>
      <w:r w:rsidRPr="0069246A" w:rsidR="003F6053">
        <w:rPr>
          <w:rFonts w:cs="Arial"/>
          <w:b/>
          <w:sz w:val="28"/>
          <w:szCs w:val="28"/>
        </w:rPr>
        <w:t>Date of Issuance 03/23/2026</w:t>
      </w:r>
    </w:p>
    <w:p w:rsidR="00DA7B5D" w:rsidP="00D83222" w:rsidRDefault="00DA7B5D" w14:paraId="56B87068" w14:textId="77777777">
      <w:pPr>
        <w:spacing w:line="240" w:lineRule="auto"/>
        <w:ind w:firstLine="0"/>
      </w:pPr>
    </w:p>
    <w:p w:rsidR="00D83222" w:rsidP="00D83222" w:rsidRDefault="00D83222" w14:paraId="3960C017" w14:textId="77777777">
      <w:pPr>
        <w:spacing w:line="240" w:lineRule="auto"/>
        <w:ind w:firstLine="0"/>
      </w:pPr>
    </w:p>
    <w:p w:rsidRPr="00E65753" w:rsidR="00DA7B5D" w:rsidP="00E65753" w:rsidRDefault="00DA7B5D" w14:paraId="7CBD29CF" w14:textId="29CD883D">
      <w:pPr>
        <w:spacing w:line="240" w:lineRule="auto"/>
        <w:ind w:left="1080" w:hanging="1080"/>
        <w:rPr>
          <w:b/>
          <w:bCs/>
          <w:szCs w:val="26"/>
        </w:rPr>
      </w:pPr>
      <w:r>
        <w:t xml:space="preserve">Decision </w:t>
      </w:r>
      <w:r w:rsidR="0069246A">
        <w:t>26-03-018  March 19, 2026</w:t>
      </w:r>
    </w:p>
    <w:p w:rsidR="00DA7B5D" w:rsidP="00D83222" w:rsidRDefault="00DA7B5D" w14:paraId="7FF9D6D7" w14:textId="77777777">
      <w:pPr>
        <w:spacing w:line="240" w:lineRule="auto"/>
        <w:ind w:firstLine="0"/>
        <w:rPr>
          <w:u w:val="single"/>
        </w:rPr>
      </w:pPr>
    </w:p>
    <w:p w:rsidR="00D83222" w:rsidP="00D83222" w:rsidRDefault="00D83222" w14:paraId="6E2986D8" w14:textId="77777777">
      <w:pPr>
        <w:spacing w:line="240" w:lineRule="auto"/>
        <w:ind w:firstLine="0"/>
        <w:rPr>
          <w:u w:val="single"/>
        </w:rPr>
      </w:pPr>
    </w:p>
    <w:p w:rsidR="00DA7B5D" w:rsidP="00BB0243" w:rsidRDefault="00DA7B5D" w14:paraId="2EB404FF"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4B306D19" w14:textId="77777777">
      <w:pPr>
        <w:spacing w:line="240" w:lineRule="auto"/>
        <w:ind w:firstLine="0"/>
        <w:rPr>
          <w:rFonts w:ascii="Arial" w:hAnsi="Arial" w:cs="Arial"/>
          <w:sz w:val="24"/>
          <w:szCs w:val="24"/>
        </w:rPr>
      </w:pPr>
    </w:p>
    <w:p w:rsidR="00D83222" w:rsidP="008F0116" w:rsidRDefault="00D83222" w14:paraId="52F0A457"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192B62B9" w14:textId="77777777">
        <w:trPr>
          <w:jc w:val="center"/>
        </w:trPr>
        <w:tc>
          <w:tcPr>
            <w:tcW w:w="5040" w:type="dxa"/>
            <w:tcBorders>
              <w:top w:val="nil"/>
              <w:left w:val="nil"/>
              <w:bottom w:val="single" w:color="auto" w:sz="4" w:space="0"/>
              <w:right w:val="single" w:color="auto" w:sz="4" w:space="0"/>
            </w:tcBorders>
          </w:tcPr>
          <w:p w:rsidRPr="00DA7B5D" w:rsidR="00DA7B5D" w:rsidP="00C10B5F" w:rsidRDefault="009A0208" w14:paraId="1BD63658" w14:textId="71FF5457">
            <w:pPr>
              <w:spacing w:line="240" w:lineRule="auto"/>
              <w:ind w:firstLine="0"/>
              <w:rPr>
                <w:rFonts w:cs="Arial"/>
                <w:szCs w:val="26"/>
              </w:rPr>
            </w:pPr>
            <w:r w:rsidRPr="009A0208">
              <w:rPr>
                <w:rFonts w:cs="Arial"/>
                <w:szCs w:val="26"/>
              </w:rPr>
              <w:t>Order Instituting Rulemaking Regarding Policies, Procedures and Rules for the Self-Generation Incentive Program and Related Issues.</w:t>
            </w:r>
            <w:r w:rsidRPr="00DA7B5D" w:rsidR="00DA7B5D">
              <w:rPr>
                <w:rFonts w:cs="Arial"/>
                <w:szCs w:val="26"/>
              </w:rPr>
              <w:br/>
            </w:r>
          </w:p>
        </w:tc>
        <w:tc>
          <w:tcPr>
            <w:tcW w:w="5040" w:type="dxa"/>
            <w:tcBorders>
              <w:top w:val="nil"/>
              <w:left w:val="single" w:color="auto" w:sz="4" w:space="0"/>
              <w:bottom w:val="nil"/>
              <w:right w:val="nil"/>
            </w:tcBorders>
            <w:vAlign w:val="center"/>
          </w:tcPr>
          <w:p w:rsidRPr="00DA7B5D" w:rsidR="00DA7B5D" w:rsidP="00412C83" w:rsidRDefault="009A0208" w14:paraId="03EF94C8" w14:textId="2F2483E7">
            <w:pPr>
              <w:spacing w:line="240" w:lineRule="auto"/>
              <w:ind w:firstLine="0"/>
              <w:jc w:val="center"/>
              <w:rPr>
                <w:rFonts w:cs="Arial"/>
                <w:szCs w:val="26"/>
              </w:rPr>
            </w:pPr>
            <w:r w:rsidRPr="009A0208">
              <w:rPr>
                <w:rFonts w:cs="Arial"/>
                <w:szCs w:val="26"/>
              </w:rPr>
              <w:t>Rulemaking 20-05-012</w:t>
            </w:r>
          </w:p>
        </w:tc>
      </w:tr>
    </w:tbl>
    <w:p w:rsidR="00DA7B5D" w:rsidP="008F0116" w:rsidRDefault="00DA7B5D" w14:paraId="3077112D" w14:textId="77777777">
      <w:pPr>
        <w:spacing w:line="240" w:lineRule="auto"/>
        <w:ind w:firstLine="0"/>
        <w:rPr>
          <w:rFonts w:ascii="Arial" w:hAnsi="Arial" w:cs="Arial"/>
          <w:sz w:val="24"/>
          <w:szCs w:val="24"/>
        </w:rPr>
      </w:pPr>
    </w:p>
    <w:p w:rsidR="00DA7B5D" w:rsidP="008F0116" w:rsidRDefault="00DA7B5D" w14:paraId="62DAA723" w14:textId="77777777">
      <w:pPr>
        <w:spacing w:line="240" w:lineRule="auto"/>
        <w:ind w:firstLine="0"/>
        <w:rPr>
          <w:rFonts w:ascii="Arial" w:hAnsi="Arial" w:cs="Arial"/>
          <w:sz w:val="24"/>
          <w:szCs w:val="24"/>
        </w:rPr>
      </w:pPr>
    </w:p>
    <w:p w:rsidRPr="00531118" w:rsidR="009548D6" w:rsidP="009B7CCF" w:rsidRDefault="00531118" w14:paraId="0301804F" w14:textId="7176AACA">
      <w:pPr>
        <w:spacing w:after="120" w:line="240" w:lineRule="auto"/>
        <w:ind w:firstLine="0"/>
        <w:jc w:val="center"/>
        <w:rPr>
          <w:rFonts w:ascii="Arial" w:hAnsi="Arial" w:cs="Arial"/>
          <w:b/>
          <w:bCs/>
          <w:sz w:val="24"/>
          <w:szCs w:val="24"/>
        </w:rPr>
      </w:pPr>
      <w:r w:rsidRPr="00531118">
        <w:rPr>
          <w:rFonts w:ascii="Arial" w:hAnsi="Arial" w:cs="Arial"/>
          <w:b/>
          <w:bCs/>
          <w:szCs w:val="26"/>
        </w:rPr>
        <w:t>DECISION DENYING PETITION FOR MODIFICATION OF</w:t>
      </w:r>
      <w:r>
        <w:rPr>
          <w:rFonts w:ascii="Arial" w:hAnsi="Arial" w:cs="Arial"/>
          <w:b/>
          <w:bCs/>
          <w:szCs w:val="26"/>
        </w:rPr>
        <w:br/>
      </w:r>
      <w:r w:rsidRPr="00531118">
        <w:rPr>
          <w:rFonts w:ascii="Arial" w:hAnsi="Arial" w:cs="Arial"/>
          <w:b/>
          <w:bCs/>
          <w:szCs w:val="26"/>
        </w:rPr>
        <w:t>DECISION 21-06-005</w:t>
      </w:r>
      <w:r>
        <w:rPr>
          <w:rFonts w:ascii="Arial" w:hAnsi="Arial" w:cs="Arial"/>
          <w:b/>
          <w:bCs/>
          <w:szCs w:val="26"/>
        </w:rPr>
        <w:t xml:space="preserve"> </w:t>
      </w:r>
      <w:r w:rsidRPr="00531118">
        <w:rPr>
          <w:rFonts w:ascii="Arial" w:hAnsi="Arial" w:cs="Arial"/>
          <w:b/>
          <w:bCs/>
        </w:rPr>
        <w:t>FILED BY ENGIE NORTH AMERICA, INC.</w:t>
      </w:r>
    </w:p>
    <w:p w:rsidR="005A148C" w:rsidP="00D83222" w:rsidRDefault="005A148C" w14:paraId="16DB583B" w14:textId="77777777">
      <w:pPr>
        <w:pStyle w:val="Dummy"/>
        <w:ind w:firstLine="720"/>
      </w:pPr>
      <w:bookmarkStart w:name="_Toc8123714" w:id="0"/>
      <w:bookmarkStart w:name="_Toc133843842" w:id="1"/>
      <w:r>
        <w:t>Summary</w:t>
      </w:r>
      <w:bookmarkEnd w:id="0"/>
      <w:bookmarkEnd w:id="1"/>
    </w:p>
    <w:p w:rsidR="009A0208" w:rsidP="009A0208" w:rsidRDefault="009A0208" w14:paraId="6F5BD9F1" w14:textId="6C193BD3">
      <w:pPr>
        <w:pStyle w:val="Standard"/>
      </w:pPr>
      <w:r>
        <w:t>This decision denies the Petition for Modification of Decision 21-06-005 filed by ENGIE North America, Inc.</w:t>
      </w:r>
      <w:r w:rsidR="004173E6">
        <w:t xml:space="preserve"> (ENGIE).</w:t>
      </w:r>
      <w:r>
        <w:t xml:space="preserve"> The Petition requested that wastewater treatment plants be exempted from a Self-Generation Incentive Program (SGIP) requirement that on-site renewable biogas used in internal combustion engine projects </w:t>
      </w:r>
      <w:r w:rsidR="00A71FBA">
        <w:t xml:space="preserve">contain at least </w:t>
      </w:r>
      <w:r>
        <w:t xml:space="preserve">96 percent methane. </w:t>
      </w:r>
    </w:p>
    <w:p w:rsidR="009A0208" w:rsidP="009A0208" w:rsidRDefault="009A0208" w14:paraId="040AACF3" w14:textId="334B6B30">
      <w:pPr>
        <w:pStyle w:val="Standard"/>
      </w:pPr>
      <w:r>
        <w:t>This proceeding remains open.</w:t>
      </w:r>
    </w:p>
    <w:p w:rsidRPr="00121089" w:rsidR="005A148C" w:rsidP="00A55ACD" w:rsidRDefault="002C7FE9" w14:paraId="6E3B0F46" w14:textId="77777777">
      <w:pPr>
        <w:pStyle w:val="Heading1"/>
        <w:numPr>
          <w:ilvl w:val="0"/>
          <w:numId w:val="1"/>
        </w:numPr>
      </w:pPr>
      <w:bookmarkStart w:name="_Toc8123715" w:id="2"/>
      <w:bookmarkStart w:name="_Toc133843843" w:id="3"/>
      <w:r w:rsidRPr="00121089">
        <w:t>Background</w:t>
      </w:r>
      <w:bookmarkEnd w:id="2"/>
      <w:bookmarkEnd w:id="3"/>
    </w:p>
    <w:p w:rsidR="009A0208" w:rsidP="00732ABA" w:rsidRDefault="004173E6" w14:paraId="0502FAF8" w14:textId="00F6601C">
      <w:pPr>
        <w:pStyle w:val="Standard"/>
      </w:pPr>
      <w:r>
        <w:t>Effective June 3, 2021, t</w:t>
      </w:r>
      <w:r w:rsidR="009A0208">
        <w:t>he Commission adopted Decision (D.) 21-06-005</w:t>
      </w:r>
      <w:r>
        <w:t>.</w:t>
      </w:r>
      <w:r w:rsidR="005F4A1A">
        <w:t xml:space="preserve"> </w:t>
      </w:r>
      <w:r w:rsidR="001B60F1">
        <w:rPr>
          <w:szCs w:val="26"/>
        </w:rPr>
        <w:t>I</w:t>
      </w:r>
      <w:r w:rsidR="00732ABA">
        <w:rPr>
          <w:szCs w:val="26"/>
        </w:rPr>
        <w:t xml:space="preserve">n </w:t>
      </w:r>
      <w:r w:rsidRPr="00732ABA" w:rsidR="00732ABA">
        <w:t>D.21-06-005</w:t>
      </w:r>
      <w:r w:rsidR="00732ABA">
        <w:t xml:space="preserve">, </w:t>
      </w:r>
      <w:r w:rsidR="001B60F1">
        <w:t xml:space="preserve">the Commission </w:t>
      </w:r>
      <w:r w:rsidRPr="00732ABA" w:rsidR="00732ABA">
        <w:t xml:space="preserve">concluded that requiring SGIP internal combustion engine projects using biogas to achieve a 96 percent of methane gas quality standard is </w:t>
      </w:r>
      <w:r w:rsidR="00732ABA">
        <w:t>reasonable</w:t>
      </w:r>
      <w:r w:rsidRPr="00732ABA" w:rsidR="00732ABA">
        <w:t>.</w:t>
      </w:r>
      <w:r w:rsidR="00732ABA">
        <w:t xml:space="preserve"> The Commission </w:t>
      </w:r>
      <w:r>
        <w:t xml:space="preserve">also </w:t>
      </w:r>
      <w:r w:rsidR="00732ABA">
        <w:t xml:space="preserve">determined that requiring </w:t>
      </w:r>
      <w:r w:rsidRPr="00732ABA" w:rsidR="00732ABA">
        <w:t xml:space="preserve">SGIP biogas projects to meet or exceed the same 96 percent of methane gas quality standard required by </w:t>
      </w:r>
      <w:r w:rsidR="001B60F1">
        <w:t xml:space="preserve">Southern California Gas </w:t>
      </w:r>
      <w:r w:rsidR="00B80438">
        <w:t>C</w:t>
      </w:r>
      <w:r w:rsidR="001B60F1">
        <w:t>ompany (</w:t>
      </w:r>
      <w:r w:rsidRPr="00732ABA" w:rsidR="00732ABA">
        <w:t>SoCalGas</w:t>
      </w:r>
      <w:r w:rsidR="001B60F1">
        <w:t>)</w:t>
      </w:r>
      <w:r>
        <w:t>,</w:t>
      </w:r>
      <w:r w:rsidRPr="00732ABA" w:rsidR="00732ABA">
        <w:t xml:space="preserve"> for transported natural gas</w:t>
      </w:r>
      <w:r>
        <w:t>,</w:t>
      </w:r>
      <w:r w:rsidRPr="00732ABA" w:rsidR="00732ABA">
        <w:t xml:space="preserve"> ensures that the fuel that is combusted is relatively pure </w:t>
      </w:r>
      <w:r w:rsidRPr="00732ABA" w:rsidR="00732ABA">
        <w:lastRenderedPageBreak/>
        <w:t>methane and does not result in greater greenhouse gas or criteria pollutant emissions than combustion of pipeline natural gas</w:t>
      </w:r>
      <w:r w:rsidR="00732ABA">
        <w:t>.</w:t>
      </w:r>
      <w:r w:rsidRPr="00732ABA" w:rsidR="00732ABA">
        <w:rPr>
          <w:vertAlign w:val="superscript"/>
        </w:rPr>
        <w:footnoteReference w:id="2"/>
      </w:r>
    </w:p>
    <w:p w:rsidR="00A71FBA" w:rsidP="00A71FBA" w:rsidRDefault="009A0208" w14:paraId="41E5AF14" w14:textId="571ECA7C">
      <w:pPr>
        <w:pStyle w:val="Standard"/>
      </w:pPr>
      <w:r>
        <w:t xml:space="preserve">ENGIE North America, Inc. (Engie) filed a Petition for Modification (Petition) of D.21-06-005 on October 4, 2024. </w:t>
      </w:r>
      <w:r w:rsidR="004173E6">
        <w:t xml:space="preserve">ENGIE </w:t>
      </w:r>
      <w:r w:rsidRPr="009A0208" w:rsidR="00A71FBA">
        <w:t>is an independent power producer, energy services company</w:t>
      </w:r>
      <w:r w:rsidR="001B60F1">
        <w:t>,</w:t>
      </w:r>
      <w:r w:rsidRPr="009A0208" w:rsidR="00A71FBA">
        <w:t xml:space="preserve"> and retail energy supplier</w:t>
      </w:r>
      <w:r w:rsidR="00A71FBA">
        <w:t xml:space="preserve">. </w:t>
      </w:r>
      <w:r w:rsidR="004173E6">
        <w:t>ENGIE</w:t>
      </w:r>
      <w:r w:rsidR="00A71FBA">
        <w:t xml:space="preserve"> filed the Petition to request that wastewater treatment plants (WWTPs) be exempted from the SGIP requirement that on-site biogas used in internal combustion engine projects must contain at least 96 percent methane. </w:t>
      </w:r>
    </w:p>
    <w:p w:rsidR="009A0208" w:rsidP="00A71FBA" w:rsidRDefault="009A0208" w14:paraId="5889686B" w14:textId="6948F53A">
      <w:pPr>
        <w:pStyle w:val="Standard"/>
      </w:pPr>
      <w:r>
        <w:t>Responses to the Petition were filed on November 4, 2024</w:t>
      </w:r>
      <w:r w:rsidR="00A71FBA">
        <w:t>,</w:t>
      </w:r>
      <w:r>
        <w:t xml:space="preserve"> by SoCalGas, the Bioenergy Association of California (BAC), and the Public Advocates Office at the California Public Utilities Commission (Cal Advocates)</w:t>
      </w:r>
      <w:r w:rsidR="00A71FBA">
        <w:t>. O</w:t>
      </w:r>
      <w:r>
        <w:t>n November 15, 2024</w:t>
      </w:r>
      <w:r w:rsidR="00A71FBA">
        <w:t>,</w:t>
      </w:r>
      <w:r>
        <w:t xml:space="preserve"> </w:t>
      </w:r>
      <w:r w:rsidR="004173E6">
        <w:t>ENGIE</w:t>
      </w:r>
      <w:r>
        <w:t xml:space="preserve"> filed a Reply to </w:t>
      </w:r>
      <w:r w:rsidR="00A71FBA">
        <w:t xml:space="preserve">the </w:t>
      </w:r>
      <w:r>
        <w:t>Responses</w:t>
      </w:r>
      <w:r w:rsidR="00A71FBA">
        <w:t xml:space="preserve"> to the Petition</w:t>
      </w:r>
      <w:r>
        <w:t>.</w:t>
      </w:r>
    </w:p>
    <w:p w:rsidR="00683B2C" w:rsidP="00A71FBA" w:rsidRDefault="00683B2C" w14:paraId="361B1056" w14:textId="02F61B72">
      <w:pPr>
        <w:pStyle w:val="Standard"/>
      </w:pPr>
      <w:r w:rsidRPr="00FF0265">
        <w:t xml:space="preserve">This matter was submitted on </w:t>
      </w:r>
      <w:r w:rsidR="00A71FBA">
        <w:t xml:space="preserve">November 15, 2024, </w:t>
      </w:r>
      <w:r w:rsidRPr="00FF0265">
        <w:t xml:space="preserve">upon </w:t>
      </w:r>
      <w:r w:rsidR="00A71FBA">
        <w:t xml:space="preserve">the filing of </w:t>
      </w:r>
      <w:r w:rsidR="004173E6">
        <w:t>ENGIE</w:t>
      </w:r>
      <w:r w:rsidR="00A71FBA">
        <w:t>’s Reply to the Responses to the Petition.</w:t>
      </w:r>
    </w:p>
    <w:p w:rsidR="005A148C" w:rsidP="00A71FBA" w:rsidRDefault="005939A5" w14:paraId="7A6DEF4C" w14:textId="77777777">
      <w:pPr>
        <w:pStyle w:val="Heading1"/>
        <w:numPr>
          <w:ilvl w:val="0"/>
          <w:numId w:val="1"/>
        </w:numPr>
      </w:pPr>
      <w:bookmarkStart w:name="_Toc8123719" w:id="4"/>
      <w:bookmarkStart w:name="_Toc133843848" w:id="5"/>
      <w:r>
        <w:t xml:space="preserve">Issues Before the </w:t>
      </w:r>
      <w:bookmarkEnd w:id="4"/>
      <w:r w:rsidR="008A08BF">
        <w:t>Commission</w:t>
      </w:r>
      <w:bookmarkEnd w:id="5"/>
    </w:p>
    <w:p w:rsidR="00A71FBA" w:rsidP="00A71FBA" w:rsidRDefault="00A71FBA" w14:paraId="497B67A2" w14:textId="12CF8074">
      <w:pPr>
        <w:pStyle w:val="Standard"/>
      </w:pPr>
      <w:r>
        <w:t xml:space="preserve">The issues before the Commission are (a) whether the Petition </w:t>
      </w:r>
      <w:r w:rsidR="00894572">
        <w:t>complies with the</w:t>
      </w:r>
      <w:r>
        <w:t xml:space="preserve"> requirements of Rule 16.4(d) of the Commission’s Rules of Practice and Procedure (Rules), and (b) whether to grant the Petition</w:t>
      </w:r>
      <w:r w:rsidR="004173E6">
        <w:t xml:space="preserve"> and allow ENGIE to be exempt from the current requirement to achieve 96 percent of methane gas quality</w:t>
      </w:r>
      <w:r>
        <w:t>.</w:t>
      </w:r>
    </w:p>
    <w:p w:rsidR="009D2A01" w:rsidP="00A71FBA" w:rsidRDefault="009D2A01" w14:paraId="1C763752" w14:textId="371FBF49">
      <w:pPr>
        <w:pStyle w:val="Standard"/>
      </w:pPr>
      <w:r>
        <w:t>As discussed below, this decision does not address the substantive question of whether to grant the Petition because the Petition fails to meet the requirements of Rule 16.4(d).</w:t>
      </w:r>
    </w:p>
    <w:p w:rsidR="005939A5" w:rsidP="00A71FBA" w:rsidRDefault="00732ABA" w14:paraId="28BAA68F" w14:textId="4D4E9FC8">
      <w:pPr>
        <w:pStyle w:val="Heading1"/>
        <w:numPr>
          <w:ilvl w:val="0"/>
          <w:numId w:val="1"/>
        </w:numPr>
      </w:pPr>
      <w:r>
        <w:lastRenderedPageBreak/>
        <w:t>Rule 16.4(d)</w:t>
      </w:r>
    </w:p>
    <w:p w:rsidR="00732ABA" w:rsidP="00732ABA" w:rsidRDefault="00732ABA" w14:paraId="33E7600C" w14:textId="28743BB1">
      <w:pPr>
        <w:pStyle w:val="Standard"/>
      </w:pPr>
      <w:r>
        <w:t>Rule 16.4(d) provides that a petition for modification must be filed and served within one year of the effective date of the decision proposed to be modified. If more than one year has elapsed, the petition must also explain why the petition could not have been presented within one year of the effective date of the decision. If the Commission determines that the late submission has not been justified, it may</w:t>
      </w:r>
      <w:r w:rsidR="00B80438">
        <w:t>,</w:t>
      </w:r>
      <w:r>
        <w:t xml:space="preserve"> on that ground</w:t>
      </w:r>
      <w:r w:rsidR="00B80438">
        <w:t>,</w:t>
      </w:r>
      <w:r>
        <w:t xml:space="preserve"> issue a summary denial of the petition.</w:t>
      </w:r>
    </w:p>
    <w:p w:rsidR="00732ABA" w:rsidP="009D2A01" w:rsidRDefault="004173E6" w14:paraId="72B55202" w14:textId="362B6176">
      <w:pPr>
        <w:pStyle w:val="Standard"/>
      </w:pPr>
      <w:r>
        <w:t>ENGIE</w:t>
      </w:r>
      <w:r w:rsidR="00732ABA">
        <w:t xml:space="preserve">’s Petition was filed and served more </w:t>
      </w:r>
      <w:r>
        <w:t xml:space="preserve">than </w:t>
      </w:r>
      <w:r w:rsidR="00732ABA">
        <w:t xml:space="preserve">one year after the effective date of the decision it proposes to modify. </w:t>
      </w:r>
      <w:r w:rsidR="007F78E9">
        <w:t>ENGIE</w:t>
      </w:r>
      <w:r w:rsidR="00732ABA">
        <w:t xml:space="preserve"> argues that its Petition could not have been filed within one year of</w:t>
      </w:r>
      <w:r w:rsidRPr="00732ABA" w:rsidR="00732ABA">
        <w:t xml:space="preserve"> </w:t>
      </w:r>
      <w:r w:rsidR="00732ABA">
        <w:t xml:space="preserve">D.21-06-005 because its </w:t>
      </w:r>
      <w:r w:rsidR="009D2A01">
        <w:t>“[</w:t>
      </w:r>
      <w:r w:rsidRPr="00667665" w:rsidR="00732ABA">
        <w:t>WWTP</w:t>
      </w:r>
      <w:r w:rsidR="009D2A01">
        <w:t xml:space="preserve"> project’s]</w:t>
      </w:r>
      <w:r w:rsidR="00732ABA">
        <w:t xml:space="preserve"> energy upgrade plans and SGIP application for a cogeneration facility were not created and rejected u</w:t>
      </w:r>
      <w:r w:rsidR="009D2A01">
        <w:t xml:space="preserve">ntil </w:t>
      </w:r>
      <w:r w:rsidR="00732ABA">
        <w:t>a year after the issuance of D.21-06-005.</w:t>
      </w:r>
      <w:r w:rsidR="009D2A01">
        <w:t>”</w:t>
      </w:r>
    </w:p>
    <w:p w:rsidR="009D2A01" w:rsidP="009D2A01" w:rsidRDefault="00732ABA" w14:paraId="55F26B04" w14:textId="6AB9C6D2">
      <w:pPr>
        <w:pStyle w:val="Standard"/>
      </w:pPr>
      <w:r w:rsidRPr="00732ABA">
        <w:t>Cal</w:t>
      </w:r>
      <w:r>
        <w:t xml:space="preserve"> </w:t>
      </w:r>
      <w:r w:rsidRPr="00732ABA">
        <w:t>Advocates argue</w:t>
      </w:r>
      <w:r w:rsidR="00B80438">
        <w:t>s</w:t>
      </w:r>
      <w:r w:rsidRPr="00732ABA">
        <w:t xml:space="preserve"> that the Petition fails to comply with Rule 16.4(d)</w:t>
      </w:r>
      <w:r w:rsidR="00B80438">
        <w:t>,</w:t>
      </w:r>
      <w:r w:rsidRPr="00732ABA">
        <w:t xml:space="preserve"> as the application status of a</w:t>
      </w:r>
      <w:r w:rsidR="009D2A01">
        <w:t xml:space="preserve"> specific SGIP</w:t>
      </w:r>
      <w:r w:rsidRPr="00732ABA">
        <w:t xml:space="preserve"> project does not demonstrate that the Petition could not </w:t>
      </w:r>
      <w:r w:rsidR="009D2A01">
        <w:t xml:space="preserve">have </w:t>
      </w:r>
      <w:r w:rsidRPr="00732ABA">
        <w:t>be</w:t>
      </w:r>
      <w:r w:rsidR="009D2A01">
        <w:t>en</w:t>
      </w:r>
      <w:r w:rsidRPr="00732ABA">
        <w:t xml:space="preserve"> filed within a year of </w:t>
      </w:r>
      <w:r w:rsidR="009D2A01">
        <w:t>the decision</w:t>
      </w:r>
      <w:r w:rsidRPr="00732ABA">
        <w:t>.</w:t>
      </w:r>
      <w:r w:rsidR="009D2A01">
        <w:t xml:space="preserve"> We agree with Cal Advocates.</w:t>
      </w:r>
    </w:p>
    <w:p w:rsidR="009D2A01" w:rsidP="00894572" w:rsidRDefault="007F78E9" w14:paraId="49E02667" w14:textId="25AD2863">
      <w:pPr>
        <w:pStyle w:val="Standard"/>
      </w:pPr>
      <w:r>
        <w:t>ENGIE</w:t>
      </w:r>
      <w:r w:rsidR="009D2A01">
        <w:t xml:space="preserve"> argues in the Petition that </w:t>
      </w:r>
      <w:r w:rsidRPr="00667665" w:rsidR="009D2A01">
        <w:t>WWTP</w:t>
      </w:r>
      <w:r w:rsidRPr="009D2A01" w:rsidR="009D2A01">
        <w:t xml:space="preserve"> biogas has a lower methane content (6</w:t>
      </w:r>
      <w:r w:rsidR="009D2A01">
        <w:t>0 percent</w:t>
      </w:r>
      <w:r w:rsidRPr="009D2A01" w:rsidR="009D2A01">
        <w:t>) than the rule currently allows</w:t>
      </w:r>
      <w:r w:rsidR="009D2A01">
        <w:t>, and that the 96 percent methane rule makes WWTP biogas projects not economically feasible even with SGIP incentives</w:t>
      </w:r>
      <w:r w:rsidR="00894572">
        <w:t>. The Petition fails to</w:t>
      </w:r>
      <w:r w:rsidR="009D2A01">
        <w:t xml:space="preserve"> provide a sufficient justification for why it could not have filed</w:t>
      </w:r>
      <w:r w:rsidR="00894572">
        <w:t xml:space="preserve"> a petition for modification with this argument</w:t>
      </w:r>
      <w:r w:rsidR="009D2A01">
        <w:t xml:space="preserve"> within one year of the effective date of D.21-06-005.</w:t>
      </w:r>
    </w:p>
    <w:p w:rsidR="009D2A01" w:rsidP="00732ABA" w:rsidRDefault="009D2A01" w14:paraId="47CE29B7" w14:textId="3F10D93E">
      <w:pPr>
        <w:pStyle w:val="Standard"/>
      </w:pPr>
      <w:r>
        <w:t xml:space="preserve">The Petition </w:t>
      </w:r>
      <w:r w:rsidR="00F86275">
        <w:t>fails to</w:t>
      </w:r>
      <w:r>
        <w:t xml:space="preserve"> </w:t>
      </w:r>
      <w:r w:rsidR="00894572">
        <w:t xml:space="preserve">comply with </w:t>
      </w:r>
      <w:r>
        <w:t>Rule 16.4(d)</w:t>
      </w:r>
      <w:r w:rsidR="00F86275">
        <w:t xml:space="preserve"> and</w:t>
      </w:r>
      <w:r w:rsidR="00B80438">
        <w:t xml:space="preserve"> is, therefore,</w:t>
      </w:r>
      <w:r w:rsidR="00F86275">
        <w:t xml:space="preserve">  denied</w:t>
      </w:r>
      <w:r>
        <w:t>.</w:t>
      </w:r>
    </w:p>
    <w:p w:rsidR="00603238" w:rsidP="00A71FBA" w:rsidRDefault="00603238" w14:paraId="281D0C1E" w14:textId="77777777">
      <w:pPr>
        <w:pStyle w:val="Heading1"/>
        <w:numPr>
          <w:ilvl w:val="0"/>
          <w:numId w:val="1"/>
        </w:numPr>
      </w:pPr>
      <w:bookmarkStart w:name="_Toc133843852" w:id="6"/>
      <w:bookmarkStart w:name="_Toc8123721" w:id="7"/>
      <w:r>
        <w:lastRenderedPageBreak/>
        <w:t>Summary of Public Comment</w:t>
      </w:r>
      <w:bookmarkEnd w:id="6"/>
    </w:p>
    <w:p w:rsidRPr="009D2A01" w:rsidR="00603238" w:rsidP="00284D8D" w:rsidRDefault="00603238" w14:paraId="635C7FF1" w14:textId="21D978CD">
      <w:pPr>
        <w:rPr>
          <w:rFonts w:ascii="Calibri" w:hAnsi="Calibri"/>
          <w:sz w:val="22"/>
        </w:rPr>
      </w:pPr>
      <w:r w:rsidRPr="009D2A01">
        <w:t>Rule 1.18 allows any member of the public to submit written comment</w:t>
      </w:r>
      <w:r w:rsidR="00B80438">
        <w:t>s</w:t>
      </w:r>
      <w:r w:rsidRPr="009D2A01">
        <w:t xml:space="preserve"> in any Commission proceeding using the “Public Comment” tab of the online Docket Card for that proceeding on the Commission’s website.  Rule 1.18(b) requires that relevant written comment</w:t>
      </w:r>
      <w:r w:rsidR="00B80438">
        <w:t>s</w:t>
      </w:r>
      <w:r w:rsidRPr="009D2A01">
        <w:t xml:space="preserve"> submitted in a proceeding be summarized in the final decision issued in that proceeding.</w:t>
      </w:r>
      <w:r w:rsidR="009D2A01">
        <w:t xml:space="preserve"> There are no </w:t>
      </w:r>
      <w:r w:rsidR="007F78E9">
        <w:t xml:space="preserve">public </w:t>
      </w:r>
      <w:r w:rsidR="009D2A01">
        <w:t xml:space="preserve">comments relevant to this decision on the Docket Card of this proceeding. </w:t>
      </w:r>
    </w:p>
    <w:p w:rsidR="005939A5" w:rsidP="00A71FBA" w:rsidRDefault="005939A5" w14:paraId="6AE77F61" w14:textId="77777777">
      <w:pPr>
        <w:pStyle w:val="Heading1"/>
        <w:numPr>
          <w:ilvl w:val="0"/>
          <w:numId w:val="1"/>
        </w:numPr>
      </w:pPr>
      <w:bookmarkStart w:name="_Toc8123723" w:id="8"/>
      <w:bookmarkStart w:name="_Toc133843854" w:id="9"/>
      <w:bookmarkEnd w:id="7"/>
      <w:r>
        <w:t>Comments on Proposed Decision</w:t>
      </w:r>
      <w:bookmarkEnd w:id="8"/>
      <w:bookmarkEnd w:id="9"/>
    </w:p>
    <w:p w:rsidR="005939A5" w:rsidP="005C58FA" w:rsidRDefault="005C58FA" w14:paraId="210EDE6D" w14:textId="11FB743E">
      <w:pPr>
        <w:pStyle w:val="Standard"/>
      </w:pPr>
      <w:r w:rsidRPr="00894572">
        <w:t xml:space="preserve">The proposed decision of Commissioner </w:t>
      </w:r>
      <w:r w:rsidRPr="00894572" w:rsidR="00894572">
        <w:t>Karen Douglas</w:t>
      </w:r>
      <w:r w:rsidRPr="00894572">
        <w:t xml:space="preserve"> in this matter was mailed to the parties in accordance with Section 311 of the Public Utilities Code and comments</w:t>
      </w:r>
      <w:r>
        <w:t xml:space="preserve"> were allowed under Rule 14.3 of the Commission’s Rules of Practice and Procedure.  </w:t>
      </w:r>
      <w:r w:rsidR="00911E55">
        <w:t>No parties files comments in response to the proposed decision.</w:t>
      </w:r>
    </w:p>
    <w:p w:rsidR="005939A5" w:rsidP="00A71FBA" w:rsidRDefault="005939A5" w14:paraId="5277B2E5" w14:textId="77777777">
      <w:pPr>
        <w:pStyle w:val="Heading1"/>
        <w:numPr>
          <w:ilvl w:val="0"/>
          <w:numId w:val="1"/>
        </w:numPr>
      </w:pPr>
      <w:bookmarkStart w:name="_Toc8123724" w:id="10"/>
      <w:bookmarkStart w:name="_Toc133843855" w:id="11"/>
      <w:r>
        <w:t>Assignment of Proceeding</w:t>
      </w:r>
      <w:bookmarkEnd w:id="10"/>
      <w:bookmarkEnd w:id="11"/>
    </w:p>
    <w:p w:rsidR="005939A5" w:rsidP="006E6574" w:rsidRDefault="00894572" w14:paraId="5516D6FA" w14:textId="1344C3A1">
      <w:pPr>
        <w:pStyle w:val="Standard"/>
      </w:pPr>
      <w:r>
        <w:t>Karen Douglas</w:t>
      </w:r>
      <w:r w:rsidR="005939A5">
        <w:t xml:space="preserve"> is the assigned Commissioner and </w:t>
      </w:r>
      <w:r>
        <w:t>Hazlyn Fortune</w:t>
      </w:r>
      <w:r w:rsidR="005939A5">
        <w:t xml:space="preserve"> is the assigned Administrative Law Judge in this proceeding.</w:t>
      </w:r>
    </w:p>
    <w:p w:rsidR="005939A5" w:rsidP="005939A5" w:rsidRDefault="005939A5" w14:paraId="68422237" w14:textId="77777777">
      <w:pPr>
        <w:pStyle w:val="Dummy"/>
      </w:pPr>
      <w:bookmarkStart w:name="_Toc8123725" w:id="12"/>
      <w:bookmarkStart w:name="_Toc133843856" w:id="13"/>
      <w:r>
        <w:t>Findings of Fact</w:t>
      </w:r>
      <w:bookmarkEnd w:id="12"/>
      <w:bookmarkEnd w:id="13"/>
    </w:p>
    <w:p w:rsidRPr="001E2A62" w:rsidR="00F62B7A" w:rsidP="001E2A62" w:rsidRDefault="00894572" w14:paraId="2165CA08" w14:textId="19FDF0FB">
      <w:pPr>
        <w:pStyle w:val="FoF"/>
      </w:pPr>
      <w:r>
        <w:t xml:space="preserve">The </w:t>
      </w:r>
      <w:r w:rsidRPr="00894572">
        <w:t xml:space="preserve">Petition </w:t>
      </w:r>
      <w:r>
        <w:t>was filed</w:t>
      </w:r>
      <w:r w:rsidRPr="00894572">
        <w:t xml:space="preserve"> more than one year after the effective date of D.21-06-005</w:t>
      </w:r>
      <w:r>
        <w:t>.</w:t>
      </w:r>
    </w:p>
    <w:p w:rsidRPr="001E2A62" w:rsidR="00F86275" w:rsidP="00F86275" w:rsidRDefault="00F86275" w14:paraId="3C50B431" w14:textId="27ECC8D4">
      <w:pPr>
        <w:pStyle w:val="FoF"/>
      </w:pPr>
      <w:bookmarkStart w:name="_Toc8123726" w:id="14"/>
      <w:bookmarkStart w:name="_Toc133843857" w:id="15"/>
      <w:r>
        <w:t>The Petition fails to comply with the requirements of Rule 16.4(d).</w:t>
      </w:r>
    </w:p>
    <w:p w:rsidR="005939A5" w:rsidP="005939A5" w:rsidRDefault="005939A5" w14:paraId="15C3D8FB" w14:textId="77777777">
      <w:pPr>
        <w:pStyle w:val="Dummy"/>
      </w:pPr>
      <w:r>
        <w:t>Conclusions of Law</w:t>
      </w:r>
      <w:bookmarkEnd w:id="14"/>
      <w:bookmarkEnd w:id="15"/>
    </w:p>
    <w:p w:rsidRPr="001E2A62" w:rsidR="008F143D" w:rsidP="00894572" w:rsidRDefault="00894572" w14:paraId="365CD533" w14:textId="1687644E">
      <w:pPr>
        <w:pStyle w:val="CoL"/>
      </w:pPr>
      <w:r>
        <w:t>It is reasonable to deny the Petition.</w:t>
      </w:r>
    </w:p>
    <w:p w:rsidR="00BB0243" w:rsidP="000A6E05" w:rsidRDefault="005939A5" w14:paraId="226BDDF2" w14:textId="77777777">
      <w:pPr>
        <w:pStyle w:val="Mainex"/>
      </w:pPr>
      <w:bookmarkStart w:name="_Toc133843858" w:id="16"/>
      <w:r>
        <w:t>O</w:t>
      </w:r>
      <w:r w:rsidR="00722850">
        <w:t>RDER</w:t>
      </w:r>
      <w:bookmarkEnd w:id="16"/>
    </w:p>
    <w:p w:rsidR="00BB0243" w:rsidP="000A6E05" w:rsidRDefault="00BB0243" w14:paraId="1F2E4D48" w14:textId="77777777">
      <w:pPr>
        <w:keepNext/>
      </w:pPr>
      <w:r w:rsidRPr="00BB0243">
        <w:rPr>
          <w:b/>
        </w:rPr>
        <w:t>IT IS ORDERED</w:t>
      </w:r>
      <w:r>
        <w:t xml:space="preserve"> that:</w:t>
      </w:r>
    </w:p>
    <w:p w:rsidR="00932865" w:rsidP="001E2A62" w:rsidRDefault="00894572" w14:paraId="4E5777C1" w14:textId="0C0F9A08">
      <w:pPr>
        <w:pStyle w:val="OP"/>
      </w:pPr>
      <w:r w:rsidRPr="00894572">
        <w:t xml:space="preserve">The Petition for Modification of Decision 21-06-005 filed by ENGIE North America, Inc. is </w:t>
      </w:r>
      <w:r>
        <w:t>denied.</w:t>
      </w:r>
    </w:p>
    <w:p w:rsidR="00F6397D" w:rsidP="00B3087D" w:rsidRDefault="00894572" w14:paraId="0C9A1496" w14:textId="52A955D6">
      <w:pPr>
        <w:pStyle w:val="OP"/>
      </w:pPr>
      <w:r w:rsidRPr="00894572">
        <w:t>Rulemaking 20-05-012 remains open</w:t>
      </w:r>
      <w:r w:rsidRPr="001E2A62" w:rsidR="00E23CBB">
        <w:t>.</w:t>
      </w:r>
    </w:p>
    <w:p w:rsidR="008F0116" w:rsidP="008F0116" w:rsidRDefault="008F0116" w14:paraId="0E14806F" w14:textId="77777777">
      <w:r>
        <w:lastRenderedPageBreak/>
        <w:t>This order is effective today.</w:t>
      </w:r>
    </w:p>
    <w:p w:rsidR="00714CF2" w:rsidP="00816E05" w:rsidRDefault="008F0116" w14:paraId="438FCFCE" w14:textId="374EB55F">
      <w:r>
        <w:t xml:space="preserve">Dated </w:t>
      </w:r>
      <w:r w:rsidR="00730D4D">
        <w:t>March</w:t>
      </w:r>
      <w:r w:rsidR="00D83222">
        <w:t xml:space="preserve"> </w:t>
      </w:r>
      <w:r w:rsidR="0069246A">
        <w:t>19</w:t>
      </w:r>
      <w:r w:rsidR="00D83222">
        <w:t>, 2026</w:t>
      </w:r>
      <w:r>
        <w:t xml:space="preserve">, at </w:t>
      </w:r>
      <w:r w:rsidR="00730D4D">
        <w:t>Sacramento</w:t>
      </w:r>
      <w:r>
        <w:t>, California</w:t>
      </w:r>
      <w:r w:rsidR="00672036">
        <w:t>.</w:t>
      </w:r>
    </w:p>
    <w:p w:rsidR="00E9401C" w:rsidP="00E9401C" w:rsidRDefault="00E9401C" w14:paraId="0C703ACC" w14:textId="77777777">
      <w:pPr>
        <w:autoSpaceDE w:val="0"/>
        <w:autoSpaceDN w:val="0"/>
        <w:adjustRightInd w:val="0"/>
        <w:spacing w:line="240" w:lineRule="auto"/>
        <w:ind w:left="4320"/>
        <w:jc w:val="both"/>
        <w:rPr>
          <w:rFonts w:cs="Times New Roman"/>
          <w:szCs w:val="20"/>
        </w:rPr>
      </w:pPr>
    </w:p>
    <w:p w:rsidRPr="00143BC5" w:rsidR="00E9401C" w:rsidP="00E9401C" w:rsidRDefault="00E9401C" w14:paraId="488C4C6C" w14:textId="77777777">
      <w:pPr>
        <w:autoSpaceDE w:val="0"/>
        <w:autoSpaceDN w:val="0"/>
        <w:adjustRightInd w:val="0"/>
        <w:spacing w:line="240" w:lineRule="auto"/>
        <w:ind w:left="3600"/>
        <w:jc w:val="both"/>
        <w:rPr>
          <w:rFonts w:cs="Times New Roman"/>
          <w:szCs w:val="20"/>
        </w:rPr>
      </w:pPr>
      <w:r w:rsidRPr="00143BC5">
        <w:rPr>
          <w:rFonts w:cs="Times New Roman"/>
          <w:szCs w:val="20"/>
        </w:rPr>
        <w:t>JOHN REYNOLDS</w:t>
      </w:r>
    </w:p>
    <w:p w:rsidRPr="00143BC5" w:rsidR="00E9401C" w:rsidP="00E9401C" w:rsidRDefault="00E9401C" w14:paraId="495C9A6F" w14:textId="77777777">
      <w:pPr>
        <w:autoSpaceDE w:val="0"/>
        <w:autoSpaceDN w:val="0"/>
        <w:adjustRightInd w:val="0"/>
        <w:spacing w:line="240" w:lineRule="auto"/>
        <w:ind w:firstLine="3960"/>
        <w:jc w:val="both"/>
        <w:rPr>
          <w:rFonts w:cs="Times New Roman"/>
          <w:szCs w:val="20"/>
        </w:rPr>
      </w:pPr>
      <w:r w:rsidRPr="00143BC5">
        <w:rPr>
          <w:rFonts w:cs="Times New Roman"/>
          <w:szCs w:val="20"/>
        </w:rPr>
        <w:t xml:space="preserve">               President</w:t>
      </w:r>
    </w:p>
    <w:p w:rsidRPr="00143BC5" w:rsidR="00E9401C" w:rsidP="00E9401C" w:rsidRDefault="00E9401C" w14:paraId="009D6DF1" w14:textId="77777777">
      <w:pPr>
        <w:autoSpaceDE w:val="0"/>
        <w:autoSpaceDN w:val="0"/>
        <w:adjustRightInd w:val="0"/>
        <w:spacing w:line="240" w:lineRule="auto"/>
        <w:ind w:left="3600"/>
        <w:jc w:val="both"/>
        <w:rPr>
          <w:rFonts w:cs="Times New Roman"/>
          <w:szCs w:val="20"/>
        </w:rPr>
      </w:pPr>
      <w:r w:rsidRPr="00143BC5">
        <w:rPr>
          <w:rFonts w:cs="Times New Roman"/>
          <w:szCs w:val="20"/>
        </w:rPr>
        <w:t>DARCIE L. HOUCK</w:t>
      </w:r>
    </w:p>
    <w:p w:rsidR="00E9401C" w:rsidP="00E9401C" w:rsidRDefault="00E9401C" w14:paraId="328F7352" w14:textId="77777777">
      <w:pPr>
        <w:autoSpaceDE w:val="0"/>
        <w:autoSpaceDN w:val="0"/>
        <w:adjustRightInd w:val="0"/>
        <w:spacing w:line="240" w:lineRule="auto"/>
        <w:ind w:left="3600"/>
        <w:jc w:val="both"/>
        <w:rPr>
          <w:rFonts w:eastAsia="Times New Roman" w:cs="Calibri"/>
          <w:color w:val="000000"/>
          <w:szCs w:val="26"/>
        </w:rPr>
      </w:pPr>
      <w:r w:rsidRPr="00143BC5">
        <w:rPr>
          <w:rFonts w:eastAsia="Times New Roman" w:cs="Calibri"/>
          <w:color w:val="000000"/>
          <w:szCs w:val="26"/>
        </w:rPr>
        <w:t>KAREN DOUGLAS</w:t>
      </w:r>
    </w:p>
    <w:p w:rsidR="00E9401C" w:rsidP="00E9401C" w:rsidRDefault="00E9401C" w14:paraId="4447D02E" w14:textId="77777777">
      <w:pPr>
        <w:autoSpaceDE w:val="0"/>
        <w:autoSpaceDN w:val="0"/>
        <w:adjustRightInd w:val="0"/>
        <w:spacing w:line="240" w:lineRule="auto"/>
        <w:ind w:left="3600"/>
        <w:jc w:val="both"/>
        <w:rPr>
          <w:rFonts w:eastAsia="Times New Roman" w:cs="Calibri"/>
          <w:color w:val="000000"/>
          <w:szCs w:val="26"/>
        </w:rPr>
      </w:pPr>
      <w:r>
        <w:rPr>
          <w:rFonts w:eastAsia="Times New Roman" w:cs="Calibri"/>
          <w:color w:val="000000"/>
          <w:szCs w:val="26"/>
        </w:rPr>
        <w:t>MATTHEW BAKER</w:t>
      </w:r>
    </w:p>
    <w:p w:rsidRPr="004E3B33" w:rsidR="00E9401C" w:rsidP="00E9401C" w:rsidRDefault="00E9401C" w14:paraId="120A4D51" w14:textId="77777777">
      <w:pPr>
        <w:autoSpaceDE w:val="0"/>
        <w:autoSpaceDN w:val="0"/>
        <w:adjustRightInd w:val="0"/>
        <w:spacing w:line="240" w:lineRule="auto"/>
        <w:ind w:left="3600"/>
        <w:jc w:val="both"/>
        <w:rPr>
          <w:rFonts w:cs="Times New Roman"/>
          <w:szCs w:val="20"/>
        </w:rPr>
      </w:pPr>
      <w:r w:rsidRPr="004E3B33">
        <w:rPr>
          <w:rFonts w:cs="Times New Roman"/>
          <w:szCs w:val="20"/>
        </w:rPr>
        <w:t>CHRISTINE HARADA</w:t>
      </w:r>
    </w:p>
    <w:p w:rsidR="00E9401C" w:rsidP="00E9401C" w:rsidRDefault="00E9401C" w14:paraId="3044DB11" w14:textId="77777777">
      <w:pPr>
        <w:autoSpaceDE w:val="0"/>
        <w:autoSpaceDN w:val="0"/>
        <w:adjustRightInd w:val="0"/>
        <w:spacing w:line="240" w:lineRule="auto"/>
        <w:ind w:left="4320" w:hanging="180"/>
        <w:jc w:val="both"/>
        <w:rPr>
          <w:rFonts w:cs="Times New Roman"/>
          <w:szCs w:val="20"/>
        </w:rPr>
      </w:pPr>
      <w:r w:rsidRPr="00143BC5">
        <w:rPr>
          <w:rFonts w:cs="Times New Roman"/>
          <w:szCs w:val="20"/>
        </w:rPr>
        <w:t xml:space="preserve">            Commissioners</w:t>
      </w:r>
    </w:p>
    <w:p w:rsidRPr="00714CF2" w:rsidR="0069246A" w:rsidP="00816E05" w:rsidRDefault="0069246A" w14:paraId="5D21CA56" w14:textId="77777777"/>
    <w:sectPr w:rsidRPr="00714CF2" w:rsidR="0069246A" w:rsidSect="005C7443">
      <w:headerReference w:type="default" r:id="rId11"/>
      <w:footerReference w:type="default" r:id="rId12"/>
      <w:footerReference w:type="first" r:id="rId13"/>
      <w:pgSz w:w="12240" w:h="15840"/>
      <w:pgMar w:top="1728"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5CA3A" w14:textId="77777777" w:rsidR="009365BE" w:rsidRDefault="009365BE" w:rsidP="0098138E">
      <w:pPr>
        <w:spacing w:line="240" w:lineRule="auto"/>
      </w:pPr>
      <w:r>
        <w:separator/>
      </w:r>
    </w:p>
  </w:endnote>
  <w:endnote w:type="continuationSeparator" w:id="0">
    <w:p w14:paraId="0748381E" w14:textId="77777777" w:rsidR="009365BE" w:rsidRDefault="009365BE"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880711"/>
      <w:docPartObj>
        <w:docPartGallery w:val="Page Numbers (Bottom of Page)"/>
        <w:docPartUnique/>
      </w:docPartObj>
    </w:sdtPr>
    <w:sdtEndPr>
      <w:rPr>
        <w:noProof/>
      </w:rPr>
    </w:sdtEndPr>
    <w:sdtContent>
      <w:p w14:paraId="76624D4E" w14:textId="1F22FB60" w:rsidR="00601319" w:rsidRDefault="00601319" w:rsidP="00E41067">
        <w:pPr>
          <w:pStyle w:val="Footer"/>
          <w:ind w:firstLine="0"/>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131961"/>
      <w:docPartObj>
        <w:docPartGallery w:val="Page Numbers (Bottom of Page)"/>
        <w:docPartUnique/>
      </w:docPartObj>
    </w:sdtPr>
    <w:sdtEndPr>
      <w:rPr>
        <w:noProof/>
      </w:rPr>
    </w:sdtEndPr>
    <w:sdtContent>
      <w:p w14:paraId="77F33CC9" w14:textId="208D7F0F" w:rsidR="00A302B6" w:rsidRDefault="00DD7A02" w:rsidP="005C7443">
        <w:pPr>
          <w:pStyle w:val="Footer"/>
          <w:ind w:firstLine="0"/>
        </w:pPr>
        <w:r w:rsidRPr="00DD7A02">
          <w:rPr>
            <w:sz w:val="16"/>
            <w:szCs w:val="16"/>
          </w:rPr>
          <w:t>603067299</w:t>
        </w:r>
        <w:r w:rsidR="00A302B6">
          <w:tab/>
        </w:r>
        <w:r w:rsidR="00A302B6">
          <w:fldChar w:fldCharType="begin"/>
        </w:r>
        <w:r w:rsidR="00A302B6">
          <w:instrText xml:space="preserve"> PAGE   \* MERGEFORMAT </w:instrText>
        </w:r>
        <w:r w:rsidR="00A302B6">
          <w:fldChar w:fldCharType="separate"/>
        </w:r>
        <w:r w:rsidR="00A302B6">
          <w:rPr>
            <w:noProof/>
          </w:rPr>
          <w:t>2</w:t>
        </w:r>
        <w:r w:rsidR="00A302B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3BDD" w14:textId="77777777" w:rsidR="009365BE" w:rsidRDefault="009365BE" w:rsidP="00DF58E7">
      <w:pPr>
        <w:spacing w:line="240" w:lineRule="auto"/>
        <w:ind w:firstLine="0"/>
      </w:pPr>
      <w:r>
        <w:separator/>
      </w:r>
    </w:p>
  </w:footnote>
  <w:footnote w:type="continuationSeparator" w:id="0">
    <w:p w14:paraId="684F2BA9" w14:textId="77777777" w:rsidR="009365BE" w:rsidRDefault="009365BE" w:rsidP="00DF58E7">
      <w:pPr>
        <w:spacing w:line="240" w:lineRule="auto"/>
        <w:ind w:firstLine="0"/>
      </w:pPr>
      <w:r>
        <w:continuationSeparator/>
      </w:r>
    </w:p>
  </w:footnote>
  <w:footnote w:type="continuationNotice" w:id="1">
    <w:p w14:paraId="12643622" w14:textId="77777777" w:rsidR="009365BE" w:rsidRPr="00DF58E7" w:rsidRDefault="009365BE" w:rsidP="00DF58E7">
      <w:pPr>
        <w:spacing w:line="240" w:lineRule="auto"/>
        <w:ind w:firstLine="0"/>
        <w:jc w:val="right"/>
        <w:rPr>
          <w:i/>
          <w:sz w:val="22"/>
        </w:rPr>
      </w:pPr>
      <w:r w:rsidRPr="00DF58E7">
        <w:rPr>
          <w:i/>
          <w:sz w:val="22"/>
        </w:rPr>
        <w:t>Footnote continued on next page.</w:t>
      </w:r>
    </w:p>
  </w:footnote>
  <w:footnote w:id="2">
    <w:p w14:paraId="5FE08AC8" w14:textId="66D65760" w:rsidR="00732ABA" w:rsidRDefault="00732ABA" w:rsidP="00732ABA">
      <w:pPr>
        <w:pStyle w:val="FootnoteText"/>
      </w:pPr>
      <w:r>
        <w:rPr>
          <w:rStyle w:val="FootnoteReference"/>
        </w:rPr>
        <w:footnoteRef/>
      </w:r>
      <w:r>
        <w:t xml:space="preserve"> D.21-06-005 at 29, 30, and Conclusion of Law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EE06" w14:textId="09340069" w:rsidR="00601319" w:rsidRDefault="00601319" w:rsidP="00601319">
    <w:pPr>
      <w:pStyle w:val="Header"/>
      <w:tabs>
        <w:tab w:val="clear" w:pos="4680"/>
      </w:tabs>
      <w:ind w:firstLine="0"/>
      <w:rPr>
        <w:b/>
      </w:rPr>
    </w:pPr>
    <w:r>
      <w:t>R.20-05-012  ALJ/HCF/cg7</w:t>
    </w:r>
  </w:p>
  <w:p w14:paraId="497B28E8" w14:textId="77777777" w:rsidR="00601319" w:rsidRPr="00601319" w:rsidRDefault="00601319" w:rsidP="00601319">
    <w:pPr>
      <w:pStyle w:val="Header"/>
      <w:tabs>
        <w:tab w:val="clear" w:pos="4680"/>
      </w:tabs>
      <w:ind w:firstLine="0"/>
      <w:rPr>
        <w:iCs/>
      </w:rPr>
    </w:pPr>
  </w:p>
  <w:p w14:paraId="14DD2620" w14:textId="77777777" w:rsidR="00601319" w:rsidRPr="00601319" w:rsidRDefault="00601319" w:rsidP="00601319">
    <w:pPr>
      <w:pStyle w:val="Header"/>
      <w:tabs>
        <w:tab w:val="clear" w:pos="4680"/>
      </w:tabs>
      <w:ind w:firstLine="0"/>
      <w:rPr>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0038F"/>
    <w:multiLevelType w:val="multilevel"/>
    <w:tmpl w:val="3C526EDE"/>
    <w:numStyleLink w:val="Headings"/>
  </w:abstractNum>
  <w:abstractNum w:abstractNumId="5" w15:restartNumberingAfterBreak="0">
    <w:nsid w:val="1E2242C9"/>
    <w:multiLevelType w:val="multilevel"/>
    <w:tmpl w:val="3C526EDE"/>
    <w:numStyleLink w:val="Headings"/>
  </w:abstractNum>
  <w:abstractNum w:abstractNumId="6" w15:restartNumberingAfterBreak="0">
    <w:nsid w:val="21FB58FE"/>
    <w:multiLevelType w:val="multilevel"/>
    <w:tmpl w:val="3C526EDE"/>
    <w:numStyleLink w:val="Headings"/>
  </w:abstractNum>
  <w:abstractNum w:abstractNumId="7" w15:restartNumberingAfterBreak="0">
    <w:nsid w:val="243663A0"/>
    <w:multiLevelType w:val="multilevel"/>
    <w:tmpl w:val="3C526EDE"/>
    <w:numStyleLink w:val="Headings"/>
  </w:abstractNum>
  <w:abstractNum w:abstractNumId="8" w15:restartNumberingAfterBreak="0">
    <w:nsid w:val="2B8124D7"/>
    <w:multiLevelType w:val="multilevel"/>
    <w:tmpl w:val="3C526EDE"/>
    <w:numStyleLink w:val="Headings"/>
  </w:abstractNum>
  <w:abstractNum w:abstractNumId="9"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0" w15:restartNumberingAfterBreak="0">
    <w:nsid w:val="59D042D7"/>
    <w:multiLevelType w:val="multilevel"/>
    <w:tmpl w:val="18F4A5AC"/>
    <w:numStyleLink w:val="FoFCoLOP"/>
  </w:abstractNum>
  <w:abstractNum w:abstractNumId="11" w15:restartNumberingAfterBreak="0">
    <w:nsid w:val="5A9E2171"/>
    <w:multiLevelType w:val="multilevel"/>
    <w:tmpl w:val="3C526EDE"/>
    <w:numStyleLink w:val="Headings"/>
  </w:abstractNum>
  <w:abstractNum w:abstractNumId="12" w15:restartNumberingAfterBreak="0">
    <w:nsid w:val="61A25780"/>
    <w:multiLevelType w:val="multilevel"/>
    <w:tmpl w:val="3C526EDE"/>
    <w:numStyleLink w:val="Headings"/>
  </w:abstractNum>
  <w:abstractNum w:abstractNumId="13"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9A0AFE"/>
    <w:multiLevelType w:val="multilevel"/>
    <w:tmpl w:val="18F4A5AC"/>
    <w:numStyleLink w:val="FoFCoLOP"/>
  </w:abstractNum>
  <w:num w:numId="1" w16cid:durableId="1354526949">
    <w:abstractNumId w:val="11"/>
  </w:num>
  <w:num w:numId="2" w16cid:durableId="140774137">
    <w:abstractNumId w:val="1"/>
  </w:num>
  <w:num w:numId="3" w16cid:durableId="1898543446">
    <w:abstractNumId w:val="10"/>
  </w:num>
  <w:num w:numId="4" w16cid:durableId="701521005">
    <w:abstractNumId w:val="2"/>
  </w:num>
  <w:num w:numId="5" w16cid:durableId="2017029027">
    <w:abstractNumId w:val="14"/>
  </w:num>
  <w:num w:numId="6" w16cid:durableId="973756952">
    <w:abstractNumId w:val="9"/>
  </w:num>
  <w:num w:numId="7" w16cid:durableId="827667741">
    <w:abstractNumId w:val="5"/>
  </w:num>
  <w:num w:numId="8" w16cid:durableId="1760327020">
    <w:abstractNumId w:val="13"/>
  </w:num>
  <w:num w:numId="9" w16cid:durableId="816924040">
    <w:abstractNumId w:val="0"/>
  </w:num>
  <w:num w:numId="10" w16cid:durableId="1817916489">
    <w:abstractNumId w:val="4"/>
  </w:num>
  <w:num w:numId="11" w16cid:durableId="291985460">
    <w:abstractNumId w:val="6"/>
  </w:num>
  <w:num w:numId="12" w16cid:durableId="467941983">
    <w:abstractNumId w:val="3"/>
  </w:num>
  <w:num w:numId="13" w16cid:durableId="712996464">
    <w:abstractNumId w:val="7"/>
  </w:num>
  <w:num w:numId="14" w16cid:durableId="1303778653">
    <w:abstractNumId w:val="8"/>
  </w:num>
  <w:num w:numId="15" w16cid:durableId="1714382259">
    <w:abstractNumId w:val="12"/>
  </w:num>
  <w:num w:numId="16" w16cid:durableId="5481076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D13"/>
    <w:rsid w:val="00000F6A"/>
    <w:rsid w:val="000279FC"/>
    <w:rsid w:val="0007115A"/>
    <w:rsid w:val="00077B7E"/>
    <w:rsid w:val="000973C8"/>
    <w:rsid w:val="000A2AA9"/>
    <w:rsid w:val="000A56F2"/>
    <w:rsid w:val="000A6E05"/>
    <w:rsid w:val="000B12FA"/>
    <w:rsid w:val="000C08BF"/>
    <w:rsid w:val="000C3B9A"/>
    <w:rsid w:val="000D25A8"/>
    <w:rsid w:val="000E193E"/>
    <w:rsid w:val="000E270A"/>
    <w:rsid w:val="000E2F71"/>
    <w:rsid w:val="000E4C53"/>
    <w:rsid w:val="000F48C6"/>
    <w:rsid w:val="00121089"/>
    <w:rsid w:val="00123974"/>
    <w:rsid w:val="00184A8F"/>
    <w:rsid w:val="001B60F1"/>
    <w:rsid w:val="001C363F"/>
    <w:rsid w:val="001C7999"/>
    <w:rsid w:val="001E2A62"/>
    <w:rsid w:val="001F2819"/>
    <w:rsid w:val="002043EC"/>
    <w:rsid w:val="002147EE"/>
    <w:rsid w:val="00217D26"/>
    <w:rsid w:val="00243DC0"/>
    <w:rsid w:val="00247477"/>
    <w:rsid w:val="0025602A"/>
    <w:rsid w:val="00266D13"/>
    <w:rsid w:val="00270440"/>
    <w:rsid w:val="00283888"/>
    <w:rsid w:val="00284D8D"/>
    <w:rsid w:val="00287BC5"/>
    <w:rsid w:val="00293DEE"/>
    <w:rsid w:val="002A0B5D"/>
    <w:rsid w:val="002C7FE9"/>
    <w:rsid w:val="002D0DC5"/>
    <w:rsid w:val="002D4EFD"/>
    <w:rsid w:val="00315641"/>
    <w:rsid w:val="00315A97"/>
    <w:rsid w:val="00316071"/>
    <w:rsid w:val="00321487"/>
    <w:rsid w:val="00343882"/>
    <w:rsid w:val="00343E5C"/>
    <w:rsid w:val="00344FB8"/>
    <w:rsid w:val="0036017B"/>
    <w:rsid w:val="00362755"/>
    <w:rsid w:val="00373B93"/>
    <w:rsid w:val="003743E0"/>
    <w:rsid w:val="00380CD1"/>
    <w:rsid w:val="0038630D"/>
    <w:rsid w:val="00393A67"/>
    <w:rsid w:val="003A02CA"/>
    <w:rsid w:val="003A38F0"/>
    <w:rsid w:val="003F069A"/>
    <w:rsid w:val="003F11CD"/>
    <w:rsid w:val="003F4329"/>
    <w:rsid w:val="003F6053"/>
    <w:rsid w:val="00412534"/>
    <w:rsid w:val="00412C83"/>
    <w:rsid w:val="004173E6"/>
    <w:rsid w:val="00426014"/>
    <w:rsid w:val="0044617E"/>
    <w:rsid w:val="0046078B"/>
    <w:rsid w:val="00460B7D"/>
    <w:rsid w:val="00480CB0"/>
    <w:rsid w:val="00483603"/>
    <w:rsid w:val="004A1EAD"/>
    <w:rsid w:val="004A47BE"/>
    <w:rsid w:val="004B34EA"/>
    <w:rsid w:val="004B5494"/>
    <w:rsid w:val="004C7A2B"/>
    <w:rsid w:val="004C7D3A"/>
    <w:rsid w:val="004D4784"/>
    <w:rsid w:val="005018A8"/>
    <w:rsid w:val="00505A39"/>
    <w:rsid w:val="005240BF"/>
    <w:rsid w:val="00527E31"/>
    <w:rsid w:val="00531118"/>
    <w:rsid w:val="00585390"/>
    <w:rsid w:val="005939A5"/>
    <w:rsid w:val="005A148C"/>
    <w:rsid w:val="005C58FA"/>
    <w:rsid w:val="005C7443"/>
    <w:rsid w:val="005F4A1A"/>
    <w:rsid w:val="00601319"/>
    <w:rsid w:val="00603238"/>
    <w:rsid w:val="0061762E"/>
    <w:rsid w:val="00622DCC"/>
    <w:rsid w:val="00632207"/>
    <w:rsid w:val="0063491C"/>
    <w:rsid w:val="00641A5C"/>
    <w:rsid w:val="00641B4C"/>
    <w:rsid w:val="00661AFE"/>
    <w:rsid w:val="00667665"/>
    <w:rsid w:val="00672036"/>
    <w:rsid w:val="00680F19"/>
    <w:rsid w:val="00683B2C"/>
    <w:rsid w:val="0069246A"/>
    <w:rsid w:val="006C1F10"/>
    <w:rsid w:val="006E45B6"/>
    <w:rsid w:val="006E5E28"/>
    <w:rsid w:val="006E6574"/>
    <w:rsid w:val="00702F37"/>
    <w:rsid w:val="00714CF2"/>
    <w:rsid w:val="007156B9"/>
    <w:rsid w:val="00720817"/>
    <w:rsid w:val="00722850"/>
    <w:rsid w:val="00730D4D"/>
    <w:rsid w:val="00732ABA"/>
    <w:rsid w:val="0073353F"/>
    <w:rsid w:val="00735A91"/>
    <w:rsid w:val="00742E45"/>
    <w:rsid w:val="007447AF"/>
    <w:rsid w:val="00750816"/>
    <w:rsid w:val="007657C1"/>
    <w:rsid w:val="0077755F"/>
    <w:rsid w:val="007A406D"/>
    <w:rsid w:val="007A62B0"/>
    <w:rsid w:val="007C5A0C"/>
    <w:rsid w:val="007E08FD"/>
    <w:rsid w:val="007E0FEE"/>
    <w:rsid w:val="007F2017"/>
    <w:rsid w:val="007F78E9"/>
    <w:rsid w:val="0080390E"/>
    <w:rsid w:val="008159CF"/>
    <w:rsid w:val="00816E05"/>
    <w:rsid w:val="008307C3"/>
    <w:rsid w:val="00832F76"/>
    <w:rsid w:val="008339BB"/>
    <w:rsid w:val="0086419A"/>
    <w:rsid w:val="0087023B"/>
    <w:rsid w:val="008740F3"/>
    <w:rsid w:val="00877D13"/>
    <w:rsid w:val="00894572"/>
    <w:rsid w:val="0089481B"/>
    <w:rsid w:val="008A08BF"/>
    <w:rsid w:val="008A179F"/>
    <w:rsid w:val="008B0864"/>
    <w:rsid w:val="008B175A"/>
    <w:rsid w:val="008B6DD4"/>
    <w:rsid w:val="008C3CB7"/>
    <w:rsid w:val="008C7413"/>
    <w:rsid w:val="008D16B7"/>
    <w:rsid w:val="008E6AE6"/>
    <w:rsid w:val="008F0116"/>
    <w:rsid w:val="008F143D"/>
    <w:rsid w:val="008F1F5B"/>
    <w:rsid w:val="00911E55"/>
    <w:rsid w:val="00932865"/>
    <w:rsid w:val="009365BE"/>
    <w:rsid w:val="009548D6"/>
    <w:rsid w:val="00970EA3"/>
    <w:rsid w:val="0098138E"/>
    <w:rsid w:val="0098655A"/>
    <w:rsid w:val="009900A1"/>
    <w:rsid w:val="00997E4B"/>
    <w:rsid w:val="009A0208"/>
    <w:rsid w:val="009A6E36"/>
    <w:rsid w:val="009B051B"/>
    <w:rsid w:val="009B7CCF"/>
    <w:rsid w:val="009C6E67"/>
    <w:rsid w:val="009D2A01"/>
    <w:rsid w:val="009E6052"/>
    <w:rsid w:val="009E7C7F"/>
    <w:rsid w:val="00A17CE0"/>
    <w:rsid w:val="00A23D48"/>
    <w:rsid w:val="00A302B6"/>
    <w:rsid w:val="00A41147"/>
    <w:rsid w:val="00A42306"/>
    <w:rsid w:val="00A44E8D"/>
    <w:rsid w:val="00A46EA8"/>
    <w:rsid w:val="00A55ACD"/>
    <w:rsid w:val="00A71FBA"/>
    <w:rsid w:val="00A85D27"/>
    <w:rsid w:val="00AB3012"/>
    <w:rsid w:val="00AB7875"/>
    <w:rsid w:val="00AC13E6"/>
    <w:rsid w:val="00AC68EE"/>
    <w:rsid w:val="00B01F7E"/>
    <w:rsid w:val="00B11DCC"/>
    <w:rsid w:val="00B16C2A"/>
    <w:rsid w:val="00B3087D"/>
    <w:rsid w:val="00B34794"/>
    <w:rsid w:val="00B55B5A"/>
    <w:rsid w:val="00B60421"/>
    <w:rsid w:val="00B80438"/>
    <w:rsid w:val="00B81EB6"/>
    <w:rsid w:val="00BB0243"/>
    <w:rsid w:val="00BB04BB"/>
    <w:rsid w:val="00BD143E"/>
    <w:rsid w:val="00BE3B81"/>
    <w:rsid w:val="00BF06D5"/>
    <w:rsid w:val="00BF7A1D"/>
    <w:rsid w:val="00C10B5F"/>
    <w:rsid w:val="00C20EC7"/>
    <w:rsid w:val="00C56CF0"/>
    <w:rsid w:val="00C878D5"/>
    <w:rsid w:val="00C9033B"/>
    <w:rsid w:val="00C90F59"/>
    <w:rsid w:val="00C913A1"/>
    <w:rsid w:val="00CB2F2A"/>
    <w:rsid w:val="00CC6A99"/>
    <w:rsid w:val="00CF6D4A"/>
    <w:rsid w:val="00D00AA3"/>
    <w:rsid w:val="00D0504E"/>
    <w:rsid w:val="00D07F73"/>
    <w:rsid w:val="00D14844"/>
    <w:rsid w:val="00D2041C"/>
    <w:rsid w:val="00D25ADE"/>
    <w:rsid w:val="00D43297"/>
    <w:rsid w:val="00D44DB6"/>
    <w:rsid w:val="00D50119"/>
    <w:rsid w:val="00D714D9"/>
    <w:rsid w:val="00D8143D"/>
    <w:rsid w:val="00D82A43"/>
    <w:rsid w:val="00D83222"/>
    <w:rsid w:val="00DA7B5D"/>
    <w:rsid w:val="00DB1E9F"/>
    <w:rsid w:val="00DC61B8"/>
    <w:rsid w:val="00DD7A02"/>
    <w:rsid w:val="00DF58E7"/>
    <w:rsid w:val="00E11876"/>
    <w:rsid w:val="00E23CBB"/>
    <w:rsid w:val="00E313D2"/>
    <w:rsid w:val="00E37B59"/>
    <w:rsid w:val="00E41067"/>
    <w:rsid w:val="00E47FF5"/>
    <w:rsid w:val="00E53438"/>
    <w:rsid w:val="00E65753"/>
    <w:rsid w:val="00E71CF5"/>
    <w:rsid w:val="00E725FC"/>
    <w:rsid w:val="00E9401C"/>
    <w:rsid w:val="00EA36C6"/>
    <w:rsid w:val="00EC30F9"/>
    <w:rsid w:val="00ED5725"/>
    <w:rsid w:val="00ED7031"/>
    <w:rsid w:val="00ED7BE8"/>
    <w:rsid w:val="00EE3060"/>
    <w:rsid w:val="00EE4315"/>
    <w:rsid w:val="00EF6925"/>
    <w:rsid w:val="00F12118"/>
    <w:rsid w:val="00F1421A"/>
    <w:rsid w:val="00F14313"/>
    <w:rsid w:val="00F26ED3"/>
    <w:rsid w:val="00F3079B"/>
    <w:rsid w:val="00F42D17"/>
    <w:rsid w:val="00F54DC1"/>
    <w:rsid w:val="00F62B7A"/>
    <w:rsid w:val="00F6397D"/>
    <w:rsid w:val="00F7293E"/>
    <w:rsid w:val="00F76650"/>
    <w:rsid w:val="00F86275"/>
    <w:rsid w:val="00F9187B"/>
    <w:rsid w:val="00F92385"/>
    <w:rsid w:val="00FA1B4F"/>
    <w:rsid w:val="00FB36E2"/>
    <w:rsid w:val="00FC3755"/>
    <w:rsid w:val="00FC47F9"/>
    <w:rsid w:val="00FD3F9D"/>
    <w:rsid w:val="00FD7460"/>
    <w:rsid w:val="00FE2351"/>
    <w:rsid w:val="00FE337D"/>
    <w:rsid w:val="00FE5580"/>
    <w:rsid w:val="00FF1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267AF"/>
  <w15:chartTrackingRefBased/>
  <w15:docId w15:val="{EDA069AE-5C52-4FDD-8A74-0C7A1A0B70F6}"/>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4"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qFormat/>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qFormat/>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qFormat/>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styleId="Revision">
    <w:name w:val="Revision"/>
    <w:hidden/>
    <w:uiPriority w:val="99"/>
    <w:semiHidden/>
    <w:rsid w:val="004173E6"/>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B80438"/>
    <w:rPr>
      <w:sz w:val="16"/>
      <w:szCs w:val="16"/>
    </w:rPr>
  </w:style>
  <w:style w:type="paragraph" w:styleId="CommentText">
    <w:name w:val="annotation text"/>
    <w:basedOn w:val="Normal"/>
    <w:link w:val="CommentTextChar"/>
    <w:uiPriority w:val="99"/>
    <w:unhideWhenUsed/>
    <w:rsid w:val="00B80438"/>
    <w:pPr>
      <w:spacing w:line="240" w:lineRule="auto"/>
    </w:pPr>
    <w:rPr>
      <w:sz w:val="20"/>
      <w:szCs w:val="20"/>
    </w:rPr>
  </w:style>
  <w:style w:type="character" w:customStyle="1" w:styleId="CommentTextChar">
    <w:name w:val="Comment Text Char"/>
    <w:basedOn w:val="DefaultParagraphFont"/>
    <w:link w:val="CommentText"/>
    <w:uiPriority w:val="99"/>
    <w:rsid w:val="00B80438"/>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B80438"/>
    <w:rPr>
      <w:b/>
      <w:bCs/>
    </w:rPr>
  </w:style>
  <w:style w:type="character" w:customStyle="1" w:styleId="CommentSubjectChar">
    <w:name w:val="Comment Subject Char"/>
    <w:basedOn w:val="CommentTextChar"/>
    <w:link w:val="CommentSubject"/>
    <w:uiPriority w:val="99"/>
    <w:semiHidden/>
    <w:rsid w:val="00B80438"/>
    <w:rPr>
      <w:rFonts w:ascii="Book Antiqua" w:hAnsi="Book Antiqu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7782">
      <w:bodyDiv w:val="1"/>
      <w:marLeft w:val="0"/>
      <w:marRight w:val="0"/>
      <w:marTop w:val="0"/>
      <w:marBottom w:val="0"/>
      <w:divBdr>
        <w:top w:val="none" w:sz="0" w:space="0" w:color="auto"/>
        <w:left w:val="none" w:sz="0" w:space="0" w:color="auto"/>
        <w:bottom w:val="none" w:sz="0" w:space="0" w:color="auto"/>
        <w:right w:val="none" w:sz="0" w:space="0" w:color="auto"/>
      </w:divBdr>
    </w:div>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409425668">
      <w:bodyDiv w:val="1"/>
      <w:marLeft w:val="0"/>
      <w:marRight w:val="0"/>
      <w:marTop w:val="0"/>
      <w:marBottom w:val="0"/>
      <w:divBdr>
        <w:top w:val="none" w:sz="0" w:space="0" w:color="auto"/>
        <w:left w:val="none" w:sz="0" w:space="0" w:color="auto"/>
        <w:bottom w:val="none" w:sz="0" w:space="0" w:color="auto"/>
        <w:right w:val="none" w:sz="0" w:space="0" w:color="auto"/>
      </w:divBdr>
    </w:div>
    <w:div w:id="734010025">
      <w:bodyDiv w:val="1"/>
      <w:marLeft w:val="0"/>
      <w:marRight w:val="0"/>
      <w:marTop w:val="0"/>
      <w:marBottom w:val="0"/>
      <w:divBdr>
        <w:top w:val="none" w:sz="0" w:space="0" w:color="auto"/>
        <w:left w:val="none" w:sz="0" w:space="0" w:color="auto"/>
        <w:bottom w:val="none" w:sz="0" w:space="0" w:color="auto"/>
        <w:right w:val="none" w:sz="0" w:space="0" w:color="auto"/>
      </w:divBdr>
    </w:div>
    <w:div w:id="79995354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850067809">
      <w:bodyDiv w:val="1"/>
      <w:marLeft w:val="0"/>
      <w:marRight w:val="0"/>
      <w:marTop w:val="0"/>
      <w:marBottom w:val="0"/>
      <w:divBdr>
        <w:top w:val="none" w:sz="0" w:space="0" w:color="auto"/>
        <w:left w:val="none" w:sz="0" w:space="0" w:color="auto"/>
        <w:bottom w:val="none" w:sz="0" w:space="0" w:color="auto"/>
        <w:right w:val="none" w:sz="0" w:space="0" w:color="auto"/>
      </w:divBdr>
    </w:div>
    <w:div w:id="930703294">
      <w:bodyDiv w:val="1"/>
      <w:marLeft w:val="0"/>
      <w:marRight w:val="0"/>
      <w:marTop w:val="0"/>
      <w:marBottom w:val="0"/>
      <w:divBdr>
        <w:top w:val="none" w:sz="0" w:space="0" w:color="auto"/>
        <w:left w:val="none" w:sz="0" w:space="0" w:color="auto"/>
        <w:bottom w:val="none" w:sz="0" w:space="0" w:color="auto"/>
        <w:right w:val="none" w:sz="0" w:space="0" w:color="auto"/>
      </w:divBdr>
    </w:div>
    <w:div w:id="1036932900">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 w:id="1374423192">
      <w:bodyDiv w:val="1"/>
      <w:marLeft w:val="0"/>
      <w:marRight w:val="0"/>
      <w:marTop w:val="0"/>
      <w:marBottom w:val="0"/>
      <w:divBdr>
        <w:top w:val="none" w:sz="0" w:space="0" w:color="auto"/>
        <w:left w:val="none" w:sz="0" w:space="0" w:color="auto"/>
        <w:bottom w:val="none" w:sz="0" w:space="0" w:color="auto"/>
        <w:right w:val="none" w:sz="0" w:space="0" w:color="auto"/>
      </w:divBdr>
    </w:div>
    <w:div w:id="1452748483">
      <w:bodyDiv w:val="1"/>
      <w:marLeft w:val="0"/>
      <w:marRight w:val="0"/>
      <w:marTop w:val="0"/>
      <w:marBottom w:val="0"/>
      <w:divBdr>
        <w:top w:val="none" w:sz="0" w:space="0" w:color="auto"/>
        <w:left w:val="none" w:sz="0" w:space="0" w:color="auto"/>
        <w:bottom w:val="none" w:sz="0" w:space="0" w:color="auto"/>
        <w:right w:val="none" w:sz="0" w:space="0" w:color="auto"/>
      </w:divBdr>
    </w:div>
    <w:div w:id="1628394636">
      <w:bodyDiv w:val="1"/>
      <w:marLeft w:val="0"/>
      <w:marRight w:val="0"/>
      <w:marTop w:val="0"/>
      <w:marBottom w:val="0"/>
      <w:divBdr>
        <w:top w:val="none" w:sz="0" w:space="0" w:color="auto"/>
        <w:left w:val="none" w:sz="0" w:space="0" w:color="auto"/>
        <w:bottom w:val="none" w:sz="0" w:space="0" w:color="auto"/>
        <w:right w:val="none" w:sz="0" w:space="0" w:color="auto"/>
      </w:divBdr>
    </w:div>
    <w:div w:id="1944072125">
      <w:bodyDiv w:val="1"/>
      <w:marLeft w:val="0"/>
      <w:marRight w:val="0"/>
      <w:marTop w:val="0"/>
      <w:marBottom w:val="0"/>
      <w:divBdr>
        <w:top w:val="none" w:sz="0" w:space="0" w:color="auto"/>
        <w:left w:val="none" w:sz="0" w:space="0" w:color="auto"/>
        <w:bottom w:val="none" w:sz="0" w:space="0" w:color="auto"/>
        <w:right w:val="none" w:sz="0" w:space="0" w:color="auto"/>
      </w:divBdr>
    </w:div>
    <w:div w:id="214546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Props1.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3.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4.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5</ap:Pages>
  <ap:Words>933</ap:Words>
  <ap:Characters>5053</ap:Characters>
  <ap:Application>Microsoft Office Word</ap:Application>
  <ap:DocSecurity>0</ap:DocSecurity>
  <ap:Lines>118</ap:Lines>
  <ap:Paragraphs>47</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5975</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2026-03-23T08:58:23Z</dcterms:created>
  <dcterms:modified xsi:type="dcterms:W3CDTF">2026-03-23T08:58:23Z</dcterms:modified>
</cp:coreProperties>
</file>