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C59B5" w:rsidR="001C59B5" w:rsidP="0072262D" w:rsidRDefault="001C59B5" w14:paraId="6BFA5720" w14:textId="30A6502C">
      <w:pPr>
        <w:tabs>
          <w:tab w:val="left" w:pos="4140"/>
        </w:tabs>
        <w:spacing w:line="240" w:lineRule="auto"/>
        <w:ind w:firstLine="0"/>
        <w:rPr>
          <w:bCs/>
        </w:rPr>
      </w:pPr>
      <w:bookmarkStart w:name="_Hlk182490147" w:id="0"/>
      <w:r w:rsidRPr="001C59B5">
        <w:rPr>
          <w:bCs/>
        </w:rPr>
        <w:t>ALJ/</w:t>
      </w:r>
      <w:r w:rsidR="0059402C">
        <w:rPr>
          <w:bCs/>
        </w:rPr>
        <w:t>MOD-POD</w:t>
      </w:r>
      <w:r w:rsidR="0083371F">
        <w:rPr>
          <w:bCs/>
        </w:rPr>
        <w:t>-DBB</w:t>
      </w:r>
      <w:r w:rsidR="0059402C">
        <w:rPr>
          <w:bCs/>
        </w:rPr>
        <w:t>/</w:t>
      </w:r>
      <w:proofErr w:type="spellStart"/>
      <w:r w:rsidR="0059402C">
        <w:rPr>
          <w:bCs/>
        </w:rPr>
        <w:t>avs</w:t>
      </w:r>
      <w:proofErr w:type="spellEnd"/>
      <w:r w:rsidR="0072262D">
        <w:rPr>
          <w:bCs/>
        </w:rPr>
        <w:tab/>
      </w:r>
      <w:r w:rsidR="0072262D">
        <w:rPr>
          <w:bCs/>
        </w:rPr>
        <w:tab/>
      </w:r>
      <w:r w:rsidR="00097A72">
        <w:rPr>
          <w:bCs/>
        </w:rPr>
        <w:tab/>
      </w:r>
      <w:r w:rsidR="0011068F">
        <w:rPr>
          <w:bCs/>
        </w:rPr>
        <w:tab/>
      </w:r>
      <w:r w:rsidR="0011068F">
        <w:rPr>
          <w:b/>
        </w:rPr>
        <w:t xml:space="preserve">Date of </w:t>
      </w:r>
      <w:proofErr w:type="gramStart"/>
      <w:r w:rsidR="0011068F">
        <w:rPr>
          <w:b/>
        </w:rPr>
        <w:t>Issuance  3</w:t>
      </w:r>
      <w:proofErr w:type="gramEnd"/>
      <w:r w:rsidR="0011068F">
        <w:rPr>
          <w:b/>
        </w:rPr>
        <w:t>/</w:t>
      </w:r>
      <w:r w:rsidR="002F5FB9">
        <w:rPr>
          <w:b/>
        </w:rPr>
        <w:t>23</w:t>
      </w:r>
      <w:r w:rsidR="0011068F">
        <w:rPr>
          <w:b/>
        </w:rPr>
        <w:t>/2026</w:t>
      </w:r>
    </w:p>
    <w:p w:rsidRPr="008E2228" w:rsidR="001C59B5" w:rsidP="00097A72" w:rsidRDefault="001C59B5" w14:paraId="7DED4D93" w14:textId="477FD986">
      <w:pPr>
        <w:tabs>
          <w:tab w:val="right" w:pos="9360"/>
        </w:tabs>
        <w:spacing w:line="240" w:lineRule="auto"/>
        <w:ind w:firstLine="0"/>
        <w:jc w:val="right"/>
        <w:rPr>
          <w:b/>
        </w:rPr>
      </w:pPr>
    </w:p>
    <w:p w:rsidRPr="008E2228" w:rsidR="00097A72" w:rsidP="00097A72" w:rsidRDefault="00097A72" w14:paraId="4CC3C6E3" w14:textId="3B1B848F">
      <w:pPr>
        <w:tabs>
          <w:tab w:val="right" w:pos="9360"/>
        </w:tabs>
        <w:spacing w:line="240" w:lineRule="auto"/>
        <w:ind w:firstLine="0"/>
        <w:jc w:val="right"/>
        <w:rPr>
          <w:b/>
        </w:rPr>
      </w:pPr>
    </w:p>
    <w:p w:rsidRPr="001C59B5" w:rsidR="001C59B5" w:rsidP="001C59B5" w:rsidRDefault="001C59B5" w14:paraId="13C5F06C" w14:textId="77777777">
      <w:pPr>
        <w:tabs>
          <w:tab w:val="right" w:pos="9360"/>
        </w:tabs>
        <w:spacing w:line="240" w:lineRule="auto"/>
        <w:ind w:firstLine="0"/>
        <w:rPr>
          <w:bCs/>
        </w:rPr>
      </w:pPr>
    </w:p>
    <w:p w:rsidRPr="001C59B5" w:rsidR="001C59B5" w:rsidP="0059402C" w:rsidRDefault="0059402C" w14:paraId="79FBFD0F" w14:textId="24790B65">
      <w:pPr>
        <w:tabs>
          <w:tab w:val="right" w:pos="9360"/>
        </w:tabs>
        <w:spacing w:line="240" w:lineRule="auto"/>
        <w:ind w:firstLine="0"/>
        <w:rPr>
          <w:bCs/>
        </w:rPr>
      </w:pPr>
      <w:r>
        <w:rPr>
          <w:bCs/>
        </w:rPr>
        <w:t xml:space="preserve">Decision </w:t>
      </w:r>
      <w:r w:rsidR="0011068F">
        <w:rPr>
          <w:bCs/>
        </w:rPr>
        <w:t>26-03-</w:t>
      </w:r>
      <w:proofErr w:type="gramStart"/>
      <w:r w:rsidR="0011068F">
        <w:rPr>
          <w:bCs/>
        </w:rPr>
        <w:t>024  March</w:t>
      </w:r>
      <w:proofErr w:type="gramEnd"/>
      <w:r w:rsidR="0011068F">
        <w:rPr>
          <w:bCs/>
        </w:rPr>
        <w:t xml:space="preserve"> 19, 2026</w:t>
      </w:r>
    </w:p>
    <w:p w:rsidRPr="001C59B5" w:rsidR="001C59B5" w:rsidP="001C59B5" w:rsidRDefault="001C59B5" w14:paraId="532814B8" w14:textId="77777777">
      <w:pPr>
        <w:spacing w:line="240" w:lineRule="auto"/>
        <w:ind w:firstLine="0"/>
        <w:rPr>
          <w:rFonts w:cs="Arial"/>
          <w:sz w:val="24"/>
          <w:szCs w:val="24"/>
        </w:rPr>
      </w:pPr>
    </w:p>
    <w:p w:rsidRPr="001C59B5" w:rsidR="001C59B5" w:rsidP="001C59B5" w:rsidRDefault="001C59B5" w14:paraId="43AFC2D1" w14:textId="77777777">
      <w:pPr>
        <w:spacing w:line="276" w:lineRule="auto"/>
        <w:ind w:firstLine="0"/>
        <w:rPr>
          <w:rFonts w:cs="Arial"/>
          <w:sz w:val="24"/>
          <w:szCs w:val="24"/>
        </w:rPr>
      </w:pPr>
    </w:p>
    <w:p w:rsidR="00790BFC" w:rsidP="00A6676A" w:rsidRDefault="00790BFC" w14:paraId="3741679B" w14:textId="37632263">
      <w:pPr>
        <w:spacing w:line="240" w:lineRule="auto"/>
        <w:ind w:firstLine="0"/>
        <w:jc w:val="center"/>
        <w:rPr>
          <w:rFonts w:ascii="Arial" w:hAnsi="Arial" w:eastAsia="Calibri" w:cs="Arial"/>
          <w:sz w:val="24"/>
          <w:szCs w:val="24"/>
        </w:rPr>
      </w:pPr>
      <w:r>
        <w:rPr>
          <w:rFonts w:ascii="Arial" w:hAnsi="Arial" w:eastAsia="Calibri" w:cs="Arial"/>
          <w:b/>
          <w:sz w:val="24"/>
          <w:szCs w:val="24"/>
        </w:rPr>
        <w:t>BEFORE THE PUBLIC UTILITIES COMMISSION OF THE STATE OF CALIFORNIA</w:t>
      </w:r>
    </w:p>
    <w:p w:rsidR="00790BFC" w:rsidP="00790BFC" w:rsidRDefault="00790BFC" w14:paraId="1C95CA1B" w14:textId="77777777">
      <w:pPr>
        <w:spacing w:line="240" w:lineRule="auto"/>
        <w:ind w:firstLine="0"/>
        <w:rPr>
          <w:rFonts w:ascii="Arial" w:hAnsi="Arial" w:eastAsia="Calibri" w:cs="Arial"/>
          <w:sz w:val="24"/>
          <w:szCs w:val="24"/>
        </w:rPr>
      </w:pPr>
    </w:p>
    <w:tbl>
      <w:tblPr>
        <w:tblStyle w:val="TableGrid2"/>
        <w:tblW w:w="9360" w:type="dxa"/>
        <w:jc w:val="center"/>
        <w:tblLayout w:type="fixed"/>
        <w:tblLook w:val="04A0" w:firstRow="1" w:lastRow="0" w:firstColumn="1" w:lastColumn="0" w:noHBand="0" w:noVBand="1"/>
      </w:tblPr>
      <w:tblGrid>
        <w:gridCol w:w="4770"/>
        <w:gridCol w:w="4590"/>
      </w:tblGrid>
      <w:tr w:rsidRPr="002B227C" w:rsidR="002B227C" w:rsidTr="00A023C2" w14:paraId="485DF931" w14:textId="77777777">
        <w:trPr>
          <w:jc w:val="center"/>
        </w:trPr>
        <w:tc>
          <w:tcPr>
            <w:tcW w:w="4770" w:type="dxa"/>
            <w:tcBorders>
              <w:top w:val="nil"/>
              <w:left w:val="nil"/>
              <w:bottom w:val="single" w:color="auto" w:sz="4" w:space="0"/>
              <w:right w:val="single" w:color="auto" w:sz="4" w:space="0"/>
            </w:tcBorders>
          </w:tcPr>
          <w:p w:rsidR="001C59B5" w:rsidP="002B227C" w:rsidRDefault="001C59B5" w14:paraId="66536171" w14:textId="77777777">
            <w:pPr>
              <w:spacing w:line="240" w:lineRule="auto"/>
              <w:ind w:firstLine="0"/>
              <w:rPr>
                <w:rFonts w:cs="Arial"/>
                <w:szCs w:val="26"/>
              </w:rPr>
            </w:pPr>
            <w:r w:rsidRPr="001C59B5">
              <w:rPr>
                <w:rFonts w:cs="Arial"/>
                <w:szCs w:val="26"/>
              </w:rPr>
              <w:t xml:space="preserve">Rebecca Flores Trustee on Behalf of the </w:t>
            </w:r>
            <w:proofErr w:type="spellStart"/>
            <w:r w:rsidRPr="001C59B5">
              <w:rPr>
                <w:rFonts w:cs="Arial"/>
                <w:szCs w:val="26"/>
              </w:rPr>
              <w:t>Cytah</w:t>
            </w:r>
            <w:proofErr w:type="spellEnd"/>
            <w:r w:rsidRPr="001C59B5">
              <w:rPr>
                <w:rFonts w:cs="Arial"/>
                <w:szCs w:val="26"/>
              </w:rPr>
              <w:t xml:space="preserve"> Flores Legacy Trust, </w:t>
            </w:r>
          </w:p>
          <w:p w:rsidR="001C59B5" w:rsidP="002B227C" w:rsidRDefault="001C59B5" w14:paraId="2696A410" w14:textId="77777777">
            <w:pPr>
              <w:spacing w:line="240" w:lineRule="auto"/>
              <w:ind w:firstLine="0"/>
              <w:rPr>
                <w:rFonts w:cs="Arial"/>
                <w:szCs w:val="26"/>
              </w:rPr>
            </w:pPr>
          </w:p>
          <w:p w:rsidR="001C59B5" w:rsidP="001C59B5" w:rsidRDefault="001C59B5" w14:paraId="764343D9" w14:textId="77777777">
            <w:pPr>
              <w:spacing w:line="240" w:lineRule="auto"/>
              <w:ind w:firstLine="0"/>
              <w:jc w:val="right"/>
              <w:rPr>
                <w:rFonts w:cs="Arial"/>
                <w:szCs w:val="26"/>
              </w:rPr>
            </w:pPr>
            <w:r w:rsidRPr="001C59B5">
              <w:rPr>
                <w:rFonts w:cs="Arial"/>
                <w:szCs w:val="26"/>
              </w:rPr>
              <w:t>Complainant</w:t>
            </w:r>
            <w:r>
              <w:rPr>
                <w:rFonts w:cs="Arial"/>
                <w:szCs w:val="26"/>
              </w:rPr>
              <w:t>,</w:t>
            </w:r>
          </w:p>
          <w:p w:rsidR="001C59B5" w:rsidP="002B227C" w:rsidRDefault="001C59B5" w14:paraId="3A6010AE" w14:textId="77777777">
            <w:pPr>
              <w:spacing w:line="240" w:lineRule="auto"/>
              <w:ind w:firstLine="0"/>
              <w:rPr>
                <w:rFonts w:cs="Arial"/>
                <w:szCs w:val="26"/>
              </w:rPr>
            </w:pPr>
          </w:p>
          <w:p w:rsidR="001C59B5" w:rsidP="001C59B5" w:rsidRDefault="001C59B5" w14:paraId="63D442F4" w14:textId="2B29D11E">
            <w:pPr>
              <w:spacing w:line="240" w:lineRule="auto"/>
              <w:ind w:firstLine="0"/>
              <w:jc w:val="center"/>
              <w:rPr>
                <w:rFonts w:cs="Arial"/>
                <w:szCs w:val="26"/>
              </w:rPr>
            </w:pPr>
            <w:r w:rsidRPr="001C59B5">
              <w:rPr>
                <w:rFonts w:cs="Arial"/>
                <w:szCs w:val="26"/>
              </w:rPr>
              <w:t>vs.</w:t>
            </w:r>
          </w:p>
          <w:p w:rsidR="001C59B5" w:rsidP="002B227C" w:rsidRDefault="001C59B5" w14:paraId="24751C52" w14:textId="77777777">
            <w:pPr>
              <w:spacing w:line="240" w:lineRule="auto"/>
              <w:ind w:firstLine="0"/>
              <w:rPr>
                <w:rFonts w:cs="Arial"/>
                <w:szCs w:val="26"/>
              </w:rPr>
            </w:pPr>
          </w:p>
          <w:p w:rsidR="001C59B5" w:rsidP="002B227C" w:rsidRDefault="001C59B5" w14:paraId="2285E54F" w14:textId="77777777">
            <w:pPr>
              <w:spacing w:line="240" w:lineRule="auto"/>
              <w:ind w:firstLine="0"/>
              <w:rPr>
                <w:rFonts w:cs="Arial"/>
                <w:szCs w:val="26"/>
              </w:rPr>
            </w:pPr>
            <w:r w:rsidRPr="001C59B5">
              <w:rPr>
                <w:rFonts w:cs="Arial"/>
                <w:szCs w:val="26"/>
              </w:rPr>
              <w:t xml:space="preserve">Pacific Gas and Electric Company (U39E), </w:t>
            </w:r>
          </w:p>
          <w:p w:rsidR="001C59B5" w:rsidP="002B227C" w:rsidRDefault="001C59B5" w14:paraId="69382D2C" w14:textId="77777777">
            <w:pPr>
              <w:spacing w:line="240" w:lineRule="auto"/>
              <w:ind w:firstLine="0"/>
              <w:rPr>
                <w:rFonts w:cs="Arial"/>
                <w:szCs w:val="26"/>
              </w:rPr>
            </w:pPr>
          </w:p>
          <w:p w:rsidR="002B227C" w:rsidP="001C59B5" w:rsidRDefault="001C59B5" w14:paraId="35EA525C" w14:textId="77777777">
            <w:pPr>
              <w:spacing w:line="240" w:lineRule="auto"/>
              <w:ind w:firstLine="0"/>
              <w:jc w:val="right"/>
              <w:rPr>
                <w:rFonts w:cs="Arial"/>
                <w:szCs w:val="26"/>
              </w:rPr>
            </w:pPr>
            <w:r w:rsidRPr="001C59B5">
              <w:rPr>
                <w:rFonts w:cs="Arial"/>
                <w:szCs w:val="26"/>
              </w:rPr>
              <w:t>Defendant.</w:t>
            </w:r>
          </w:p>
          <w:p w:rsidRPr="002B227C" w:rsidR="001C59B5" w:rsidP="001C59B5" w:rsidRDefault="001C59B5" w14:paraId="58F99D8C" w14:textId="05BAC585">
            <w:pPr>
              <w:spacing w:line="240" w:lineRule="auto"/>
              <w:ind w:firstLine="0"/>
              <w:jc w:val="right"/>
              <w:rPr>
                <w:rFonts w:cs="Arial"/>
                <w:szCs w:val="26"/>
              </w:rPr>
            </w:pPr>
          </w:p>
        </w:tc>
        <w:tc>
          <w:tcPr>
            <w:tcW w:w="4590" w:type="dxa"/>
            <w:tcBorders>
              <w:top w:val="nil"/>
              <w:left w:val="single" w:color="auto" w:sz="4" w:space="0"/>
              <w:bottom w:val="nil"/>
              <w:right w:val="nil"/>
            </w:tcBorders>
            <w:vAlign w:val="center"/>
          </w:tcPr>
          <w:p w:rsidRPr="002B227C" w:rsidR="002B227C" w:rsidP="002B227C" w:rsidRDefault="002B227C" w14:paraId="7B1DFC1E" w14:textId="4949C09A">
            <w:pPr>
              <w:spacing w:line="240" w:lineRule="auto"/>
              <w:ind w:firstLine="0"/>
              <w:jc w:val="center"/>
              <w:rPr>
                <w:rFonts w:cs="Arial"/>
                <w:szCs w:val="26"/>
              </w:rPr>
            </w:pPr>
            <w:r w:rsidRPr="002B227C">
              <w:rPr>
                <w:rFonts w:cs="Arial"/>
                <w:szCs w:val="26"/>
              </w:rPr>
              <w:t>Case 2</w:t>
            </w:r>
            <w:r w:rsidR="00092ABA">
              <w:rPr>
                <w:rFonts w:cs="Arial"/>
                <w:szCs w:val="26"/>
              </w:rPr>
              <w:t>5-08-012</w:t>
            </w:r>
          </w:p>
        </w:tc>
      </w:tr>
    </w:tbl>
    <w:p w:rsidR="001C59B5" w:rsidP="0059402C" w:rsidRDefault="001C59B5" w14:paraId="1B92AFF1" w14:textId="66640C92">
      <w:pPr>
        <w:pStyle w:val="Dummy"/>
        <w:keepNext w:val="0"/>
        <w:spacing w:before="240" w:after="240"/>
        <w:jc w:val="center"/>
        <w:rPr>
          <w:rFonts w:eastAsia="Times New Roman" w:cs="Times New Roman"/>
          <w:caps/>
          <w:szCs w:val="56"/>
        </w:rPr>
      </w:pPr>
      <w:bookmarkStart w:name="_Hlk54356077" w:id="1"/>
      <w:r>
        <w:rPr>
          <w:rFonts w:eastAsia="Times New Roman" w:cs="Times New Roman"/>
          <w:szCs w:val="56"/>
        </w:rPr>
        <w:t xml:space="preserve">PRESIDING OFFICER’S </w:t>
      </w:r>
      <w:r w:rsidR="0059402C">
        <w:rPr>
          <w:rFonts w:eastAsia="Times New Roman" w:cs="Times New Roman"/>
          <w:szCs w:val="56"/>
        </w:rPr>
        <w:t xml:space="preserve">MODIFIED </w:t>
      </w:r>
      <w:r w:rsidR="0059402C">
        <w:rPr>
          <w:rFonts w:eastAsia="Times New Roman" w:cs="Times New Roman"/>
          <w:szCs w:val="56"/>
        </w:rPr>
        <w:br/>
      </w:r>
      <w:r>
        <w:rPr>
          <w:rFonts w:eastAsia="Times New Roman" w:cs="Times New Roman"/>
          <w:szCs w:val="56"/>
        </w:rPr>
        <w:t>DECISION DISMISSING COMPLAINT</w:t>
      </w:r>
      <w:bookmarkStart w:name="_Toc104469878" w:id="2"/>
      <w:bookmarkEnd w:id="1"/>
      <w:r>
        <w:rPr>
          <w:rFonts w:eastAsia="Times New Roman" w:cs="Times New Roman"/>
          <w:szCs w:val="56"/>
        </w:rPr>
        <w:t xml:space="preserve"> </w:t>
      </w:r>
    </w:p>
    <w:p w:rsidR="00790BFC" w:rsidP="001C59B5" w:rsidRDefault="00790BFC" w14:paraId="2E739688" w14:textId="4F12B410">
      <w:pPr>
        <w:pStyle w:val="Dummy"/>
        <w:rPr>
          <w:b w:val="0"/>
        </w:rPr>
      </w:pPr>
      <w:r w:rsidRPr="001C59B5">
        <w:t>Summary</w:t>
      </w:r>
      <w:bookmarkEnd w:id="2"/>
    </w:p>
    <w:p w:rsidR="000E7ADF" w:rsidP="007B036E" w:rsidRDefault="00BD05D7" w14:paraId="68211BF5" w14:textId="72E86B1A">
      <w:pPr>
        <w:pStyle w:val="Standard"/>
        <w:rPr>
          <w:rFonts w:cs="Arial"/>
          <w:szCs w:val="26"/>
        </w:rPr>
      </w:pPr>
      <w:r>
        <w:t xml:space="preserve">The decision </w:t>
      </w:r>
      <w:r w:rsidR="00001CFC">
        <w:t>dismisses</w:t>
      </w:r>
      <w:r w:rsidR="00943415">
        <w:t xml:space="preserve"> </w:t>
      </w:r>
      <w:r w:rsidR="00061729">
        <w:t xml:space="preserve">the complaint filed by </w:t>
      </w:r>
      <w:r w:rsidR="00092ABA">
        <w:t xml:space="preserve">Rebecca Flores, Trustee on Behalf of the </w:t>
      </w:r>
      <w:proofErr w:type="spellStart"/>
      <w:r w:rsidR="00092ABA">
        <w:t>Cytah</w:t>
      </w:r>
      <w:proofErr w:type="spellEnd"/>
      <w:r w:rsidR="00092ABA">
        <w:t xml:space="preserve"> Flores Legacy Trust,</w:t>
      </w:r>
      <w:r w:rsidR="00061729">
        <w:t xml:space="preserve"> against </w:t>
      </w:r>
      <w:r w:rsidR="00092ABA">
        <w:rPr>
          <w:rFonts w:cs="Arial"/>
          <w:szCs w:val="26"/>
        </w:rPr>
        <w:t>Pacific Gas and Electric Company</w:t>
      </w:r>
      <w:r w:rsidR="00001CFC">
        <w:rPr>
          <w:rFonts w:cs="Arial"/>
          <w:szCs w:val="26"/>
        </w:rPr>
        <w:t>, for failure to state a claim upon which the Commission can grant relief</w:t>
      </w:r>
      <w:r w:rsidR="00061729">
        <w:rPr>
          <w:rFonts w:cs="Arial"/>
          <w:szCs w:val="26"/>
        </w:rPr>
        <w:t>.</w:t>
      </w:r>
      <w:r w:rsidR="00732C11">
        <w:rPr>
          <w:rFonts w:cs="Arial"/>
          <w:szCs w:val="26"/>
        </w:rPr>
        <w:t xml:space="preserve"> </w:t>
      </w:r>
      <w:r w:rsidR="00092ABA">
        <w:rPr>
          <w:rFonts w:cs="Arial"/>
          <w:szCs w:val="26"/>
        </w:rPr>
        <w:t xml:space="preserve"> </w:t>
      </w:r>
      <w:r w:rsidR="000E7ADF">
        <w:rPr>
          <w:rFonts w:cs="Arial"/>
          <w:szCs w:val="26"/>
        </w:rPr>
        <w:t>The complaint is denied and dismissed</w:t>
      </w:r>
      <w:r w:rsidR="00FD39CF">
        <w:rPr>
          <w:rFonts w:cs="Arial"/>
          <w:szCs w:val="26"/>
        </w:rPr>
        <w:t xml:space="preserve"> with prejudice</w:t>
      </w:r>
      <w:r w:rsidR="000E7ADF">
        <w:rPr>
          <w:rFonts w:cs="Arial"/>
          <w:szCs w:val="26"/>
        </w:rPr>
        <w:t>.</w:t>
      </w:r>
    </w:p>
    <w:p w:rsidR="00790BFC" w:rsidP="007B036E" w:rsidRDefault="00790BFC" w14:paraId="1E2A0EE5" w14:textId="5ACF9201">
      <w:pPr>
        <w:pStyle w:val="Standard"/>
      </w:pPr>
      <w:r>
        <w:t>This proceeding is closed.</w:t>
      </w:r>
    </w:p>
    <w:p w:rsidR="00790BFC" w:rsidP="00B0795B" w:rsidRDefault="003C5FA3" w14:paraId="4E8A3903" w14:textId="204A0FE3">
      <w:pPr>
        <w:pStyle w:val="Heading1"/>
        <w:rPr>
          <w:rFonts w:eastAsia="Times New Roman"/>
        </w:rPr>
      </w:pPr>
      <w:r>
        <w:rPr>
          <w:rFonts w:eastAsia="Times New Roman"/>
        </w:rPr>
        <w:t xml:space="preserve">Procedural </w:t>
      </w:r>
      <w:r w:rsidR="000E7ADF">
        <w:rPr>
          <w:rFonts w:eastAsia="Times New Roman"/>
        </w:rPr>
        <w:t xml:space="preserve">and Factual </w:t>
      </w:r>
      <w:r w:rsidR="00790BFC">
        <w:rPr>
          <w:rFonts w:eastAsia="Times New Roman"/>
        </w:rPr>
        <w:t>Background</w:t>
      </w:r>
    </w:p>
    <w:p w:rsidR="00092ABA" w:rsidP="002B227C" w:rsidRDefault="00061729" w14:paraId="70250ED6" w14:textId="17997C6E">
      <w:pPr>
        <w:pStyle w:val="Standard"/>
        <w:rPr>
          <w:rFonts w:eastAsia="Calibri" w:cs="Arial"/>
          <w:szCs w:val="26"/>
        </w:rPr>
      </w:pPr>
      <w:r>
        <w:rPr>
          <w:rFonts w:eastAsia="Calibri" w:cs="Times New Roman"/>
        </w:rPr>
        <w:t xml:space="preserve">On </w:t>
      </w:r>
      <w:r w:rsidR="00092ABA">
        <w:rPr>
          <w:rFonts w:eastAsia="Calibri" w:cs="Times New Roman"/>
        </w:rPr>
        <w:t>August 6, 2025</w:t>
      </w:r>
      <w:r>
        <w:rPr>
          <w:rFonts w:eastAsia="Calibri" w:cs="Times New Roman"/>
        </w:rPr>
        <w:t xml:space="preserve">, </w:t>
      </w:r>
      <w:r w:rsidR="00092ABA">
        <w:rPr>
          <w:rFonts w:eastAsia="Calibri" w:cs="Times New Roman"/>
        </w:rPr>
        <w:t xml:space="preserve">Rebecca Flores, Trustee on Behalf of the </w:t>
      </w:r>
      <w:proofErr w:type="spellStart"/>
      <w:r w:rsidR="00092ABA">
        <w:rPr>
          <w:rFonts w:eastAsia="Calibri" w:cs="Times New Roman"/>
        </w:rPr>
        <w:t>Cytah</w:t>
      </w:r>
      <w:proofErr w:type="spellEnd"/>
      <w:r w:rsidR="00092ABA">
        <w:rPr>
          <w:rFonts w:eastAsia="Calibri" w:cs="Times New Roman"/>
        </w:rPr>
        <w:t xml:space="preserve"> Flores Legacy Trust</w:t>
      </w:r>
      <w:r>
        <w:rPr>
          <w:rFonts w:eastAsia="Calibri" w:cs="Times New Roman"/>
        </w:rPr>
        <w:t xml:space="preserve"> (</w:t>
      </w:r>
      <w:r w:rsidR="00092ABA">
        <w:rPr>
          <w:rFonts w:eastAsia="Calibri" w:cs="Times New Roman"/>
        </w:rPr>
        <w:t xml:space="preserve">Ms. Flores or </w:t>
      </w:r>
      <w:r>
        <w:rPr>
          <w:rFonts w:eastAsia="Calibri" w:cs="Times New Roman"/>
        </w:rPr>
        <w:t xml:space="preserve">Complainant) filed </w:t>
      </w:r>
      <w:proofErr w:type="gramStart"/>
      <w:r>
        <w:rPr>
          <w:rFonts w:eastAsia="Calibri" w:cs="Times New Roman"/>
        </w:rPr>
        <w:t>the</w:t>
      </w:r>
      <w:proofErr w:type="gramEnd"/>
      <w:r>
        <w:rPr>
          <w:rFonts w:eastAsia="Calibri" w:cs="Times New Roman"/>
        </w:rPr>
        <w:t xml:space="preserve"> instant complaint against </w:t>
      </w:r>
      <w:r w:rsidR="00092ABA">
        <w:rPr>
          <w:rFonts w:eastAsia="Calibri" w:cs="Arial"/>
          <w:szCs w:val="26"/>
        </w:rPr>
        <w:t>Pacific Gas and Electric Company</w:t>
      </w:r>
      <w:r>
        <w:rPr>
          <w:rFonts w:eastAsia="Calibri" w:cs="Arial"/>
          <w:szCs w:val="26"/>
        </w:rPr>
        <w:t xml:space="preserve"> (</w:t>
      </w:r>
      <w:r w:rsidR="00092ABA">
        <w:rPr>
          <w:rFonts w:eastAsia="Calibri" w:cs="Arial"/>
          <w:szCs w:val="26"/>
        </w:rPr>
        <w:t xml:space="preserve">PG&amp;E or </w:t>
      </w:r>
      <w:r>
        <w:rPr>
          <w:rFonts w:eastAsia="Calibri" w:cs="Arial"/>
          <w:szCs w:val="26"/>
        </w:rPr>
        <w:t>Defendant).  Complainant alleg</w:t>
      </w:r>
      <w:r w:rsidR="00C52156">
        <w:rPr>
          <w:rFonts w:eastAsia="Calibri" w:cs="Arial"/>
          <w:szCs w:val="26"/>
        </w:rPr>
        <w:t>es</w:t>
      </w:r>
      <w:r>
        <w:rPr>
          <w:rFonts w:eastAsia="Calibri" w:cs="Arial"/>
          <w:szCs w:val="26"/>
        </w:rPr>
        <w:t xml:space="preserve"> </w:t>
      </w:r>
      <w:r>
        <w:rPr>
          <w:rFonts w:eastAsia="Calibri" w:cs="Arial"/>
          <w:szCs w:val="26"/>
        </w:rPr>
        <w:lastRenderedPageBreak/>
        <w:t xml:space="preserve">that Defendant </w:t>
      </w:r>
      <w:r w:rsidR="00092ABA">
        <w:rPr>
          <w:rFonts w:eastAsia="Calibri" w:cs="Arial"/>
          <w:szCs w:val="26"/>
        </w:rPr>
        <w:t xml:space="preserve">securitized and monetized private trust property, including </w:t>
      </w:r>
      <w:r w:rsidR="00FD39CF">
        <w:rPr>
          <w:rFonts w:eastAsia="Calibri" w:cs="Arial"/>
          <w:szCs w:val="26"/>
        </w:rPr>
        <w:t xml:space="preserve">a </w:t>
      </w:r>
      <w:r w:rsidR="00092ABA">
        <w:rPr>
          <w:rFonts w:eastAsia="Calibri" w:cs="Arial"/>
          <w:szCs w:val="26"/>
        </w:rPr>
        <w:t>utility account, billing contract, financial identifiers, and name, without consent or lawful title to the property.</w:t>
      </w:r>
      <w:r w:rsidR="00092ABA">
        <w:rPr>
          <w:rStyle w:val="FootnoteReference"/>
          <w:rFonts w:eastAsia="Calibri" w:cs="Arial"/>
          <w:szCs w:val="26"/>
        </w:rPr>
        <w:footnoteReference w:id="1"/>
      </w:r>
      <w:r w:rsidR="00092ABA">
        <w:rPr>
          <w:rFonts w:eastAsia="Calibri" w:cs="Arial"/>
          <w:szCs w:val="26"/>
        </w:rPr>
        <w:t xml:space="preserve">  </w:t>
      </w:r>
      <w:r w:rsidR="00C33F85">
        <w:rPr>
          <w:rFonts w:eastAsia="Calibri" w:cs="Arial"/>
          <w:szCs w:val="26"/>
        </w:rPr>
        <w:t>Complainant allege</w:t>
      </w:r>
      <w:r w:rsidR="00C52156">
        <w:rPr>
          <w:rFonts w:eastAsia="Calibri" w:cs="Arial"/>
          <w:szCs w:val="26"/>
        </w:rPr>
        <w:t>s</w:t>
      </w:r>
      <w:r w:rsidR="00C33F85">
        <w:rPr>
          <w:rFonts w:eastAsia="Calibri" w:cs="Arial"/>
          <w:szCs w:val="26"/>
        </w:rPr>
        <w:t xml:space="preserve"> Defendant </w:t>
      </w:r>
      <w:r>
        <w:rPr>
          <w:rFonts w:eastAsia="Calibri" w:cs="Arial"/>
          <w:szCs w:val="26"/>
        </w:rPr>
        <w:t xml:space="preserve">violated </w:t>
      </w:r>
      <w:r w:rsidR="00092ABA">
        <w:rPr>
          <w:rFonts w:eastAsia="Calibri" w:cs="Arial"/>
          <w:szCs w:val="26"/>
        </w:rPr>
        <w:t>PG&amp;E Electric Rule</w:t>
      </w:r>
      <w:r w:rsidR="007B036E">
        <w:rPr>
          <w:rFonts w:eastAsia="Calibri" w:cs="Arial"/>
          <w:szCs w:val="26"/>
        </w:rPr>
        <w:t> </w:t>
      </w:r>
      <w:r w:rsidR="00092ABA">
        <w:rPr>
          <w:rFonts w:eastAsia="Calibri" w:cs="Arial"/>
          <w:szCs w:val="26"/>
        </w:rPr>
        <w:t xml:space="preserve">9(M) and 27; California (Cal.) Civil Code </w:t>
      </w:r>
      <w:r w:rsidRPr="000E7ADF" w:rsidR="000E7ADF">
        <w:rPr>
          <w:rFonts w:eastAsia="Calibri" w:cs="Arial"/>
          <w:szCs w:val="26"/>
        </w:rPr>
        <w:t>§§</w:t>
      </w:r>
      <w:r w:rsidR="000E7ADF">
        <w:rPr>
          <w:rFonts w:eastAsia="Calibri" w:cs="Arial"/>
          <w:szCs w:val="26"/>
        </w:rPr>
        <w:t xml:space="preserve"> </w:t>
      </w:r>
      <w:r w:rsidR="00092ABA">
        <w:rPr>
          <w:rFonts w:eastAsia="Calibri" w:cs="Arial"/>
          <w:szCs w:val="26"/>
        </w:rPr>
        <w:t xml:space="preserve">1550, 1689, 1789.81-85, 2223 and 2224; Cal. Probate Code </w:t>
      </w:r>
      <w:r w:rsidRPr="000E7ADF" w:rsidR="000E7ADF">
        <w:rPr>
          <w:rFonts w:eastAsia="Calibri" w:cs="Arial"/>
          <w:szCs w:val="26"/>
        </w:rPr>
        <w:t>§§</w:t>
      </w:r>
      <w:r w:rsidR="000E7ADF">
        <w:rPr>
          <w:rFonts w:eastAsia="Calibri" w:cs="Arial"/>
          <w:szCs w:val="26"/>
        </w:rPr>
        <w:t xml:space="preserve"> </w:t>
      </w:r>
      <w:r w:rsidR="00092ABA">
        <w:rPr>
          <w:rFonts w:eastAsia="Calibri" w:cs="Arial"/>
          <w:szCs w:val="26"/>
        </w:rPr>
        <w:t xml:space="preserve">16000, 16420; Cal. Consumer Privacy Act; </w:t>
      </w:r>
      <w:r w:rsidR="00C52156">
        <w:rPr>
          <w:rFonts w:eastAsia="Calibri" w:cs="Arial"/>
          <w:szCs w:val="26"/>
        </w:rPr>
        <w:t xml:space="preserve">15 U.S.C. </w:t>
      </w:r>
      <w:r w:rsidRPr="00105861" w:rsidR="00C52156">
        <w:rPr>
          <w:rFonts w:eastAsia="Calibri" w:cs="Arial"/>
          <w:szCs w:val="26"/>
        </w:rPr>
        <w:t>§</w:t>
      </w:r>
      <w:r w:rsidR="00C52156">
        <w:rPr>
          <w:rFonts w:eastAsia="Calibri" w:cs="Arial"/>
          <w:szCs w:val="26"/>
        </w:rPr>
        <w:t xml:space="preserve"> 1601 et seq</w:t>
      </w:r>
      <w:r w:rsidR="000E7ADF">
        <w:rPr>
          <w:rFonts w:eastAsia="Calibri" w:cs="Arial"/>
          <w:szCs w:val="26"/>
        </w:rPr>
        <w:t>.</w:t>
      </w:r>
      <w:r w:rsidR="00092ABA">
        <w:rPr>
          <w:rFonts w:eastAsia="Calibri" w:cs="Arial"/>
          <w:szCs w:val="26"/>
        </w:rPr>
        <w:t xml:space="preserve">; and 18 U.S.C. </w:t>
      </w:r>
      <w:r w:rsidRPr="000E7ADF" w:rsidR="000E7ADF">
        <w:rPr>
          <w:rFonts w:eastAsia="Calibri" w:cs="Arial"/>
          <w:szCs w:val="26"/>
        </w:rPr>
        <w:t>§</w:t>
      </w:r>
      <w:r w:rsidR="000E7ADF">
        <w:rPr>
          <w:rFonts w:eastAsia="Calibri" w:cs="Arial"/>
          <w:szCs w:val="26"/>
        </w:rPr>
        <w:t xml:space="preserve"> </w:t>
      </w:r>
      <w:r w:rsidR="00092ABA">
        <w:rPr>
          <w:rFonts w:eastAsia="Calibri" w:cs="Arial"/>
          <w:szCs w:val="26"/>
        </w:rPr>
        <w:t xml:space="preserve">1343. </w:t>
      </w:r>
      <w:r>
        <w:rPr>
          <w:rFonts w:eastAsia="Calibri" w:cs="Arial"/>
          <w:szCs w:val="26"/>
        </w:rPr>
        <w:t xml:space="preserve">  </w:t>
      </w:r>
    </w:p>
    <w:p w:rsidR="00943415" w:rsidP="002B227C" w:rsidRDefault="00061729" w14:paraId="333B5E14" w14:textId="75BEE371">
      <w:pPr>
        <w:pStyle w:val="Standard"/>
        <w:rPr>
          <w:rFonts w:eastAsia="Calibri" w:cs="Arial"/>
          <w:szCs w:val="26"/>
        </w:rPr>
      </w:pPr>
      <w:r>
        <w:rPr>
          <w:rFonts w:eastAsia="Calibri" w:cs="Arial"/>
          <w:szCs w:val="26"/>
        </w:rPr>
        <w:t>Defendant</w:t>
      </w:r>
      <w:r w:rsidR="00C33F85">
        <w:rPr>
          <w:rFonts w:eastAsia="Calibri" w:cs="Arial"/>
          <w:szCs w:val="26"/>
        </w:rPr>
        <w:t xml:space="preserve"> filed an</w:t>
      </w:r>
      <w:r>
        <w:rPr>
          <w:rFonts w:eastAsia="Calibri" w:cs="Arial"/>
          <w:szCs w:val="26"/>
        </w:rPr>
        <w:t xml:space="preserve"> answer to the complaint</w:t>
      </w:r>
      <w:r w:rsidR="00C33F85">
        <w:rPr>
          <w:rFonts w:eastAsia="Calibri" w:cs="Arial"/>
          <w:szCs w:val="26"/>
        </w:rPr>
        <w:t xml:space="preserve"> on October 1, 2025</w:t>
      </w:r>
      <w:r>
        <w:rPr>
          <w:rFonts w:eastAsia="Calibri" w:cs="Arial"/>
          <w:szCs w:val="26"/>
        </w:rPr>
        <w:t>.</w:t>
      </w:r>
      <w:r w:rsidR="00943415">
        <w:rPr>
          <w:rFonts w:eastAsia="Calibri" w:cs="Arial"/>
          <w:szCs w:val="26"/>
        </w:rPr>
        <w:t xml:space="preserve">  </w:t>
      </w:r>
    </w:p>
    <w:p w:rsidR="003C0B4B" w:rsidP="00A33422" w:rsidRDefault="00C33F85" w14:paraId="31B0A8C9" w14:textId="4F69EA88">
      <w:pPr>
        <w:pStyle w:val="Standard"/>
        <w:rPr>
          <w:rFonts w:eastAsia="Calibri" w:cs="Arial"/>
          <w:szCs w:val="26"/>
        </w:rPr>
      </w:pPr>
      <w:r>
        <w:rPr>
          <w:rFonts w:eastAsia="Calibri" w:cs="Arial"/>
          <w:szCs w:val="26"/>
        </w:rPr>
        <w:t xml:space="preserve">A prehearing conference </w:t>
      </w:r>
      <w:r w:rsidR="00A37450">
        <w:rPr>
          <w:rFonts w:eastAsia="Calibri" w:cs="Arial"/>
          <w:szCs w:val="26"/>
        </w:rPr>
        <w:t xml:space="preserve">(PHC) </w:t>
      </w:r>
      <w:r>
        <w:rPr>
          <w:rFonts w:eastAsia="Calibri" w:cs="Arial"/>
          <w:szCs w:val="26"/>
        </w:rPr>
        <w:t xml:space="preserve">was held on October 15, </w:t>
      </w:r>
      <w:proofErr w:type="gramStart"/>
      <w:r>
        <w:rPr>
          <w:rFonts w:eastAsia="Calibri" w:cs="Arial"/>
          <w:szCs w:val="26"/>
        </w:rPr>
        <w:t>2025</w:t>
      </w:r>
      <w:proofErr w:type="gramEnd"/>
      <w:r w:rsidR="00A33422">
        <w:rPr>
          <w:rFonts w:eastAsia="Calibri" w:cs="Arial"/>
          <w:szCs w:val="26"/>
        </w:rPr>
        <w:t xml:space="preserve"> to discuss the scope, schedule, and other procedural matters</w:t>
      </w:r>
      <w:r>
        <w:rPr>
          <w:rFonts w:eastAsia="Calibri" w:cs="Arial"/>
          <w:szCs w:val="26"/>
        </w:rPr>
        <w:t xml:space="preserve">.  Complainant failed to appear at the </w:t>
      </w:r>
      <w:r w:rsidR="00A37450">
        <w:rPr>
          <w:rFonts w:eastAsia="Calibri" w:cs="Arial"/>
          <w:szCs w:val="26"/>
        </w:rPr>
        <w:t>PHC</w:t>
      </w:r>
      <w:r>
        <w:rPr>
          <w:rFonts w:eastAsia="Calibri" w:cs="Arial"/>
          <w:szCs w:val="26"/>
        </w:rPr>
        <w:t>, stating in an e</w:t>
      </w:r>
      <w:r w:rsidR="00A37450">
        <w:rPr>
          <w:rFonts w:eastAsia="Calibri" w:cs="Arial"/>
          <w:szCs w:val="26"/>
        </w:rPr>
        <w:t>-</w:t>
      </w:r>
      <w:r>
        <w:rPr>
          <w:rFonts w:eastAsia="Calibri" w:cs="Arial"/>
          <w:szCs w:val="26"/>
        </w:rPr>
        <w:t>mail to the service list that she would not be attending due to the “ongoing failure to publish Complainant’s verified filings…and the resulting absence of a complete and transparent public record.”</w:t>
      </w:r>
      <w:r w:rsidR="00A229F4">
        <w:rPr>
          <w:rFonts w:eastAsia="Calibri" w:cs="Arial"/>
          <w:szCs w:val="26"/>
        </w:rPr>
        <w:t xml:space="preserve">  </w:t>
      </w:r>
    </w:p>
    <w:p w:rsidR="009F119A" w:rsidP="00EB48D0" w:rsidRDefault="009F119A" w14:paraId="70660EF4" w14:textId="0B1322FA">
      <w:pPr>
        <w:pStyle w:val="Standard"/>
        <w:rPr>
          <w:rFonts w:eastAsia="Calibri" w:cs="Arial"/>
          <w:szCs w:val="26"/>
        </w:rPr>
      </w:pPr>
      <w:r>
        <w:rPr>
          <w:rFonts w:eastAsia="Calibri" w:cs="Arial"/>
          <w:szCs w:val="26"/>
        </w:rPr>
        <w:t xml:space="preserve">On </w:t>
      </w:r>
      <w:r w:rsidR="00A33422">
        <w:rPr>
          <w:rFonts w:eastAsia="Calibri" w:cs="Arial"/>
          <w:szCs w:val="26"/>
        </w:rPr>
        <w:t>October 31, 2025</w:t>
      </w:r>
      <w:r w:rsidR="003C5FA3">
        <w:rPr>
          <w:rFonts w:eastAsia="Calibri" w:cs="Arial"/>
          <w:szCs w:val="26"/>
        </w:rPr>
        <w:t xml:space="preserve">, </w:t>
      </w:r>
      <w:r w:rsidR="004C4E51">
        <w:rPr>
          <w:rFonts w:eastAsia="Calibri" w:cs="Arial"/>
          <w:szCs w:val="26"/>
        </w:rPr>
        <w:t xml:space="preserve">an Assigned Commissioner’s Scoping Memo and Ruling (Scoping Memo) was issued that set forth the schedule and scope of the proceeding.  Complainant </w:t>
      </w:r>
      <w:r w:rsidR="00A33422">
        <w:rPr>
          <w:rFonts w:eastAsia="Calibri" w:cs="Arial"/>
          <w:szCs w:val="26"/>
        </w:rPr>
        <w:t xml:space="preserve">and Defendant </w:t>
      </w:r>
      <w:r w:rsidR="004C4E51">
        <w:rPr>
          <w:rFonts w:eastAsia="Calibri" w:cs="Arial"/>
          <w:szCs w:val="26"/>
        </w:rPr>
        <w:t xml:space="preserve">filed </w:t>
      </w:r>
      <w:r w:rsidR="00A33422">
        <w:rPr>
          <w:rFonts w:eastAsia="Calibri" w:cs="Arial"/>
          <w:szCs w:val="26"/>
        </w:rPr>
        <w:t xml:space="preserve">opening </w:t>
      </w:r>
      <w:r w:rsidR="004C4E51">
        <w:rPr>
          <w:rFonts w:eastAsia="Calibri" w:cs="Arial"/>
          <w:szCs w:val="26"/>
        </w:rPr>
        <w:t xml:space="preserve">comments </w:t>
      </w:r>
      <w:r w:rsidR="003C0B4B">
        <w:rPr>
          <w:rFonts w:eastAsia="Calibri" w:cs="Arial"/>
          <w:szCs w:val="26"/>
        </w:rPr>
        <w:t>to</w:t>
      </w:r>
      <w:r w:rsidR="004C4E51">
        <w:rPr>
          <w:rFonts w:eastAsia="Calibri" w:cs="Arial"/>
          <w:szCs w:val="26"/>
        </w:rPr>
        <w:t xml:space="preserve"> the Scoping Memo questions </w:t>
      </w:r>
      <w:r w:rsidR="00A33422">
        <w:rPr>
          <w:rFonts w:eastAsia="Calibri" w:cs="Arial"/>
          <w:szCs w:val="26"/>
        </w:rPr>
        <w:t>by November 21, 2025</w:t>
      </w:r>
      <w:r w:rsidR="004C4E51">
        <w:rPr>
          <w:rFonts w:eastAsia="Calibri" w:cs="Arial"/>
          <w:szCs w:val="26"/>
        </w:rPr>
        <w:t xml:space="preserve">.  </w:t>
      </w:r>
      <w:r w:rsidR="006D783C">
        <w:rPr>
          <w:rFonts w:eastAsia="Calibri" w:cs="Arial"/>
          <w:szCs w:val="26"/>
        </w:rPr>
        <w:t xml:space="preserve">On November 24, 2025, Complainant filed an </w:t>
      </w:r>
      <w:r w:rsidRPr="004552B6" w:rsidR="006D783C">
        <w:rPr>
          <w:rFonts w:eastAsia="Calibri" w:cs="Arial"/>
          <w:szCs w:val="26"/>
        </w:rPr>
        <w:t>Opposition to PG&amp;E’s Motion for Leave to File Confidential Materials Under Seal,</w:t>
      </w:r>
      <w:r w:rsidR="006D783C">
        <w:rPr>
          <w:rFonts w:eastAsia="Calibri" w:cs="Arial"/>
          <w:szCs w:val="26"/>
        </w:rPr>
        <w:t xml:space="preserve"> </w:t>
      </w:r>
      <w:r w:rsidR="004552B6">
        <w:rPr>
          <w:rFonts w:eastAsia="Calibri" w:cs="Arial"/>
          <w:szCs w:val="26"/>
        </w:rPr>
        <w:t xml:space="preserve">that included an attachment </w:t>
      </w:r>
      <w:r w:rsidR="006D783C">
        <w:rPr>
          <w:rFonts w:eastAsia="Calibri" w:cs="Arial"/>
          <w:szCs w:val="26"/>
        </w:rPr>
        <w:t>titled</w:t>
      </w:r>
      <w:r w:rsidR="00D159DE">
        <w:rPr>
          <w:rFonts w:eastAsia="Calibri" w:cs="Arial"/>
          <w:szCs w:val="26"/>
        </w:rPr>
        <w:t>,</w:t>
      </w:r>
      <w:r w:rsidR="006D783C">
        <w:rPr>
          <w:rFonts w:eastAsia="Calibri" w:cs="Arial"/>
          <w:szCs w:val="26"/>
        </w:rPr>
        <w:t xml:space="preserve"> </w:t>
      </w:r>
      <w:r w:rsidRPr="004552B6" w:rsidR="006D783C">
        <w:rPr>
          <w:rFonts w:eastAsia="Calibri" w:cs="Arial"/>
          <w:szCs w:val="26"/>
        </w:rPr>
        <w:t>Opening Comments on the Scoping Memo and Response to PG&amp;E</w:t>
      </w:r>
      <w:r w:rsidRPr="004552B6" w:rsidR="004552B6">
        <w:rPr>
          <w:rFonts w:eastAsia="Calibri" w:cs="Arial"/>
          <w:szCs w:val="26"/>
        </w:rPr>
        <w:t>’</w:t>
      </w:r>
      <w:r w:rsidRPr="004552B6" w:rsidR="006D783C">
        <w:rPr>
          <w:rFonts w:eastAsia="Calibri" w:cs="Arial"/>
          <w:szCs w:val="26"/>
        </w:rPr>
        <w:t>s Opening Comments</w:t>
      </w:r>
      <w:r w:rsidRPr="004552B6" w:rsidR="004552B6">
        <w:rPr>
          <w:rFonts w:eastAsia="Calibri" w:cs="Arial"/>
          <w:szCs w:val="26"/>
        </w:rPr>
        <w:t>,</w:t>
      </w:r>
      <w:r w:rsidR="004552B6">
        <w:rPr>
          <w:rFonts w:eastAsia="Calibri" w:cs="Arial"/>
          <w:szCs w:val="26"/>
        </w:rPr>
        <w:t xml:space="preserve"> which appear to be reply comments to the Scoping Memo</w:t>
      </w:r>
      <w:r w:rsidR="006D783C">
        <w:rPr>
          <w:rFonts w:eastAsia="Calibri" w:cs="Arial"/>
          <w:szCs w:val="26"/>
        </w:rPr>
        <w:t xml:space="preserve">.  </w:t>
      </w:r>
      <w:r w:rsidR="00A33422">
        <w:rPr>
          <w:rFonts w:eastAsia="Calibri" w:cs="Arial"/>
          <w:szCs w:val="26"/>
        </w:rPr>
        <w:t>Reply comments were filed by Defendant on December 12, 2025.</w:t>
      </w:r>
    </w:p>
    <w:p w:rsidR="00A33422" w:rsidP="00EB48D0" w:rsidRDefault="00A33422" w14:paraId="47363853" w14:textId="50E5CDDC">
      <w:pPr>
        <w:pStyle w:val="Standard"/>
        <w:rPr>
          <w:rFonts w:eastAsia="Calibri" w:cs="Arial"/>
          <w:szCs w:val="26"/>
        </w:rPr>
      </w:pPr>
      <w:r>
        <w:rPr>
          <w:rFonts w:eastAsia="Calibri" w:cs="Arial"/>
          <w:szCs w:val="26"/>
        </w:rPr>
        <w:t xml:space="preserve">On December 3, 2025, PG&amp;E filed a motion to stay discovery until the Commission issues a ruling on the issues outlined the Scoping Memo.  On </w:t>
      </w:r>
      <w:r>
        <w:rPr>
          <w:rFonts w:eastAsia="Calibri" w:cs="Arial"/>
          <w:szCs w:val="26"/>
        </w:rPr>
        <w:lastRenderedPageBreak/>
        <w:t xml:space="preserve">December 8, 2025, </w:t>
      </w:r>
      <w:r w:rsidR="004552B6">
        <w:rPr>
          <w:rFonts w:eastAsia="Calibri" w:cs="Arial"/>
          <w:szCs w:val="26"/>
        </w:rPr>
        <w:t xml:space="preserve">the </w:t>
      </w:r>
      <w:r w:rsidR="000E7ADF">
        <w:rPr>
          <w:rFonts w:eastAsia="Calibri" w:cs="Arial"/>
          <w:szCs w:val="26"/>
        </w:rPr>
        <w:t xml:space="preserve">assigned </w:t>
      </w:r>
      <w:r w:rsidR="004552B6">
        <w:rPr>
          <w:rFonts w:eastAsia="Calibri" w:cs="Arial"/>
          <w:szCs w:val="26"/>
        </w:rPr>
        <w:t>Administrative Law Judge (ALJ) granted Defendant</w:t>
      </w:r>
      <w:r>
        <w:rPr>
          <w:rFonts w:eastAsia="Calibri" w:cs="Arial"/>
          <w:szCs w:val="26"/>
        </w:rPr>
        <w:t>’s motion to stay discovery.</w:t>
      </w:r>
    </w:p>
    <w:p w:rsidRPr="00C52270" w:rsidR="00A33422" w:rsidP="00EB48D0" w:rsidRDefault="00A33422" w14:paraId="780D8134" w14:textId="3E0EB02A">
      <w:pPr>
        <w:pStyle w:val="Standard"/>
        <w:rPr>
          <w:rFonts w:eastAsia="Calibri" w:cs="Arial"/>
          <w:szCs w:val="26"/>
        </w:rPr>
      </w:pPr>
      <w:r>
        <w:rPr>
          <w:rFonts w:eastAsia="Calibri" w:cs="Arial"/>
          <w:szCs w:val="26"/>
        </w:rPr>
        <w:t xml:space="preserve">Complainant </w:t>
      </w:r>
      <w:r w:rsidR="000E7ADF">
        <w:rPr>
          <w:rFonts w:eastAsia="Calibri" w:cs="Arial"/>
          <w:szCs w:val="26"/>
        </w:rPr>
        <w:t xml:space="preserve">has </w:t>
      </w:r>
      <w:r>
        <w:rPr>
          <w:rFonts w:eastAsia="Calibri" w:cs="Arial"/>
          <w:szCs w:val="26"/>
        </w:rPr>
        <w:t xml:space="preserve">filed several motions in this proceeding, including an October 10, </w:t>
      </w:r>
      <w:proofErr w:type="gramStart"/>
      <w:r>
        <w:rPr>
          <w:rFonts w:eastAsia="Calibri" w:cs="Arial"/>
          <w:szCs w:val="26"/>
        </w:rPr>
        <w:t>2025</w:t>
      </w:r>
      <w:proofErr w:type="gramEnd"/>
      <w:r>
        <w:rPr>
          <w:rFonts w:eastAsia="Calibri" w:cs="Arial"/>
          <w:szCs w:val="26"/>
        </w:rPr>
        <w:t xml:space="preserve"> motion for official notice and/or motion to compel production of documents, a November 18, </w:t>
      </w:r>
      <w:proofErr w:type="gramStart"/>
      <w:r>
        <w:rPr>
          <w:rFonts w:eastAsia="Calibri" w:cs="Arial"/>
          <w:szCs w:val="26"/>
        </w:rPr>
        <w:t>2025</w:t>
      </w:r>
      <w:proofErr w:type="gramEnd"/>
      <w:r>
        <w:rPr>
          <w:rFonts w:eastAsia="Calibri" w:cs="Arial"/>
          <w:szCs w:val="26"/>
        </w:rPr>
        <w:t xml:space="preserve"> motion to compel production, publication, and enforcement of utility code productions, and a November 24, </w:t>
      </w:r>
      <w:proofErr w:type="gramStart"/>
      <w:r>
        <w:rPr>
          <w:rFonts w:eastAsia="Calibri" w:cs="Arial"/>
          <w:szCs w:val="26"/>
        </w:rPr>
        <w:t>2025</w:t>
      </w:r>
      <w:proofErr w:type="gramEnd"/>
      <w:r>
        <w:rPr>
          <w:rFonts w:eastAsia="Calibri" w:cs="Arial"/>
          <w:szCs w:val="26"/>
        </w:rPr>
        <w:t xml:space="preserve"> request for sanctions for bad faith advocacy.  </w:t>
      </w:r>
      <w:r w:rsidR="00C52270">
        <w:rPr>
          <w:rFonts w:eastAsia="Calibri" w:cs="Arial"/>
          <w:szCs w:val="26"/>
        </w:rPr>
        <w:t xml:space="preserve">In addition, Complainant has attempted to file numerous documents during this proceeding that </w:t>
      </w:r>
      <w:r w:rsidR="004552B6">
        <w:rPr>
          <w:rFonts w:eastAsia="Calibri" w:cs="Arial"/>
          <w:szCs w:val="26"/>
        </w:rPr>
        <w:t>have been</w:t>
      </w:r>
      <w:r w:rsidR="00C52270">
        <w:rPr>
          <w:rFonts w:eastAsia="Calibri" w:cs="Arial"/>
          <w:szCs w:val="26"/>
        </w:rPr>
        <w:t xml:space="preserve"> subsequently rejected.  The Commission’s Docket </w:t>
      </w:r>
      <w:r w:rsidRPr="00C52270" w:rsidR="00C52270">
        <w:rPr>
          <w:rFonts w:eastAsia="Calibri" w:cs="Arial"/>
          <w:szCs w:val="26"/>
        </w:rPr>
        <w:t xml:space="preserve">Office notified Complainant </w:t>
      </w:r>
      <w:r w:rsidR="004552B6">
        <w:rPr>
          <w:rFonts w:eastAsia="Calibri" w:cs="Arial"/>
          <w:szCs w:val="26"/>
        </w:rPr>
        <w:t xml:space="preserve">on several occasions </w:t>
      </w:r>
      <w:r w:rsidRPr="00C52270" w:rsidR="00C52270">
        <w:rPr>
          <w:rFonts w:eastAsia="Calibri" w:cs="Arial"/>
          <w:szCs w:val="26"/>
        </w:rPr>
        <w:t>that th</w:t>
      </w:r>
      <w:r w:rsidR="00C52270">
        <w:rPr>
          <w:rFonts w:eastAsia="Calibri" w:cs="Arial"/>
          <w:szCs w:val="26"/>
        </w:rPr>
        <w:t>e additional</w:t>
      </w:r>
      <w:r w:rsidRPr="00C52270" w:rsidR="00C52270">
        <w:rPr>
          <w:rFonts w:eastAsia="Calibri" w:cs="Arial"/>
          <w:szCs w:val="26"/>
        </w:rPr>
        <w:t xml:space="preserve"> documents were rejected because</w:t>
      </w:r>
      <w:r w:rsidR="00D159DE">
        <w:rPr>
          <w:rFonts w:eastAsia="Calibri" w:cs="Arial"/>
          <w:szCs w:val="26"/>
        </w:rPr>
        <w:t xml:space="preserve"> </w:t>
      </w:r>
      <w:r w:rsidRPr="0089059F" w:rsidR="00C52270">
        <w:rPr>
          <w:kern w:val="2"/>
          <w:szCs w:val="26"/>
          <w14:ligatures w14:val="standardContextual"/>
        </w:rPr>
        <w:t>the</w:t>
      </w:r>
      <w:r w:rsidRPr="00C52270" w:rsidR="00C52270">
        <w:rPr>
          <w:szCs w:val="26"/>
        </w:rPr>
        <w:t xml:space="preserve"> document</w:t>
      </w:r>
      <w:r w:rsidR="00C52270">
        <w:rPr>
          <w:szCs w:val="26"/>
        </w:rPr>
        <w:t>s</w:t>
      </w:r>
      <w:r w:rsidRPr="00C52270" w:rsidR="00C52270">
        <w:rPr>
          <w:szCs w:val="26"/>
        </w:rPr>
        <w:t xml:space="preserve"> w</w:t>
      </w:r>
      <w:r w:rsidR="00C52270">
        <w:rPr>
          <w:szCs w:val="26"/>
        </w:rPr>
        <w:t>ere</w:t>
      </w:r>
      <w:r w:rsidRPr="0089059F" w:rsidR="00C52270">
        <w:rPr>
          <w:kern w:val="2"/>
          <w:szCs w:val="26"/>
          <w14:ligatures w14:val="standardContextual"/>
        </w:rPr>
        <w:t xml:space="preserve"> not invited or authorized for filing by the Commission or </w:t>
      </w:r>
      <w:proofErr w:type="gramStart"/>
      <w:r w:rsidRPr="0089059F" w:rsidR="00C52270">
        <w:rPr>
          <w:kern w:val="2"/>
          <w:szCs w:val="26"/>
          <w14:ligatures w14:val="standardContextual"/>
        </w:rPr>
        <w:t>the</w:t>
      </w:r>
      <w:r w:rsidR="000E7ADF">
        <w:rPr>
          <w:kern w:val="2"/>
          <w:szCs w:val="26"/>
          <w14:ligatures w14:val="standardContextual"/>
        </w:rPr>
        <w:t xml:space="preserve"> assigned</w:t>
      </w:r>
      <w:proofErr w:type="gramEnd"/>
      <w:r w:rsidRPr="0089059F" w:rsidR="00C52270">
        <w:rPr>
          <w:kern w:val="2"/>
          <w:szCs w:val="26"/>
          <w14:ligatures w14:val="standardContextual"/>
        </w:rPr>
        <w:t xml:space="preserve"> </w:t>
      </w:r>
      <w:r w:rsidR="004552B6">
        <w:rPr>
          <w:kern w:val="2"/>
          <w:szCs w:val="26"/>
          <w14:ligatures w14:val="standardContextual"/>
        </w:rPr>
        <w:t>ALJ</w:t>
      </w:r>
      <w:r w:rsidRPr="0089059F" w:rsidR="00C52270">
        <w:rPr>
          <w:kern w:val="2"/>
          <w:szCs w:val="26"/>
          <w14:ligatures w14:val="standardContextual"/>
        </w:rPr>
        <w:t xml:space="preserve"> </w:t>
      </w:r>
      <w:r w:rsidRPr="00C52270" w:rsidR="00C52270">
        <w:rPr>
          <w:szCs w:val="26"/>
        </w:rPr>
        <w:t>per the Commission’s Rules of Practice and Procedure</w:t>
      </w:r>
      <w:r w:rsidR="00B34890">
        <w:rPr>
          <w:szCs w:val="26"/>
        </w:rPr>
        <w:t xml:space="preserve"> (Rules)</w:t>
      </w:r>
      <w:r w:rsidR="00D159DE">
        <w:rPr>
          <w:szCs w:val="26"/>
        </w:rPr>
        <w:t xml:space="preserve"> and </w:t>
      </w:r>
      <w:r w:rsidR="00AB48C5">
        <w:rPr>
          <w:szCs w:val="26"/>
        </w:rPr>
        <w:t xml:space="preserve">because </w:t>
      </w:r>
      <w:r w:rsidR="00D159DE">
        <w:rPr>
          <w:szCs w:val="26"/>
        </w:rPr>
        <w:t>the documents failed</w:t>
      </w:r>
      <w:r w:rsidRPr="00C52270" w:rsidR="00D159DE">
        <w:rPr>
          <w:szCs w:val="26"/>
        </w:rPr>
        <w:t xml:space="preserve"> to comply with the Commission’s filing requirements</w:t>
      </w:r>
      <w:r w:rsidRPr="00C52270" w:rsidR="00C52270">
        <w:rPr>
          <w:szCs w:val="26"/>
        </w:rPr>
        <w:t>.</w:t>
      </w:r>
    </w:p>
    <w:p w:rsidR="003C5FA3" w:rsidP="0023669F" w:rsidRDefault="003C5FA3" w14:paraId="6D502D8C" w14:textId="3ACB89AD">
      <w:pPr>
        <w:pStyle w:val="Heading1"/>
        <w:rPr>
          <w:rFonts w:eastAsia="Times New Roman"/>
          <w:b w:val="0"/>
        </w:rPr>
      </w:pPr>
      <w:bookmarkStart w:name="_Hlk94170269" w:id="3"/>
      <w:r>
        <w:rPr>
          <w:rFonts w:eastAsia="Times New Roman"/>
        </w:rPr>
        <w:t>Party Positions</w:t>
      </w:r>
    </w:p>
    <w:p w:rsidRPr="003C5FA3" w:rsidR="000B7C7E" w:rsidP="007B036E" w:rsidRDefault="000B7C7E" w14:paraId="01E35F36" w14:textId="1EA9A5F3">
      <w:pPr>
        <w:pStyle w:val="Heading2"/>
      </w:pPr>
      <w:r w:rsidRPr="003C5FA3">
        <w:t>Complainants</w:t>
      </w:r>
      <w:r w:rsidRPr="003C5FA3" w:rsidR="00391F51">
        <w:t>’</w:t>
      </w:r>
      <w:r w:rsidRPr="003C5FA3">
        <w:t xml:space="preserve"> Contentions</w:t>
      </w:r>
    </w:p>
    <w:p w:rsidR="003E1CF3" w:rsidP="0089059F" w:rsidRDefault="0089059F" w14:paraId="1C1B493E" w14:textId="74CA89BA">
      <w:pPr>
        <w:pStyle w:val="Standard"/>
        <w:rPr>
          <w:rFonts w:eastAsia="Calibri" w:cs="Arial"/>
          <w:szCs w:val="26"/>
        </w:rPr>
      </w:pPr>
      <w:r>
        <w:rPr>
          <w:rFonts w:eastAsia="Calibri" w:cs="Arial"/>
          <w:szCs w:val="26"/>
        </w:rPr>
        <w:t>In the complaint, Complainant allege</w:t>
      </w:r>
      <w:r w:rsidR="00C52270">
        <w:rPr>
          <w:rFonts w:eastAsia="Calibri" w:cs="Arial"/>
          <w:szCs w:val="26"/>
        </w:rPr>
        <w:t>s</w:t>
      </w:r>
      <w:r>
        <w:rPr>
          <w:rFonts w:eastAsia="Calibri" w:cs="Arial"/>
          <w:szCs w:val="26"/>
        </w:rPr>
        <w:t xml:space="preserve"> that Defendant “securitized and monetized private trust property, including my utility account, billing contract, financial identifiers, and name, without consent or lawful title to the recovery property.”</w:t>
      </w:r>
      <w:r>
        <w:rPr>
          <w:rStyle w:val="FootnoteReference"/>
          <w:rFonts w:eastAsia="Calibri" w:cs="Arial"/>
          <w:szCs w:val="26"/>
        </w:rPr>
        <w:footnoteReference w:id="2"/>
      </w:r>
      <w:r>
        <w:rPr>
          <w:rFonts w:eastAsia="Calibri" w:cs="Arial"/>
          <w:szCs w:val="26"/>
        </w:rPr>
        <w:t xml:space="preserve">  Complainant allege</w:t>
      </w:r>
      <w:r w:rsidR="00C52270">
        <w:rPr>
          <w:rFonts w:eastAsia="Calibri" w:cs="Arial"/>
          <w:szCs w:val="26"/>
        </w:rPr>
        <w:t>s</w:t>
      </w:r>
      <w:r>
        <w:rPr>
          <w:rFonts w:eastAsia="Calibri" w:cs="Arial"/>
          <w:szCs w:val="26"/>
        </w:rPr>
        <w:t xml:space="preserve"> that Defendant violated PG&amp;E Electric Rule</w:t>
      </w:r>
      <w:r w:rsidR="007B036E">
        <w:rPr>
          <w:rFonts w:eastAsia="Calibri" w:cs="Arial"/>
          <w:szCs w:val="26"/>
        </w:rPr>
        <w:t> </w:t>
      </w:r>
      <w:r>
        <w:rPr>
          <w:rFonts w:eastAsia="Calibri" w:cs="Arial"/>
          <w:szCs w:val="26"/>
        </w:rPr>
        <w:t xml:space="preserve">9(M) and 27; California (Cal.) Civil Code </w:t>
      </w:r>
      <w:r w:rsidRPr="00C52270" w:rsidR="00C52270">
        <w:rPr>
          <w:rFonts w:eastAsia="Calibri" w:cs="Arial"/>
          <w:szCs w:val="26"/>
        </w:rPr>
        <w:t>§§</w:t>
      </w:r>
      <w:r>
        <w:rPr>
          <w:rFonts w:eastAsia="Calibri" w:cs="Arial"/>
          <w:szCs w:val="26"/>
        </w:rPr>
        <w:t xml:space="preserve"> 1550, 1689, 1789.81-85, 2223 and 2224; Cal. Probate Code </w:t>
      </w:r>
      <w:r w:rsidRPr="00C52270" w:rsidR="00C52270">
        <w:rPr>
          <w:rFonts w:eastAsia="Calibri" w:cs="Arial"/>
          <w:szCs w:val="26"/>
        </w:rPr>
        <w:t>§</w:t>
      </w:r>
      <w:r w:rsidR="00C52270">
        <w:rPr>
          <w:rFonts w:eastAsia="Calibri" w:cs="Arial"/>
          <w:szCs w:val="26"/>
        </w:rPr>
        <w:t xml:space="preserve"> </w:t>
      </w:r>
      <w:r>
        <w:rPr>
          <w:rFonts w:eastAsia="Calibri" w:cs="Arial"/>
          <w:szCs w:val="26"/>
        </w:rPr>
        <w:t xml:space="preserve">16000, 16420; Cal. Consumer Privacy Act; Truth in Lending Act; and 18 U.S.C. </w:t>
      </w:r>
      <w:r w:rsidRPr="00684486" w:rsidR="00684486">
        <w:rPr>
          <w:rFonts w:eastAsia="Calibri" w:cs="Arial"/>
          <w:szCs w:val="26"/>
        </w:rPr>
        <w:t>§</w:t>
      </w:r>
      <w:r>
        <w:rPr>
          <w:rFonts w:eastAsia="Calibri" w:cs="Arial"/>
          <w:szCs w:val="26"/>
        </w:rPr>
        <w:t xml:space="preserve"> 1343</w:t>
      </w:r>
      <w:r w:rsidR="00C52270">
        <w:rPr>
          <w:rFonts w:eastAsia="Calibri" w:cs="Arial"/>
          <w:szCs w:val="26"/>
        </w:rPr>
        <w:t xml:space="preserve"> (federal wire fraud statute)</w:t>
      </w:r>
      <w:r>
        <w:rPr>
          <w:rFonts w:eastAsia="Calibri" w:cs="Arial"/>
          <w:szCs w:val="26"/>
        </w:rPr>
        <w:t>.</w:t>
      </w:r>
      <w:r w:rsidR="003E1CF3">
        <w:rPr>
          <w:rFonts w:eastAsia="Calibri" w:cs="Arial"/>
          <w:szCs w:val="26"/>
        </w:rPr>
        <w:t xml:space="preserve"> </w:t>
      </w:r>
    </w:p>
    <w:p w:rsidR="0089059F" w:rsidP="0089059F" w:rsidRDefault="003E1CF3" w14:paraId="19B4BFDB" w14:textId="7B0034FB">
      <w:pPr>
        <w:pStyle w:val="Standard"/>
        <w:rPr>
          <w:rFonts w:eastAsia="Calibri" w:cs="Arial"/>
          <w:szCs w:val="26"/>
        </w:rPr>
      </w:pPr>
      <w:r>
        <w:rPr>
          <w:rFonts w:eastAsia="Calibri" w:cs="Arial"/>
          <w:szCs w:val="26"/>
        </w:rPr>
        <w:t xml:space="preserve">Complainant seeks an order that PG&amp;E: “(1) Cease billing the Trust for an account that has been monetized[;] (2) Apply restitution and account setoff from </w:t>
      </w:r>
      <w:r>
        <w:rPr>
          <w:rFonts w:eastAsia="Calibri" w:cs="Arial"/>
          <w:szCs w:val="26"/>
        </w:rPr>
        <w:lastRenderedPageBreak/>
        <w:t>securitization proceeds[;] (3) Investigate all securitization and billing contracts tied to unauthorized use of information[;] (4) Enforce Rule 9.M and Rule</w:t>
      </w:r>
      <w:r w:rsidR="007B036E">
        <w:rPr>
          <w:rFonts w:eastAsia="Calibri" w:cs="Arial"/>
          <w:szCs w:val="26"/>
        </w:rPr>
        <w:t> </w:t>
      </w:r>
      <w:r>
        <w:rPr>
          <w:rFonts w:eastAsia="Calibri" w:cs="Arial"/>
          <w:szCs w:val="26"/>
        </w:rPr>
        <w:t>27 privacy protections[;] (5) Refer the matter to appropriate legal or regulatory bodies.”</w:t>
      </w:r>
      <w:r>
        <w:rPr>
          <w:rStyle w:val="FootnoteReference"/>
          <w:rFonts w:eastAsia="Calibri" w:cs="Arial"/>
          <w:szCs w:val="26"/>
        </w:rPr>
        <w:footnoteReference w:id="3"/>
      </w:r>
      <w:r w:rsidR="0089059F">
        <w:rPr>
          <w:rFonts w:eastAsia="Calibri" w:cs="Arial"/>
          <w:szCs w:val="26"/>
        </w:rPr>
        <w:t xml:space="preserve">   </w:t>
      </w:r>
    </w:p>
    <w:p w:rsidR="002D243C" w:rsidP="0089059F" w:rsidRDefault="002D243C" w14:paraId="368CDFDA" w14:textId="71D60A76">
      <w:pPr>
        <w:pStyle w:val="Standard"/>
        <w:rPr>
          <w:rFonts w:eastAsia="Calibri" w:cs="Arial"/>
          <w:szCs w:val="26"/>
        </w:rPr>
      </w:pPr>
      <w:r>
        <w:rPr>
          <w:rFonts w:eastAsia="Calibri" w:cs="Arial"/>
          <w:szCs w:val="26"/>
        </w:rPr>
        <w:t xml:space="preserve">In Complainant’s Comments on </w:t>
      </w:r>
      <w:r w:rsidR="00C52270">
        <w:rPr>
          <w:rFonts w:eastAsia="Calibri" w:cs="Arial"/>
          <w:szCs w:val="26"/>
        </w:rPr>
        <w:t xml:space="preserve">the </w:t>
      </w:r>
      <w:r>
        <w:rPr>
          <w:rFonts w:eastAsia="Calibri" w:cs="Arial"/>
          <w:szCs w:val="26"/>
        </w:rPr>
        <w:t xml:space="preserve">Scoping Memo, </w:t>
      </w:r>
      <w:r w:rsidR="00C52270">
        <w:rPr>
          <w:rFonts w:eastAsia="Calibri" w:cs="Arial"/>
          <w:szCs w:val="26"/>
        </w:rPr>
        <w:t xml:space="preserve">as well as </w:t>
      </w:r>
      <w:r w:rsidR="00D159DE">
        <w:rPr>
          <w:rFonts w:eastAsia="Calibri" w:cs="Arial"/>
          <w:szCs w:val="26"/>
        </w:rPr>
        <w:t xml:space="preserve">in various </w:t>
      </w:r>
      <w:r w:rsidR="00C52270">
        <w:rPr>
          <w:rFonts w:eastAsia="Calibri" w:cs="Arial"/>
          <w:szCs w:val="26"/>
        </w:rPr>
        <w:t xml:space="preserve">motions, </w:t>
      </w:r>
      <w:r>
        <w:rPr>
          <w:rFonts w:eastAsia="Calibri" w:cs="Arial"/>
          <w:szCs w:val="26"/>
        </w:rPr>
        <w:t xml:space="preserve">Complainant </w:t>
      </w:r>
      <w:r w:rsidR="00C52270">
        <w:rPr>
          <w:rFonts w:eastAsia="Calibri" w:cs="Arial"/>
          <w:szCs w:val="26"/>
        </w:rPr>
        <w:t>raises</w:t>
      </w:r>
      <w:r>
        <w:rPr>
          <w:rFonts w:eastAsia="Calibri" w:cs="Arial"/>
          <w:szCs w:val="26"/>
        </w:rPr>
        <w:t xml:space="preserve"> </w:t>
      </w:r>
      <w:r w:rsidR="006A48BE">
        <w:rPr>
          <w:rFonts w:eastAsia="Calibri" w:cs="Arial"/>
          <w:szCs w:val="26"/>
        </w:rPr>
        <w:t xml:space="preserve">new </w:t>
      </w:r>
      <w:r>
        <w:rPr>
          <w:rFonts w:eastAsia="Calibri" w:cs="Arial"/>
          <w:szCs w:val="26"/>
        </w:rPr>
        <w:t>allegations not raised in the complaint.</w:t>
      </w:r>
      <w:r>
        <w:rPr>
          <w:rStyle w:val="FootnoteReference"/>
          <w:rFonts w:eastAsia="Calibri" w:cs="Arial"/>
          <w:szCs w:val="26"/>
        </w:rPr>
        <w:footnoteReference w:id="4"/>
      </w:r>
      <w:r>
        <w:rPr>
          <w:rFonts w:eastAsia="Calibri" w:cs="Arial"/>
          <w:szCs w:val="26"/>
        </w:rPr>
        <w:t xml:space="preserve">  Complainant allege</w:t>
      </w:r>
      <w:r w:rsidR="00C52270">
        <w:rPr>
          <w:rFonts w:eastAsia="Calibri" w:cs="Arial"/>
          <w:szCs w:val="26"/>
        </w:rPr>
        <w:t>s</w:t>
      </w:r>
      <w:r>
        <w:rPr>
          <w:rFonts w:eastAsia="Calibri" w:cs="Arial"/>
          <w:szCs w:val="26"/>
        </w:rPr>
        <w:t xml:space="preserve"> “improper billing of exempt CARE/FERA customers”</w:t>
      </w:r>
      <w:r w:rsidR="00C52270">
        <w:rPr>
          <w:rFonts w:eastAsia="Calibri" w:cs="Arial"/>
          <w:szCs w:val="26"/>
        </w:rPr>
        <w:t xml:space="preserve"> in violation of</w:t>
      </w:r>
      <w:r w:rsidR="007B036E">
        <w:rPr>
          <w:rFonts w:eastAsia="Calibri" w:cs="Arial"/>
          <w:szCs w:val="26"/>
        </w:rPr>
        <w:t xml:space="preserve"> Public Utilities (</w:t>
      </w:r>
      <w:r w:rsidR="00C52270">
        <w:rPr>
          <w:rFonts w:eastAsia="Calibri" w:cs="Arial"/>
          <w:szCs w:val="26"/>
        </w:rPr>
        <w:t>Pub. Util.</w:t>
      </w:r>
      <w:r w:rsidR="007B036E">
        <w:rPr>
          <w:rFonts w:eastAsia="Calibri" w:cs="Arial"/>
          <w:szCs w:val="26"/>
        </w:rPr>
        <w:t>)</w:t>
      </w:r>
      <w:r w:rsidR="00C52270">
        <w:rPr>
          <w:rFonts w:eastAsia="Calibri" w:cs="Arial"/>
          <w:szCs w:val="26"/>
        </w:rPr>
        <w:t xml:space="preserve"> Code </w:t>
      </w:r>
      <w:r w:rsidRPr="00684486" w:rsidR="00684486">
        <w:rPr>
          <w:rFonts w:eastAsia="Calibri" w:cs="Arial"/>
          <w:szCs w:val="26"/>
        </w:rPr>
        <w:t>§§</w:t>
      </w:r>
      <w:r w:rsidR="007B036E">
        <w:rPr>
          <w:rFonts w:eastAsia="Calibri" w:cs="Arial"/>
          <w:szCs w:val="26"/>
        </w:rPr>
        <w:t> </w:t>
      </w:r>
      <w:r w:rsidR="00C52270">
        <w:rPr>
          <w:rFonts w:eastAsia="Calibri" w:cs="Arial"/>
          <w:szCs w:val="26"/>
        </w:rPr>
        <w:t>701, 734, and 850.1(</w:t>
      </w:r>
      <w:proofErr w:type="spellStart"/>
      <w:r w:rsidR="00C52270">
        <w:rPr>
          <w:rFonts w:eastAsia="Calibri" w:cs="Arial"/>
          <w:szCs w:val="26"/>
        </w:rPr>
        <w:t>i</w:t>
      </w:r>
      <w:proofErr w:type="spellEnd"/>
      <w:r w:rsidR="00C52270">
        <w:rPr>
          <w:rFonts w:eastAsia="Calibri" w:cs="Arial"/>
          <w:szCs w:val="26"/>
        </w:rPr>
        <w:t>).</w:t>
      </w:r>
      <w:r>
        <w:rPr>
          <w:rStyle w:val="FootnoteReference"/>
          <w:rFonts w:eastAsia="Calibri" w:cs="Arial"/>
          <w:szCs w:val="26"/>
        </w:rPr>
        <w:footnoteReference w:id="5"/>
      </w:r>
      <w:r w:rsidR="00C52270">
        <w:rPr>
          <w:rFonts w:eastAsia="Calibri" w:cs="Arial"/>
          <w:szCs w:val="26"/>
        </w:rPr>
        <w:t xml:space="preserve">  In Complainant’s Motion to Strike, Complainant alleges that </w:t>
      </w:r>
      <w:r w:rsidR="00684486">
        <w:t>California Alterative Rates for Energy</w:t>
      </w:r>
      <w:r w:rsidR="00684486">
        <w:rPr>
          <w:rFonts w:eastAsia="Calibri" w:cs="Arial"/>
          <w:szCs w:val="26"/>
        </w:rPr>
        <w:t xml:space="preserve"> (</w:t>
      </w:r>
      <w:r w:rsidR="00C52270">
        <w:rPr>
          <w:rFonts w:eastAsia="Calibri" w:cs="Arial"/>
          <w:szCs w:val="26"/>
        </w:rPr>
        <w:t>CARE</w:t>
      </w:r>
      <w:r w:rsidR="00684486">
        <w:rPr>
          <w:rFonts w:eastAsia="Calibri" w:cs="Arial"/>
          <w:szCs w:val="26"/>
        </w:rPr>
        <w:t>)</w:t>
      </w:r>
      <w:r w:rsidR="00C52270">
        <w:rPr>
          <w:rFonts w:eastAsia="Calibri" w:cs="Arial"/>
          <w:szCs w:val="26"/>
        </w:rPr>
        <w:t>/</w:t>
      </w:r>
      <w:r w:rsidR="00684486">
        <w:rPr>
          <w:rFonts w:eastAsia="Calibri" w:cs="Arial"/>
          <w:szCs w:val="26"/>
        </w:rPr>
        <w:t>Family Electric Rate Assistance (</w:t>
      </w:r>
      <w:r w:rsidR="00C52270">
        <w:rPr>
          <w:rFonts w:eastAsia="Calibri" w:cs="Arial"/>
          <w:szCs w:val="26"/>
        </w:rPr>
        <w:t>FERA</w:t>
      </w:r>
      <w:r w:rsidR="00684486">
        <w:rPr>
          <w:rFonts w:eastAsia="Calibri" w:cs="Arial"/>
          <w:szCs w:val="26"/>
        </w:rPr>
        <w:t>)</w:t>
      </w:r>
      <w:r w:rsidR="00C52270">
        <w:rPr>
          <w:rFonts w:eastAsia="Calibri" w:cs="Arial"/>
          <w:szCs w:val="26"/>
        </w:rPr>
        <w:t xml:space="preserve"> customers were unlawfully billed Fixed Recover Charges and Recovery Bond Charges despite statutory exemption and that PG&amp;E pledged CARE/FERA receivables into securitization pools.</w:t>
      </w:r>
      <w:r w:rsidR="00C52270">
        <w:rPr>
          <w:rStyle w:val="FootnoteReference"/>
          <w:rFonts w:eastAsia="Calibri" w:cs="Arial"/>
          <w:szCs w:val="26"/>
        </w:rPr>
        <w:footnoteReference w:id="6"/>
      </w:r>
      <w:r>
        <w:rPr>
          <w:rFonts w:eastAsia="Calibri" w:cs="Arial"/>
          <w:szCs w:val="26"/>
        </w:rPr>
        <w:t xml:space="preserve">  </w:t>
      </w:r>
    </w:p>
    <w:bookmarkEnd w:id="3"/>
    <w:p w:rsidRPr="00D24F83" w:rsidR="00CF6215" w:rsidP="00D24F83" w:rsidRDefault="00790BFC" w14:paraId="08500AEE" w14:textId="27350FC5">
      <w:pPr>
        <w:pStyle w:val="Heading2"/>
        <w:rPr>
          <w:rFonts w:cstheme="majorBidi"/>
          <w:szCs w:val="32"/>
        </w:rPr>
      </w:pPr>
      <w:r w:rsidRPr="001954CE">
        <w:rPr>
          <w:rFonts w:cstheme="majorBidi"/>
          <w:szCs w:val="32"/>
        </w:rPr>
        <w:t>Defendant’s Contentions</w:t>
      </w:r>
    </w:p>
    <w:p w:rsidR="00CF6215" w:rsidP="007A576F" w:rsidRDefault="00897E98" w14:paraId="2640BE5A" w14:textId="4DBD27C1">
      <w:pPr>
        <w:pStyle w:val="Standard"/>
      </w:pPr>
      <w:r>
        <w:t>Defendant states that the complaint is so vague that Defendant is not apprised</w:t>
      </w:r>
      <w:r w:rsidR="00CF6215">
        <w:t xml:space="preserve"> of the material facts constituting the grounds of the alleged violation</w:t>
      </w:r>
      <w:r w:rsidR="00DA2A94">
        <w:t xml:space="preserve"> and the complaint contains no factual allegations beyond the conclusory statement that Defendant “unlawfully securitized and monetized private trust property” without valid consent.</w:t>
      </w:r>
      <w:r w:rsidR="00CF6215">
        <w:rPr>
          <w:rStyle w:val="FootnoteReference"/>
        </w:rPr>
        <w:footnoteReference w:id="7"/>
      </w:r>
      <w:r w:rsidR="00CF6215">
        <w:t xml:space="preserve">  </w:t>
      </w:r>
    </w:p>
    <w:p w:rsidR="00FF77C1" w:rsidP="007A576F" w:rsidRDefault="00CF6215" w14:paraId="7F3C0D10" w14:textId="23136F88">
      <w:pPr>
        <w:pStyle w:val="Standard"/>
      </w:pPr>
      <w:r>
        <w:lastRenderedPageBreak/>
        <w:t xml:space="preserve">Defendant states that it is unclear what “securitized and monetized” mean in this context, </w:t>
      </w:r>
      <w:r w:rsidR="00DA2A94">
        <w:t xml:space="preserve">under </w:t>
      </w:r>
      <w:r>
        <w:t>what the time period the allegation</w:t>
      </w:r>
      <w:r w:rsidR="00DA2A94">
        <w:t>s</w:t>
      </w:r>
      <w:r>
        <w:t xml:space="preserve"> </w:t>
      </w:r>
      <w:r w:rsidR="00DA2A94">
        <w:t>occurred</w:t>
      </w:r>
      <w:r>
        <w:t xml:space="preserve">, and what the relationship </w:t>
      </w:r>
      <w:r w:rsidR="00DA2A94">
        <w:t>is</w:t>
      </w:r>
      <w:r>
        <w:t xml:space="preserve"> between the allegations and </w:t>
      </w:r>
      <w:r w:rsidR="00DA2A94">
        <w:t xml:space="preserve">the </w:t>
      </w:r>
      <w:r>
        <w:t>exhibit</w:t>
      </w:r>
      <w:r w:rsidR="00DA2A94">
        <w:t xml:space="preserve"> </w:t>
      </w:r>
      <w:r w:rsidR="00D159DE">
        <w:t xml:space="preserve">attached </w:t>
      </w:r>
      <w:r w:rsidR="00DA2A94">
        <w:t>to the complaint</w:t>
      </w:r>
      <w:r>
        <w:t xml:space="preserve"> (</w:t>
      </w:r>
      <w:r w:rsidR="00DA2A94">
        <w:t xml:space="preserve">a screenshot of Complainant’s online bill-pay activity from April-May 2024 </w:t>
      </w:r>
      <w:r>
        <w:t xml:space="preserve">showing payments to PG&amp;E </w:t>
      </w:r>
      <w:r w:rsidR="00DA2A94">
        <w:t>as unsuccessful, scheduled, cancelled and processed</w:t>
      </w:r>
      <w:r>
        <w:t>).  Defendant maintains that the complaint is insufficient to understand the nature of the allegation</w:t>
      </w:r>
      <w:r w:rsidR="00684486">
        <w:t>s</w:t>
      </w:r>
      <w:r>
        <w:t xml:space="preserve"> </w:t>
      </w:r>
      <w:proofErr w:type="gramStart"/>
      <w:r>
        <w:t>so as to</w:t>
      </w:r>
      <w:proofErr w:type="gramEnd"/>
      <w:r>
        <w:t xml:space="preserve"> admit or deny each material fact.</w:t>
      </w:r>
    </w:p>
    <w:p w:rsidR="002D7B63" w:rsidP="002A4A10" w:rsidRDefault="00CF6215" w14:paraId="550A3C84" w14:textId="77777777">
      <w:pPr>
        <w:pStyle w:val="Standard"/>
      </w:pPr>
      <w:r>
        <w:t xml:space="preserve">Defendant further states that </w:t>
      </w:r>
      <w:r w:rsidR="00D159DE">
        <w:t xml:space="preserve">Complainant sent an email to </w:t>
      </w:r>
      <w:r>
        <w:t>Steven Frank, PG&amp;E</w:t>
      </w:r>
      <w:r w:rsidR="003B221A">
        <w:t xml:space="preserve"> counsel</w:t>
      </w:r>
      <w:r>
        <w:t xml:space="preserve">, </w:t>
      </w:r>
      <w:r w:rsidR="00D159DE">
        <w:t xml:space="preserve">on September 21, 2025 </w:t>
      </w:r>
      <w:r>
        <w:t>alleg</w:t>
      </w:r>
      <w:r w:rsidR="00D159DE">
        <w:t>ing</w:t>
      </w:r>
      <w:r>
        <w:t xml:space="preserve"> that the trust account </w:t>
      </w:r>
      <w:r w:rsidR="00684486">
        <w:t>associated with</w:t>
      </w:r>
      <w:r>
        <w:t xml:space="preserve"> the complaint is enrolled in the CARE program, and PG&amp;E is violating Pub. Util. Code </w:t>
      </w:r>
      <w:r w:rsidRPr="00F629CB" w:rsidR="00684486">
        <w:t>§</w:t>
      </w:r>
      <w:r>
        <w:t xml:space="preserve"> 850.1(</w:t>
      </w:r>
      <w:proofErr w:type="spellStart"/>
      <w:r>
        <w:t>i</w:t>
      </w:r>
      <w:proofErr w:type="spellEnd"/>
      <w:r>
        <w:t>) by embedding CARE</w:t>
      </w:r>
      <w:r w:rsidR="00684486">
        <w:t>/FERA</w:t>
      </w:r>
      <w:r>
        <w:t xml:space="preserve"> accounts into the Receivables Financing Agreement without consent or exemption.</w:t>
      </w:r>
      <w:r>
        <w:rPr>
          <w:rStyle w:val="FootnoteReference"/>
        </w:rPr>
        <w:footnoteReference w:id="8"/>
      </w:r>
      <w:r>
        <w:t xml:space="preserve">  </w:t>
      </w:r>
      <w:r w:rsidR="00684486">
        <w:t>Defendant states that the</w:t>
      </w:r>
      <w:r>
        <w:t xml:space="preserve"> email demanded </w:t>
      </w:r>
      <w:r w:rsidR="00684486">
        <w:t>PG&amp;E</w:t>
      </w:r>
      <w:r>
        <w:t xml:space="preserve"> respond within 10</w:t>
      </w:r>
      <w:r w:rsidR="007B036E">
        <w:t> </w:t>
      </w:r>
      <w:r>
        <w:t>days and requested remedies including $500 million</w:t>
      </w:r>
      <w:r w:rsidR="00664694">
        <w:t xml:space="preserve">.  </w:t>
      </w:r>
      <w:r w:rsidR="00684486">
        <w:t>Defendant states that t</w:t>
      </w:r>
      <w:r w:rsidR="00664694">
        <w:t xml:space="preserve">he email stated that if no response is provided, Complainant </w:t>
      </w:r>
      <w:r w:rsidR="00684486">
        <w:t>would</w:t>
      </w:r>
      <w:r w:rsidR="00664694">
        <w:t xml:space="preserve"> pursue all legal and regulatory remedies, including civil litigation, filing a complaint with </w:t>
      </w:r>
      <w:r w:rsidR="00684486">
        <w:t>the Federal Energy Regulatory Commission</w:t>
      </w:r>
      <w:r w:rsidR="00664694">
        <w:t>, and making a</w:t>
      </w:r>
      <w:r w:rsidR="00684486">
        <w:t>n</w:t>
      </w:r>
      <w:r w:rsidR="00664694">
        <w:t xml:space="preserve"> announcement to all local news stations and social media platforms.  Defendant states that it is unclear whether the September</w:t>
      </w:r>
      <w:r w:rsidR="007B036E">
        <w:t> </w:t>
      </w:r>
      <w:r w:rsidR="00664694">
        <w:t>21</w:t>
      </w:r>
      <w:r w:rsidR="007B036E">
        <w:t> </w:t>
      </w:r>
    </w:p>
    <w:p w:rsidR="00A32066" w:rsidP="002D7B63" w:rsidRDefault="00664694" w14:paraId="5719C546" w14:textId="5D1A4D09">
      <w:pPr>
        <w:pStyle w:val="Standard"/>
        <w:ind w:firstLine="0"/>
      </w:pPr>
      <w:r>
        <w:t>e</w:t>
      </w:r>
      <w:r w:rsidR="002D7B63">
        <w:t>-</w:t>
      </w:r>
      <w:r>
        <w:t>mail is part of the same complaint, as it “contains allegations of a violation of an apparently similar nature, but cites different code provisions, additional violations, and contains additional attachments.”</w:t>
      </w:r>
      <w:r>
        <w:rPr>
          <w:rStyle w:val="FootnoteReference"/>
        </w:rPr>
        <w:footnoteReference w:id="9"/>
      </w:r>
    </w:p>
    <w:p w:rsidR="00EF1992" w:rsidP="002A4A10" w:rsidRDefault="00EF1992" w14:paraId="0CC2BA06" w14:textId="2181207A">
      <w:pPr>
        <w:pStyle w:val="Standard"/>
      </w:pPr>
      <w:r>
        <w:t xml:space="preserve">Defendant states that the complaint should be dismissed with prejudice for failure to comply with Rule 4.2 and Pub. Util. Code </w:t>
      </w:r>
      <w:r w:rsidRPr="00F629CB">
        <w:t>§</w:t>
      </w:r>
      <w:r>
        <w:t xml:space="preserve"> 1702.</w:t>
      </w:r>
      <w:r>
        <w:rPr>
          <w:rStyle w:val="FootnoteReference"/>
        </w:rPr>
        <w:footnoteReference w:id="10"/>
      </w:r>
      <w:r>
        <w:t xml:space="preserve">  </w:t>
      </w:r>
    </w:p>
    <w:p w:rsidRPr="001954CE" w:rsidR="001954CE" w:rsidP="001C59B5" w:rsidRDefault="001954CE" w14:paraId="64E447B5" w14:textId="70DCB6A3">
      <w:pPr>
        <w:pStyle w:val="Heading1"/>
      </w:pPr>
      <w:r w:rsidRPr="0023669F">
        <w:rPr>
          <w:rFonts w:eastAsia="Times New Roman"/>
        </w:rPr>
        <w:lastRenderedPageBreak/>
        <w:t>Submission</w:t>
      </w:r>
      <w:r w:rsidRPr="001954CE">
        <w:t xml:space="preserve"> Date</w:t>
      </w:r>
    </w:p>
    <w:p w:rsidRPr="004841EA" w:rsidR="001954CE" w:rsidP="007B036E" w:rsidRDefault="001954CE" w14:paraId="0FF234E9" w14:textId="71841844">
      <w:pPr>
        <w:pStyle w:val="Standard"/>
      </w:pPr>
      <w:r w:rsidRPr="001954CE">
        <w:t>This matter was submitted on</w:t>
      </w:r>
      <w:r>
        <w:t xml:space="preserve"> </w:t>
      </w:r>
      <w:r w:rsidR="002A4A10">
        <w:t>December</w:t>
      </w:r>
      <w:r w:rsidR="007B036E">
        <w:t> </w:t>
      </w:r>
      <w:r w:rsidR="002A4A10">
        <w:t>12, 2025,</w:t>
      </w:r>
      <w:r w:rsidRPr="001954CE">
        <w:t xml:space="preserve"> </w:t>
      </w:r>
      <w:r>
        <w:t xml:space="preserve">the submission deadline for </w:t>
      </w:r>
      <w:r w:rsidR="002A4A10">
        <w:t>Reply Comments</w:t>
      </w:r>
      <w:r>
        <w:t xml:space="preserve"> to the Scoping Memo.</w:t>
      </w:r>
      <w:r w:rsidRPr="001954CE">
        <w:t xml:space="preserve"> </w:t>
      </w:r>
    </w:p>
    <w:p w:rsidR="0075482A" w:rsidP="001C59B5" w:rsidRDefault="0075482A" w14:paraId="2D45AC1F" w14:textId="38C62B03">
      <w:pPr>
        <w:pStyle w:val="Heading1"/>
      </w:pPr>
      <w:r>
        <w:t>Issues Before the Commission</w:t>
      </w:r>
    </w:p>
    <w:p w:rsidR="0075482A" w:rsidP="0075482A" w:rsidRDefault="0075482A" w14:paraId="4A630C5A" w14:textId="284A829E">
      <w:pPr>
        <w:pStyle w:val="Standard"/>
        <w:rPr>
          <w:rFonts w:eastAsia="Calibri" w:cs="Arial"/>
          <w:szCs w:val="26"/>
        </w:rPr>
      </w:pPr>
      <w:r>
        <w:rPr>
          <w:rFonts w:eastAsia="Calibri" w:cs="Arial"/>
          <w:szCs w:val="26"/>
        </w:rPr>
        <w:t xml:space="preserve">On </w:t>
      </w:r>
      <w:r w:rsidR="002A4A10">
        <w:rPr>
          <w:rFonts w:eastAsia="Calibri" w:cs="Arial"/>
          <w:szCs w:val="26"/>
        </w:rPr>
        <w:t>October 31, 2025</w:t>
      </w:r>
      <w:r>
        <w:rPr>
          <w:rFonts w:eastAsia="Calibri" w:cs="Arial"/>
          <w:szCs w:val="26"/>
        </w:rPr>
        <w:t xml:space="preserve">, </w:t>
      </w:r>
      <w:r w:rsidR="0067467A">
        <w:rPr>
          <w:rFonts w:eastAsia="Calibri" w:cs="Arial"/>
          <w:szCs w:val="26"/>
        </w:rPr>
        <w:t>the</w:t>
      </w:r>
      <w:r>
        <w:rPr>
          <w:rFonts w:eastAsia="Calibri" w:cs="Arial"/>
          <w:szCs w:val="26"/>
        </w:rPr>
        <w:t xml:space="preserve"> Assigned Commissioner’s Scoping Memo and Ruling set forth the following scoped issues:</w:t>
      </w:r>
    </w:p>
    <w:p w:rsidR="001954CE" w:rsidRDefault="002A4A10" w14:paraId="7ED8D06A" w14:textId="08501E1C">
      <w:pPr>
        <w:pStyle w:val="Standard"/>
        <w:numPr>
          <w:ilvl w:val="0"/>
          <w:numId w:val="3"/>
        </w:numPr>
        <w:spacing w:after="120" w:line="240" w:lineRule="auto"/>
        <w:ind w:left="1166" w:right="1440" w:hanging="446"/>
        <w:rPr>
          <w:rFonts w:eastAsia="Calibri" w:cs="Arial"/>
          <w:szCs w:val="26"/>
        </w:rPr>
      </w:pPr>
      <w:r>
        <w:rPr>
          <w:rFonts w:eastAsia="Calibri" w:cs="Arial"/>
          <w:szCs w:val="26"/>
        </w:rPr>
        <w:t>Does the Complaint adequately state a claim(s) upon which the Commission can grant relief, as required for the filing of a complaint pursuant to Commission Rule 4.1 and 4.2?</w:t>
      </w:r>
    </w:p>
    <w:p w:rsidRPr="0095399C" w:rsidR="002A4A10" w:rsidRDefault="002A4A10" w14:paraId="00435D44" w14:textId="6FB644FF">
      <w:pPr>
        <w:pStyle w:val="Standard"/>
        <w:numPr>
          <w:ilvl w:val="0"/>
          <w:numId w:val="3"/>
        </w:numPr>
        <w:spacing w:after="120" w:line="240" w:lineRule="auto"/>
        <w:ind w:left="1170" w:right="1440" w:hanging="450"/>
        <w:rPr>
          <w:rFonts w:eastAsia="Calibri" w:cs="Arial"/>
          <w:szCs w:val="26"/>
        </w:rPr>
      </w:pPr>
      <w:r>
        <w:rPr>
          <w:rFonts w:eastAsia="Calibri" w:cs="Arial"/>
          <w:szCs w:val="26"/>
        </w:rPr>
        <w:t>I</w:t>
      </w:r>
      <w:r w:rsidR="00D159DE">
        <w:rPr>
          <w:rFonts w:eastAsia="Calibri" w:cs="Arial"/>
          <w:szCs w:val="26"/>
        </w:rPr>
        <w:t>f</w:t>
      </w:r>
      <w:r>
        <w:rPr>
          <w:rFonts w:eastAsia="Calibri" w:cs="Arial"/>
          <w:szCs w:val="26"/>
        </w:rPr>
        <w:t xml:space="preserve"> the answer to Issue 1 above is “no,” should the Complaint be dismissed without hearings? If the answer to Issue 1 is “yes,” is Complainant entitled to the requested relief?</w:t>
      </w:r>
    </w:p>
    <w:p w:rsidR="00790BFC" w:rsidP="007B036E" w:rsidRDefault="00790BFC" w14:paraId="671AAE30" w14:textId="5BF86FC2">
      <w:pPr>
        <w:pStyle w:val="Heading1"/>
        <w:rPr>
          <w:rFonts w:eastAsia="Times New Roman"/>
        </w:rPr>
      </w:pPr>
      <w:r>
        <w:rPr>
          <w:rFonts w:eastAsia="Times New Roman"/>
        </w:rPr>
        <w:t>Discussion</w:t>
      </w:r>
    </w:p>
    <w:p w:rsidR="00870274" w:rsidP="007B036E" w:rsidRDefault="00B34890" w14:paraId="59878E50" w14:textId="21698B3F">
      <w:pPr>
        <w:pStyle w:val="Standard"/>
        <w:keepNext/>
      </w:pPr>
      <w:r>
        <w:t>Under</w:t>
      </w:r>
      <w:r w:rsidR="00870274">
        <w:t xml:space="preserve"> Rule 4.1(a)(1) of the Commission’s Rules, a complaint may be filed by: </w:t>
      </w:r>
    </w:p>
    <w:p w:rsidR="00870274" w:rsidP="002D7B63" w:rsidRDefault="00870274" w14:paraId="406B6C87" w14:textId="05986BD2">
      <w:pPr>
        <w:pStyle w:val="BlockQuote"/>
        <w:ind w:right="1440"/>
      </w:pPr>
      <w:r>
        <w:t>Any corporation or person…setting forth any act or thing done or omitted to be done by any public utility…in violation, or claimed to be in violation, of any provision of law or of any order or rule of the Commission.</w:t>
      </w:r>
    </w:p>
    <w:p w:rsidR="00CC79AB" w:rsidP="007B036E" w:rsidRDefault="00B34890" w14:paraId="6C8505C4" w14:textId="3E0F8075">
      <w:pPr>
        <w:pStyle w:val="Standard"/>
        <w:spacing w:before="180"/>
      </w:pPr>
      <w:r>
        <w:t>Under</w:t>
      </w:r>
      <w:r w:rsidR="00D20567">
        <w:t xml:space="preserve"> Rule 4.2, “[t]he specific act complained of shall be set forth in ordinary and concise language.  The complaint shall be so drawn as to completely advise the defendant and the Commission of the facts constituting the grounds of the complaint, the injury complained of, and the exact relief which is desired.”</w:t>
      </w:r>
    </w:p>
    <w:p w:rsidR="00EA5A90" w:rsidP="00B34890" w:rsidRDefault="00B34890" w14:paraId="3B971106" w14:textId="16270DCB">
      <w:pPr>
        <w:pStyle w:val="Standard"/>
      </w:pPr>
      <w:r>
        <w:lastRenderedPageBreak/>
        <w:t>We first consider whether the complaint adequately states a claim upon which the Commission can grant relief pursuant to Rule</w:t>
      </w:r>
      <w:r w:rsidR="00D159DE">
        <w:t>s</w:t>
      </w:r>
      <w:r>
        <w:t xml:space="preserve"> 4.1 and 4.2.  In the complaint, the allegations are</w:t>
      </w:r>
      <w:r w:rsidR="00EA5A90">
        <w:t xml:space="preserve"> </w:t>
      </w:r>
      <w:r>
        <w:t>as follows:</w:t>
      </w:r>
      <w:r w:rsidR="00EA5A90">
        <w:rPr>
          <w:rStyle w:val="FootnoteReference"/>
        </w:rPr>
        <w:footnoteReference w:id="11"/>
      </w:r>
      <w:r w:rsidR="006542EF">
        <w:t xml:space="preserve"> </w:t>
      </w:r>
    </w:p>
    <w:p w:rsidR="00EA5A90" w:rsidRDefault="006542EF" w14:paraId="3176868E" w14:textId="6772FF84">
      <w:pPr>
        <w:pStyle w:val="Standard"/>
        <w:numPr>
          <w:ilvl w:val="0"/>
          <w:numId w:val="4"/>
        </w:numPr>
        <w:spacing w:after="120" w:line="240" w:lineRule="auto"/>
        <w:ind w:left="1080" w:right="1440"/>
      </w:pPr>
      <w:r>
        <w:t xml:space="preserve">“PG&amp;E unlawfully securitized and monetized private trust property, including my utility account, billing contract, financial identifiers, and name, without consent or lawful title to the recovery property.”  </w:t>
      </w:r>
    </w:p>
    <w:p w:rsidR="00EE43C9" w:rsidRDefault="006542EF" w14:paraId="2EB2F6D2" w14:textId="54A64577">
      <w:pPr>
        <w:pStyle w:val="Standard"/>
        <w:numPr>
          <w:ilvl w:val="0"/>
          <w:numId w:val="4"/>
        </w:numPr>
        <w:spacing w:after="120" w:line="240" w:lineRule="auto"/>
        <w:ind w:left="1080" w:right="1440"/>
      </w:pPr>
      <w:r>
        <w:t>“PG&amp;E issued securitization bonds backed by unlawfully obtained customer contracts while continuing to bill me</w:t>
      </w:r>
      <w:r w:rsidR="00BF2897">
        <w:t xml:space="preserve"> as if nothing had been paid.”  </w:t>
      </w:r>
    </w:p>
    <w:p w:rsidR="00EA5A90" w:rsidP="00CB3F79" w:rsidRDefault="00EA5A90" w14:paraId="3520D934" w14:textId="4454E314">
      <w:pPr>
        <w:pStyle w:val="Standard"/>
        <w:keepNext/>
      </w:pPr>
      <w:r>
        <w:t>The complaint states that “these actions constitute unauthorized use of trust property, breach of privacy, and conversion of assets in violation of” the following:</w:t>
      </w:r>
      <w:r w:rsidR="009C53D5">
        <w:rPr>
          <w:rStyle w:val="FootnoteReference"/>
        </w:rPr>
        <w:footnoteReference w:id="12"/>
      </w:r>
    </w:p>
    <w:p w:rsidRPr="00EA5A90" w:rsidR="00EA5A90" w:rsidRDefault="00EA5A90" w14:paraId="307C1BD4" w14:textId="119923E5">
      <w:pPr>
        <w:pStyle w:val="Standard"/>
        <w:numPr>
          <w:ilvl w:val="0"/>
          <w:numId w:val="4"/>
        </w:numPr>
        <w:spacing w:after="120" w:line="240" w:lineRule="auto"/>
        <w:ind w:left="1080" w:right="1440"/>
      </w:pPr>
      <w:r>
        <w:rPr>
          <w:rFonts w:eastAsia="Calibri" w:cs="Arial"/>
          <w:szCs w:val="26"/>
        </w:rPr>
        <w:t xml:space="preserve">PG&amp;E Electric Rule 9.M and Rule </w:t>
      </w:r>
      <w:proofErr w:type="gramStart"/>
      <w:r>
        <w:rPr>
          <w:rFonts w:eastAsia="Calibri" w:cs="Arial"/>
          <w:szCs w:val="26"/>
        </w:rPr>
        <w:t>27</w:t>
      </w:r>
      <w:r w:rsidR="002D7B63">
        <w:rPr>
          <w:rFonts w:eastAsia="Calibri" w:cs="Arial"/>
          <w:szCs w:val="26"/>
        </w:rPr>
        <w:t>;</w:t>
      </w:r>
      <w:proofErr w:type="gramEnd"/>
    </w:p>
    <w:p w:rsidRPr="009C53D5" w:rsidR="009C53D5" w:rsidRDefault="00EA5A90" w14:paraId="08364975" w14:textId="3B02D31F">
      <w:pPr>
        <w:pStyle w:val="Standard"/>
        <w:numPr>
          <w:ilvl w:val="0"/>
          <w:numId w:val="4"/>
        </w:numPr>
        <w:spacing w:after="120" w:line="240" w:lineRule="auto"/>
        <w:ind w:left="1080" w:right="1440"/>
      </w:pPr>
      <w:r>
        <w:rPr>
          <w:rFonts w:eastAsia="Calibri" w:cs="Arial"/>
          <w:szCs w:val="26"/>
        </w:rPr>
        <w:t xml:space="preserve">Cal. Civil Code </w:t>
      </w:r>
      <w:r w:rsidRPr="00EA5A90">
        <w:rPr>
          <w:rFonts w:eastAsia="Calibri" w:cs="Arial"/>
          <w:szCs w:val="26"/>
        </w:rPr>
        <w:t>§§</w:t>
      </w:r>
      <w:r>
        <w:rPr>
          <w:rFonts w:eastAsia="Calibri" w:cs="Arial"/>
          <w:szCs w:val="26"/>
        </w:rPr>
        <w:t xml:space="preserve"> 1550, 1689</w:t>
      </w:r>
      <w:r w:rsidR="009C53D5">
        <w:rPr>
          <w:rFonts w:eastAsia="Calibri" w:cs="Arial"/>
          <w:szCs w:val="26"/>
        </w:rPr>
        <w:t xml:space="preserve"> (invalid contracts</w:t>
      </w:r>
      <w:proofErr w:type="gramStart"/>
      <w:r w:rsidR="009C53D5">
        <w:rPr>
          <w:rFonts w:eastAsia="Calibri" w:cs="Arial"/>
          <w:szCs w:val="26"/>
        </w:rPr>
        <w:t>)</w:t>
      </w:r>
      <w:r w:rsidR="002D7B63">
        <w:rPr>
          <w:rFonts w:eastAsia="Calibri" w:cs="Arial"/>
          <w:szCs w:val="26"/>
        </w:rPr>
        <w:t>;</w:t>
      </w:r>
      <w:proofErr w:type="gramEnd"/>
    </w:p>
    <w:p w:rsidRPr="009C53D5" w:rsidR="009C53D5" w:rsidRDefault="009C53D5" w14:paraId="595AC79E" w14:textId="4470A10D">
      <w:pPr>
        <w:pStyle w:val="Standard"/>
        <w:numPr>
          <w:ilvl w:val="0"/>
          <w:numId w:val="4"/>
        </w:numPr>
        <w:spacing w:after="120" w:line="240" w:lineRule="auto"/>
        <w:ind w:left="1080" w:right="1440"/>
      </w:pPr>
      <w:r>
        <w:rPr>
          <w:rFonts w:eastAsia="Calibri" w:cs="Arial"/>
          <w:szCs w:val="26"/>
        </w:rPr>
        <w:t xml:space="preserve">Cal. Civil Code </w:t>
      </w:r>
      <w:r w:rsidRPr="00EA5A90">
        <w:rPr>
          <w:rFonts w:eastAsia="Calibri" w:cs="Arial"/>
          <w:szCs w:val="26"/>
        </w:rPr>
        <w:t>§§</w:t>
      </w:r>
      <w:r>
        <w:rPr>
          <w:rFonts w:eastAsia="Calibri" w:cs="Arial"/>
          <w:szCs w:val="26"/>
        </w:rPr>
        <w:t xml:space="preserve"> </w:t>
      </w:r>
      <w:r w:rsidR="00EA5A90">
        <w:rPr>
          <w:rFonts w:eastAsia="Calibri" w:cs="Arial"/>
          <w:szCs w:val="26"/>
        </w:rPr>
        <w:t>1789.81-.85</w:t>
      </w:r>
      <w:r>
        <w:rPr>
          <w:rFonts w:eastAsia="Calibri" w:cs="Arial"/>
          <w:szCs w:val="26"/>
        </w:rPr>
        <w:t xml:space="preserve"> (</w:t>
      </w:r>
      <w:r w:rsidR="00CF61F7">
        <w:rPr>
          <w:rFonts w:eastAsia="Calibri" w:cs="Arial"/>
          <w:szCs w:val="26"/>
        </w:rPr>
        <w:t>non-public information</w:t>
      </w:r>
      <w:r>
        <w:rPr>
          <w:rFonts w:eastAsia="Calibri" w:cs="Arial"/>
          <w:szCs w:val="26"/>
        </w:rPr>
        <w:t xml:space="preserve"> misuse</w:t>
      </w:r>
      <w:proofErr w:type="gramStart"/>
      <w:r>
        <w:rPr>
          <w:rFonts w:eastAsia="Calibri" w:cs="Arial"/>
          <w:szCs w:val="26"/>
        </w:rPr>
        <w:t>)</w:t>
      </w:r>
      <w:r w:rsidR="002D7B63">
        <w:rPr>
          <w:rFonts w:eastAsia="Calibri" w:cs="Arial"/>
          <w:szCs w:val="26"/>
        </w:rPr>
        <w:t>;</w:t>
      </w:r>
      <w:proofErr w:type="gramEnd"/>
    </w:p>
    <w:p w:rsidRPr="00EA5A90" w:rsidR="00EA5A90" w:rsidRDefault="009C53D5" w14:paraId="0D609730" w14:textId="766A1850">
      <w:pPr>
        <w:pStyle w:val="Standard"/>
        <w:numPr>
          <w:ilvl w:val="0"/>
          <w:numId w:val="4"/>
        </w:numPr>
        <w:spacing w:after="120" w:line="240" w:lineRule="auto"/>
        <w:ind w:left="1080" w:right="1440"/>
      </w:pPr>
      <w:r>
        <w:rPr>
          <w:rFonts w:eastAsia="Calibri" w:cs="Arial"/>
          <w:szCs w:val="26"/>
        </w:rPr>
        <w:t xml:space="preserve">Cal. Civil Code </w:t>
      </w:r>
      <w:r w:rsidRPr="00EA5A90">
        <w:rPr>
          <w:rFonts w:eastAsia="Calibri" w:cs="Arial"/>
          <w:szCs w:val="26"/>
        </w:rPr>
        <w:t>§§</w:t>
      </w:r>
      <w:r>
        <w:rPr>
          <w:rFonts w:eastAsia="Calibri" w:cs="Arial"/>
          <w:szCs w:val="26"/>
        </w:rPr>
        <w:t xml:space="preserve"> </w:t>
      </w:r>
      <w:r w:rsidR="00EA5A90">
        <w:rPr>
          <w:rFonts w:eastAsia="Calibri" w:cs="Arial"/>
          <w:szCs w:val="26"/>
        </w:rPr>
        <w:t>2223 and 2224</w:t>
      </w:r>
      <w:r>
        <w:rPr>
          <w:rFonts w:eastAsia="Calibri" w:cs="Arial"/>
          <w:szCs w:val="26"/>
        </w:rPr>
        <w:t xml:space="preserve"> (constructive trust/wrongful withholding</w:t>
      </w:r>
      <w:proofErr w:type="gramStart"/>
      <w:r>
        <w:rPr>
          <w:rFonts w:eastAsia="Calibri" w:cs="Arial"/>
          <w:szCs w:val="26"/>
        </w:rPr>
        <w:t>)</w:t>
      </w:r>
      <w:r w:rsidR="002D7B63">
        <w:rPr>
          <w:rFonts w:eastAsia="Calibri" w:cs="Arial"/>
          <w:szCs w:val="26"/>
        </w:rPr>
        <w:t>;</w:t>
      </w:r>
      <w:proofErr w:type="gramEnd"/>
    </w:p>
    <w:p w:rsidRPr="00105861" w:rsidR="00105861" w:rsidRDefault="00EA5A90" w14:paraId="4429A4FC" w14:textId="2FDF4B10">
      <w:pPr>
        <w:pStyle w:val="Standard"/>
        <w:numPr>
          <w:ilvl w:val="0"/>
          <w:numId w:val="4"/>
        </w:numPr>
        <w:spacing w:after="120" w:line="240" w:lineRule="auto"/>
        <w:ind w:left="1080" w:right="1440"/>
      </w:pPr>
      <w:r>
        <w:rPr>
          <w:rFonts w:eastAsia="Calibri" w:cs="Arial"/>
          <w:szCs w:val="26"/>
        </w:rPr>
        <w:t xml:space="preserve">Cal. Probate Code </w:t>
      </w:r>
      <w:r w:rsidRPr="00EA5A90">
        <w:rPr>
          <w:rFonts w:eastAsia="Calibri" w:cs="Arial"/>
          <w:szCs w:val="26"/>
        </w:rPr>
        <w:t>§§</w:t>
      </w:r>
      <w:r>
        <w:rPr>
          <w:rFonts w:eastAsia="Calibri" w:cs="Arial"/>
          <w:szCs w:val="26"/>
        </w:rPr>
        <w:t xml:space="preserve"> 16000, 16420</w:t>
      </w:r>
      <w:r w:rsidR="009C53D5">
        <w:rPr>
          <w:rFonts w:eastAsia="Calibri" w:cs="Arial"/>
          <w:szCs w:val="26"/>
        </w:rPr>
        <w:t xml:space="preserve"> (trust enforcement</w:t>
      </w:r>
      <w:proofErr w:type="gramStart"/>
      <w:r w:rsidR="009C53D5">
        <w:rPr>
          <w:rFonts w:eastAsia="Calibri" w:cs="Arial"/>
          <w:szCs w:val="26"/>
        </w:rPr>
        <w:t>)</w:t>
      </w:r>
      <w:r w:rsidR="002D7B63">
        <w:rPr>
          <w:rFonts w:eastAsia="Calibri" w:cs="Arial"/>
          <w:szCs w:val="26"/>
        </w:rPr>
        <w:t>;</w:t>
      </w:r>
      <w:proofErr w:type="gramEnd"/>
    </w:p>
    <w:p w:rsidRPr="00105861" w:rsidR="00105861" w:rsidRDefault="00EA5A90" w14:paraId="152859DF" w14:textId="244F6866">
      <w:pPr>
        <w:pStyle w:val="Standard"/>
        <w:numPr>
          <w:ilvl w:val="0"/>
          <w:numId w:val="4"/>
        </w:numPr>
        <w:spacing w:after="120" w:line="240" w:lineRule="auto"/>
        <w:ind w:left="1080" w:right="1440"/>
      </w:pPr>
      <w:r>
        <w:rPr>
          <w:rFonts w:eastAsia="Calibri" w:cs="Arial"/>
          <w:szCs w:val="26"/>
        </w:rPr>
        <w:t xml:space="preserve">Cal. Consumer Privacy </w:t>
      </w:r>
      <w:proofErr w:type="gramStart"/>
      <w:r>
        <w:rPr>
          <w:rFonts w:eastAsia="Calibri" w:cs="Arial"/>
          <w:szCs w:val="26"/>
        </w:rPr>
        <w:t>Act</w:t>
      </w:r>
      <w:r w:rsidR="002D7B63">
        <w:rPr>
          <w:rFonts w:eastAsia="Calibri" w:cs="Arial"/>
          <w:szCs w:val="26"/>
        </w:rPr>
        <w:t>;</w:t>
      </w:r>
      <w:proofErr w:type="gramEnd"/>
    </w:p>
    <w:p w:rsidRPr="00105861" w:rsidR="00105861" w:rsidRDefault="00105861" w14:paraId="6B8CAEEC" w14:textId="2D91B6A3">
      <w:pPr>
        <w:pStyle w:val="Standard"/>
        <w:numPr>
          <w:ilvl w:val="0"/>
          <w:numId w:val="4"/>
        </w:numPr>
        <w:spacing w:after="120" w:line="240" w:lineRule="auto"/>
        <w:ind w:left="1080" w:right="1440"/>
      </w:pPr>
      <w:r>
        <w:rPr>
          <w:rFonts w:eastAsia="Calibri" w:cs="Arial"/>
          <w:szCs w:val="26"/>
        </w:rPr>
        <w:t xml:space="preserve">15 U.S.C. </w:t>
      </w:r>
      <w:r w:rsidRPr="00105861">
        <w:rPr>
          <w:rFonts w:eastAsia="Calibri" w:cs="Arial"/>
          <w:szCs w:val="26"/>
        </w:rPr>
        <w:t>§</w:t>
      </w:r>
      <w:r>
        <w:rPr>
          <w:rFonts w:eastAsia="Calibri" w:cs="Arial"/>
          <w:szCs w:val="26"/>
        </w:rPr>
        <w:t xml:space="preserve"> 1601 et seq. (</w:t>
      </w:r>
      <w:r w:rsidR="00EA5A90">
        <w:rPr>
          <w:rFonts w:eastAsia="Calibri" w:cs="Arial"/>
          <w:szCs w:val="26"/>
        </w:rPr>
        <w:t>Truth in Lending Act</w:t>
      </w:r>
      <w:r>
        <w:rPr>
          <w:rFonts w:eastAsia="Calibri" w:cs="Arial"/>
          <w:szCs w:val="26"/>
        </w:rPr>
        <w:t>)</w:t>
      </w:r>
      <w:r w:rsidR="002D7B63">
        <w:rPr>
          <w:rFonts w:eastAsia="Calibri" w:cs="Arial"/>
          <w:szCs w:val="26"/>
        </w:rPr>
        <w:t>; and</w:t>
      </w:r>
    </w:p>
    <w:p w:rsidRPr="009C53D5" w:rsidR="009C53D5" w:rsidRDefault="00EA5A90" w14:paraId="68451FCA" w14:textId="4A184EF3">
      <w:pPr>
        <w:pStyle w:val="Standard"/>
        <w:numPr>
          <w:ilvl w:val="0"/>
          <w:numId w:val="4"/>
        </w:numPr>
        <w:spacing w:after="120" w:line="240" w:lineRule="auto"/>
        <w:ind w:left="1080" w:right="1440"/>
      </w:pPr>
      <w:r>
        <w:rPr>
          <w:rFonts w:eastAsia="Calibri" w:cs="Arial"/>
          <w:szCs w:val="26"/>
        </w:rPr>
        <w:t>18 U.S.C. Section 1343</w:t>
      </w:r>
      <w:r w:rsidR="009C53D5">
        <w:rPr>
          <w:rFonts w:eastAsia="Calibri" w:cs="Arial"/>
          <w:szCs w:val="26"/>
        </w:rPr>
        <w:t xml:space="preserve"> (wire fraud through unauthorized use of financial accounts)</w:t>
      </w:r>
      <w:r w:rsidR="002D7B63">
        <w:rPr>
          <w:rFonts w:eastAsia="Calibri" w:cs="Arial"/>
          <w:szCs w:val="26"/>
        </w:rPr>
        <w:t>.</w:t>
      </w:r>
    </w:p>
    <w:p w:rsidR="00685942" w:rsidP="00CB3F79" w:rsidRDefault="009C53D5" w14:paraId="63932040" w14:textId="313668BF">
      <w:pPr>
        <w:pStyle w:val="Standard"/>
        <w:spacing w:before="180"/>
      </w:pPr>
      <w:r>
        <w:t xml:space="preserve">Based on a review of the complaint, it is unclear to the Commission what the Complainant means by “unlawfully securitized and monetized” trust property.  Complainant </w:t>
      </w:r>
      <w:r w:rsidR="00A5212D">
        <w:t>makes the conclusory statement</w:t>
      </w:r>
      <w:r>
        <w:t xml:space="preserve"> that PG&amp;E has </w:t>
      </w:r>
      <w:r>
        <w:lastRenderedPageBreak/>
        <w:t>securitized and monetized trust property</w:t>
      </w:r>
      <w:r w:rsidR="00A5212D">
        <w:t xml:space="preserve"> without consent</w:t>
      </w:r>
      <w:r>
        <w:t xml:space="preserve">, </w:t>
      </w:r>
      <w:r w:rsidR="00A5212D">
        <w:t>including her “</w:t>
      </w:r>
      <w:r>
        <w:t>utility account, billing contract, financial identifiers, and name</w:t>
      </w:r>
      <w:r w:rsidR="00A5212D">
        <w:t>.”</w:t>
      </w:r>
      <w:r>
        <w:t xml:space="preserve"> </w:t>
      </w:r>
      <w:r w:rsidR="00CB3F79">
        <w:t xml:space="preserve"> </w:t>
      </w:r>
      <w:r w:rsidR="00685942">
        <w:t xml:space="preserve">The complaint attaches one exhibit: a screenshot purportedly of Complainant’s PG&amp;E online billing account, which shows various stages of payment in May 2024 (failed, processed, cancelled, and scheduled).  Based on the reading of the complaint, the Commission does not understand what this allegation means and how the exhibit is connected to the allegations in the complaint.  </w:t>
      </w:r>
    </w:p>
    <w:p w:rsidR="004E3F15" w:rsidP="004E3F15" w:rsidRDefault="004E3F15" w14:paraId="3B37C502" w14:textId="7D33B90E">
      <w:pPr>
        <w:pStyle w:val="Standard"/>
      </w:pPr>
      <w:r>
        <w:t xml:space="preserve">While the complaint lists a broad range of statutes that Defendant has </w:t>
      </w:r>
      <w:r w:rsidR="00C92336">
        <w:t>allegedly</w:t>
      </w:r>
      <w:r>
        <w:t xml:space="preserve"> violated, the Commission is unclear how the “unlawful securitization and monetization” allegation </w:t>
      </w:r>
      <w:r w:rsidR="00C92336">
        <w:t>is connect</w:t>
      </w:r>
      <w:r w:rsidR="000E7ADF">
        <w:t>ed</w:t>
      </w:r>
      <w:r w:rsidR="00C92336">
        <w:t xml:space="preserve"> to any of</w:t>
      </w:r>
      <w:r>
        <w:t xml:space="preserve"> the listed statutes.  We note that some of the listed statu</w:t>
      </w:r>
      <w:r w:rsidR="00A63A81">
        <w:t>t</w:t>
      </w:r>
      <w:r>
        <w:t>es in the complaint (</w:t>
      </w:r>
      <w:r w:rsidRPr="00D159DE">
        <w:rPr>
          <w:i/>
          <w:iCs/>
        </w:rPr>
        <w:t>e.g.</w:t>
      </w:r>
      <w:r>
        <w:t>, California Probate Code, 18</w:t>
      </w:r>
      <w:r w:rsidR="002D7B63">
        <w:t> </w:t>
      </w:r>
      <w:r>
        <w:t xml:space="preserve">U.S.C. </w:t>
      </w:r>
      <w:r w:rsidRPr="00F629CB">
        <w:t>§</w:t>
      </w:r>
      <w:r>
        <w:t xml:space="preserve"> 1343 (federal wire fraud)) do not fall under the Commission’s purview.   </w:t>
      </w:r>
    </w:p>
    <w:p w:rsidR="00685942" w:rsidP="004E3F15" w:rsidRDefault="004E3F15" w14:paraId="799D8338" w14:textId="5B9EA658">
      <w:pPr>
        <w:pStyle w:val="Standard"/>
      </w:pPr>
      <w:r>
        <w:t>Moreover, the</w:t>
      </w:r>
      <w:r w:rsidR="00DA6B1A">
        <w:t xml:space="preserve"> complaint does not plead basic information about the allegation, </w:t>
      </w:r>
      <w:r>
        <w:t>including</w:t>
      </w:r>
      <w:r w:rsidRPr="004E3F15">
        <w:t xml:space="preserve"> </w:t>
      </w:r>
      <w:r>
        <w:t xml:space="preserve">what Defendant did that constituted securitization and monetization of trust property, what </w:t>
      </w:r>
      <w:r w:rsidR="00A5212D">
        <w:t xml:space="preserve">the </w:t>
      </w:r>
      <w:proofErr w:type="gramStart"/>
      <w:r w:rsidR="00A5212D">
        <w:t>time period</w:t>
      </w:r>
      <w:proofErr w:type="gramEnd"/>
      <w:r w:rsidR="00A5212D">
        <w:t xml:space="preserve"> </w:t>
      </w:r>
      <w:r>
        <w:t xml:space="preserve">was </w:t>
      </w:r>
      <w:r w:rsidR="00A5212D">
        <w:t>for the allegation</w:t>
      </w:r>
      <w:r>
        <w:t>, or any information about the “trust property</w:t>
      </w:r>
      <w:r w:rsidR="00A5212D">
        <w:t>.</w:t>
      </w:r>
      <w:r>
        <w:t>”  We agree with Defendant that “the Complaint does not plead that the trust actually exists under California or other law, plead that any actual property has been transferred to the trust, or plead that the Complainant is the proper plaintiff.”</w:t>
      </w:r>
      <w:r>
        <w:rPr>
          <w:rStyle w:val="FootnoteReference"/>
        </w:rPr>
        <w:footnoteReference w:id="13"/>
      </w:r>
      <w:r>
        <w:t xml:space="preserve">  T</w:t>
      </w:r>
      <w:r w:rsidR="00685942">
        <w:t>he complaint is signed by Rebecca Flores as the “trustee</w:t>
      </w:r>
      <w:r>
        <w:t>;</w:t>
      </w:r>
      <w:r w:rsidR="00685942">
        <w:t>”</w:t>
      </w:r>
      <w:r>
        <w:t xml:space="preserve"> however,</w:t>
      </w:r>
      <w:r w:rsidR="00685942">
        <w:t xml:space="preserve"> </w:t>
      </w:r>
      <w:r>
        <w:t xml:space="preserve">PG&amp;E asserts that the customer account identified by the complaint is in Ms. Flores’ name, not in the name of a </w:t>
      </w:r>
      <w:r>
        <w:lastRenderedPageBreak/>
        <w:t>trust, and that Ms. Flores appears to be purporting to be a trustee and a beneficiary.</w:t>
      </w:r>
      <w:r>
        <w:rPr>
          <w:rStyle w:val="FootnoteReference"/>
        </w:rPr>
        <w:footnoteReference w:id="14"/>
      </w:r>
      <w:r>
        <w:t xml:space="preserve">  </w:t>
      </w:r>
    </w:p>
    <w:p w:rsidR="00C92336" w:rsidP="00B2382E" w:rsidRDefault="00C92336" w14:paraId="140EA71D" w14:textId="24F08AF6">
      <w:pPr>
        <w:pStyle w:val="Standard"/>
      </w:pPr>
      <w:r>
        <w:t>Lastly, under Rule 4.2, the complaint must be drawn as to advise the Defendant and Commission as to the exact relief that is desired.  The Commission finds that the remedies identified in the complaint</w:t>
      </w:r>
      <w:r w:rsidR="00B2382E">
        <w:t xml:space="preserve"> are overly vague and</w:t>
      </w:r>
      <w:r>
        <w:t xml:space="preserve"> do not advise the Commission as to the exact relief requested</w:t>
      </w:r>
      <w:r w:rsidR="00B2382E">
        <w:t xml:space="preserve">.  In particular, the complaint requests an order to “cease billing the trust for an account that has been monetized” and to “apply restitution and account setoff for securitization proceeds.”  As discussed above, the complaint provides no information about </w:t>
      </w:r>
      <w:r w:rsidR="006C290A">
        <w:t>the</w:t>
      </w:r>
      <w:r w:rsidR="00B2382E">
        <w:t xml:space="preserve"> trust account or what is meant by monetized and securitized property.  </w:t>
      </w:r>
      <w:r w:rsidR="00B2382E">
        <w:rPr>
          <w:rFonts w:eastAsia="Calibri" w:cs="Arial"/>
          <w:szCs w:val="26"/>
        </w:rPr>
        <w:t xml:space="preserve">Complainant also seeks an order to “refer to the matter to appropriate legal or regulatory bodies.” It is unclear what is meant by this remedy since the Commission is the regulatory body the Complainant has elected to </w:t>
      </w:r>
      <w:proofErr w:type="gramStart"/>
      <w:r w:rsidR="00B2382E">
        <w:rPr>
          <w:rFonts w:eastAsia="Calibri" w:cs="Arial"/>
          <w:szCs w:val="26"/>
        </w:rPr>
        <w:t>hear</w:t>
      </w:r>
      <w:proofErr w:type="gramEnd"/>
      <w:r w:rsidR="00B2382E">
        <w:rPr>
          <w:rFonts w:eastAsia="Calibri" w:cs="Arial"/>
          <w:szCs w:val="26"/>
        </w:rPr>
        <w:t xml:space="preserve"> this </w:t>
      </w:r>
      <w:proofErr w:type="gramStart"/>
      <w:r w:rsidR="00B2382E">
        <w:rPr>
          <w:rFonts w:eastAsia="Calibri" w:cs="Arial"/>
          <w:szCs w:val="26"/>
        </w:rPr>
        <w:t>matter</w:t>
      </w:r>
      <w:proofErr w:type="gramEnd"/>
      <w:r w:rsidR="00B2382E">
        <w:rPr>
          <w:rFonts w:eastAsia="Calibri" w:cs="Arial"/>
          <w:szCs w:val="26"/>
        </w:rPr>
        <w:t xml:space="preserve"> and the Commission does not refer matters to other regulatory or legal bodies.</w:t>
      </w:r>
    </w:p>
    <w:p w:rsidR="00EF1992" w:rsidP="000E7ADF" w:rsidRDefault="000E7ADF" w14:paraId="164F56FC" w14:textId="571A31F4">
      <w:pPr>
        <w:pStyle w:val="Standard"/>
      </w:pPr>
      <w:r>
        <w:t>For the reasons discussed, the Commission finds that the complaint is not drawn “as to completely advise the defendant or the Commission of the facts constituting the grounds of the complaint, the injury complained of, and the exact relief which is desired,” and thus, fails to meet the requirements of Rule 4.2.  Accordingly, Complainant has not adequately stated a claim upon which the Commission can grant relief</w:t>
      </w:r>
      <w:r w:rsidR="00A42C94">
        <w:t xml:space="preserve"> and the complaint is denied.</w:t>
      </w:r>
    </w:p>
    <w:p w:rsidR="00942D3F" w:rsidP="00942D3F" w:rsidRDefault="00942D3F" w14:paraId="5FFC7D41" w14:textId="7240103A">
      <w:pPr>
        <w:pStyle w:val="Standard"/>
      </w:pPr>
      <w:r>
        <w:lastRenderedPageBreak/>
        <w:t>PG&amp;E requests that the complaint be dismissed with prejudice.  In addition to failing to meet the requirements of Rule 4.2, Complainant has repeatedly failed to comply with the Commission’s rules while attempting to file</w:t>
      </w:r>
      <w:r w:rsidR="006374B3">
        <w:t xml:space="preserve"> </w:t>
      </w:r>
      <w:r>
        <w:t xml:space="preserve">documents on numerous occasions.  Complainant was repeatedly informed by the Commission’s Docket Office and the ALJ as to why her many filings failed to comply with the </w:t>
      </w:r>
      <w:proofErr w:type="gramStart"/>
      <w:r>
        <w:t>rules</w:t>
      </w:r>
      <w:proofErr w:type="gramEnd"/>
      <w:r>
        <w:t xml:space="preserve"> </w:t>
      </w:r>
      <w:r w:rsidR="006374B3">
        <w:t>but</w:t>
      </w:r>
      <w:r>
        <w:t xml:space="preserve"> Complainant has continued to submit </w:t>
      </w:r>
      <w:r w:rsidR="006374B3">
        <w:t>documents</w:t>
      </w:r>
      <w:r>
        <w:t xml:space="preserve"> in contravention of the Commission’s rules.  In addition, Complainant has failed to prosecute the complaint, including failing to appear at the prehearing conference.  For these reasons, the Commission </w:t>
      </w:r>
      <w:r w:rsidR="006374B3">
        <w:t>finds that</w:t>
      </w:r>
      <w:r>
        <w:t xml:space="preserve"> it is appropriate to dismiss the complaint with prejudice.  Accordingly, the complaint is denied and dismissed with prejudice.</w:t>
      </w:r>
    </w:p>
    <w:p w:rsidR="00AE52C8" w:rsidP="000E7ADF" w:rsidRDefault="00AE52C8" w14:paraId="7252335E" w14:textId="5A0C9B6C">
      <w:pPr>
        <w:pStyle w:val="Heading1"/>
      </w:pPr>
      <w:r>
        <w:t>Additional Issues</w:t>
      </w:r>
    </w:p>
    <w:p w:rsidR="003E4D7E" w:rsidP="00AE52C8" w:rsidRDefault="00AE52C8" w14:paraId="09A31F01" w14:textId="737E5774">
      <w:r>
        <w:t xml:space="preserve">Defendant requests that the Commission inform Complainant of the vexatious litigant provision of the Cal. Code of Civil Procedure </w:t>
      </w:r>
      <w:r w:rsidRPr="00F629CB" w:rsidR="00C268EF">
        <w:t>§</w:t>
      </w:r>
      <w:r>
        <w:t xml:space="preserve"> 391(b)(3).</w:t>
      </w:r>
      <w:r w:rsidR="00C268EF">
        <w:rPr>
          <w:rStyle w:val="FootnoteReference"/>
        </w:rPr>
        <w:footnoteReference w:id="15"/>
      </w:r>
      <w:r>
        <w:t xml:space="preserve">  </w:t>
      </w:r>
      <w:r w:rsidR="003E4D7E">
        <w:t xml:space="preserve">Section 391(b)(3) </w:t>
      </w:r>
      <w:r>
        <w:t>defines a “vexatious litigant” as a person who: “[</w:t>
      </w:r>
      <w:proofErr w:type="spellStart"/>
      <w:r>
        <w:t>i</w:t>
      </w:r>
      <w:proofErr w:type="spellEnd"/>
      <w:r>
        <w:t>]</w:t>
      </w:r>
      <w:r w:rsidRPr="00AE52C8">
        <w:t>n any litigation while acting in propria persona, repeatedly files unmeritorious motions, pleadings, or other papers, conducts unnecessary discovery, or engages in other tactics that are frivolous or solely intended to cause unnecessary delay.</w:t>
      </w:r>
      <w:r>
        <w:t>”</w:t>
      </w:r>
      <w:r w:rsidR="003E4D7E">
        <w:t xml:space="preserve">  The Commission advises Complainant to review and consider these provisions in future actions.</w:t>
      </w:r>
    </w:p>
    <w:p w:rsidRPr="00AE52C8" w:rsidR="003E4D7E" w:rsidP="007B036E" w:rsidRDefault="003E4D7E" w14:paraId="596ADC9F" w14:textId="4F14BC13">
      <w:pPr>
        <w:pStyle w:val="Standard"/>
      </w:pPr>
      <w:r>
        <w:t xml:space="preserve">Further, </w:t>
      </w:r>
      <w:r w:rsidR="00C268EF">
        <w:t>as was stated</w:t>
      </w:r>
      <w:r>
        <w:t xml:space="preserve"> in the Scoping Memo in this proceeding</w:t>
      </w:r>
      <w:r w:rsidR="00C268EF">
        <w:t>, we reiterate</w:t>
      </w:r>
      <w:r>
        <w:t xml:space="preserve"> that </w:t>
      </w:r>
      <w:r w:rsidR="00C268EF">
        <w:t>all parties</w:t>
      </w:r>
      <w:r>
        <w:t xml:space="preserve"> </w:t>
      </w:r>
      <w:r w:rsidR="00C268EF">
        <w:t xml:space="preserve">appearing before the Commission </w:t>
      </w:r>
      <w:r>
        <w:t xml:space="preserve">must comply with </w:t>
      </w:r>
      <w:r w:rsidR="00C268EF">
        <w:lastRenderedPageBreak/>
        <w:t xml:space="preserve">Commission </w:t>
      </w:r>
      <w:r>
        <w:t>Rule 1.1 and that failure to comply may result in appropriate sanctions.</w:t>
      </w:r>
      <w:r>
        <w:rPr>
          <w:rStyle w:val="FootnoteReference"/>
        </w:rPr>
        <w:footnoteReference w:id="16"/>
      </w:r>
    </w:p>
    <w:p w:rsidR="00A90B75" w:rsidP="00214423" w:rsidRDefault="00A90B75" w14:paraId="799DD1A9" w14:textId="3E738F6E">
      <w:pPr>
        <w:pStyle w:val="Heading1"/>
        <w:rPr>
          <w:rFonts w:eastAsia="Times New Roman"/>
        </w:rPr>
      </w:pPr>
      <w:r w:rsidRPr="00A90B75">
        <w:rPr>
          <w:rFonts w:eastAsia="Times New Roman"/>
        </w:rPr>
        <w:t xml:space="preserve">Category of Proceeding </w:t>
      </w:r>
    </w:p>
    <w:p w:rsidR="00A90B75" w:rsidP="007B036E" w:rsidRDefault="00A90B75" w14:paraId="5A2567D7" w14:textId="3F364DE8">
      <w:pPr>
        <w:pStyle w:val="Standard"/>
      </w:pPr>
      <w:r>
        <w:t xml:space="preserve">As determined in the Scoping Memo, the category of this proceeding is adjudicatory.  </w:t>
      </w:r>
      <w:r w:rsidR="00D20567">
        <w:t>The Scoping Memo stated that further information on the scope of issues would be needed to determine whether hearings were needed</w:t>
      </w:r>
      <w:r>
        <w:t>.</w:t>
      </w:r>
    </w:p>
    <w:p w:rsidRPr="00D5264E" w:rsidR="00A90B75" w:rsidP="00D5264E" w:rsidRDefault="00A90B75" w14:paraId="5775DE0F" w14:textId="062F753D">
      <w:pPr>
        <w:pStyle w:val="Heading1"/>
        <w:rPr>
          <w:rFonts w:eastAsia="Calibri" w:cs="Times New Roman"/>
        </w:rPr>
      </w:pPr>
      <w:r w:rsidRPr="00D5264E">
        <w:rPr>
          <w:rFonts w:eastAsia="Calibri" w:cs="Times New Roman"/>
        </w:rPr>
        <w:t xml:space="preserve">Appeal or Review of Presiding Officer’s Decision </w:t>
      </w:r>
    </w:p>
    <w:p w:rsidR="00A90B75" w:rsidP="007B036E" w:rsidRDefault="00A90B75" w14:paraId="4384684E" w14:textId="6F7299E2">
      <w:pPr>
        <w:pStyle w:val="Standard"/>
      </w:pPr>
      <w:r w:rsidRPr="004324B0">
        <w:t xml:space="preserve">The </w:t>
      </w:r>
      <w:r w:rsidR="00F10206">
        <w:t>P</w:t>
      </w:r>
      <w:r w:rsidRPr="004324B0">
        <w:t xml:space="preserve">residing </w:t>
      </w:r>
      <w:r w:rsidR="00F10206">
        <w:t>O</w:t>
      </w:r>
      <w:r w:rsidRPr="004324B0">
        <w:t xml:space="preserve">fficer’s </w:t>
      </w:r>
      <w:r w:rsidR="00F10206">
        <w:t>D</w:t>
      </w:r>
      <w:r w:rsidRPr="004324B0">
        <w:t xml:space="preserve">ecision in this matter was mailed to the parties in accordance with Section 311 of the Public Utilities Code. </w:t>
      </w:r>
      <w:r>
        <w:t xml:space="preserve"> </w:t>
      </w:r>
      <w:r w:rsidRPr="004324B0">
        <w:t xml:space="preserve">Pursuant to Rule 14.4 of the Commission’s Rules of Practice and Procedure, any party may file an appeal of the </w:t>
      </w:r>
      <w:r w:rsidR="005D725D">
        <w:t>P</w:t>
      </w:r>
      <w:r w:rsidRPr="004324B0">
        <w:t xml:space="preserve">residing </w:t>
      </w:r>
      <w:r w:rsidR="005D725D">
        <w:t>O</w:t>
      </w:r>
      <w:r w:rsidRPr="004324B0">
        <w:t xml:space="preserve">fficer’s </w:t>
      </w:r>
      <w:r w:rsidR="005D725D">
        <w:t>D</w:t>
      </w:r>
      <w:r w:rsidRPr="004324B0">
        <w:t xml:space="preserve">ecision within 30 days of the date the decision is served. </w:t>
      </w:r>
      <w:r w:rsidR="00903152">
        <w:t xml:space="preserve"> </w:t>
      </w:r>
      <w:r w:rsidRPr="004324B0">
        <w:t xml:space="preserve">In addition, any Commissioner may request review of the </w:t>
      </w:r>
      <w:r w:rsidR="005D725D">
        <w:t>P</w:t>
      </w:r>
      <w:r w:rsidRPr="004324B0">
        <w:t xml:space="preserve">residing </w:t>
      </w:r>
      <w:r w:rsidR="005D725D">
        <w:t>O</w:t>
      </w:r>
      <w:r w:rsidRPr="004324B0">
        <w:t xml:space="preserve">fficer’s </w:t>
      </w:r>
      <w:r w:rsidR="005D725D">
        <w:t>D</w:t>
      </w:r>
      <w:r w:rsidRPr="004324B0">
        <w:t xml:space="preserve">ecision by filing a request for review within 30 days of the date the decision is served. </w:t>
      </w:r>
    </w:p>
    <w:p w:rsidR="00EE35A6" w:rsidP="007B036E" w:rsidRDefault="00EE35A6" w14:paraId="001806D2" w14:textId="5DD73602">
      <w:pPr>
        <w:pStyle w:val="Standard"/>
      </w:pPr>
      <w:r>
        <w:t xml:space="preserve">Complainant filed an appeal of the </w:t>
      </w:r>
      <w:r w:rsidR="00F10206">
        <w:t>P</w:t>
      </w:r>
      <w:r>
        <w:t xml:space="preserve">residing </w:t>
      </w:r>
      <w:r w:rsidR="00F10206">
        <w:t>O</w:t>
      </w:r>
      <w:r>
        <w:t xml:space="preserve">fficer’s </w:t>
      </w:r>
      <w:r w:rsidR="00F10206">
        <w:t>D</w:t>
      </w:r>
      <w:r>
        <w:t xml:space="preserve">ecision (Appeal) on </w:t>
      </w:r>
      <w:r w:rsidR="00523EFA">
        <w:t>January 14, 2026</w:t>
      </w:r>
      <w:r>
        <w:t xml:space="preserve">.  Defendant filed a response to the Appeal on </w:t>
      </w:r>
      <w:r w:rsidR="009D3762">
        <w:t>January</w:t>
      </w:r>
      <w:r w:rsidR="002D7B63">
        <w:t> </w:t>
      </w:r>
      <w:r w:rsidR="009D3762">
        <w:t>28,</w:t>
      </w:r>
      <w:r w:rsidR="002D7B63">
        <w:t> </w:t>
      </w:r>
      <w:r w:rsidR="009D3762">
        <w:t>2026</w:t>
      </w:r>
      <w:r>
        <w:t>.</w:t>
      </w:r>
    </w:p>
    <w:p w:rsidR="00EE35A6" w:rsidP="007B036E" w:rsidRDefault="00EE35A6" w14:paraId="182F2427" w14:textId="708B023E">
      <w:pPr>
        <w:pStyle w:val="Standard"/>
      </w:pPr>
      <w:r>
        <w:t xml:space="preserve">The Appeal generally asserts that the </w:t>
      </w:r>
      <w:r w:rsidR="00F0067A">
        <w:t>P</w:t>
      </w:r>
      <w:r>
        <w:t xml:space="preserve">residing </w:t>
      </w:r>
      <w:r w:rsidR="00F0067A">
        <w:t>O</w:t>
      </w:r>
      <w:r>
        <w:t xml:space="preserve">fficer’s </w:t>
      </w:r>
      <w:r w:rsidR="00F0067A">
        <w:t>D</w:t>
      </w:r>
      <w:r>
        <w:t>ecision contains the following errors, summarized below:</w:t>
      </w:r>
    </w:p>
    <w:p w:rsidR="00EE35A6" w:rsidRDefault="00EE35A6" w14:paraId="52DD77A8" w14:textId="7F1D60D4">
      <w:pPr>
        <w:pStyle w:val="Standard"/>
        <w:numPr>
          <w:ilvl w:val="0"/>
          <w:numId w:val="8"/>
        </w:numPr>
        <w:spacing w:after="120" w:line="240" w:lineRule="auto"/>
        <w:ind w:right="1440"/>
      </w:pPr>
      <w:r>
        <w:t>The decision misapplies Rule 4.2 and imposes dismissal with prejudice without providing a fair cure mechanism</w:t>
      </w:r>
      <w:r w:rsidR="00B235EA">
        <w:t>.</w:t>
      </w:r>
    </w:p>
    <w:p w:rsidR="00EE35A6" w:rsidRDefault="00EE35A6" w14:paraId="49477BB1" w14:textId="618A5069">
      <w:pPr>
        <w:pStyle w:val="Standard"/>
        <w:numPr>
          <w:ilvl w:val="0"/>
          <w:numId w:val="8"/>
        </w:numPr>
        <w:spacing w:after="120" w:line="240" w:lineRule="auto"/>
        <w:ind w:right="1440"/>
      </w:pPr>
      <w:r>
        <w:lastRenderedPageBreak/>
        <w:t xml:space="preserve">The decision’s characterization of the </w:t>
      </w:r>
      <w:r w:rsidR="00193680">
        <w:t>c</w:t>
      </w:r>
      <w:r>
        <w:t xml:space="preserve">omplaint’s allegations as vague is contradicted by Complainant’s </w:t>
      </w:r>
      <w:r w:rsidR="00193680">
        <w:t>r</w:t>
      </w:r>
      <w:r>
        <w:t xml:space="preserve">eply to Defendant’s </w:t>
      </w:r>
      <w:r w:rsidR="00193680">
        <w:t>a</w:t>
      </w:r>
      <w:r>
        <w:t>nswer</w:t>
      </w:r>
      <w:r w:rsidR="007072B3">
        <w:t>.</w:t>
      </w:r>
    </w:p>
    <w:p w:rsidR="00EE35A6" w:rsidRDefault="00EE35A6" w14:paraId="54C9ECD3" w14:textId="774190B3">
      <w:pPr>
        <w:pStyle w:val="Standard"/>
        <w:numPr>
          <w:ilvl w:val="0"/>
          <w:numId w:val="8"/>
        </w:numPr>
        <w:spacing w:after="120" w:line="240" w:lineRule="auto"/>
        <w:ind w:right="1440"/>
      </w:pPr>
      <w:r>
        <w:t xml:space="preserve">The decision erroneously labels Complainant’s CARE/FERA claims as new allegations despite being stated in Complainant’s </w:t>
      </w:r>
      <w:r w:rsidR="00193680">
        <w:t>r</w:t>
      </w:r>
      <w:r>
        <w:t>eply</w:t>
      </w:r>
      <w:r w:rsidR="00193680">
        <w:t xml:space="preserve"> to </w:t>
      </w:r>
      <w:r w:rsidR="007072B3">
        <w:t>Defendant’s</w:t>
      </w:r>
      <w:r w:rsidR="00193680">
        <w:t xml:space="preserve"> answer</w:t>
      </w:r>
      <w:r w:rsidR="007072B3">
        <w:t>.</w:t>
      </w:r>
    </w:p>
    <w:p w:rsidR="00EE35A6" w:rsidRDefault="00EE35A6" w14:paraId="3C8591D3" w14:textId="7D689268">
      <w:pPr>
        <w:pStyle w:val="Standard"/>
        <w:numPr>
          <w:ilvl w:val="0"/>
          <w:numId w:val="8"/>
        </w:numPr>
        <w:spacing w:after="120" w:line="240" w:lineRule="auto"/>
        <w:ind w:right="1440"/>
      </w:pPr>
      <w:r>
        <w:t>The Commission withheld and rejected Complainant’s filings, which undermined record completeness and was used to justify dismissal with prejudice</w:t>
      </w:r>
      <w:r w:rsidR="00531A42">
        <w:t>.</w:t>
      </w:r>
    </w:p>
    <w:p w:rsidR="00E457AC" w:rsidRDefault="00E457AC" w14:paraId="78137F33" w14:textId="695FF528">
      <w:pPr>
        <w:pStyle w:val="Standard"/>
        <w:numPr>
          <w:ilvl w:val="0"/>
          <w:numId w:val="8"/>
        </w:numPr>
        <w:spacing w:after="120" w:line="240" w:lineRule="auto"/>
        <w:ind w:right="1440"/>
      </w:pPr>
      <w:r>
        <w:t>Complainant’s earliest complaint was deleted without written explanation and further prejudiced Complainant’s ability to proceed fairly</w:t>
      </w:r>
      <w:r w:rsidR="00531A42">
        <w:t>.</w:t>
      </w:r>
    </w:p>
    <w:p w:rsidR="00E457AC" w:rsidRDefault="00E457AC" w14:paraId="6422386F" w14:textId="3776A29A">
      <w:pPr>
        <w:pStyle w:val="Standard"/>
        <w:numPr>
          <w:ilvl w:val="0"/>
          <w:numId w:val="8"/>
        </w:numPr>
        <w:spacing w:after="120" w:line="240" w:lineRule="auto"/>
        <w:ind w:right="1440"/>
      </w:pPr>
      <w:r>
        <w:t xml:space="preserve">Complainant’s </w:t>
      </w:r>
      <w:r w:rsidR="00193680">
        <w:t>r</w:t>
      </w:r>
      <w:r>
        <w:t xml:space="preserve">eply </w:t>
      </w:r>
      <w:r w:rsidR="00531A42">
        <w:t xml:space="preserve">to Defendant’s answer </w:t>
      </w:r>
      <w:r>
        <w:t>was published and then removed without written explanation, distorting the record</w:t>
      </w:r>
      <w:r w:rsidR="00531A42">
        <w:t>.</w:t>
      </w:r>
    </w:p>
    <w:p w:rsidR="00193680" w:rsidP="002D7B63" w:rsidRDefault="00193680" w14:paraId="6039B64B" w14:textId="77777777">
      <w:pPr>
        <w:pStyle w:val="Standard"/>
        <w:spacing w:after="120" w:line="240" w:lineRule="auto"/>
        <w:ind w:right="1440" w:firstLine="0"/>
      </w:pPr>
    </w:p>
    <w:p w:rsidR="00E457AC" w:rsidRDefault="00E457AC" w14:paraId="43D1284B" w14:textId="7217132B">
      <w:pPr>
        <w:pStyle w:val="Standard"/>
        <w:numPr>
          <w:ilvl w:val="0"/>
          <w:numId w:val="8"/>
        </w:numPr>
        <w:spacing w:after="120" w:line="240" w:lineRule="auto"/>
        <w:ind w:right="1440"/>
      </w:pPr>
      <w:r>
        <w:t>The decision</w:t>
      </w:r>
      <w:r w:rsidR="008E1752">
        <w:t>’</w:t>
      </w:r>
      <w:r>
        <w:t>s dismissal with prejudice is fundamentally unfair and constitutes prejudicial error.</w:t>
      </w:r>
    </w:p>
    <w:p w:rsidR="00EE35A6" w:rsidP="007B036E" w:rsidRDefault="00EE35A6" w14:paraId="1924B0FE" w14:textId="4AEDD2DD">
      <w:pPr>
        <w:pStyle w:val="Standard"/>
      </w:pPr>
      <w:r>
        <w:t xml:space="preserve">In response to the Appeal, Defendant supports the </w:t>
      </w:r>
      <w:r w:rsidR="00F0067A">
        <w:t>P</w:t>
      </w:r>
      <w:r>
        <w:t xml:space="preserve">residing </w:t>
      </w:r>
      <w:r w:rsidR="00F0067A">
        <w:t>O</w:t>
      </w:r>
      <w:r>
        <w:t xml:space="preserve">fficer’s </w:t>
      </w:r>
      <w:r w:rsidR="00F0067A">
        <w:t>D</w:t>
      </w:r>
      <w:r>
        <w:t xml:space="preserve">ecision and </w:t>
      </w:r>
      <w:r w:rsidR="0087589C">
        <w:t xml:space="preserve">objects to Complainant’s objections as meritless.  Defendant </w:t>
      </w:r>
      <w:r>
        <w:t>generally</w:t>
      </w:r>
      <w:r w:rsidR="00531A42">
        <w:t xml:space="preserve"> asserts</w:t>
      </w:r>
      <w:r>
        <w:t xml:space="preserve"> that:</w:t>
      </w:r>
    </w:p>
    <w:p w:rsidR="009C5F0B" w:rsidRDefault="009C5F0B" w14:paraId="13CABF12" w14:textId="1ED52D62">
      <w:pPr>
        <w:pStyle w:val="Standard"/>
        <w:numPr>
          <w:ilvl w:val="0"/>
          <w:numId w:val="9"/>
        </w:numPr>
        <w:spacing w:after="120" w:line="240" w:lineRule="auto"/>
        <w:ind w:right="1440"/>
      </w:pPr>
      <w:r>
        <w:t xml:space="preserve">Complainant does not </w:t>
      </w:r>
      <w:r w:rsidR="0087589C">
        <w:t xml:space="preserve">appear to </w:t>
      </w:r>
      <w:r>
        <w:t xml:space="preserve">dispute that the </w:t>
      </w:r>
      <w:r w:rsidR="00193680">
        <w:t>c</w:t>
      </w:r>
      <w:r>
        <w:t xml:space="preserve">omplaint itself is deficient, as stated in the decision, and instead points to other documents that Complainant believes should be </w:t>
      </w:r>
      <w:proofErr w:type="gramStart"/>
      <w:r>
        <w:t>in</w:t>
      </w:r>
      <w:proofErr w:type="gramEnd"/>
      <w:r>
        <w:t xml:space="preserve"> </w:t>
      </w:r>
      <w:proofErr w:type="gramStart"/>
      <w:r>
        <w:t>the record</w:t>
      </w:r>
      <w:proofErr w:type="gramEnd"/>
      <w:r w:rsidR="0087589C">
        <w:t>.</w:t>
      </w:r>
    </w:p>
    <w:p w:rsidR="0087589C" w:rsidRDefault="0087589C" w14:paraId="7AFCA233" w14:textId="02FE4E41">
      <w:pPr>
        <w:pStyle w:val="Standard"/>
        <w:numPr>
          <w:ilvl w:val="0"/>
          <w:numId w:val="9"/>
        </w:numPr>
        <w:spacing w:after="120" w:line="240" w:lineRule="auto"/>
        <w:ind w:right="1440"/>
      </w:pPr>
      <w:r>
        <w:t>Complainant barely addresses the substance of the decision but merely repeats conclusory, vague allegations that she has asserted throughout the proceeding.</w:t>
      </w:r>
    </w:p>
    <w:p w:rsidR="009C5F0B" w:rsidRDefault="009C5F0B" w14:paraId="66B9097B" w14:textId="2B2904A8">
      <w:pPr>
        <w:pStyle w:val="Standard"/>
        <w:numPr>
          <w:ilvl w:val="0"/>
          <w:numId w:val="9"/>
        </w:numPr>
        <w:spacing w:after="120" w:line="240" w:lineRule="auto"/>
        <w:ind w:right="1440"/>
      </w:pPr>
      <w:r>
        <w:t xml:space="preserve">The </w:t>
      </w:r>
      <w:r w:rsidR="00193680">
        <w:t>r</w:t>
      </w:r>
      <w:r>
        <w:t xml:space="preserve">eply to Defendant’s </w:t>
      </w:r>
      <w:r w:rsidR="00193680">
        <w:t>a</w:t>
      </w:r>
      <w:r>
        <w:t xml:space="preserve">nswer does not cure the defects in the </w:t>
      </w:r>
      <w:r w:rsidR="00193680">
        <w:t>c</w:t>
      </w:r>
      <w:r>
        <w:t xml:space="preserve">omplaint, and </w:t>
      </w:r>
      <w:r w:rsidR="008E1752">
        <w:t xml:space="preserve">further, submission of </w:t>
      </w:r>
      <w:r>
        <w:t xml:space="preserve">a </w:t>
      </w:r>
      <w:r w:rsidR="00193680">
        <w:t>r</w:t>
      </w:r>
      <w:r>
        <w:t xml:space="preserve">eply is not permitted by the </w:t>
      </w:r>
      <w:r w:rsidR="008E1752">
        <w:t xml:space="preserve">Commission’s </w:t>
      </w:r>
      <w:r>
        <w:t xml:space="preserve">Rules and </w:t>
      </w:r>
      <w:r w:rsidR="008E1752">
        <w:t>was not</w:t>
      </w:r>
      <w:r>
        <w:t xml:space="preserve"> accepted for filing.</w:t>
      </w:r>
    </w:p>
    <w:p w:rsidR="009C5F0B" w:rsidRDefault="009C5F0B" w14:paraId="5F12C5C2" w14:textId="10DEF526">
      <w:pPr>
        <w:pStyle w:val="Standard"/>
        <w:numPr>
          <w:ilvl w:val="0"/>
          <w:numId w:val="9"/>
        </w:numPr>
        <w:spacing w:after="120" w:line="240" w:lineRule="auto"/>
        <w:ind w:right="1440"/>
      </w:pPr>
      <w:r>
        <w:t xml:space="preserve">The failure of Complainant to state a claim would not have changed </w:t>
      </w:r>
      <w:r w:rsidR="0011674A">
        <w:t xml:space="preserve">the outcome </w:t>
      </w:r>
      <w:r>
        <w:t xml:space="preserve">even if Complainant’s other </w:t>
      </w:r>
      <w:r>
        <w:lastRenderedPageBreak/>
        <w:t xml:space="preserve">documents were accepted for filing, as all of Complainant’s filings are incoherent, vague, </w:t>
      </w:r>
      <w:r w:rsidR="00ED4E91">
        <w:t xml:space="preserve">and </w:t>
      </w:r>
      <w:r>
        <w:t>contradictory.</w:t>
      </w:r>
    </w:p>
    <w:p w:rsidR="009C5F0B" w:rsidRDefault="009C5F0B" w14:paraId="5ABE351C" w14:textId="79149AE4">
      <w:pPr>
        <w:pStyle w:val="Standard"/>
        <w:numPr>
          <w:ilvl w:val="0"/>
          <w:numId w:val="9"/>
        </w:numPr>
        <w:spacing w:after="120" w:line="240" w:lineRule="auto"/>
        <w:ind w:right="1440"/>
      </w:pPr>
      <w:r>
        <w:t xml:space="preserve">Dismissal with prejudice is appropriate because Complainant did not seek to amend her </w:t>
      </w:r>
      <w:r w:rsidR="00193680">
        <w:t>c</w:t>
      </w:r>
      <w:r>
        <w:t xml:space="preserve">omplaint and because Complainant has </w:t>
      </w:r>
      <w:r w:rsidR="0087589C">
        <w:t xml:space="preserve">continued to </w:t>
      </w:r>
      <w:r>
        <w:t>flout the Commission’s Rules</w:t>
      </w:r>
      <w:r w:rsidR="0087589C">
        <w:t>, including</w:t>
      </w:r>
      <w:r>
        <w:t xml:space="preserve"> </w:t>
      </w:r>
      <w:r w:rsidR="0087589C">
        <w:t>her</w:t>
      </w:r>
      <w:r>
        <w:t xml:space="preserve"> fail</w:t>
      </w:r>
      <w:r w:rsidR="0087589C">
        <w:t>ure</w:t>
      </w:r>
      <w:r>
        <w:t xml:space="preserve"> to appear at the prehearing conference and </w:t>
      </w:r>
      <w:r w:rsidR="007D1046">
        <w:t xml:space="preserve">her failure </w:t>
      </w:r>
      <w:r w:rsidR="0087589C">
        <w:t xml:space="preserve">to follow </w:t>
      </w:r>
      <w:r>
        <w:t>filing procedures.</w:t>
      </w:r>
    </w:p>
    <w:p w:rsidR="00B776A3" w:rsidRDefault="00B776A3" w14:paraId="39B1D4BA" w14:textId="7DC5B19E">
      <w:pPr>
        <w:pStyle w:val="Standard"/>
        <w:numPr>
          <w:ilvl w:val="0"/>
          <w:numId w:val="9"/>
        </w:numPr>
        <w:spacing w:after="120" w:line="240" w:lineRule="auto"/>
        <w:ind w:right="1440"/>
      </w:pPr>
      <w:r>
        <w:t xml:space="preserve">Complainant cannot establish </w:t>
      </w:r>
      <w:r w:rsidR="00E92627">
        <w:t>that she has been deprived of</w:t>
      </w:r>
      <w:r>
        <w:t xml:space="preserve"> due process as PG&amp;E is not a state actor that is subject to the Due Process </w:t>
      </w:r>
      <w:r w:rsidR="00E92627">
        <w:t>Clause</w:t>
      </w:r>
      <w:r>
        <w:t xml:space="preserve">, and even if it were, Complainant has not been denied </w:t>
      </w:r>
      <w:r w:rsidR="00E92627">
        <w:t xml:space="preserve">due </w:t>
      </w:r>
      <w:r>
        <w:t>process.</w:t>
      </w:r>
      <w:r w:rsidR="00E92627">
        <w:t xml:space="preserve">  Complainant was afforded sufficient process </w:t>
      </w:r>
      <w:r w:rsidR="005B3C12">
        <w:t>during</w:t>
      </w:r>
      <w:r w:rsidR="00E92627">
        <w:t xml:space="preserve"> the proceeding, including </w:t>
      </w:r>
      <w:r w:rsidR="008464E6">
        <w:t xml:space="preserve">Complainant’s </w:t>
      </w:r>
      <w:r w:rsidR="00E92627">
        <w:t xml:space="preserve">ability to file a complaint, the ordering of Defendant’s answer and a prehearing conference, the issuance of a Scoping Memo, and an opportunity to submit comments and reply comments.  Complainant takes issue with the resolution of her complaint but that does not establish a Due Process Clause violation. </w:t>
      </w:r>
    </w:p>
    <w:p w:rsidRPr="00D5264E" w:rsidR="00EE35A6" w:rsidP="007B036E" w:rsidRDefault="00EE35A6" w14:paraId="36E95956" w14:textId="0F2CFE7B">
      <w:pPr>
        <w:pStyle w:val="Standard"/>
      </w:pPr>
      <w:r>
        <w:t xml:space="preserve">We have reviewed the Appeal and Defendant’s response to the Appeal.  The Commission disagrees with Complainant’s assertions that the </w:t>
      </w:r>
      <w:r w:rsidR="00F0067A">
        <w:t>P</w:t>
      </w:r>
      <w:r>
        <w:t xml:space="preserve">residing </w:t>
      </w:r>
      <w:r w:rsidR="00F0067A">
        <w:t>O</w:t>
      </w:r>
      <w:r>
        <w:t xml:space="preserve">fficer’s </w:t>
      </w:r>
      <w:r w:rsidR="00F0067A">
        <w:t>D</w:t>
      </w:r>
      <w:r>
        <w:t>ecision contains factual or legal error</w:t>
      </w:r>
      <w:r w:rsidR="00172454">
        <w:t>s.</w:t>
      </w:r>
      <w:r>
        <w:t xml:space="preserve"> </w:t>
      </w:r>
      <w:r w:rsidR="00172454">
        <w:t xml:space="preserve"> T</w:t>
      </w:r>
      <w:r>
        <w:t>hus, no modifications</w:t>
      </w:r>
      <w:r w:rsidR="00172454">
        <w:t xml:space="preserve"> have been made</w:t>
      </w:r>
      <w:r>
        <w:t xml:space="preserve"> to the </w:t>
      </w:r>
      <w:r w:rsidR="00F0067A">
        <w:t>P</w:t>
      </w:r>
      <w:r>
        <w:t xml:space="preserve">residing </w:t>
      </w:r>
      <w:r w:rsidR="00F0067A">
        <w:t>O</w:t>
      </w:r>
      <w:r>
        <w:t xml:space="preserve">fficer’s </w:t>
      </w:r>
      <w:r w:rsidR="00F0067A">
        <w:t>D</w:t>
      </w:r>
      <w:r>
        <w:t>ecision.</w:t>
      </w:r>
    </w:p>
    <w:p w:rsidR="00A90B75" w:rsidP="00D5264E" w:rsidRDefault="00790BFC" w14:paraId="5E46C102" w14:textId="2B321931">
      <w:pPr>
        <w:pStyle w:val="Heading1"/>
        <w:rPr>
          <w:rFonts w:eastAsia="Times New Roman"/>
          <w:b w:val="0"/>
        </w:rPr>
      </w:pPr>
      <w:r w:rsidRPr="00D5264E">
        <w:rPr>
          <w:rFonts w:eastAsia="Calibri" w:cs="Times New Roman"/>
        </w:rPr>
        <w:t>Assignment</w:t>
      </w:r>
      <w:r>
        <w:rPr>
          <w:rFonts w:eastAsia="Times New Roman"/>
        </w:rPr>
        <w:t xml:space="preserve"> of Proceeding</w:t>
      </w:r>
    </w:p>
    <w:p w:rsidR="00C268EF" w:rsidP="00C268EF" w:rsidRDefault="00D20567" w14:paraId="58707C45" w14:textId="11B4445E">
      <w:pPr>
        <w:pStyle w:val="Standard"/>
        <w:rPr>
          <w:rFonts w:eastAsia="Calibri" w:cs="Times New Roman"/>
        </w:rPr>
      </w:pPr>
      <w:r>
        <w:rPr>
          <w:rFonts w:eastAsia="Calibri" w:cs="Times New Roman"/>
        </w:rPr>
        <w:t>Matthew Baker</w:t>
      </w:r>
      <w:r w:rsidR="00790BFC">
        <w:rPr>
          <w:rFonts w:eastAsia="Calibri" w:cs="Times New Roman"/>
        </w:rPr>
        <w:t xml:space="preserve"> is the assigned Commissioner and </w:t>
      </w:r>
      <w:r w:rsidR="00396540">
        <w:rPr>
          <w:rFonts w:eastAsia="Calibri" w:cs="Times New Roman"/>
        </w:rPr>
        <w:t>Debbie Chiv</w:t>
      </w:r>
      <w:r w:rsidR="00790BFC">
        <w:rPr>
          <w:rFonts w:eastAsia="Calibri" w:cs="Times New Roman"/>
        </w:rPr>
        <w:t xml:space="preserve"> is the assigned </w:t>
      </w:r>
      <w:r w:rsidR="002D7B63">
        <w:rPr>
          <w:rFonts w:eastAsia="Calibri" w:cs="Times New Roman"/>
        </w:rPr>
        <w:t>ALJ</w:t>
      </w:r>
      <w:r w:rsidR="00790BFC">
        <w:rPr>
          <w:rFonts w:eastAsia="Calibri" w:cs="Times New Roman"/>
        </w:rPr>
        <w:t xml:space="preserve"> and Presiding Officer in this proceeding.</w:t>
      </w:r>
    </w:p>
    <w:p w:rsidR="00A90B75" w:rsidP="00214423" w:rsidRDefault="00A90B75" w14:paraId="56AEB0BE" w14:textId="4968E17D">
      <w:pPr>
        <w:pStyle w:val="Heading1"/>
        <w:numPr>
          <w:ilvl w:val="0"/>
          <w:numId w:val="0"/>
        </w:numPr>
        <w:ind w:left="720" w:hanging="720"/>
        <w:rPr>
          <w:rFonts w:eastAsia="Calibri" w:cs="Times New Roman"/>
        </w:rPr>
      </w:pPr>
      <w:r>
        <w:rPr>
          <w:rFonts w:eastAsia="Calibri" w:cs="Times New Roman"/>
        </w:rPr>
        <w:t>Finding of Fact</w:t>
      </w:r>
    </w:p>
    <w:p w:rsidR="00C268EF" w:rsidP="001C59B5" w:rsidRDefault="00C268EF" w14:paraId="78C848DD" w14:textId="1E83087C">
      <w:pPr>
        <w:pStyle w:val="Standard"/>
      </w:pPr>
      <w:r>
        <w:t xml:space="preserve">The complaint </w:t>
      </w:r>
      <w:r w:rsidR="00B72CC9">
        <w:t>was not</w:t>
      </w:r>
      <w:r>
        <w:t xml:space="preserve"> drawn as to completely advise the Defendant or the Commission of the facts constituting the grounds of the complaint, the injury complained </w:t>
      </w:r>
      <w:proofErr w:type="gramStart"/>
      <w:r>
        <w:t>of</w:t>
      </w:r>
      <w:proofErr w:type="gramEnd"/>
      <w:r>
        <w:t xml:space="preserve">, and the exact </w:t>
      </w:r>
      <w:proofErr w:type="gramStart"/>
      <w:r>
        <w:t>relief</w:t>
      </w:r>
      <w:proofErr w:type="gramEnd"/>
      <w:r>
        <w:t xml:space="preserve"> which is desired, as required by Rule 4.2.</w:t>
      </w:r>
    </w:p>
    <w:p w:rsidRPr="00903152" w:rsidR="00903152" w:rsidP="001C59B5" w:rsidRDefault="00903152" w14:paraId="6CB36F83" w14:textId="2078C179">
      <w:pPr>
        <w:pStyle w:val="Dummy"/>
      </w:pPr>
      <w:r w:rsidRPr="00D5264E">
        <w:lastRenderedPageBreak/>
        <w:t>Conclusions of Law</w:t>
      </w:r>
    </w:p>
    <w:p w:rsidR="00C268EF" w:rsidP="001C59B5" w:rsidRDefault="00C268EF" w14:paraId="36A40DA9" w14:textId="474A3012">
      <w:pPr>
        <w:pStyle w:val="CoL"/>
      </w:pPr>
      <w:r>
        <w:t xml:space="preserve">Complainant </w:t>
      </w:r>
      <w:r w:rsidRPr="001C59B5">
        <w:t>has</w:t>
      </w:r>
      <w:r>
        <w:t xml:space="preserve"> failed to state a claim upon which the Commission can grant relief.</w:t>
      </w:r>
    </w:p>
    <w:p w:rsidR="000E7ADF" w:rsidP="001C59B5" w:rsidRDefault="000E7ADF" w14:paraId="4D2EF201" w14:textId="1E99A450">
      <w:pPr>
        <w:pStyle w:val="CoL"/>
      </w:pPr>
      <w:r>
        <w:t>The complaint should be denied and dismissed</w:t>
      </w:r>
      <w:r w:rsidR="009D72DD">
        <w:t xml:space="preserve"> with prejudice</w:t>
      </w:r>
      <w:r>
        <w:t>.</w:t>
      </w:r>
    </w:p>
    <w:p w:rsidR="00903152" w:rsidP="001C59B5" w:rsidRDefault="003C3B2B" w14:paraId="7B945524" w14:textId="1E7016FF">
      <w:pPr>
        <w:pStyle w:val="CoL"/>
      </w:pPr>
      <w:r>
        <w:t>All motions not expressly ruled upon are deemed denied</w:t>
      </w:r>
      <w:r w:rsidR="00B72CC9">
        <w:t>.</w:t>
      </w:r>
    </w:p>
    <w:p w:rsidRPr="00D5264E" w:rsidR="00137B34" w:rsidP="001C59B5" w:rsidRDefault="00137B34" w14:paraId="280EF097" w14:textId="336DEB20">
      <w:pPr>
        <w:pStyle w:val="CoL"/>
      </w:pPr>
      <w:r>
        <w:t>Case</w:t>
      </w:r>
      <w:r w:rsidR="001C59B5">
        <w:t> </w:t>
      </w:r>
      <w:r>
        <w:t>2</w:t>
      </w:r>
      <w:r w:rsidR="003C3B2B">
        <w:t>5</w:t>
      </w:r>
      <w:r w:rsidR="001C59B5">
        <w:noBreakHyphen/>
      </w:r>
      <w:r w:rsidR="003C3B2B">
        <w:t>08</w:t>
      </w:r>
      <w:r w:rsidR="001C59B5">
        <w:noBreakHyphen/>
      </w:r>
      <w:r w:rsidR="003C3B2B">
        <w:t>012</w:t>
      </w:r>
      <w:r>
        <w:t xml:space="preserve"> should be closed.</w:t>
      </w:r>
    </w:p>
    <w:p w:rsidR="00790BFC" w:rsidP="0023669F" w:rsidRDefault="00790BFC" w14:paraId="17D3060F" w14:textId="3ED8E6C9">
      <w:pPr>
        <w:keepNext/>
        <w:spacing w:before="180" w:after="120"/>
        <w:ind w:firstLine="0"/>
        <w:jc w:val="center"/>
        <w:outlineLvl w:val="0"/>
        <w:rPr>
          <w:rFonts w:ascii="Arial" w:hAnsi="Arial" w:eastAsia="Times New Roman" w:cstheme="majorBidi"/>
          <w:b/>
          <w:caps/>
          <w:spacing w:val="120"/>
          <w:szCs w:val="56"/>
        </w:rPr>
      </w:pPr>
      <w:r>
        <w:rPr>
          <w:rFonts w:ascii="Arial" w:hAnsi="Arial" w:eastAsia="Times New Roman" w:cstheme="majorBidi"/>
          <w:b/>
          <w:caps/>
          <w:spacing w:val="120"/>
          <w:szCs w:val="56"/>
        </w:rPr>
        <w:t>ORDER</w:t>
      </w:r>
    </w:p>
    <w:p w:rsidR="000E7ADF" w:rsidP="0023669F" w:rsidRDefault="00790BFC" w14:paraId="2DD6DEFD" w14:textId="77777777">
      <w:pPr>
        <w:pStyle w:val="Standard"/>
        <w:keepNext/>
      </w:pPr>
      <w:r w:rsidRPr="0023669F">
        <w:rPr>
          <w:b/>
        </w:rPr>
        <w:t>IT IS ORDERED</w:t>
      </w:r>
      <w:r>
        <w:t xml:space="preserve"> that</w:t>
      </w:r>
      <w:r w:rsidR="000E7ADF">
        <w:t>:</w:t>
      </w:r>
    </w:p>
    <w:p w:rsidR="000E7ADF" w:rsidP="0023669F" w:rsidRDefault="000E7ADF" w14:paraId="63522CCC" w14:textId="413E6284">
      <w:pPr>
        <w:pStyle w:val="OP"/>
      </w:pPr>
      <w:r>
        <w:t xml:space="preserve">The complaint is </w:t>
      </w:r>
      <w:r w:rsidRPr="00307DC9">
        <w:t>denied and dismissed</w:t>
      </w:r>
      <w:r w:rsidR="009D72DD">
        <w:t xml:space="preserve"> with prejudice</w:t>
      </w:r>
      <w:r>
        <w:t>.</w:t>
      </w:r>
    </w:p>
    <w:p w:rsidR="000E7ADF" w:rsidP="0023669F" w:rsidRDefault="000E7ADF" w14:paraId="628D8073" w14:textId="70EFF710">
      <w:pPr>
        <w:pStyle w:val="OP"/>
        <w:keepNext/>
      </w:pPr>
      <w:r>
        <w:t>Case</w:t>
      </w:r>
      <w:r w:rsidR="0023669F">
        <w:t> </w:t>
      </w:r>
      <w:r>
        <w:t>25-08-012 is closed</w:t>
      </w:r>
    </w:p>
    <w:p w:rsidR="00790BFC" w:rsidP="0023669F" w:rsidRDefault="00790BFC" w14:paraId="7BE184B9" w14:textId="77777777">
      <w:pPr>
        <w:pStyle w:val="Standard"/>
        <w:keepNext/>
      </w:pPr>
      <w:r>
        <w:t>This order is effective today.</w:t>
      </w:r>
    </w:p>
    <w:p w:rsidR="008626CA" w:rsidP="0023669F" w:rsidRDefault="002B227C" w14:paraId="21E9FB22" w14:textId="7113926C">
      <w:pPr>
        <w:pStyle w:val="Standard"/>
        <w:keepNext/>
      </w:pPr>
      <w:r>
        <w:t>Dated</w:t>
      </w:r>
      <w:r w:rsidR="0011068F">
        <w:t xml:space="preserve"> March 19, 2026</w:t>
      </w:r>
      <w:r>
        <w:t xml:space="preserve">, </w:t>
      </w:r>
      <w:proofErr w:type="gramStart"/>
      <w:r>
        <w:t>at</w:t>
      </w:r>
      <w:proofErr w:type="gramEnd"/>
      <w:r>
        <w:t xml:space="preserve"> </w:t>
      </w:r>
      <w:r w:rsidR="00C108B9">
        <w:t>Sacramento</w:t>
      </w:r>
      <w:r>
        <w:t>, California</w:t>
      </w:r>
      <w:bookmarkEnd w:id="0"/>
    </w:p>
    <w:p w:rsidR="007B3C58" w:rsidP="0011068F" w:rsidRDefault="007B3C58" w14:paraId="4D782E68" w14:textId="77777777">
      <w:pPr>
        <w:pStyle w:val="Standard"/>
        <w:keepNext/>
        <w:spacing w:line="240" w:lineRule="auto"/>
      </w:pPr>
    </w:p>
    <w:p w:rsidR="007B3C58" w:rsidP="00327C6B" w:rsidRDefault="007B3C58" w14:paraId="0AACE8CD" w14:textId="77777777">
      <w:pPr>
        <w:pStyle w:val="Standard"/>
        <w:keepNext/>
        <w:spacing w:line="240" w:lineRule="auto"/>
      </w:pPr>
    </w:p>
    <w:p w:rsidRPr="00A65477" w:rsidR="00327C6B" w:rsidP="00327C6B" w:rsidRDefault="00327C6B" w14:paraId="33E88E56" w14:textId="60BF918B">
      <w:pPr>
        <w:spacing w:line="240" w:lineRule="auto"/>
        <w:ind w:left="2700" w:firstLine="2790"/>
        <w:rPr>
          <w:rFonts w:cs="Times New Roman"/>
          <w:szCs w:val="20"/>
        </w:rPr>
      </w:pPr>
      <w:r w:rsidRPr="00A65477">
        <w:rPr>
          <w:rFonts w:cs="Times New Roman"/>
          <w:szCs w:val="20"/>
        </w:rPr>
        <w:t>JOHN REYNOLDS</w:t>
      </w:r>
    </w:p>
    <w:p w:rsidRPr="00A65477" w:rsidR="00327C6B" w:rsidP="00327C6B" w:rsidRDefault="00327C6B" w14:paraId="7BA93661" w14:textId="303F5B90">
      <w:pPr>
        <w:spacing w:line="240" w:lineRule="auto"/>
        <w:ind w:left="2700" w:firstLine="3870"/>
        <w:rPr>
          <w:rFonts w:cs="Times New Roman"/>
          <w:szCs w:val="20"/>
        </w:rPr>
      </w:pPr>
      <w:r w:rsidRPr="00A65477">
        <w:rPr>
          <w:rFonts w:cs="Times New Roman"/>
          <w:szCs w:val="20"/>
        </w:rPr>
        <w:t>President</w:t>
      </w:r>
    </w:p>
    <w:p w:rsidRPr="00A65477" w:rsidR="00327C6B" w:rsidP="00327C6B" w:rsidRDefault="00327C6B" w14:paraId="25982FD6" w14:textId="09A86388">
      <w:pPr>
        <w:spacing w:line="240" w:lineRule="auto"/>
        <w:ind w:left="2700" w:firstLine="2790"/>
        <w:rPr>
          <w:rFonts w:cs="Times New Roman"/>
          <w:szCs w:val="20"/>
        </w:rPr>
      </w:pPr>
      <w:r w:rsidRPr="00A65477">
        <w:rPr>
          <w:rFonts w:cs="Times New Roman"/>
          <w:szCs w:val="20"/>
        </w:rPr>
        <w:t>DARCIE L. HOUCK</w:t>
      </w:r>
    </w:p>
    <w:p w:rsidRPr="00A65477" w:rsidR="00327C6B" w:rsidP="00327C6B" w:rsidRDefault="00327C6B" w14:paraId="5A6FDD50" w14:textId="1BFEFF12">
      <w:pPr>
        <w:spacing w:line="240" w:lineRule="auto"/>
        <w:ind w:left="2700" w:firstLine="2790"/>
        <w:rPr>
          <w:rFonts w:cs="Times New Roman"/>
          <w:szCs w:val="20"/>
        </w:rPr>
      </w:pPr>
      <w:r w:rsidRPr="00A65477">
        <w:rPr>
          <w:rFonts w:cs="Times New Roman"/>
          <w:szCs w:val="20"/>
        </w:rPr>
        <w:t>KAREN DOUGLAS</w:t>
      </w:r>
    </w:p>
    <w:p w:rsidRPr="00A65477" w:rsidR="00327C6B" w:rsidP="00327C6B" w:rsidRDefault="00327C6B" w14:paraId="108A253A" w14:textId="208C24E4">
      <w:pPr>
        <w:spacing w:line="240" w:lineRule="auto"/>
        <w:ind w:left="2700" w:firstLine="2790"/>
        <w:rPr>
          <w:rFonts w:cs="Times New Roman"/>
          <w:szCs w:val="20"/>
        </w:rPr>
      </w:pPr>
      <w:r w:rsidRPr="00A65477">
        <w:rPr>
          <w:rFonts w:cs="Times New Roman"/>
          <w:szCs w:val="20"/>
        </w:rPr>
        <w:t>MATTHEW BAKER</w:t>
      </w:r>
    </w:p>
    <w:p w:rsidRPr="00A65477" w:rsidR="00327C6B" w:rsidP="00327C6B" w:rsidRDefault="00327C6B" w14:paraId="1EC2C969" w14:textId="3B700004">
      <w:pPr>
        <w:spacing w:line="240" w:lineRule="auto"/>
        <w:ind w:left="2700" w:firstLine="2790"/>
        <w:rPr>
          <w:rFonts w:cs="Times New Roman"/>
          <w:szCs w:val="20"/>
        </w:rPr>
      </w:pPr>
      <w:r w:rsidRPr="00A65477">
        <w:rPr>
          <w:rFonts w:cs="Times New Roman"/>
          <w:szCs w:val="20"/>
        </w:rPr>
        <w:t>CHRISTINE HARADA</w:t>
      </w:r>
    </w:p>
    <w:p w:rsidR="007B3C58" w:rsidP="00327C6B" w:rsidRDefault="00327C6B" w14:paraId="0E47B2EB" w14:textId="31B5827C">
      <w:pPr>
        <w:pStyle w:val="Standard"/>
        <w:keepNext/>
        <w:spacing w:line="240" w:lineRule="auto"/>
        <w:ind w:right="1440"/>
        <w:jc w:val="right"/>
      </w:pPr>
      <w:r w:rsidRPr="00A65477">
        <w:rPr>
          <w:rFonts w:cs="Times New Roman"/>
          <w:szCs w:val="20"/>
        </w:rPr>
        <w:t>Commissioners</w:t>
      </w:r>
    </w:p>
    <w:sectPr w:rsidR="007B3C58" w:rsidSect="007B036E">
      <w:headerReference w:type="default" r:id="rId10"/>
      <w:footerReference w:type="default" r:id="rId11"/>
      <w:headerReference w:type="first" r:id="rId12"/>
      <w:footerReference w:type="first" r:id="rId13"/>
      <w:pgSz w:w="12240" w:h="15840"/>
      <w:pgMar w:top="1728"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2A6C7" w14:textId="77777777" w:rsidR="00B54DBC" w:rsidRDefault="00B54DBC" w:rsidP="00790BFC">
      <w:pPr>
        <w:spacing w:line="240" w:lineRule="auto"/>
      </w:pPr>
      <w:r>
        <w:separator/>
      </w:r>
    </w:p>
  </w:endnote>
  <w:endnote w:type="continuationSeparator" w:id="0">
    <w:p w14:paraId="431FA20C" w14:textId="77777777" w:rsidR="00B54DBC" w:rsidRDefault="00B54DBC" w:rsidP="00790B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7C200" w14:textId="7B9A454D" w:rsidR="0037433D" w:rsidRPr="00E65C8D" w:rsidRDefault="00000000" w:rsidP="0037433D">
    <w:pPr>
      <w:tabs>
        <w:tab w:val="center" w:pos="4680"/>
      </w:tabs>
      <w:spacing w:line="240" w:lineRule="auto"/>
      <w:ind w:firstLine="0"/>
      <w:jc w:val="center"/>
      <w:rPr>
        <w:noProof/>
      </w:rPr>
    </w:pPr>
    <w:sdt>
      <w:sdtPr>
        <w:id w:val="-1239483942"/>
        <w:docPartObj>
          <w:docPartGallery w:val="Page Numbers (Bottom of Page)"/>
          <w:docPartUnique/>
        </w:docPartObj>
      </w:sdtPr>
      <w:sdtEndPr>
        <w:rPr>
          <w:noProof/>
        </w:rPr>
      </w:sdtEndPr>
      <w:sdtContent>
        <w:r w:rsidR="0037433D">
          <w:t xml:space="preserve">- </w:t>
        </w:r>
        <w:r w:rsidR="0037433D">
          <w:fldChar w:fldCharType="begin"/>
        </w:r>
        <w:r w:rsidR="0037433D">
          <w:instrText xml:space="preserve"> PAGE   \* MERGEFORMAT </w:instrText>
        </w:r>
        <w:r w:rsidR="0037433D">
          <w:fldChar w:fldCharType="separate"/>
        </w:r>
        <w:r w:rsidR="0037433D">
          <w:t>1</w:t>
        </w:r>
        <w:r w:rsidR="0037433D">
          <w:rPr>
            <w:noProof/>
          </w:rPr>
          <w:fldChar w:fldCharType="end"/>
        </w:r>
      </w:sdtContent>
    </w:sdt>
    <w:r w:rsidR="0037433D">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E3CA2" w14:textId="11A9279C" w:rsidR="007B036E" w:rsidRDefault="0011068F" w:rsidP="007B036E">
    <w:pPr>
      <w:tabs>
        <w:tab w:val="center" w:pos="4680"/>
      </w:tabs>
      <w:spacing w:line="240" w:lineRule="auto"/>
      <w:ind w:firstLine="0"/>
    </w:pPr>
    <w:r w:rsidRPr="0011068F">
      <w:rPr>
        <w:sz w:val="16"/>
        <w:szCs w:val="16"/>
      </w:rPr>
      <w:t>603071643</w:t>
    </w:r>
    <w:r w:rsidR="007B036E">
      <w:tab/>
      <w:t>-</w:t>
    </w:r>
    <w:sdt>
      <w:sdtPr>
        <w:id w:val="-1034043401"/>
        <w:docPartObj>
          <w:docPartGallery w:val="Page Numbers (Bottom of Page)"/>
          <w:docPartUnique/>
        </w:docPartObj>
      </w:sdtPr>
      <w:sdtEndPr>
        <w:rPr>
          <w:noProof/>
        </w:rPr>
      </w:sdtEndPr>
      <w:sdtContent>
        <w:r w:rsidR="007B036E">
          <w:t xml:space="preserve"> </w:t>
        </w:r>
        <w:r w:rsidR="007B036E">
          <w:fldChar w:fldCharType="begin"/>
        </w:r>
        <w:r w:rsidR="007B036E">
          <w:instrText xml:space="preserve"> PAGE   \* MERGEFORMAT </w:instrText>
        </w:r>
        <w:r w:rsidR="007B036E">
          <w:fldChar w:fldCharType="separate"/>
        </w:r>
        <w:r w:rsidR="007B036E">
          <w:t>1</w:t>
        </w:r>
        <w:r w:rsidR="007B036E">
          <w:rPr>
            <w:noProof/>
          </w:rPr>
          <w:fldChar w:fldCharType="end"/>
        </w:r>
        <w:r w:rsidR="007B036E">
          <w:rPr>
            <w:noProof/>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009E1" w14:textId="77777777" w:rsidR="00B54DBC" w:rsidRDefault="00B54DBC" w:rsidP="00BD2176">
      <w:pPr>
        <w:spacing w:line="240" w:lineRule="auto"/>
        <w:ind w:firstLine="0"/>
        <w:jc w:val="both"/>
      </w:pPr>
      <w:r>
        <w:separator/>
      </w:r>
    </w:p>
  </w:footnote>
  <w:footnote w:type="continuationSeparator" w:id="0">
    <w:p w14:paraId="3813E6F0" w14:textId="77777777" w:rsidR="00B54DBC" w:rsidRDefault="00B54DBC" w:rsidP="00790BFC">
      <w:pPr>
        <w:spacing w:line="240" w:lineRule="auto"/>
      </w:pPr>
      <w:r>
        <w:continuationSeparator/>
      </w:r>
    </w:p>
  </w:footnote>
  <w:footnote w:id="1">
    <w:p w14:paraId="0F3D754B" w14:textId="2D574890" w:rsidR="00092ABA" w:rsidRDefault="00092ABA" w:rsidP="00E55028">
      <w:pPr>
        <w:pStyle w:val="FootnoteText"/>
        <w:ind w:left="360" w:hanging="360"/>
      </w:pPr>
      <w:r>
        <w:rPr>
          <w:rStyle w:val="FootnoteReference"/>
        </w:rPr>
        <w:footnoteRef/>
      </w:r>
      <w:r>
        <w:t xml:space="preserve"> Complaint at 2.</w:t>
      </w:r>
    </w:p>
  </w:footnote>
  <w:footnote w:id="2">
    <w:p w14:paraId="60674EBA" w14:textId="08877809" w:rsidR="0089059F" w:rsidRDefault="0089059F" w:rsidP="00E55028">
      <w:pPr>
        <w:pStyle w:val="FootnoteText"/>
        <w:ind w:left="360" w:hanging="360"/>
      </w:pPr>
      <w:r>
        <w:rPr>
          <w:rStyle w:val="FootnoteReference"/>
        </w:rPr>
        <w:footnoteRef/>
      </w:r>
      <w:r>
        <w:t xml:space="preserve"> Complaint at 2.</w:t>
      </w:r>
    </w:p>
  </w:footnote>
  <w:footnote w:id="3">
    <w:p w14:paraId="3322C813" w14:textId="50149BD4" w:rsidR="003E1CF3" w:rsidRDefault="003E1CF3" w:rsidP="00E55028">
      <w:pPr>
        <w:pStyle w:val="FootnoteText"/>
        <w:ind w:left="360" w:hanging="360"/>
      </w:pPr>
      <w:r>
        <w:rPr>
          <w:rStyle w:val="FootnoteReference"/>
        </w:rPr>
        <w:footnoteRef/>
      </w:r>
      <w:r>
        <w:t xml:space="preserve"> </w:t>
      </w:r>
      <w:r w:rsidR="00BB1471" w:rsidRPr="00BB1471">
        <w:rPr>
          <w:i/>
          <w:iCs/>
        </w:rPr>
        <w:t>Id</w:t>
      </w:r>
      <w:r w:rsidR="00BB1471">
        <w:t>.</w:t>
      </w:r>
      <w:r>
        <w:t xml:space="preserve"> at 3.</w:t>
      </w:r>
    </w:p>
  </w:footnote>
  <w:footnote w:id="4">
    <w:p w14:paraId="04432E33" w14:textId="41AAF473" w:rsidR="002D243C" w:rsidRDefault="002D243C" w:rsidP="00E55028">
      <w:pPr>
        <w:pStyle w:val="FootnoteText"/>
        <w:ind w:left="360" w:hanging="360"/>
      </w:pPr>
      <w:r>
        <w:rPr>
          <w:rStyle w:val="FootnoteReference"/>
        </w:rPr>
        <w:footnoteRef/>
      </w:r>
      <w:r>
        <w:t xml:space="preserve"> </w:t>
      </w:r>
      <w:r w:rsidR="00D159DE">
        <w:t xml:space="preserve">Complainant’s </w:t>
      </w:r>
      <w:r>
        <w:t>Opening Comments on Scoping Memo at 2.</w:t>
      </w:r>
    </w:p>
  </w:footnote>
  <w:footnote w:id="5">
    <w:p w14:paraId="31DB7449" w14:textId="5670B0D9" w:rsidR="002D243C" w:rsidRDefault="002D243C" w:rsidP="00E55028">
      <w:pPr>
        <w:pStyle w:val="FootnoteText"/>
        <w:ind w:left="360" w:hanging="360"/>
      </w:pPr>
      <w:r>
        <w:rPr>
          <w:rStyle w:val="FootnoteReference"/>
        </w:rPr>
        <w:footnoteRef/>
      </w:r>
      <w:r>
        <w:t xml:space="preserve"> </w:t>
      </w:r>
      <w:r w:rsidRPr="00BB1471">
        <w:rPr>
          <w:i/>
          <w:iCs/>
        </w:rPr>
        <w:t>Id</w:t>
      </w:r>
      <w:r>
        <w:t>.</w:t>
      </w:r>
    </w:p>
  </w:footnote>
  <w:footnote w:id="6">
    <w:p w14:paraId="210E10DA" w14:textId="3C3D6334" w:rsidR="00C52270" w:rsidRDefault="00C52270" w:rsidP="00A37450">
      <w:pPr>
        <w:pStyle w:val="FootnoteText"/>
      </w:pPr>
      <w:r>
        <w:rPr>
          <w:rStyle w:val="FootnoteReference"/>
        </w:rPr>
        <w:footnoteRef/>
      </w:r>
      <w:r>
        <w:t xml:space="preserve"> Complainant’s Motion to Strike</w:t>
      </w:r>
      <w:r w:rsidR="00DA2A94">
        <w:t xml:space="preserve"> at 2, Attachment 3 to Complainant’s Motion for Official Notice and/or Motion to Compel Production of Records, filed October 10, 2025. </w:t>
      </w:r>
    </w:p>
  </w:footnote>
  <w:footnote w:id="7">
    <w:p w14:paraId="1FBA6D70" w14:textId="65D643B3" w:rsidR="00CF6215" w:rsidRDefault="00CF6215" w:rsidP="00E55028">
      <w:pPr>
        <w:pStyle w:val="FootnoteText"/>
        <w:ind w:left="360" w:hanging="360"/>
      </w:pPr>
      <w:r>
        <w:rPr>
          <w:rStyle w:val="FootnoteReference"/>
        </w:rPr>
        <w:footnoteRef/>
      </w:r>
      <w:r>
        <w:t xml:space="preserve"> </w:t>
      </w:r>
      <w:r w:rsidR="00BB1471">
        <w:t xml:space="preserve">PG&amp;E </w:t>
      </w:r>
      <w:r>
        <w:t>Answer at 3.</w:t>
      </w:r>
    </w:p>
  </w:footnote>
  <w:footnote w:id="8">
    <w:p w14:paraId="3882C7F2" w14:textId="75E1BB2D" w:rsidR="00CF6215" w:rsidRDefault="00CF6215" w:rsidP="00E55028">
      <w:pPr>
        <w:pStyle w:val="FootnoteText"/>
        <w:ind w:left="360" w:hanging="360"/>
      </w:pPr>
      <w:r>
        <w:rPr>
          <w:rStyle w:val="FootnoteReference"/>
        </w:rPr>
        <w:footnoteRef/>
      </w:r>
      <w:r>
        <w:t xml:space="preserve"> </w:t>
      </w:r>
      <w:r w:rsidR="00BB1471">
        <w:t xml:space="preserve">PG&amp;E </w:t>
      </w:r>
      <w:r>
        <w:t xml:space="preserve">Answer </w:t>
      </w:r>
      <w:r w:rsidR="00BB1471">
        <w:t xml:space="preserve">at </w:t>
      </w:r>
      <w:r>
        <w:t>2</w:t>
      </w:r>
    </w:p>
  </w:footnote>
  <w:footnote w:id="9">
    <w:p w14:paraId="1C024CB5" w14:textId="6FD69D5D" w:rsidR="00664694" w:rsidRDefault="00664694" w:rsidP="00E55028">
      <w:pPr>
        <w:pStyle w:val="FootnoteText"/>
        <w:ind w:left="360" w:hanging="360"/>
      </w:pPr>
      <w:r>
        <w:rPr>
          <w:rStyle w:val="FootnoteReference"/>
        </w:rPr>
        <w:footnoteRef/>
      </w:r>
      <w:r>
        <w:t xml:space="preserve"> </w:t>
      </w:r>
      <w:r w:rsidR="003B221A" w:rsidRPr="003B221A">
        <w:rPr>
          <w:i/>
          <w:iCs/>
        </w:rPr>
        <w:t>Id</w:t>
      </w:r>
      <w:r w:rsidR="003B221A">
        <w:t xml:space="preserve">. </w:t>
      </w:r>
      <w:r>
        <w:t>at 3.</w:t>
      </w:r>
    </w:p>
  </w:footnote>
  <w:footnote w:id="10">
    <w:p w14:paraId="71C7BE8F" w14:textId="175FE7E8" w:rsidR="00EF1992" w:rsidRDefault="00EF1992" w:rsidP="009B7D9D">
      <w:pPr>
        <w:pStyle w:val="FootnoteText"/>
        <w:ind w:left="360" w:hanging="360"/>
      </w:pPr>
      <w:r>
        <w:rPr>
          <w:rStyle w:val="FootnoteReference"/>
        </w:rPr>
        <w:footnoteRef/>
      </w:r>
      <w:r>
        <w:t xml:space="preserve"> PG&amp;E Comments on the Scoping Memo at 5.</w:t>
      </w:r>
    </w:p>
  </w:footnote>
  <w:footnote w:id="11">
    <w:p w14:paraId="33137C65" w14:textId="53C04162" w:rsidR="00EA5A90" w:rsidRDefault="00EA5A90" w:rsidP="00E55028">
      <w:pPr>
        <w:pStyle w:val="FootnoteText"/>
        <w:ind w:left="360" w:hanging="360"/>
      </w:pPr>
      <w:r>
        <w:rPr>
          <w:rStyle w:val="FootnoteReference"/>
        </w:rPr>
        <w:footnoteRef/>
      </w:r>
      <w:r>
        <w:t xml:space="preserve"> Complaint at 2.</w:t>
      </w:r>
    </w:p>
  </w:footnote>
  <w:footnote w:id="12">
    <w:p w14:paraId="079843F8" w14:textId="2199A1E9" w:rsidR="009C53D5" w:rsidRDefault="009C53D5" w:rsidP="00E55028">
      <w:pPr>
        <w:pStyle w:val="FootnoteText"/>
        <w:ind w:left="360" w:hanging="360"/>
      </w:pPr>
      <w:r>
        <w:rPr>
          <w:rStyle w:val="FootnoteReference"/>
        </w:rPr>
        <w:footnoteRef/>
      </w:r>
      <w:r>
        <w:t xml:space="preserve"> </w:t>
      </w:r>
      <w:r w:rsidRPr="00BB1471">
        <w:rPr>
          <w:i/>
          <w:iCs/>
        </w:rPr>
        <w:t>Id</w:t>
      </w:r>
      <w:r>
        <w:t>.</w:t>
      </w:r>
    </w:p>
  </w:footnote>
  <w:footnote w:id="13">
    <w:p w14:paraId="57AC0A3E" w14:textId="444F4346" w:rsidR="004E3F15" w:rsidRDefault="004E3F15" w:rsidP="00E55028">
      <w:pPr>
        <w:pStyle w:val="FootnoteText"/>
        <w:ind w:left="360" w:hanging="360"/>
      </w:pPr>
      <w:r>
        <w:rPr>
          <w:rStyle w:val="FootnoteReference"/>
        </w:rPr>
        <w:footnoteRef/>
      </w:r>
      <w:r>
        <w:t xml:space="preserve"> PG&amp;E Opening Comments</w:t>
      </w:r>
      <w:r w:rsidR="00BB1471">
        <w:t xml:space="preserve"> on Scoping Memo</w:t>
      </w:r>
      <w:r>
        <w:t xml:space="preserve"> at 3.</w:t>
      </w:r>
    </w:p>
  </w:footnote>
  <w:footnote w:id="14">
    <w:p w14:paraId="778394AD" w14:textId="1455C39B" w:rsidR="004E3F15" w:rsidRDefault="004E3F15" w:rsidP="002D7B63">
      <w:pPr>
        <w:pStyle w:val="FootnoteText"/>
      </w:pPr>
      <w:r>
        <w:rPr>
          <w:rStyle w:val="FootnoteReference"/>
        </w:rPr>
        <w:footnoteRef/>
      </w:r>
      <w:r>
        <w:t xml:space="preserve"> Defendant </w:t>
      </w:r>
      <w:r w:rsidR="00E55028">
        <w:t>notes</w:t>
      </w:r>
      <w:r>
        <w:t xml:space="preserve"> that in an unrelated federal court action against PG&amp;E, </w:t>
      </w:r>
      <w:r w:rsidR="00E55028">
        <w:t>Complainant</w:t>
      </w:r>
      <w:r>
        <w:t xml:space="preserve"> similarly made allegations in her capacity as trustee of the same trust at issue here, and that Ms.</w:t>
      </w:r>
      <w:r w:rsidR="002D7B63">
        <w:t> </w:t>
      </w:r>
      <w:r>
        <w:t xml:space="preserve">Flores was ordered to show cause on the ground that she could not pursue trustee claims pro se as a trustee. </w:t>
      </w:r>
      <w:r w:rsidR="0018549E">
        <w:t xml:space="preserve"> </w:t>
      </w:r>
      <w:r w:rsidR="002D7B63">
        <w:t>(</w:t>
      </w:r>
      <w:r w:rsidR="00E55028" w:rsidRPr="00E55028">
        <w:rPr>
          <w:i/>
          <w:iCs/>
        </w:rPr>
        <w:t>See</w:t>
      </w:r>
      <w:r w:rsidR="00E55028">
        <w:t xml:space="preserve"> </w:t>
      </w:r>
      <w:r>
        <w:t xml:space="preserve">PG&amp;E Opening Comments </w:t>
      </w:r>
      <w:r w:rsidR="00D159DE">
        <w:t xml:space="preserve">on Scoping Memo </w:t>
      </w:r>
      <w:r>
        <w:t>at 4.</w:t>
      </w:r>
      <w:r w:rsidR="002D7B63">
        <w:t>)</w:t>
      </w:r>
      <w:r>
        <w:t xml:space="preserve">  </w:t>
      </w:r>
    </w:p>
  </w:footnote>
  <w:footnote w:id="15">
    <w:p w14:paraId="5E9AADF4" w14:textId="393DC5D6" w:rsidR="00C268EF" w:rsidRDefault="00C268EF" w:rsidP="00E55028">
      <w:pPr>
        <w:pStyle w:val="FootnoteText"/>
        <w:ind w:left="360" w:hanging="360"/>
      </w:pPr>
      <w:r>
        <w:rPr>
          <w:rStyle w:val="FootnoteReference"/>
        </w:rPr>
        <w:footnoteRef/>
      </w:r>
      <w:r>
        <w:t xml:space="preserve"> PG&amp;E Opening Comments</w:t>
      </w:r>
      <w:r w:rsidR="00BB1471">
        <w:t xml:space="preserve"> on Scoping Memo</w:t>
      </w:r>
      <w:r>
        <w:t xml:space="preserve"> at 9.</w:t>
      </w:r>
    </w:p>
  </w:footnote>
  <w:footnote w:id="16">
    <w:p w14:paraId="37EF801B" w14:textId="11DB62E2" w:rsidR="003E4D7E" w:rsidRDefault="003E4D7E" w:rsidP="002D7B63">
      <w:pPr>
        <w:pStyle w:val="FootnoteText"/>
      </w:pPr>
      <w:r>
        <w:rPr>
          <w:rStyle w:val="FootnoteReference"/>
        </w:rPr>
        <w:footnoteRef/>
      </w:r>
      <w:r>
        <w:t xml:space="preserve"> </w:t>
      </w:r>
      <w:r w:rsidRPr="003E4D7E">
        <w:t>Rule 1.1 provides: “Any person who signs a pleading or brief, enters an appearance, offers testimony at a hearing, or transacts business with the Commission, by such act represents that he or she is authorized to do so and agrees to comply with the laws of this State; to maintain the respect due to the Commission, members of the Commission and its Administrative Law Judges; and never to mislead the Commission or its staff by an artifice or false statement of fact or law.”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C9649" w14:textId="5ADA2BC1" w:rsidR="007B036E" w:rsidRPr="007B036E" w:rsidRDefault="007B036E" w:rsidP="007B036E">
    <w:pPr>
      <w:pStyle w:val="Header"/>
      <w:tabs>
        <w:tab w:val="clear" w:pos="4680"/>
      </w:tabs>
      <w:ind w:firstLine="0"/>
      <w:rPr>
        <w:iCs/>
      </w:rPr>
    </w:pPr>
    <w:r>
      <w:rPr>
        <w:iCs/>
      </w:rPr>
      <w:t>C.25-08-</w:t>
    </w:r>
    <w:proofErr w:type="gramStart"/>
    <w:r>
      <w:rPr>
        <w:iCs/>
      </w:rPr>
      <w:t>012  ALJ</w:t>
    </w:r>
    <w:proofErr w:type="gramEnd"/>
    <w:r>
      <w:rPr>
        <w:iCs/>
      </w:rPr>
      <w:t>/</w:t>
    </w:r>
    <w:r w:rsidR="0059402C">
      <w:rPr>
        <w:iCs/>
      </w:rPr>
      <w:t>MOD-POD</w:t>
    </w:r>
    <w:r w:rsidR="0083371F">
      <w:rPr>
        <w:iCs/>
      </w:rPr>
      <w:t>-DBB/</w:t>
    </w:r>
    <w:proofErr w:type="spellStart"/>
    <w:r w:rsidR="0083371F">
      <w:rPr>
        <w:iCs/>
      </w:rPr>
      <w:t>avs</w:t>
    </w:r>
    <w:proofErr w:type="spellEnd"/>
    <w:r>
      <w:rPr>
        <w:iCs/>
      </w:rPr>
      <w:tab/>
    </w:r>
  </w:p>
  <w:p w14:paraId="209B49F7" w14:textId="77777777" w:rsidR="00C65B86" w:rsidRDefault="00C65B86" w:rsidP="007B036E">
    <w:pPr>
      <w:pStyle w:val="Header"/>
      <w:tabs>
        <w:tab w:val="clear" w:pos="4680"/>
      </w:tabs>
      <w:ind w:firstLine="0"/>
      <w:rPr>
        <w:iCs/>
      </w:rPr>
    </w:pPr>
  </w:p>
  <w:p w14:paraId="38349FF6" w14:textId="77777777" w:rsidR="0083371F" w:rsidRPr="0083371F" w:rsidRDefault="0083371F" w:rsidP="007B036E">
    <w:pPr>
      <w:pStyle w:val="Header"/>
      <w:tabs>
        <w:tab w:val="clear" w:pos="4680"/>
      </w:tabs>
      <w:ind w:firstLine="0"/>
      <w:rPr>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830EA" w14:textId="77777777" w:rsidR="007B036E" w:rsidRPr="00C65B86" w:rsidRDefault="007B036E" w:rsidP="00C65B86">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C1C14"/>
    <w:multiLevelType w:val="multilevel"/>
    <w:tmpl w:val="18F4A5AC"/>
    <w:styleLink w:val="FoFCoLOP"/>
    <w:lvl w:ilvl="0">
      <w:start w:val="1"/>
      <w:numFmt w:val="decimal"/>
      <w:pStyle w:val="OP"/>
      <w:lvlText w:val="%1."/>
      <w:lvlJc w:val="right"/>
      <w:pPr>
        <w:ind w:left="-540" w:firstLine="540"/>
      </w:pPr>
    </w:lvl>
    <w:lvl w:ilvl="1">
      <w:start w:val="1"/>
      <w:numFmt w:val="lowerLetter"/>
      <w:lvlText w:val="(%2)"/>
      <w:lvlJc w:val="right"/>
      <w:pPr>
        <w:ind w:left="1152" w:hanging="72"/>
      </w:pPr>
    </w:lvl>
    <w:lvl w:ilvl="2">
      <w:start w:val="1"/>
      <w:numFmt w:val="none"/>
      <w:lvlText w:val=""/>
      <w:lvlJc w:val="left"/>
      <w:pPr>
        <w:ind w:left="720" w:firstLine="0"/>
      </w:pPr>
    </w:lvl>
    <w:lvl w:ilvl="3">
      <w:start w:val="1"/>
      <w:numFmt w:val="none"/>
      <w:lvlText w:val=""/>
      <w:lvlJc w:val="left"/>
      <w:pPr>
        <w:ind w:left="720" w:firstLine="0"/>
      </w:pPr>
    </w:lvl>
    <w:lvl w:ilvl="4">
      <w:start w:val="1"/>
      <w:numFmt w:val="none"/>
      <w:lvlText w:val=""/>
      <w:lvlJc w:val="left"/>
      <w:pPr>
        <w:ind w:left="720" w:firstLine="0"/>
      </w:pPr>
    </w:lvl>
    <w:lvl w:ilvl="5">
      <w:start w:val="1"/>
      <w:numFmt w:val="none"/>
      <w:lvlText w:val=""/>
      <w:lvlJc w:val="left"/>
      <w:pPr>
        <w:ind w:left="720" w:firstLine="0"/>
      </w:pPr>
    </w:lvl>
    <w:lvl w:ilvl="6">
      <w:start w:val="1"/>
      <w:numFmt w:val="none"/>
      <w:lvlText w:val=""/>
      <w:lvlJc w:val="left"/>
      <w:pPr>
        <w:ind w:left="720" w:firstLine="0"/>
      </w:pPr>
    </w:lvl>
    <w:lvl w:ilvl="7">
      <w:start w:val="1"/>
      <w:numFmt w:val="none"/>
      <w:lvlText w:val=""/>
      <w:lvlJc w:val="left"/>
      <w:pPr>
        <w:ind w:left="720" w:firstLine="0"/>
      </w:pPr>
    </w:lvl>
    <w:lvl w:ilvl="8">
      <w:start w:val="1"/>
      <w:numFmt w:val="none"/>
      <w:lvlText w:val=""/>
      <w:lvlJc w:val="left"/>
      <w:pPr>
        <w:ind w:left="720" w:firstLine="0"/>
      </w:pPr>
    </w:lvl>
  </w:abstractNum>
  <w:abstractNum w:abstractNumId="1" w15:restartNumberingAfterBreak="0">
    <w:nsid w:val="15F056CB"/>
    <w:multiLevelType w:val="multilevel"/>
    <w:tmpl w:val="18F4A5AC"/>
    <w:numStyleLink w:val="FoFCoLOP"/>
  </w:abstractNum>
  <w:abstractNum w:abstractNumId="2" w15:restartNumberingAfterBreak="0">
    <w:nsid w:val="18386047"/>
    <w:multiLevelType w:val="hybridMultilevel"/>
    <w:tmpl w:val="C32C0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cs="Times New Roman" w:hint="default"/>
        <w:b/>
        <w:i w:val="0"/>
        <w:caps w:val="0"/>
        <w:strike w:val="0"/>
        <w:dstrike w:val="0"/>
        <w:vanish w:val="0"/>
        <w:webHidden w:val="0"/>
        <w:color w:val="auto"/>
        <w:kern w:val="0"/>
        <w:position w:val="0"/>
        <w:sz w:val="26"/>
        <w:u w:val="none"/>
        <w:effect w:val="none"/>
        <w:vertAlign w:val="baseline"/>
        <w:specVanish w:val="0"/>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cs="Times New Roman" w:hint="default"/>
        <w:b/>
        <w:i w:val="0"/>
        <w:caps w:val="0"/>
        <w:strike w:val="0"/>
        <w:dstrike w:val="0"/>
        <w:vanish w:val="0"/>
        <w:webHidden w:val="0"/>
        <w:color w:val="auto"/>
        <w:kern w:val="0"/>
        <w:sz w:val="26"/>
        <w:u w:val="none"/>
        <w:effect w:val="none"/>
        <w:vertAlign w:val="baseline"/>
        <w:specVanish w:val="0"/>
        <w14:cntxtAlts w14:val="0"/>
      </w:rPr>
    </w:lvl>
    <w:lvl w:ilvl="2">
      <w:start w:val="1"/>
      <w:numFmt w:val="decimal"/>
      <w:pStyle w:val="Heading3"/>
      <w:lvlText w:val="%1.%2.%3."/>
      <w:lvlJc w:val="left"/>
      <w:pPr>
        <w:tabs>
          <w:tab w:val="num" w:pos="1656"/>
        </w:tabs>
        <w:ind w:left="1656" w:hanging="936"/>
      </w:pPr>
      <w:rPr>
        <w:rFonts w:ascii="Arial" w:hAnsi="Arial" w:cs="Times New Roman" w:hint="default"/>
        <w:b/>
        <w:i w:val="0"/>
        <w:caps w:val="0"/>
        <w:strike w:val="0"/>
        <w:dstrike w:val="0"/>
        <w:vanish w:val="0"/>
        <w:webHidden w:val="0"/>
        <w:color w:val="auto"/>
        <w:kern w:val="0"/>
        <w:sz w:val="26"/>
        <w:u w:val="none"/>
        <w:effect w:val="none"/>
        <w:vertAlign w:val="baseline"/>
        <w:specVanish w:val="0"/>
        <w14:cntxtAlts w14:val="0"/>
      </w:rPr>
    </w:lvl>
    <w:lvl w:ilvl="3">
      <w:start w:val="1"/>
      <w:numFmt w:val="decimal"/>
      <w:pStyle w:val="Heading4"/>
      <w:lvlText w:val="%1.%2.%3.%4."/>
      <w:lvlJc w:val="left"/>
      <w:pPr>
        <w:tabs>
          <w:tab w:val="num" w:pos="2232"/>
        </w:tabs>
        <w:ind w:left="2232" w:hanging="1152"/>
      </w:pPr>
      <w:rPr>
        <w:rFonts w:ascii="Arial" w:hAnsi="Arial" w:cs="Times New Roman" w:hint="default"/>
        <w:b/>
        <w:i w:val="0"/>
        <w:caps w:val="0"/>
        <w:strike w:val="0"/>
        <w:dstrike w:val="0"/>
        <w:vanish w:val="0"/>
        <w:webHidden w:val="0"/>
        <w:kern w:val="0"/>
        <w:sz w:val="26"/>
        <w:u w:val="none"/>
        <w:effect w:val="none"/>
        <w:vertAlign w:val="baseline"/>
        <w:specVanish w:val="0"/>
        <w14:cntxtAlts w14:val="0"/>
      </w:rPr>
    </w:lvl>
    <w:lvl w:ilvl="4">
      <w:start w:val="1"/>
      <w:numFmt w:val="decimal"/>
      <w:pStyle w:val="Heading5"/>
      <w:lvlText w:val="%1.%2.%3.%4.%5."/>
      <w:lvlJc w:val="left"/>
      <w:pPr>
        <w:tabs>
          <w:tab w:val="num" w:pos="2880"/>
        </w:tabs>
        <w:ind w:left="2880" w:hanging="1440"/>
      </w:pPr>
      <w:rPr>
        <w:rFonts w:ascii="Arial" w:hAnsi="Arial" w:cs="Times New Roman" w:hint="default"/>
        <w:b/>
        <w:i w:val="0"/>
        <w:sz w:val="26"/>
      </w:rPr>
    </w:lvl>
    <w:lvl w:ilvl="5">
      <w:start w:val="1"/>
      <w:numFmt w:val="decimal"/>
      <w:pStyle w:val="Heading6"/>
      <w:lvlText w:val="%1.%2.%3.%4.%5.%6."/>
      <w:lvlJc w:val="left"/>
      <w:pPr>
        <w:tabs>
          <w:tab w:val="num" w:pos="3528"/>
        </w:tabs>
        <w:ind w:left="3528" w:hanging="1728"/>
      </w:pPr>
      <w:rPr>
        <w:rFonts w:ascii="Arial" w:hAnsi="Arial" w:cs="Times New Roman"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lvl>
  </w:abstractNum>
  <w:abstractNum w:abstractNumId="4" w15:restartNumberingAfterBreak="0">
    <w:nsid w:val="378C2949"/>
    <w:multiLevelType w:val="hybridMultilevel"/>
    <w:tmpl w:val="169EF8E4"/>
    <w:lvl w:ilvl="0" w:tplc="459CC7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89241BF"/>
    <w:multiLevelType w:val="hybridMultilevel"/>
    <w:tmpl w:val="6ADC063E"/>
    <w:lvl w:ilvl="0" w:tplc="B0227D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97F202B"/>
    <w:multiLevelType w:val="hybridMultilevel"/>
    <w:tmpl w:val="DC4256AE"/>
    <w:lvl w:ilvl="0" w:tplc="1B36425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A25780"/>
    <w:multiLevelType w:val="multilevel"/>
    <w:tmpl w:val="3C526EDE"/>
    <w:numStyleLink w:val="Headings"/>
  </w:abstractNum>
  <w:abstractNum w:abstractNumId="8" w15:restartNumberingAfterBreak="0">
    <w:nsid w:val="789A0AFE"/>
    <w:multiLevelType w:val="multilevel"/>
    <w:tmpl w:val="18F4A5AC"/>
    <w:numStyleLink w:val="FoFCoLOP"/>
  </w:abstractNum>
  <w:num w:numId="1" w16cid:durableId="757602093">
    <w:abstractNumId w:val="0"/>
  </w:num>
  <w:num w:numId="2" w16cid:durableId="529757050">
    <w:abstractNumId w:val="3"/>
  </w:num>
  <w:num w:numId="3" w16cid:durableId="2011978734">
    <w:abstractNumId w:val="6"/>
  </w:num>
  <w:num w:numId="4" w16cid:durableId="1116412292">
    <w:abstractNumId w:val="2"/>
  </w:num>
  <w:num w:numId="5" w16cid:durableId="1228298831">
    <w:abstractNumId w:val="1"/>
  </w:num>
  <w:num w:numId="6" w16cid:durableId="1167744078">
    <w:abstractNumId w:val="7"/>
    <w:lvlOverride w:ilvl="0">
      <w:lvl w:ilvl="0">
        <w:start w:val="1"/>
        <w:numFmt w:val="decimal"/>
        <w:pStyle w:val="Heading1"/>
        <w:lvlText w:val="%1."/>
        <w:lvlJc w:val="left"/>
        <w:pPr>
          <w:ind w:left="720" w:hanging="720"/>
        </w:pPr>
        <w:rPr>
          <w:webHidden w:val="0"/>
          <w:specVanish w:val="0"/>
        </w:rPr>
      </w:lvl>
    </w:lvlOverride>
    <w:lvlOverride w:ilvl="1">
      <w:lvl w:ilvl="1">
        <w:start w:val="1"/>
        <w:numFmt w:val="decimal"/>
        <w:pStyle w:val="Heading2"/>
        <w:lvlText w:val="%1.%2."/>
        <w:lvlJc w:val="left"/>
        <w:pPr>
          <w:tabs>
            <w:tab w:val="num" w:pos="1080"/>
          </w:tabs>
          <w:ind w:left="1080" w:hanging="720"/>
        </w:pPr>
        <w:rPr>
          <w:webHidden w:val="0"/>
          <w:specVanish w:val="0"/>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num>
  <w:num w:numId="7" w16cid:durableId="1227841078">
    <w:abstractNumId w:val="8"/>
  </w:num>
  <w:num w:numId="8" w16cid:durableId="1471249510">
    <w:abstractNumId w:val="4"/>
  </w:num>
  <w:num w:numId="9" w16cid:durableId="1671636085">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BFC"/>
    <w:rsid w:val="00000589"/>
    <w:rsid w:val="00000BBE"/>
    <w:rsid w:val="00001B8D"/>
    <w:rsid w:val="00001CFC"/>
    <w:rsid w:val="000021EF"/>
    <w:rsid w:val="00004856"/>
    <w:rsid w:val="0000536C"/>
    <w:rsid w:val="00007D08"/>
    <w:rsid w:val="00012EC5"/>
    <w:rsid w:val="00021D4A"/>
    <w:rsid w:val="00024A36"/>
    <w:rsid w:val="000264AA"/>
    <w:rsid w:val="00026DE0"/>
    <w:rsid w:val="000308DC"/>
    <w:rsid w:val="00032773"/>
    <w:rsid w:val="000329AF"/>
    <w:rsid w:val="0003717E"/>
    <w:rsid w:val="00037211"/>
    <w:rsid w:val="00037E22"/>
    <w:rsid w:val="00041884"/>
    <w:rsid w:val="000452C8"/>
    <w:rsid w:val="00046985"/>
    <w:rsid w:val="00047DD6"/>
    <w:rsid w:val="000524B9"/>
    <w:rsid w:val="0005326D"/>
    <w:rsid w:val="00053382"/>
    <w:rsid w:val="0005348C"/>
    <w:rsid w:val="00053C2B"/>
    <w:rsid w:val="00056B6A"/>
    <w:rsid w:val="00057495"/>
    <w:rsid w:val="00061729"/>
    <w:rsid w:val="00061ABD"/>
    <w:rsid w:val="000631C3"/>
    <w:rsid w:val="00065E1D"/>
    <w:rsid w:val="00070F5B"/>
    <w:rsid w:val="00071288"/>
    <w:rsid w:val="00072D4A"/>
    <w:rsid w:val="00075550"/>
    <w:rsid w:val="00076551"/>
    <w:rsid w:val="00076B17"/>
    <w:rsid w:val="00081091"/>
    <w:rsid w:val="00082C44"/>
    <w:rsid w:val="0008509E"/>
    <w:rsid w:val="00091853"/>
    <w:rsid w:val="00092ABA"/>
    <w:rsid w:val="00093F30"/>
    <w:rsid w:val="000950DE"/>
    <w:rsid w:val="00097A72"/>
    <w:rsid w:val="000A0D60"/>
    <w:rsid w:val="000A2A03"/>
    <w:rsid w:val="000A3417"/>
    <w:rsid w:val="000A487D"/>
    <w:rsid w:val="000A689F"/>
    <w:rsid w:val="000A744C"/>
    <w:rsid w:val="000B0EDD"/>
    <w:rsid w:val="000B1870"/>
    <w:rsid w:val="000B269F"/>
    <w:rsid w:val="000B6050"/>
    <w:rsid w:val="000B7C7E"/>
    <w:rsid w:val="000C6769"/>
    <w:rsid w:val="000D0ABE"/>
    <w:rsid w:val="000D14EC"/>
    <w:rsid w:val="000D2856"/>
    <w:rsid w:val="000D2EB7"/>
    <w:rsid w:val="000D5149"/>
    <w:rsid w:val="000D72F2"/>
    <w:rsid w:val="000D7472"/>
    <w:rsid w:val="000E169E"/>
    <w:rsid w:val="000E20E9"/>
    <w:rsid w:val="000E3605"/>
    <w:rsid w:val="000E3A57"/>
    <w:rsid w:val="000E51F0"/>
    <w:rsid w:val="000E53F8"/>
    <w:rsid w:val="000E6EC9"/>
    <w:rsid w:val="000E7ADF"/>
    <w:rsid w:val="000E7D6F"/>
    <w:rsid w:val="000F3E65"/>
    <w:rsid w:val="000F3EC0"/>
    <w:rsid w:val="000F4A38"/>
    <w:rsid w:val="000F70A5"/>
    <w:rsid w:val="000F7549"/>
    <w:rsid w:val="000F797E"/>
    <w:rsid w:val="00101F18"/>
    <w:rsid w:val="00101FBC"/>
    <w:rsid w:val="00102099"/>
    <w:rsid w:val="0010274F"/>
    <w:rsid w:val="001037AA"/>
    <w:rsid w:val="00104815"/>
    <w:rsid w:val="001049E8"/>
    <w:rsid w:val="00105861"/>
    <w:rsid w:val="0011068F"/>
    <w:rsid w:val="00114B3E"/>
    <w:rsid w:val="0011674A"/>
    <w:rsid w:val="00121823"/>
    <w:rsid w:val="001231BC"/>
    <w:rsid w:val="001241D1"/>
    <w:rsid w:val="00124406"/>
    <w:rsid w:val="00126CFA"/>
    <w:rsid w:val="00127E60"/>
    <w:rsid w:val="00130220"/>
    <w:rsid w:val="001375B4"/>
    <w:rsid w:val="00137B34"/>
    <w:rsid w:val="00140382"/>
    <w:rsid w:val="001415AC"/>
    <w:rsid w:val="00143DE1"/>
    <w:rsid w:val="001468D4"/>
    <w:rsid w:val="00147872"/>
    <w:rsid w:val="001507BE"/>
    <w:rsid w:val="0015223C"/>
    <w:rsid w:val="00152C7B"/>
    <w:rsid w:val="001542C1"/>
    <w:rsid w:val="00157E15"/>
    <w:rsid w:val="00160583"/>
    <w:rsid w:val="0016160A"/>
    <w:rsid w:val="00161EB0"/>
    <w:rsid w:val="00165C70"/>
    <w:rsid w:val="00166083"/>
    <w:rsid w:val="00172454"/>
    <w:rsid w:val="00172BCC"/>
    <w:rsid w:val="00175027"/>
    <w:rsid w:val="00176FDE"/>
    <w:rsid w:val="001770A1"/>
    <w:rsid w:val="00180D01"/>
    <w:rsid w:val="00182A42"/>
    <w:rsid w:val="0018343C"/>
    <w:rsid w:val="00183C60"/>
    <w:rsid w:val="00184C7F"/>
    <w:rsid w:val="0018549E"/>
    <w:rsid w:val="00190822"/>
    <w:rsid w:val="00191FC0"/>
    <w:rsid w:val="00193680"/>
    <w:rsid w:val="00194AB8"/>
    <w:rsid w:val="001954CE"/>
    <w:rsid w:val="00195EC8"/>
    <w:rsid w:val="001A0C00"/>
    <w:rsid w:val="001A14EE"/>
    <w:rsid w:val="001A2698"/>
    <w:rsid w:val="001A3C6F"/>
    <w:rsid w:val="001A3CD3"/>
    <w:rsid w:val="001A4712"/>
    <w:rsid w:val="001A4996"/>
    <w:rsid w:val="001A5B81"/>
    <w:rsid w:val="001A6262"/>
    <w:rsid w:val="001B08AB"/>
    <w:rsid w:val="001B2C1F"/>
    <w:rsid w:val="001B6FA9"/>
    <w:rsid w:val="001B763B"/>
    <w:rsid w:val="001C0B8E"/>
    <w:rsid w:val="001C1066"/>
    <w:rsid w:val="001C28EC"/>
    <w:rsid w:val="001C2BC4"/>
    <w:rsid w:val="001C4141"/>
    <w:rsid w:val="001C5114"/>
    <w:rsid w:val="001C59B5"/>
    <w:rsid w:val="001C5ABB"/>
    <w:rsid w:val="001D12CB"/>
    <w:rsid w:val="001D1601"/>
    <w:rsid w:val="001D580D"/>
    <w:rsid w:val="001E040A"/>
    <w:rsid w:val="001E32C6"/>
    <w:rsid w:val="001E7003"/>
    <w:rsid w:val="001F633C"/>
    <w:rsid w:val="0020031A"/>
    <w:rsid w:val="002007F6"/>
    <w:rsid w:val="002063DD"/>
    <w:rsid w:val="00206CED"/>
    <w:rsid w:val="00214423"/>
    <w:rsid w:val="00214C6A"/>
    <w:rsid w:val="00215385"/>
    <w:rsid w:val="0022007F"/>
    <w:rsid w:val="002216E2"/>
    <w:rsid w:val="00221F50"/>
    <w:rsid w:val="00222EA6"/>
    <w:rsid w:val="00225C0E"/>
    <w:rsid w:val="002306B8"/>
    <w:rsid w:val="00232440"/>
    <w:rsid w:val="0023669F"/>
    <w:rsid w:val="0024151E"/>
    <w:rsid w:val="00242B93"/>
    <w:rsid w:val="00244DE7"/>
    <w:rsid w:val="00250359"/>
    <w:rsid w:val="002505E8"/>
    <w:rsid w:val="002513C6"/>
    <w:rsid w:val="002521BD"/>
    <w:rsid w:val="00252D5E"/>
    <w:rsid w:val="00252D91"/>
    <w:rsid w:val="002538A8"/>
    <w:rsid w:val="00253A89"/>
    <w:rsid w:val="00255952"/>
    <w:rsid w:val="00257AF6"/>
    <w:rsid w:val="002622D2"/>
    <w:rsid w:val="00267244"/>
    <w:rsid w:val="0027089B"/>
    <w:rsid w:val="00273549"/>
    <w:rsid w:val="00274F6F"/>
    <w:rsid w:val="00274F7B"/>
    <w:rsid w:val="00275FDD"/>
    <w:rsid w:val="002772F3"/>
    <w:rsid w:val="00277762"/>
    <w:rsid w:val="0028074E"/>
    <w:rsid w:val="00284DE3"/>
    <w:rsid w:val="00284E22"/>
    <w:rsid w:val="0028604D"/>
    <w:rsid w:val="00293CC5"/>
    <w:rsid w:val="00297110"/>
    <w:rsid w:val="00297170"/>
    <w:rsid w:val="002A0DFD"/>
    <w:rsid w:val="002A3240"/>
    <w:rsid w:val="002A4A10"/>
    <w:rsid w:val="002A6F9A"/>
    <w:rsid w:val="002B227C"/>
    <w:rsid w:val="002B2C24"/>
    <w:rsid w:val="002B4A4B"/>
    <w:rsid w:val="002B5685"/>
    <w:rsid w:val="002B7473"/>
    <w:rsid w:val="002C27EB"/>
    <w:rsid w:val="002C2A75"/>
    <w:rsid w:val="002C7584"/>
    <w:rsid w:val="002D214C"/>
    <w:rsid w:val="002D243C"/>
    <w:rsid w:val="002D3BF3"/>
    <w:rsid w:val="002D7B63"/>
    <w:rsid w:val="002E1146"/>
    <w:rsid w:val="002E14D5"/>
    <w:rsid w:val="002E1DA9"/>
    <w:rsid w:val="002E27C0"/>
    <w:rsid w:val="002E65B9"/>
    <w:rsid w:val="002F0F03"/>
    <w:rsid w:val="002F19ED"/>
    <w:rsid w:val="002F245F"/>
    <w:rsid w:val="002F2B82"/>
    <w:rsid w:val="002F5B17"/>
    <w:rsid w:val="002F5FB9"/>
    <w:rsid w:val="002F64A3"/>
    <w:rsid w:val="002F6B2F"/>
    <w:rsid w:val="002F7159"/>
    <w:rsid w:val="00301C29"/>
    <w:rsid w:val="00301DE2"/>
    <w:rsid w:val="003033F6"/>
    <w:rsid w:val="00310267"/>
    <w:rsid w:val="003127E2"/>
    <w:rsid w:val="0031531D"/>
    <w:rsid w:val="00316BC6"/>
    <w:rsid w:val="0031766F"/>
    <w:rsid w:val="0032415E"/>
    <w:rsid w:val="003256C3"/>
    <w:rsid w:val="00325A5C"/>
    <w:rsid w:val="00326360"/>
    <w:rsid w:val="003273F5"/>
    <w:rsid w:val="00327C6B"/>
    <w:rsid w:val="0033079A"/>
    <w:rsid w:val="003331EF"/>
    <w:rsid w:val="00334B76"/>
    <w:rsid w:val="00337025"/>
    <w:rsid w:val="00337C00"/>
    <w:rsid w:val="003438F4"/>
    <w:rsid w:val="00344FA2"/>
    <w:rsid w:val="00345377"/>
    <w:rsid w:val="00345986"/>
    <w:rsid w:val="0034633E"/>
    <w:rsid w:val="00352660"/>
    <w:rsid w:val="0035354B"/>
    <w:rsid w:val="003547A1"/>
    <w:rsid w:val="00356A58"/>
    <w:rsid w:val="00363107"/>
    <w:rsid w:val="00363B1C"/>
    <w:rsid w:val="00366E3A"/>
    <w:rsid w:val="00371A8F"/>
    <w:rsid w:val="003728E3"/>
    <w:rsid w:val="0037433D"/>
    <w:rsid w:val="003748B4"/>
    <w:rsid w:val="003805F9"/>
    <w:rsid w:val="00381066"/>
    <w:rsid w:val="00385BB5"/>
    <w:rsid w:val="00391F51"/>
    <w:rsid w:val="00392FCB"/>
    <w:rsid w:val="003930A7"/>
    <w:rsid w:val="003952C8"/>
    <w:rsid w:val="00396540"/>
    <w:rsid w:val="00397CA4"/>
    <w:rsid w:val="003A0BBE"/>
    <w:rsid w:val="003A1A36"/>
    <w:rsid w:val="003A1A82"/>
    <w:rsid w:val="003A3900"/>
    <w:rsid w:val="003A3936"/>
    <w:rsid w:val="003A3B5F"/>
    <w:rsid w:val="003A4B4D"/>
    <w:rsid w:val="003B0EB2"/>
    <w:rsid w:val="003B221A"/>
    <w:rsid w:val="003B274F"/>
    <w:rsid w:val="003B4FEC"/>
    <w:rsid w:val="003B53C5"/>
    <w:rsid w:val="003B5B17"/>
    <w:rsid w:val="003B6BAD"/>
    <w:rsid w:val="003C06BF"/>
    <w:rsid w:val="003C0B4B"/>
    <w:rsid w:val="003C1BB2"/>
    <w:rsid w:val="003C3B2B"/>
    <w:rsid w:val="003C5FA3"/>
    <w:rsid w:val="003C7503"/>
    <w:rsid w:val="003D19EB"/>
    <w:rsid w:val="003D2E7B"/>
    <w:rsid w:val="003E02C7"/>
    <w:rsid w:val="003E0A2A"/>
    <w:rsid w:val="003E1CF3"/>
    <w:rsid w:val="003E1D21"/>
    <w:rsid w:val="003E2B5B"/>
    <w:rsid w:val="003E4D7E"/>
    <w:rsid w:val="003E6592"/>
    <w:rsid w:val="003F11C8"/>
    <w:rsid w:val="003F23F5"/>
    <w:rsid w:val="003F268F"/>
    <w:rsid w:val="003F27DA"/>
    <w:rsid w:val="003F2C7F"/>
    <w:rsid w:val="003F3CCE"/>
    <w:rsid w:val="003F5256"/>
    <w:rsid w:val="003F6E49"/>
    <w:rsid w:val="003F7181"/>
    <w:rsid w:val="004000DF"/>
    <w:rsid w:val="00406F6D"/>
    <w:rsid w:val="00407E98"/>
    <w:rsid w:val="004116EA"/>
    <w:rsid w:val="00413BA6"/>
    <w:rsid w:val="004165D2"/>
    <w:rsid w:val="004202BA"/>
    <w:rsid w:val="00422CA0"/>
    <w:rsid w:val="00423BBC"/>
    <w:rsid w:val="004243D6"/>
    <w:rsid w:val="0042513D"/>
    <w:rsid w:val="00426E9A"/>
    <w:rsid w:val="00427E4E"/>
    <w:rsid w:val="004315E5"/>
    <w:rsid w:val="00432658"/>
    <w:rsid w:val="004403AE"/>
    <w:rsid w:val="00442CB0"/>
    <w:rsid w:val="00445015"/>
    <w:rsid w:val="004456DD"/>
    <w:rsid w:val="0044675E"/>
    <w:rsid w:val="00447228"/>
    <w:rsid w:val="00447B48"/>
    <w:rsid w:val="00447BF4"/>
    <w:rsid w:val="004552B6"/>
    <w:rsid w:val="00455B84"/>
    <w:rsid w:val="00456194"/>
    <w:rsid w:val="00456390"/>
    <w:rsid w:val="0045680E"/>
    <w:rsid w:val="00457BE6"/>
    <w:rsid w:val="00462929"/>
    <w:rsid w:val="00462B57"/>
    <w:rsid w:val="004637E0"/>
    <w:rsid w:val="00464501"/>
    <w:rsid w:val="004653F9"/>
    <w:rsid w:val="00471220"/>
    <w:rsid w:val="0047178C"/>
    <w:rsid w:val="004732BB"/>
    <w:rsid w:val="00473D8B"/>
    <w:rsid w:val="00473F44"/>
    <w:rsid w:val="00473FE0"/>
    <w:rsid w:val="00482B59"/>
    <w:rsid w:val="0048339B"/>
    <w:rsid w:val="00490EC8"/>
    <w:rsid w:val="0049122A"/>
    <w:rsid w:val="00491F20"/>
    <w:rsid w:val="004920AF"/>
    <w:rsid w:val="00494E6D"/>
    <w:rsid w:val="00495291"/>
    <w:rsid w:val="004965C0"/>
    <w:rsid w:val="00496ECA"/>
    <w:rsid w:val="00497E5E"/>
    <w:rsid w:val="004A2972"/>
    <w:rsid w:val="004A410A"/>
    <w:rsid w:val="004A4742"/>
    <w:rsid w:val="004A6E44"/>
    <w:rsid w:val="004B0823"/>
    <w:rsid w:val="004B0B18"/>
    <w:rsid w:val="004B3CC5"/>
    <w:rsid w:val="004B4668"/>
    <w:rsid w:val="004B5115"/>
    <w:rsid w:val="004B61A8"/>
    <w:rsid w:val="004B7DF9"/>
    <w:rsid w:val="004C31CA"/>
    <w:rsid w:val="004C4E51"/>
    <w:rsid w:val="004C5853"/>
    <w:rsid w:val="004D071F"/>
    <w:rsid w:val="004D4BFA"/>
    <w:rsid w:val="004D5420"/>
    <w:rsid w:val="004D723C"/>
    <w:rsid w:val="004D7435"/>
    <w:rsid w:val="004E3F15"/>
    <w:rsid w:val="004E58A4"/>
    <w:rsid w:val="004E6405"/>
    <w:rsid w:val="004E74F2"/>
    <w:rsid w:val="004F226F"/>
    <w:rsid w:val="004F43C6"/>
    <w:rsid w:val="004F584D"/>
    <w:rsid w:val="004F6780"/>
    <w:rsid w:val="004F7E97"/>
    <w:rsid w:val="00502E12"/>
    <w:rsid w:val="00503FC3"/>
    <w:rsid w:val="00506193"/>
    <w:rsid w:val="005066C6"/>
    <w:rsid w:val="00507339"/>
    <w:rsid w:val="00507E64"/>
    <w:rsid w:val="00510113"/>
    <w:rsid w:val="00510BC8"/>
    <w:rsid w:val="00514892"/>
    <w:rsid w:val="005150C7"/>
    <w:rsid w:val="00515F0C"/>
    <w:rsid w:val="005163A4"/>
    <w:rsid w:val="0052006C"/>
    <w:rsid w:val="0052169E"/>
    <w:rsid w:val="00522866"/>
    <w:rsid w:val="00522DCB"/>
    <w:rsid w:val="005232AE"/>
    <w:rsid w:val="00523EFA"/>
    <w:rsid w:val="0052495C"/>
    <w:rsid w:val="00526177"/>
    <w:rsid w:val="005305B3"/>
    <w:rsid w:val="00531A42"/>
    <w:rsid w:val="00531B48"/>
    <w:rsid w:val="00531FF2"/>
    <w:rsid w:val="0053250E"/>
    <w:rsid w:val="00534865"/>
    <w:rsid w:val="00534E62"/>
    <w:rsid w:val="00536FE9"/>
    <w:rsid w:val="00540FD7"/>
    <w:rsid w:val="00541001"/>
    <w:rsid w:val="00541A3A"/>
    <w:rsid w:val="00542A44"/>
    <w:rsid w:val="00545A22"/>
    <w:rsid w:val="00546418"/>
    <w:rsid w:val="00546489"/>
    <w:rsid w:val="00553607"/>
    <w:rsid w:val="005557B7"/>
    <w:rsid w:val="0055621A"/>
    <w:rsid w:val="00556AC5"/>
    <w:rsid w:val="00560005"/>
    <w:rsid w:val="00560D3B"/>
    <w:rsid w:val="005626E7"/>
    <w:rsid w:val="005661C5"/>
    <w:rsid w:val="0056769C"/>
    <w:rsid w:val="00571EB4"/>
    <w:rsid w:val="00572E2C"/>
    <w:rsid w:val="00574F2D"/>
    <w:rsid w:val="00575914"/>
    <w:rsid w:val="005766AF"/>
    <w:rsid w:val="00576D3C"/>
    <w:rsid w:val="005779D1"/>
    <w:rsid w:val="005802FB"/>
    <w:rsid w:val="005814D1"/>
    <w:rsid w:val="005829FE"/>
    <w:rsid w:val="00584BA0"/>
    <w:rsid w:val="00587BEF"/>
    <w:rsid w:val="00592368"/>
    <w:rsid w:val="00592A3D"/>
    <w:rsid w:val="005931A9"/>
    <w:rsid w:val="0059402C"/>
    <w:rsid w:val="00594FD9"/>
    <w:rsid w:val="00595F2A"/>
    <w:rsid w:val="00596641"/>
    <w:rsid w:val="00596971"/>
    <w:rsid w:val="005969C1"/>
    <w:rsid w:val="005A100A"/>
    <w:rsid w:val="005A441C"/>
    <w:rsid w:val="005A4DA9"/>
    <w:rsid w:val="005B2187"/>
    <w:rsid w:val="005B3C12"/>
    <w:rsid w:val="005B5EF4"/>
    <w:rsid w:val="005C0A72"/>
    <w:rsid w:val="005C1341"/>
    <w:rsid w:val="005C1608"/>
    <w:rsid w:val="005C1725"/>
    <w:rsid w:val="005C2390"/>
    <w:rsid w:val="005C32FF"/>
    <w:rsid w:val="005C6AA2"/>
    <w:rsid w:val="005C6D63"/>
    <w:rsid w:val="005D0511"/>
    <w:rsid w:val="005D12AC"/>
    <w:rsid w:val="005D2D6B"/>
    <w:rsid w:val="005D4B78"/>
    <w:rsid w:val="005D5443"/>
    <w:rsid w:val="005D65DE"/>
    <w:rsid w:val="005D68D7"/>
    <w:rsid w:val="005D725D"/>
    <w:rsid w:val="005E007D"/>
    <w:rsid w:val="005E093D"/>
    <w:rsid w:val="005E269B"/>
    <w:rsid w:val="005E2DF0"/>
    <w:rsid w:val="005E48E0"/>
    <w:rsid w:val="005E4C9C"/>
    <w:rsid w:val="005E53D9"/>
    <w:rsid w:val="005E53E1"/>
    <w:rsid w:val="005F2615"/>
    <w:rsid w:val="00600F2A"/>
    <w:rsid w:val="00601346"/>
    <w:rsid w:val="00601958"/>
    <w:rsid w:val="00602B93"/>
    <w:rsid w:val="00602F2A"/>
    <w:rsid w:val="00603918"/>
    <w:rsid w:val="00605E7C"/>
    <w:rsid w:val="00607C6B"/>
    <w:rsid w:val="00611601"/>
    <w:rsid w:val="006138B9"/>
    <w:rsid w:val="00613E85"/>
    <w:rsid w:val="00614970"/>
    <w:rsid w:val="00615BAE"/>
    <w:rsid w:val="0061651C"/>
    <w:rsid w:val="00616BA5"/>
    <w:rsid w:val="00621A12"/>
    <w:rsid w:val="006225FF"/>
    <w:rsid w:val="00622E60"/>
    <w:rsid w:val="00622EE3"/>
    <w:rsid w:val="00624C73"/>
    <w:rsid w:val="006250EB"/>
    <w:rsid w:val="0062697A"/>
    <w:rsid w:val="00627861"/>
    <w:rsid w:val="00630D2F"/>
    <w:rsid w:val="00631534"/>
    <w:rsid w:val="00632E1E"/>
    <w:rsid w:val="00633755"/>
    <w:rsid w:val="006341EB"/>
    <w:rsid w:val="0063738C"/>
    <w:rsid w:val="006374B3"/>
    <w:rsid w:val="006377D7"/>
    <w:rsid w:val="006379B8"/>
    <w:rsid w:val="00640574"/>
    <w:rsid w:val="006412ED"/>
    <w:rsid w:val="00643AA0"/>
    <w:rsid w:val="00645E46"/>
    <w:rsid w:val="006478B6"/>
    <w:rsid w:val="00650D96"/>
    <w:rsid w:val="00651819"/>
    <w:rsid w:val="006542EF"/>
    <w:rsid w:val="006564D0"/>
    <w:rsid w:val="00657CA0"/>
    <w:rsid w:val="00657D0B"/>
    <w:rsid w:val="00662D29"/>
    <w:rsid w:val="00664694"/>
    <w:rsid w:val="00665EC1"/>
    <w:rsid w:val="00666B72"/>
    <w:rsid w:val="006670BB"/>
    <w:rsid w:val="006720AC"/>
    <w:rsid w:val="0067467A"/>
    <w:rsid w:val="00674E59"/>
    <w:rsid w:val="00675A17"/>
    <w:rsid w:val="00677413"/>
    <w:rsid w:val="006777C0"/>
    <w:rsid w:val="0068046C"/>
    <w:rsid w:val="00681183"/>
    <w:rsid w:val="00683900"/>
    <w:rsid w:val="00684486"/>
    <w:rsid w:val="00685942"/>
    <w:rsid w:val="00690DC8"/>
    <w:rsid w:val="00693D1C"/>
    <w:rsid w:val="00697883"/>
    <w:rsid w:val="006A2184"/>
    <w:rsid w:val="006A28B7"/>
    <w:rsid w:val="006A2989"/>
    <w:rsid w:val="006A4667"/>
    <w:rsid w:val="006A48BE"/>
    <w:rsid w:val="006A61FB"/>
    <w:rsid w:val="006B284D"/>
    <w:rsid w:val="006B507F"/>
    <w:rsid w:val="006C090A"/>
    <w:rsid w:val="006C290A"/>
    <w:rsid w:val="006C3EBF"/>
    <w:rsid w:val="006C6142"/>
    <w:rsid w:val="006C650C"/>
    <w:rsid w:val="006C6E60"/>
    <w:rsid w:val="006D06A7"/>
    <w:rsid w:val="006D0D49"/>
    <w:rsid w:val="006D2B85"/>
    <w:rsid w:val="006D2D88"/>
    <w:rsid w:val="006D3F23"/>
    <w:rsid w:val="006D458C"/>
    <w:rsid w:val="006D4C9B"/>
    <w:rsid w:val="006D7499"/>
    <w:rsid w:val="006D783C"/>
    <w:rsid w:val="006E23DC"/>
    <w:rsid w:val="006E2A7C"/>
    <w:rsid w:val="006E395D"/>
    <w:rsid w:val="006E3CFF"/>
    <w:rsid w:val="006E6307"/>
    <w:rsid w:val="006E6D5E"/>
    <w:rsid w:val="006E7055"/>
    <w:rsid w:val="006F3F7A"/>
    <w:rsid w:val="006F46E7"/>
    <w:rsid w:val="006F4CBC"/>
    <w:rsid w:val="00700716"/>
    <w:rsid w:val="007011D2"/>
    <w:rsid w:val="007039F4"/>
    <w:rsid w:val="007046DD"/>
    <w:rsid w:val="00706BA3"/>
    <w:rsid w:val="007072B3"/>
    <w:rsid w:val="007105D7"/>
    <w:rsid w:val="00713A53"/>
    <w:rsid w:val="00717095"/>
    <w:rsid w:val="00717888"/>
    <w:rsid w:val="00717D23"/>
    <w:rsid w:val="00720176"/>
    <w:rsid w:val="0072262D"/>
    <w:rsid w:val="00723DC0"/>
    <w:rsid w:val="0072437F"/>
    <w:rsid w:val="007250F4"/>
    <w:rsid w:val="0072652F"/>
    <w:rsid w:val="0072704B"/>
    <w:rsid w:val="00727BEB"/>
    <w:rsid w:val="00727C5E"/>
    <w:rsid w:val="0073134F"/>
    <w:rsid w:val="0073185F"/>
    <w:rsid w:val="00732037"/>
    <w:rsid w:val="00732C11"/>
    <w:rsid w:val="00742B83"/>
    <w:rsid w:val="0074482D"/>
    <w:rsid w:val="007456C2"/>
    <w:rsid w:val="00746FCB"/>
    <w:rsid w:val="007515DB"/>
    <w:rsid w:val="0075482A"/>
    <w:rsid w:val="00754CA5"/>
    <w:rsid w:val="00757E37"/>
    <w:rsid w:val="00762C5C"/>
    <w:rsid w:val="0076301E"/>
    <w:rsid w:val="00763F06"/>
    <w:rsid w:val="0076412F"/>
    <w:rsid w:val="00764156"/>
    <w:rsid w:val="00764342"/>
    <w:rsid w:val="00765B8B"/>
    <w:rsid w:val="007665D7"/>
    <w:rsid w:val="00766BEC"/>
    <w:rsid w:val="00771B8C"/>
    <w:rsid w:val="00773E3D"/>
    <w:rsid w:val="00774684"/>
    <w:rsid w:val="00774BC3"/>
    <w:rsid w:val="00776049"/>
    <w:rsid w:val="0078013F"/>
    <w:rsid w:val="00780661"/>
    <w:rsid w:val="00784A47"/>
    <w:rsid w:val="00785507"/>
    <w:rsid w:val="00787E16"/>
    <w:rsid w:val="00790BFC"/>
    <w:rsid w:val="00790CCB"/>
    <w:rsid w:val="0079152A"/>
    <w:rsid w:val="00791B8F"/>
    <w:rsid w:val="0079385E"/>
    <w:rsid w:val="007A26AA"/>
    <w:rsid w:val="007A2831"/>
    <w:rsid w:val="007A2882"/>
    <w:rsid w:val="007A5486"/>
    <w:rsid w:val="007A576F"/>
    <w:rsid w:val="007A7274"/>
    <w:rsid w:val="007A72BB"/>
    <w:rsid w:val="007B036E"/>
    <w:rsid w:val="007B1E15"/>
    <w:rsid w:val="007B3BF5"/>
    <w:rsid w:val="007B3C58"/>
    <w:rsid w:val="007B4CE4"/>
    <w:rsid w:val="007B4EE3"/>
    <w:rsid w:val="007B62CC"/>
    <w:rsid w:val="007C1424"/>
    <w:rsid w:val="007C3852"/>
    <w:rsid w:val="007C4895"/>
    <w:rsid w:val="007C73A5"/>
    <w:rsid w:val="007C761E"/>
    <w:rsid w:val="007D05F3"/>
    <w:rsid w:val="007D1046"/>
    <w:rsid w:val="007D1EEF"/>
    <w:rsid w:val="007D412D"/>
    <w:rsid w:val="007D59D0"/>
    <w:rsid w:val="007D64ED"/>
    <w:rsid w:val="007D786A"/>
    <w:rsid w:val="007D79D1"/>
    <w:rsid w:val="007E0A90"/>
    <w:rsid w:val="007E1117"/>
    <w:rsid w:val="007E2B52"/>
    <w:rsid w:val="007E3D89"/>
    <w:rsid w:val="007E6725"/>
    <w:rsid w:val="007E7523"/>
    <w:rsid w:val="007F032F"/>
    <w:rsid w:val="007F0485"/>
    <w:rsid w:val="007F40A5"/>
    <w:rsid w:val="007F44A1"/>
    <w:rsid w:val="00800E52"/>
    <w:rsid w:val="00801616"/>
    <w:rsid w:val="008021BA"/>
    <w:rsid w:val="00802B77"/>
    <w:rsid w:val="00812357"/>
    <w:rsid w:val="0081499A"/>
    <w:rsid w:val="00816341"/>
    <w:rsid w:val="0082277B"/>
    <w:rsid w:val="0082646B"/>
    <w:rsid w:val="008271E5"/>
    <w:rsid w:val="00827DDC"/>
    <w:rsid w:val="0083371F"/>
    <w:rsid w:val="00833957"/>
    <w:rsid w:val="008371A1"/>
    <w:rsid w:val="008426BA"/>
    <w:rsid w:val="00842BA1"/>
    <w:rsid w:val="00846441"/>
    <w:rsid w:val="008464E6"/>
    <w:rsid w:val="0085168F"/>
    <w:rsid w:val="0085210B"/>
    <w:rsid w:val="0086017C"/>
    <w:rsid w:val="008626CA"/>
    <w:rsid w:val="00864934"/>
    <w:rsid w:val="00865B5E"/>
    <w:rsid w:val="00870274"/>
    <w:rsid w:val="00870947"/>
    <w:rsid w:val="0087298C"/>
    <w:rsid w:val="0087589C"/>
    <w:rsid w:val="00875D6D"/>
    <w:rsid w:val="00875FED"/>
    <w:rsid w:val="00880A48"/>
    <w:rsid w:val="00884F4A"/>
    <w:rsid w:val="0089059F"/>
    <w:rsid w:val="0089141D"/>
    <w:rsid w:val="008914C9"/>
    <w:rsid w:val="00895042"/>
    <w:rsid w:val="00895AA4"/>
    <w:rsid w:val="00897ADE"/>
    <w:rsid w:val="00897E98"/>
    <w:rsid w:val="008A06F8"/>
    <w:rsid w:val="008A2D0A"/>
    <w:rsid w:val="008A363E"/>
    <w:rsid w:val="008A51EB"/>
    <w:rsid w:val="008A6871"/>
    <w:rsid w:val="008B2CD8"/>
    <w:rsid w:val="008B4752"/>
    <w:rsid w:val="008B63F0"/>
    <w:rsid w:val="008C066E"/>
    <w:rsid w:val="008C0F0A"/>
    <w:rsid w:val="008C15A7"/>
    <w:rsid w:val="008C1E0B"/>
    <w:rsid w:val="008C3371"/>
    <w:rsid w:val="008C5E10"/>
    <w:rsid w:val="008C6BAC"/>
    <w:rsid w:val="008D0FAD"/>
    <w:rsid w:val="008D125C"/>
    <w:rsid w:val="008D21A0"/>
    <w:rsid w:val="008D52BA"/>
    <w:rsid w:val="008E0512"/>
    <w:rsid w:val="008E06B8"/>
    <w:rsid w:val="008E0F46"/>
    <w:rsid w:val="008E1752"/>
    <w:rsid w:val="008E1F06"/>
    <w:rsid w:val="008E2228"/>
    <w:rsid w:val="008E4979"/>
    <w:rsid w:val="008E63BF"/>
    <w:rsid w:val="008F0A70"/>
    <w:rsid w:val="008F25C6"/>
    <w:rsid w:val="008F551D"/>
    <w:rsid w:val="008F5AC6"/>
    <w:rsid w:val="008F5E39"/>
    <w:rsid w:val="008F7031"/>
    <w:rsid w:val="008F72A0"/>
    <w:rsid w:val="00900B60"/>
    <w:rsid w:val="00900DDC"/>
    <w:rsid w:val="00903152"/>
    <w:rsid w:val="00906D85"/>
    <w:rsid w:val="00920A7C"/>
    <w:rsid w:val="009265CB"/>
    <w:rsid w:val="00932EDA"/>
    <w:rsid w:val="00933211"/>
    <w:rsid w:val="009342B0"/>
    <w:rsid w:val="009361FE"/>
    <w:rsid w:val="009370BC"/>
    <w:rsid w:val="00937171"/>
    <w:rsid w:val="00942207"/>
    <w:rsid w:val="009428BF"/>
    <w:rsid w:val="00942A16"/>
    <w:rsid w:val="00942B48"/>
    <w:rsid w:val="00942D3F"/>
    <w:rsid w:val="00943415"/>
    <w:rsid w:val="00943F83"/>
    <w:rsid w:val="00947369"/>
    <w:rsid w:val="009500CF"/>
    <w:rsid w:val="00951001"/>
    <w:rsid w:val="009515E8"/>
    <w:rsid w:val="009521AD"/>
    <w:rsid w:val="00952EF3"/>
    <w:rsid w:val="0095399C"/>
    <w:rsid w:val="00957E9B"/>
    <w:rsid w:val="00962CC7"/>
    <w:rsid w:val="00962ECB"/>
    <w:rsid w:val="0096555B"/>
    <w:rsid w:val="00975610"/>
    <w:rsid w:val="009768D0"/>
    <w:rsid w:val="009773AF"/>
    <w:rsid w:val="009802F5"/>
    <w:rsid w:val="00981AE3"/>
    <w:rsid w:val="009864A2"/>
    <w:rsid w:val="00987B6C"/>
    <w:rsid w:val="009910CD"/>
    <w:rsid w:val="00991F63"/>
    <w:rsid w:val="00995628"/>
    <w:rsid w:val="00997931"/>
    <w:rsid w:val="009A67A8"/>
    <w:rsid w:val="009A72C0"/>
    <w:rsid w:val="009B0D38"/>
    <w:rsid w:val="009B7D9D"/>
    <w:rsid w:val="009C1D2B"/>
    <w:rsid w:val="009C2E31"/>
    <w:rsid w:val="009C3967"/>
    <w:rsid w:val="009C53D5"/>
    <w:rsid w:val="009C5F0B"/>
    <w:rsid w:val="009C6232"/>
    <w:rsid w:val="009C71C4"/>
    <w:rsid w:val="009D3762"/>
    <w:rsid w:val="009D6109"/>
    <w:rsid w:val="009D72DD"/>
    <w:rsid w:val="009E28C6"/>
    <w:rsid w:val="009E3643"/>
    <w:rsid w:val="009F119A"/>
    <w:rsid w:val="009F18FA"/>
    <w:rsid w:val="009F323F"/>
    <w:rsid w:val="009F4F06"/>
    <w:rsid w:val="009F5611"/>
    <w:rsid w:val="009F593B"/>
    <w:rsid w:val="00A05F63"/>
    <w:rsid w:val="00A10464"/>
    <w:rsid w:val="00A11478"/>
    <w:rsid w:val="00A11697"/>
    <w:rsid w:val="00A12A78"/>
    <w:rsid w:val="00A13BAE"/>
    <w:rsid w:val="00A13D9A"/>
    <w:rsid w:val="00A13E0F"/>
    <w:rsid w:val="00A1443D"/>
    <w:rsid w:val="00A149F8"/>
    <w:rsid w:val="00A14B1F"/>
    <w:rsid w:val="00A14E70"/>
    <w:rsid w:val="00A206E5"/>
    <w:rsid w:val="00A21385"/>
    <w:rsid w:val="00A229F4"/>
    <w:rsid w:val="00A25C8B"/>
    <w:rsid w:val="00A31DDF"/>
    <w:rsid w:val="00A32066"/>
    <w:rsid w:val="00A33422"/>
    <w:rsid w:val="00A33D43"/>
    <w:rsid w:val="00A37450"/>
    <w:rsid w:val="00A42C94"/>
    <w:rsid w:val="00A4499B"/>
    <w:rsid w:val="00A454CB"/>
    <w:rsid w:val="00A457A1"/>
    <w:rsid w:val="00A46543"/>
    <w:rsid w:val="00A46989"/>
    <w:rsid w:val="00A47C6A"/>
    <w:rsid w:val="00A512B0"/>
    <w:rsid w:val="00A516C8"/>
    <w:rsid w:val="00A5212D"/>
    <w:rsid w:val="00A55163"/>
    <w:rsid w:val="00A55F68"/>
    <w:rsid w:val="00A617C4"/>
    <w:rsid w:val="00A63A81"/>
    <w:rsid w:val="00A6676A"/>
    <w:rsid w:val="00A71B71"/>
    <w:rsid w:val="00A734F2"/>
    <w:rsid w:val="00A7485A"/>
    <w:rsid w:val="00A76F47"/>
    <w:rsid w:val="00A8003E"/>
    <w:rsid w:val="00A81FA6"/>
    <w:rsid w:val="00A83212"/>
    <w:rsid w:val="00A847CD"/>
    <w:rsid w:val="00A86570"/>
    <w:rsid w:val="00A86DA2"/>
    <w:rsid w:val="00A903CE"/>
    <w:rsid w:val="00A9045A"/>
    <w:rsid w:val="00A90948"/>
    <w:rsid w:val="00A90B75"/>
    <w:rsid w:val="00A921C1"/>
    <w:rsid w:val="00A927CA"/>
    <w:rsid w:val="00A932E2"/>
    <w:rsid w:val="00A95532"/>
    <w:rsid w:val="00A961EA"/>
    <w:rsid w:val="00A97205"/>
    <w:rsid w:val="00AA083B"/>
    <w:rsid w:val="00AA1C0B"/>
    <w:rsid w:val="00AA2261"/>
    <w:rsid w:val="00AA23CC"/>
    <w:rsid w:val="00AA3DCC"/>
    <w:rsid w:val="00AA3E58"/>
    <w:rsid w:val="00AB2393"/>
    <w:rsid w:val="00AB2BC9"/>
    <w:rsid w:val="00AB48C5"/>
    <w:rsid w:val="00AB7240"/>
    <w:rsid w:val="00AC01E2"/>
    <w:rsid w:val="00AC0A98"/>
    <w:rsid w:val="00AC0D05"/>
    <w:rsid w:val="00AC2969"/>
    <w:rsid w:val="00AC6E0C"/>
    <w:rsid w:val="00AD11D0"/>
    <w:rsid w:val="00AD1FF2"/>
    <w:rsid w:val="00AD3B83"/>
    <w:rsid w:val="00AD5014"/>
    <w:rsid w:val="00AD5D32"/>
    <w:rsid w:val="00AD67DB"/>
    <w:rsid w:val="00AD6FC1"/>
    <w:rsid w:val="00AD7E5C"/>
    <w:rsid w:val="00AE0243"/>
    <w:rsid w:val="00AE22A0"/>
    <w:rsid w:val="00AE276B"/>
    <w:rsid w:val="00AE2B07"/>
    <w:rsid w:val="00AE52C8"/>
    <w:rsid w:val="00AE67EE"/>
    <w:rsid w:val="00AF1AB5"/>
    <w:rsid w:val="00AF265F"/>
    <w:rsid w:val="00AF3EFF"/>
    <w:rsid w:val="00AF64B4"/>
    <w:rsid w:val="00B00309"/>
    <w:rsid w:val="00B0086D"/>
    <w:rsid w:val="00B0323D"/>
    <w:rsid w:val="00B0795B"/>
    <w:rsid w:val="00B112A6"/>
    <w:rsid w:val="00B115A8"/>
    <w:rsid w:val="00B11610"/>
    <w:rsid w:val="00B144F6"/>
    <w:rsid w:val="00B16815"/>
    <w:rsid w:val="00B209F0"/>
    <w:rsid w:val="00B21331"/>
    <w:rsid w:val="00B21B76"/>
    <w:rsid w:val="00B22193"/>
    <w:rsid w:val="00B235EA"/>
    <w:rsid w:val="00B2382E"/>
    <w:rsid w:val="00B25E4E"/>
    <w:rsid w:val="00B271B5"/>
    <w:rsid w:val="00B3063A"/>
    <w:rsid w:val="00B31046"/>
    <w:rsid w:val="00B3144C"/>
    <w:rsid w:val="00B32B4E"/>
    <w:rsid w:val="00B34890"/>
    <w:rsid w:val="00B35980"/>
    <w:rsid w:val="00B434BA"/>
    <w:rsid w:val="00B4448A"/>
    <w:rsid w:val="00B47D7C"/>
    <w:rsid w:val="00B50172"/>
    <w:rsid w:val="00B51921"/>
    <w:rsid w:val="00B54992"/>
    <w:rsid w:val="00B54DBC"/>
    <w:rsid w:val="00B5574E"/>
    <w:rsid w:val="00B57FB6"/>
    <w:rsid w:val="00B60F03"/>
    <w:rsid w:val="00B61FEF"/>
    <w:rsid w:val="00B65E36"/>
    <w:rsid w:val="00B666F5"/>
    <w:rsid w:val="00B67CD4"/>
    <w:rsid w:val="00B72C5E"/>
    <w:rsid w:val="00B72CC9"/>
    <w:rsid w:val="00B72DA7"/>
    <w:rsid w:val="00B75DBC"/>
    <w:rsid w:val="00B75F42"/>
    <w:rsid w:val="00B76097"/>
    <w:rsid w:val="00B776A3"/>
    <w:rsid w:val="00B82D35"/>
    <w:rsid w:val="00B8362E"/>
    <w:rsid w:val="00B842E0"/>
    <w:rsid w:val="00B86D2B"/>
    <w:rsid w:val="00B875F0"/>
    <w:rsid w:val="00B87BFF"/>
    <w:rsid w:val="00B91145"/>
    <w:rsid w:val="00B91EA8"/>
    <w:rsid w:val="00B95153"/>
    <w:rsid w:val="00B95468"/>
    <w:rsid w:val="00B96518"/>
    <w:rsid w:val="00BA0645"/>
    <w:rsid w:val="00BA140F"/>
    <w:rsid w:val="00BA171B"/>
    <w:rsid w:val="00BA57BB"/>
    <w:rsid w:val="00BA74EC"/>
    <w:rsid w:val="00BB0413"/>
    <w:rsid w:val="00BB1471"/>
    <w:rsid w:val="00BB193A"/>
    <w:rsid w:val="00BB1EC4"/>
    <w:rsid w:val="00BB2B69"/>
    <w:rsid w:val="00BB2C33"/>
    <w:rsid w:val="00BB42DF"/>
    <w:rsid w:val="00BB6BC1"/>
    <w:rsid w:val="00BB7FB1"/>
    <w:rsid w:val="00BC2017"/>
    <w:rsid w:val="00BC4147"/>
    <w:rsid w:val="00BC444E"/>
    <w:rsid w:val="00BC467A"/>
    <w:rsid w:val="00BC55EE"/>
    <w:rsid w:val="00BC69E1"/>
    <w:rsid w:val="00BC6E8A"/>
    <w:rsid w:val="00BD05D7"/>
    <w:rsid w:val="00BD0CF5"/>
    <w:rsid w:val="00BD2176"/>
    <w:rsid w:val="00BD4FEA"/>
    <w:rsid w:val="00BD5027"/>
    <w:rsid w:val="00BD68B8"/>
    <w:rsid w:val="00BD69BF"/>
    <w:rsid w:val="00BD70AE"/>
    <w:rsid w:val="00BD73D6"/>
    <w:rsid w:val="00BE1844"/>
    <w:rsid w:val="00BE23CD"/>
    <w:rsid w:val="00BE4C90"/>
    <w:rsid w:val="00BE708A"/>
    <w:rsid w:val="00BF0DD3"/>
    <w:rsid w:val="00BF2063"/>
    <w:rsid w:val="00BF2897"/>
    <w:rsid w:val="00BF6776"/>
    <w:rsid w:val="00C01AE8"/>
    <w:rsid w:val="00C02B75"/>
    <w:rsid w:val="00C04E4B"/>
    <w:rsid w:val="00C06246"/>
    <w:rsid w:val="00C079CC"/>
    <w:rsid w:val="00C108B9"/>
    <w:rsid w:val="00C1142C"/>
    <w:rsid w:val="00C11C0F"/>
    <w:rsid w:val="00C11C83"/>
    <w:rsid w:val="00C126AE"/>
    <w:rsid w:val="00C1433D"/>
    <w:rsid w:val="00C14E0D"/>
    <w:rsid w:val="00C20093"/>
    <w:rsid w:val="00C2066D"/>
    <w:rsid w:val="00C22B03"/>
    <w:rsid w:val="00C246B7"/>
    <w:rsid w:val="00C26776"/>
    <w:rsid w:val="00C268EF"/>
    <w:rsid w:val="00C27E39"/>
    <w:rsid w:val="00C30680"/>
    <w:rsid w:val="00C31439"/>
    <w:rsid w:val="00C33F85"/>
    <w:rsid w:val="00C3470F"/>
    <w:rsid w:val="00C366F5"/>
    <w:rsid w:val="00C41E7D"/>
    <w:rsid w:val="00C427DA"/>
    <w:rsid w:val="00C43CBC"/>
    <w:rsid w:val="00C4453C"/>
    <w:rsid w:val="00C45A65"/>
    <w:rsid w:val="00C50892"/>
    <w:rsid w:val="00C51BB0"/>
    <w:rsid w:val="00C52156"/>
    <w:rsid w:val="00C52270"/>
    <w:rsid w:val="00C52C29"/>
    <w:rsid w:val="00C5502B"/>
    <w:rsid w:val="00C55652"/>
    <w:rsid w:val="00C57054"/>
    <w:rsid w:val="00C5719A"/>
    <w:rsid w:val="00C57362"/>
    <w:rsid w:val="00C61B55"/>
    <w:rsid w:val="00C65B86"/>
    <w:rsid w:val="00C66A13"/>
    <w:rsid w:val="00C678EF"/>
    <w:rsid w:val="00C71A29"/>
    <w:rsid w:val="00C71B23"/>
    <w:rsid w:val="00C73461"/>
    <w:rsid w:val="00C73E37"/>
    <w:rsid w:val="00C76385"/>
    <w:rsid w:val="00C767AE"/>
    <w:rsid w:val="00C77985"/>
    <w:rsid w:val="00C77BF0"/>
    <w:rsid w:val="00C77EA7"/>
    <w:rsid w:val="00C819FE"/>
    <w:rsid w:val="00C82636"/>
    <w:rsid w:val="00C856E8"/>
    <w:rsid w:val="00C8594A"/>
    <w:rsid w:val="00C86235"/>
    <w:rsid w:val="00C86B6A"/>
    <w:rsid w:val="00C92336"/>
    <w:rsid w:val="00C93021"/>
    <w:rsid w:val="00C936AE"/>
    <w:rsid w:val="00C962E4"/>
    <w:rsid w:val="00C9743B"/>
    <w:rsid w:val="00C977F9"/>
    <w:rsid w:val="00CA0CAF"/>
    <w:rsid w:val="00CA197E"/>
    <w:rsid w:val="00CA1DA4"/>
    <w:rsid w:val="00CA2C07"/>
    <w:rsid w:val="00CA32B4"/>
    <w:rsid w:val="00CA4AF0"/>
    <w:rsid w:val="00CA4DB5"/>
    <w:rsid w:val="00CB28A2"/>
    <w:rsid w:val="00CB3F79"/>
    <w:rsid w:val="00CB5EDF"/>
    <w:rsid w:val="00CB5F74"/>
    <w:rsid w:val="00CB68B5"/>
    <w:rsid w:val="00CB7620"/>
    <w:rsid w:val="00CC2201"/>
    <w:rsid w:val="00CC329B"/>
    <w:rsid w:val="00CC367A"/>
    <w:rsid w:val="00CC79AB"/>
    <w:rsid w:val="00CD29BA"/>
    <w:rsid w:val="00CD68C4"/>
    <w:rsid w:val="00CE04BB"/>
    <w:rsid w:val="00CE08C6"/>
    <w:rsid w:val="00CE24A6"/>
    <w:rsid w:val="00CE3EDA"/>
    <w:rsid w:val="00CF268F"/>
    <w:rsid w:val="00CF375E"/>
    <w:rsid w:val="00CF51B2"/>
    <w:rsid w:val="00CF61F7"/>
    <w:rsid w:val="00CF6215"/>
    <w:rsid w:val="00D005DA"/>
    <w:rsid w:val="00D0095D"/>
    <w:rsid w:val="00D0102E"/>
    <w:rsid w:val="00D01E8B"/>
    <w:rsid w:val="00D10938"/>
    <w:rsid w:val="00D11144"/>
    <w:rsid w:val="00D1194D"/>
    <w:rsid w:val="00D11CA2"/>
    <w:rsid w:val="00D152AE"/>
    <w:rsid w:val="00D159DE"/>
    <w:rsid w:val="00D17BEA"/>
    <w:rsid w:val="00D20567"/>
    <w:rsid w:val="00D22FF8"/>
    <w:rsid w:val="00D2417D"/>
    <w:rsid w:val="00D24F83"/>
    <w:rsid w:val="00D250F2"/>
    <w:rsid w:val="00D259D2"/>
    <w:rsid w:val="00D3185B"/>
    <w:rsid w:val="00D33751"/>
    <w:rsid w:val="00D34690"/>
    <w:rsid w:val="00D37055"/>
    <w:rsid w:val="00D37691"/>
    <w:rsid w:val="00D43B65"/>
    <w:rsid w:val="00D47BCE"/>
    <w:rsid w:val="00D50BC5"/>
    <w:rsid w:val="00D5264E"/>
    <w:rsid w:val="00D54815"/>
    <w:rsid w:val="00D56F33"/>
    <w:rsid w:val="00D573DC"/>
    <w:rsid w:val="00D57CE2"/>
    <w:rsid w:val="00D6305C"/>
    <w:rsid w:val="00D6424E"/>
    <w:rsid w:val="00D644DE"/>
    <w:rsid w:val="00D6713B"/>
    <w:rsid w:val="00D70AB0"/>
    <w:rsid w:val="00D72552"/>
    <w:rsid w:val="00D73C6B"/>
    <w:rsid w:val="00D73F53"/>
    <w:rsid w:val="00D766A6"/>
    <w:rsid w:val="00D86943"/>
    <w:rsid w:val="00DA0A4E"/>
    <w:rsid w:val="00DA2A94"/>
    <w:rsid w:val="00DA56A1"/>
    <w:rsid w:val="00DA6B1A"/>
    <w:rsid w:val="00DA72A0"/>
    <w:rsid w:val="00DB05E6"/>
    <w:rsid w:val="00DB57C2"/>
    <w:rsid w:val="00DB5CC1"/>
    <w:rsid w:val="00DC0947"/>
    <w:rsid w:val="00DC16F3"/>
    <w:rsid w:val="00DC2425"/>
    <w:rsid w:val="00DC350C"/>
    <w:rsid w:val="00DC3D29"/>
    <w:rsid w:val="00DC69A7"/>
    <w:rsid w:val="00DD082B"/>
    <w:rsid w:val="00DD3D89"/>
    <w:rsid w:val="00DD47EE"/>
    <w:rsid w:val="00DD5202"/>
    <w:rsid w:val="00DE1419"/>
    <w:rsid w:val="00DE2CFB"/>
    <w:rsid w:val="00DE2E75"/>
    <w:rsid w:val="00DE336E"/>
    <w:rsid w:val="00DE60E4"/>
    <w:rsid w:val="00DE6478"/>
    <w:rsid w:val="00DF1376"/>
    <w:rsid w:val="00DF26B5"/>
    <w:rsid w:val="00DF5251"/>
    <w:rsid w:val="00DF71A3"/>
    <w:rsid w:val="00DF7B6B"/>
    <w:rsid w:val="00E007D2"/>
    <w:rsid w:val="00E00878"/>
    <w:rsid w:val="00E026FC"/>
    <w:rsid w:val="00E05986"/>
    <w:rsid w:val="00E06FD0"/>
    <w:rsid w:val="00E0742F"/>
    <w:rsid w:val="00E13D74"/>
    <w:rsid w:val="00E13FA6"/>
    <w:rsid w:val="00E153AD"/>
    <w:rsid w:val="00E1708F"/>
    <w:rsid w:val="00E1797F"/>
    <w:rsid w:val="00E22BB0"/>
    <w:rsid w:val="00E23965"/>
    <w:rsid w:val="00E24C0E"/>
    <w:rsid w:val="00E24DFB"/>
    <w:rsid w:val="00E25FEE"/>
    <w:rsid w:val="00E26B76"/>
    <w:rsid w:val="00E279A8"/>
    <w:rsid w:val="00E307FD"/>
    <w:rsid w:val="00E315FF"/>
    <w:rsid w:val="00E31690"/>
    <w:rsid w:val="00E339D8"/>
    <w:rsid w:val="00E37AD4"/>
    <w:rsid w:val="00E416EF"/>
    <w:rsid w:val="00E4351E"/>
    <w:rsid w:val="00E437BB"/>
    <w:rsid w:val="00E457AC"/>
    <w:rsid w:val="00E46745"/>
    <w:rsid w:val="00E47211"/>
    <w:rsid w:val="00E47F11"/>
    <w:rsid w:val="00E503B8"/>
    <w:rsid w:val="00E50406"/>
    <w:rsid w:val="00E508EA"/>
    <w:rsid w:val="00E5429C"/>
    <w:rsid w:val="00E55028"/>
    <w:rsid w:val="00E55378"/>
    <w:rsid w:val="00E60092"/>
    <w:rsid w:val="00E60350"/>
    <w:rsid w:val="00E60D4E"/>
    <w:rsid w:val="00E616FA"/>
    <w:rsid w:val="00E642B8"/>
    <w:rsid w:val="00E65C8D"/>
    <w:rsid w:val="00E668C4"/>
    <w:rsid w:val="00E67F68"/>
    <w:rsid w:val="00E70F6F"/>
    <w:rsid w:val="00E71CE8"/>
    <w:rsid w:val="00E72BB4"/>
    <w:rsid w:val="00E75E0C"/>
    <w:rsid w:val="00E764D6"/>
    <w:rsid w:val="00E809C0"/>
    <w:rsid w:val="00E83781"/>
    <w:rsid w:val="00E84091"/>
    <w:rsid w:val="00E85452"/>
    <w:rsid w:val="00E854C3"/>
    <w:rsid w:val="00E854C9"/>
    <w:rsid w:val="00E8703D"/>
    <w:rsid w:val="00E872AE"/>
    <w:rsid w:val="00E875BC"/>
    <w:rsid w:val="00E90201"/>
    <w:rsid w:val="00E90980"/>
    <w:rsid w:val="00E9182C"/>
    <w:rsid w:val="00E92627"/>
    <w:rsid w:val="00E93150"/>
    <w:rsid w:val="00E96482"/>
    <w:rsid w:val="00EA2B1B"/>
    <w:rsid w:val="00EA365A"/>
    <w:rsid w:val="00EA5A90"/>
    <w:rsid w:val="00EA6427"/>
    <w:rsid w:val="00EA679E"/>
    <w:rsid w:val="00EA7A94"/>
    <w:rsid w:val="00EA7BDA"/>
    <w:rsid w:val="00EB20A5"/>
    <w:rsid w:val="00EB2BE0"/>
    <w:rsid w:val="00EB3636"/>
    <w:rsid w:val="00EB403E"/>
    <w:rsid w:val="00EB48D0"/>
    <w:rsid w:val="00EB7AA1"/>
    <w:rsid w:val="00EC3695"/>
    <w:rsid w:val="00EC4100"/>
    <w:rsid w:val="00EC62D4"/>
    <w:rsid w:val="00EC7D76"/>
    <w:rsid w:val="00ED0222"/>
    <w:rsid w:val="00ED229F"/>
    <w:rsid w:val="00ED4611"/>
    <w:rsid w:val="00ED4E91"/>
    <w:rsid w:val="00ED5F37"/>
    <w:rsid w:val="00EE0046"/>
    <w:rsid w:val="00EE0EBD"/>
    <w:rsid w:val="00EE3034"/>
    <w:rsid w:val="00EE35A6"/>
    <w:rsid w:val="00EE43C9"/>
    <w:rsid w:val="00EE6FB1"/>
    <w:rsid w:val="00EF043E"/>
    <w:rsid w:val="00EF1992"/>
    <w:rsid w:val="00EF207A"/>
    <w:rsid w:val="00EF24B0"/>
    <w:rsid w:val="00EF4740"/>
    <w:rsid w:val="00EF6A2D"/>
    <w:rsid w:val="00EF7097"/>
    <w:rsid w:val="00F00214"/>
    <w:rsid w:val="00F005D5"/>
    <w:rsid w:val="00F0067A"/>
    <w:rsid w:val="00F040F6"/>
    <w:rsid w:val="00F04AF2"/>
    <w:rsid w:val="00F06C16"/>
    <w:rsid w:val="00F10206"/>
    <w:rsid w:val="00F12A67"/>
    <w:rsid w:val="00F13FF5"/>
    <w:rsid w:val="00F16EA8"/>
    <w:rsid w:val="00F175C2"/>
    <w:rsid w:val="00F17FA5"/>
    <w:rsid w:val="00F25874"/>
    <w:rsid w:val="00F272EF"/>
    <w:rsid w:val="00F27DC8"/>
    <w:rsid w:val="00F306BA"/>
    <w:rsid w:val="00F3329D"/>
    <w:rsid w:val="00F33E27"/>
    <w:rsid w:val="00F37073"/>
    <w:rsid w:val="00F4258E"/>
    <w:rsid w:val="00F42786"/>
    <w:rsid w:val="00F45EE8"/>
    <w:rsid w:val="00F50945"/>
    <w:rsid w:val="00F54CE3"/>
    <w:rsid w:val="00F57B04"/>
    <w:rsid w:val="00F66251"/>
    <w:rsid w:val="00F67FBD"/>
    <w:rsid w:val="00F7115B"/>
    <w:rsid w:val="00F7122D"/>
    <w:rsid w:val="00F71C1A"/>
    <w:rsid w:val="00F75AFA"/>
    <w:rsid w:val="00F75BDB"/>
    <w:rsid w:val="00F80BB0"/>
    <w:rsid w:val="00F820CF"/>
    <w:rsid w:val="00F840BA"/>
    <w:rsid w:val="00F86175"/>
    <w:rsid w:val="00F86F17"/>
    <w:rsid w:val="00F87F0B"/>
    <w:rsid w:val="00F90B01"/>
    <w:rsid w:val="00F92CD9"/>
    <w:rsid w:val="00F934E7"/>
    <w:rsid w:val="00F93C1D"/>
    <w:rsid w:val="00FA23A7"/>
    <w:rsid w:val="00FA29C5"/>
    <w:rsid w:val="00FA6814"/>
    <w:rsid w:val="00FB0FDA"/>
    <w:rsid w:val="00FB14F7"/>
    <w:rsid w:val="00FB1B1F"/>
    <w:rsid w:val="00FB2BB7"/>
    <w:rsid w:val="00FB3BF2"/>
    <w:rsid w:val="00FB3FE6"/>
    <w:rsid w:val="00FB4B8B"/>
    <w:rsid w:val="00FC10B6"/>
    <w:rsid w:val="00FC1D68"/>
    <w:rsid w:val="00FC42FC"/>
    <w:rsid w:val="00FC5876"/>
    <w:rsid w:val="00FC6F4F"/>
    <w:rsid w:val="00FD100D"/>
    <w:rsid w:val="00FD10EE"/>
    <w:rsid w:val="00FD13AC"/>
    <w:rsid w:val="00FD39CF"/>
    <w:rsid w:val="00FD3E6F"/>
    <w:rsid w:val="00FD47B9"/>
    <w:rsid w:val="00FD4E9C"/>
    <w:rsid w:val="00FD51DE"/>
    <w:rsid w:val="00FD5AD3"/>
    <w:rsid w:val="00FE13E2"/>
    <w:rsid w:val="00FE470C"/>
    <w:rsid w:val="00FE53E2"/>
    <w:rsid w:val="00FE7DE7"/>
    <w:rsid w:val="00FF41CC"/>
    <w:rsid w:val="00FF4546"/>
    <w:rsid w:val="00FF6A0E"/>
    <w:rsid w:val="00FF7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B4E4A"/>
  <w15:chartTrackingRefBased/>
  <w15:docId w15:val="{963D373D-2AA6-4B28-8154-7ACFD1B54E72}"/>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4"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BFC"/>
    <w:pPr>
      <w:spacing w:after="0" w:line="360" w:lineRule="auto"/>
      <w:ind w:firstLine="720"/>
    </w:pPr>
    <w:rPr>
      <w:rFonts w:ascii="Book Antiqua" w:hAnsi="Book Antiqua"/>
      <w:kern w:val="0"/>
      <w:sz w:val="26"/>
      <w14:ligatures w14:val="none"/>
    </w:rPr>
  </w:style>
  <w:style w:type="paragraph" w:styleId="Heading1">
    <w:name w:val="heading 1"/>
    <w:basedOn w:val="Dummy"/>
    <w:next w:val="Standard"/>
    <w:link w:val="Heading1Char"/>
    <w:uiPriority w:val="4"/>
    <w:qFormat/>
    <w:rsid w:val="001C59B5"/>
    <w:pPr>
      <w:numPr>
        <w:numId w:val="6"/>
      </w:numPr>
      <w:ind w:right="2160"/>
    </w:pPr>
    <w:rPr>
      <w:rFonts w:eastAsiaTheme="majorEastAsia" w:cstheme="majorBidi"/>
      <w:szCs w:val="32"/>
    </w:rPr>
  </w:style>
  <w:style w:type="paragraph" w:styleId="Heading2">
    <w:name w:val="heading 2"/>
    <w:basedOn w:val="Dummy"/>
    <w:next w:val="Standard"/>
    <w:link w:val="Heading2Char"/>
    <w:uiPriority w:val="4"/>
    <w:qFormat/>
    <w:rsid w:val="001C59B5"/>
    <w:pPr>
      <w:numPr>
        <w:ilvl w:val="1"/>
        <w:numId w:val="6"/>
      </w:numPr>
      <w:ind w:right="2160"/>
      <w:outlineLvl w:val="1"/>
    </w:pPr>
  </w:style>
  <w:style w:type="paragraph" w:styleId="Heading3">
    <w:name w:val="heading 3"/>
    <w:basedOn w:val="Dummy"/>
    <w:next w:val="Standard"/>
    <w:link w:val="Heading3Char"/>
    <w:uiPriority w:val="4"/>
    <w:qFormat/>
    <w:rsid w:val="001C59B5"/>
    <w:pPr>
      <w:numPr>
        <w:ilvl w:val="2"/>
        <w:numId w:val="6"/>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1C59B5"/>
    <w:pPr>
      <w:numPr>
        <w:ilvl w:val="3"/>
        <w:numId w:val="6"/>
      </w:numPr>
      <w:ind w:right="2160"/>
      <w:outlineLvl w:val="3"/>
    </w:pPr>
    <w:rPr>
      <w:rFonts w:eastAsiaTheme="majorEastAsia" w:cstheme="majorBidi"/>
      <w:iCs/>
    </w:rPr>
  </w:style>
  <w:style w:type="paragraph" w:styleId="Heading5">
    <w:name w:val="heading 5"/>
    <w:basedOn w:val="Dummy"/>
    <w:next w:val="Standard"/>
    <w:link w:val="Heading5Char"/>
    <w:uiPriority w:val="4"/>
    <w:rsid w:val="001C59B5"/>
    <w:pPr>
      <w:numPr>
        <w:ilvl w:val="4"/>
        <w:numId w:val="6"/>
      </w:numPr>
      <w:ind w:right="2160"/>
      <w:outlineLvl w:val="4"/>
    </w:pPr>
    <w:rPr>
      <w:rFonts w:eastAsiaTheme="majorEastAsia" w:cstheme="majorBidi"/>
    </w:rPr>
  </w:style>
  <w:style w:type="paragraph" w:styleId="Heading6">
    <w:name w:val="heading 6"/>
    <w:basedOn w:val="Dummy"/>
    <w:next w:val="Standard"/>
    <w:link w:val="Heading6Char"/>
    <w:uiPriority w:val="4"/>
    <w:rsid w:val="001C59B5"/>
    <w:pPr>
      <w:numPr>
        <w:ilvl w:val="5"/>
        <w:numId w:val="6"/>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1C59B5"/>
    <w:rPr>
      <w:rFonts w:ascii="Arial" w:eastAsiaTheme="majorEastAsia" w:hAnsi="Arial" w:cstheme="majorBidi"/>
      <w:b/>
      <w:kern w:val="0"/>
      <w:sz w:val="26"/>
      <w:szCs w:val="32"/>
      <w14:ligatures w14:val="none"/>
    </w:rPr>
  </w:style>
  <w:style w:type="character" w:customStyle="1" w:styleId="Heading2Char">
    <w:name w:val="Heading 2 Char"/>
    <w:basedOn w:val="DefaultParagraphFont"/>
    <w:link w:val="Heading2"/>
    <w:uiPriority w:val="4"/>
    <w:rsid w:val="001C59B5"/>
    <w:rPr>
      <w:rFonts w:ascii="Arial" w:hAnsi="Arial" w:cs="Arial"/>
      <w:b/>
      <w:kern w:val="0"/>
      <w:sz w:val="26"/>
      <w:szCs w:val="26"/>
      <w14:ligatures w14:val="none"/>
    </w:rPr>
  </w:style>
  <w:style w:type="character" w:customStyle="1" w:styleId="Heading3Char">
    <w:name w:val="Heading 3 Char"/>
    <w:basedOn w:val="DefaultParagraphFont"/>
    <w:link w:val="Heading3"/>
    <w:uiPriority w:val="4"/>
    <w:rsid w:val="001C59B5"/>
    <w:rPr>
      <w:rFonts w:ascii="Arial" w:eastAsiaTheme="majorEastAsia" w:hAnsi="Arial" w:cstheme="majorBidi"/>
      <w:b/>
      <w:kern w:val="0"/>
      <w:sz w:val="26"/>
      <w:szCs w:val="24"/>
      <w14:ligatures w14:val="none"/>
    </w:rPr>
  </w:style>
  <w:style w:type="character" w:customStyle="1" w:styleId="Heading4Char">
    <w:name w:val="Heading 4 Char"/>
    <w:basedOn w:val="DefaultParagraphFont"/>
    <w:link w:val="Heading4"/>
    <w:uiPriority w:val="4"/>
    <w:rsid w:val="001C59B5"/>
    <w:rPr>
      <w:rFonts w:ascii="Arial" w:eastAsiaTheme="majorEastAsia" w:hAnsi="Arial" w:cstheme="majorBidi"/>
      <w:b/>
      <w:iCs/>
      <w:kern w:val="0"/>
      <w:sz w:val="26"/>
      <w:szCs w:val="26"/>
      <w14:ligatures w14:val="none"/>
    </w:rPr>
  </w:style>
  <w:style w:type="character" w:customStyle="1" w:styleId="Heading5Char">
    <w:name w:val="Heading 5 Char"/>
    <w:basedOn w:val="DefaultParagraphFont"/>
    <w:link w:val="Heading5"/>
    <w:uiPriority w:val="4"/>
    <w:rsid w:val="001C59B5"/>
    <w:rPr>
      <w:rFonts w:ascii="Arial" w:eastAsiaTheme="majorEastAsia" w:hAnsi="Arial" w:cstheme="majorBidi"/>
      <w:b/>
      <w:kern w:val="0"/>
      <w:sz w:val="26"/>
      <w:szCs w:val="26"/>
      <w14:ligatures w14:val="none"/>
    </w:rPr>
  </w:style>
  <w:style w:type="character" w:customStyle="1" w:styleId="Heading6Char">
    <w:name w:val="Heading 6 Char"/>
    <w:basedOn w:val="DefaultParagraphFont"/>
    <w:link w:val="Heading6"/>
    <w:uiPriority w:val="4"/>
    <w:rsid w:val="001C59B5"/>
    <w:rPr>
      <w:rFonts w:ascii="Arial" w:eastAsiaTheme="majorEastAsia" w:hAnsi="Arial" w:cstheme="majorBidi"/>
      <w:b/>
      <w:kern w:val="0"/>
      <w:sz w:val="26"/>
      <w:szCs w:val="26"/>
      <w14:ligatures w14:val="none"/>
    </w:rPr>
  </w:style>
  <w:style w:type="character" w:styleId="Hyperlink">
    <w:name w:val="Hyperlink"/>
    <w:basedOn w:val="DefaultParagraphFont"/>
    <w:uiPriority w:val="99"/>
    <w:unhideWhenUsed/>
    <w:rsid w:val="00790BFC"/>
    <w:rPr>
      <w:color w:val="0563C1" w:themeColor="hyperlink"/>
      <w:u w:val="single"/>
    </w:rPr>
  </w:style>
  <w:style w:type="character" w:customStyle="1" w:styleId="FootnoteTextChar">
    <w:name w:val="Footnote Text Char"/>
    <w:aliases w:val="Footnote Text Char Char Char1,Footnote Text Char2 Char Char,Footnote Text Char Char Char Char,Footnote Text Char2 Char Char Char Char,Footnote Text Char Char Char Char Char Char,Footnote Text Char2 Char Char Char Char1 Char Char"/>
    <w:basedOn w:val="DefaultParagraphFont"/>
    <w:link w:val="FootnoteText"/>
    <w:uiPriority w:val="40"/>
    <w:locked/>
    <w:rsid w:val="00790BFC"/>
    <w:rPr>
      <w:rFonts w:ascii="Book Antiqua" w:hAnsi="Book Antiqua"/>
      <w:szCs w:val="20"/>
    </w:rPr>
  </w:style>
  <w:style w:type="paragraph" w:styleId="FootnoteText">
    <w:name w:val="footnote text"/>
    <w:aliases w:val="Footnote Text Char Char,Footnote Text Char2 Char,Footnote Text Char Char Char,Footnote Text Char2 Char Char Char,Footnote Text Char Char Char Char Char,Footnote Text Char2 Char Char Char Char1 Char,fn,Footnote Text Char2,ALTS FOOTNOTE"/>
    <w:basedOn w:val="Normal"/>
    <w:link w:val="FootnoteTextChar"/>
    <w:uiPriority w:val="40"/>
    <w:unhideWhenUsed/>
    <w:qFormat/>
    <w:rsid w:val="00790BFC"/>
    <w:pPr>
      <w:spacing w:after="120" w:line="240" w:lineRule="auto"/>
      <w:ind w:firstLine="0"/>
    </w:pPr>
    <w:rPr>
      <w:kern w:val="2"/>
      <w:sz w:val="22"/>
      <w:szCs w:val="20"/>
      <w14:ligatures w14:val="standardContextual"/>
    </w:rPr>
  </w:style>
  <w:style w:type="character" w:customStyle="1" w:styleId="FootnoteTextChar1">
    <w:name w:val="Footnote Text Char1"/>
    <w:basedOn w:val="DefaultParagraphFont"/>
    <w:uiPriority w:val="99"/>
    <w:semiHidden/>
    <w:rsid w:val="00790BFC"/>
    <w:rPr>
      <w:rFonts w:ascii="Book Antiqua" w:hAnsi="Book Antiqua"/>
      <w:kern w:val="0"/>
      <w:sz w:val="20"/>
      <w:szCs w:val="20"/>
      <w14:ligatures w14:val="none"/>
    </w:rPr>
  </w:style>
  <w:style w:type="paragraph" w:customStyle="1" w:styleId="OP">
    <w:name w:val="OP"/>
    <w:basedOn w:val="Standard"/>
    <w:uiPriority w:val="8"/>
    <w:qFormat/>
    <w:rsid w:val="0023669F"/>
    <w:pPr>
      <w:numPr>
        <w:numId w:val="7"/>
      </w:numPr>
      <w:ind w:left="0"/>
    </w:pPr>
  </w:style>
  <w:style w:type="paragraph" w:customStyle="1" w:styleId="ListAlpha">
    <w:name w:val="List Alpha"/>
    <w:basedOn w:val="Normal"/>
    <w:uiPriority w:val="4"/>
    <w:qFormat/>
    <w:rsid w:val="00790BFC"/>
    <w:pPr>
      <w:numPr>
        <w:ilvl w:val="7"/>
        <w:numId w:val="6"/>
      </w:numPr>
      <w:spacing w:after="120" w:line="240" w:lineRule="auto"/>
    </w:pPr>
  </w:style>
  <w:style w:type="paragraph" w:customStyle="1" w:styleId="ListNum">
    <w:name w:val="List Num"/>
    <w:basedOn w:val="Normal"/>
    <w:uiPriority w:val="4"/>
    <w:rsid w:val="00790BFC"/>
    <w:pPr>
      <w:numPr>
        <w:ilvl w:val="6"/>
        <w:numId w:val="6"/>
      </w:numPr>
      <w:spacing w:after="120" w:line="240" w:lineRule="auto"/>
    </w:pPr>
  </w:style>
  <w:style w:type="character" w:styleId="FootnoteReference">
    <w:name w:val="footnote reference"/>
    <w:aliases w:val="o,fr,o1,o2,o3,o4,o5,o6,o11,o21,o7,Style 12,(NECG) Footnote Reference,Appel note de bas de p,Style 124,o + Times New Roman,Style 3,Style 17,Style 20,Style 13,fr1,fr2,fr3,Style 58,FR,Footnote Reference/,Style 6,Footnote Reference1"/>
    <w:basedOn w:val="DefaultParagraphFont"/>
    <w:unhideWhenUsed/>
    <w:qFormat/>
    <w:rsid w:val="00790BFC"/>
    <w:rPr>
      <w:vertAlign w:val="superscript"/>
    </w:rPr>
  </w:style>
  <w:style w:type="table" w:customStyle="1" w:styleId="TableGrid1">
    <w:name w:val="Table Grid1"/>
    <w:basedOn w:val="TableNormal"/>
    <w:uiPriority w:val="39"/>
    <w:rsid w:val="00790BFC"/>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FCoLOP">
    <w:name w:val="FoF/CoL/OP"/>
    <w:uiPriority w:val="99"/>
    <w:rsid w:val="00790BFC"/>
    <w:pPr>
      <w:numPr>
        <w:numId w:val="1"/>
      </w:numPr>
    </w:pPr>
  </w:style>
  <w:style w:type="numbering" w:customStyle="1" w:styleId="Headings">
    <w:name w:val="Headings"/>
    <w:uiPriority w:val="99"/>
    <w:rsid w:val="00790BFC"/>
    <w:pPr>
      <w:numPr>
        <w:numId w:val="2"/>
      </w:numPr>
    </w:pPr>
  </w:style>
  <w:style w:type="paragraph" w:customStyle="1" w:styleId="Standard">
    <w:name w:val="Standard"/>
    <w:basedOn w:val="Normal"/>
    <w:qFormat/>
    <w:rsid w:val="001C59B5"/>
  </w:style>
  <w:style w:type="paragraph" w:styleId="Header">
    <w:name w:val="header"/>
    <w:basedOn w:val="Normal"/>
    <w:link w:val="HeaderChar"/>
    <w:uiPriority w:val="99"/>
    <w:unhideWhenUsed/>
    <w:rsid w:val="000524B9"/>
    <w:pPr>
      <w:tabs>
        <w:tab w:val="center" w:pos="4680"/>
        <w:tab w:val="right" w:pos="9360"/>
      </w:tabs>
      <w:spacing w:line="240" w:lineRule="auto"/>
    </w:pPr>
  </w:style>
  <w:style w:type="character" w:customStyle="1" w:styleId="HeaderChar">
    <w:name w:val="Header Char"/>
    <w:basedOn w:val="DefaultParagraphFont"/>
    <w:link w:val="Header"/>
    <w:uiPriority w:val="99"/>
    <w:rsid w:val="000524B9"/>
    <w:rPr>
      <w:rFonts w:ascii="Book Antiqua" w:hAnsi="Book Antiqua"/>
      <w:kern w:val="0"/>
      <w:sz w:val="26"/>
      <w14:ligatures w14:val="none"/>
    </w:rPr>
  </w:style>
  <w:style w:type="paragraph" w:styleId="Footer">
    <w:name w:val="footer"/>
    <w:basedOn w:val="Normal"/>
    <w:link w:val="FooterChar"/>
    <w:uiPriority w:val="99"/>
    <w:unhideWhenUsed/>
    <w:rsid w:val="000524B9"/>
    <w:pPr>
      <w:tabs>
        <w:tab w:val="center" w:pos="4680"/>
        <w:tab w:val="right" w:pos="9360"/>
      </w:tabs>
      <w:spacing w:line="240" w:lineRule="auto"/>
    </w:pPr>
  </w:style>
  <w:style w:type="character" w:customStyle="1" w:styleId="FooterChar">
    <w:name w:val="Footer Char"/>
    <w:basedOn w:val="DefaultParagraphFont"/>
    <w:link w:val="Footer"/>
    <w:uiPriority w:val="99"/>
    <w:rsid w:val="000524B9"/>
    <w:rPr>
      <w:rFonts w:ascii="Book Antiqua" w:hAnsi="Book Antiqua"/>
      <w:kern w:val="0"/>
      <w:sz w:val="26"/>
      <w14:ligatures w14:val="none"/>
    </w:rPr>
  </w:style>
  <w:style w:type="paragraph" w:styleId="Revision">
    <w:name w:val="Revision"/>
    <w:hidden/>
    <w:uiPriority w:val="99"/>
    <w:semiHidden/>
    <w:rsid w:val="00B91EA8"/>
    <w:pPr>
      <w:spacing w:after="0" w:line="240" w:lineRule="auto"/>
    </w:pPr>
    <w:rPr>
      <w:rFonts w:ascii="Book Antiqua" w:hAnsi="Book Antiqua"/>
      <w:kern w:val="0"/>
      <w:sz w:val="26"/>
      <w14:ligatures w14:val="none"/>
    </w:rPr>
  </w:style>
  <w:style w:type="character" w:styleId="CommentReference">
    <w:name w:val="annotation reference"/>
    <w:basedOn w:val="DefaultParagraphFont"/>
    <w:uiPriority w:val="99"/>
    <w:semiHidden/>
    <w:unhideWhenUsed/>
    <w:rsid w:val="007E6725"/>
    <w:rPr>
      <w:sz w:val="16"/>
      <w:szCs w:val="16"/>
    </w:rPr>
  </w:style>
  <w:style w:type="paragraph" w:styleId="CommentText">
    <w:name w:val="annotation text"/>
    <w:basedOn w:val="Normal"/>
    <w:link w:val="CommentTextChar"/>
    <w:uiPriority w:val="99"/>
    <w:unhideWhenUsed/>
    <w:rsid w:val="007E6725"/>
    <w:pPr>
      <w:spacing w:line="240" w:lineRule="auto"/>
    </w:pPr>
    <w:rPr>
      <w:sz w:val="20"/>
      <w:szCs w:val="20"/>
    </w:rPr>
  </w:style>
  <w:style w:type="character" w:customStyle="1" w:styleId="CommentTextChar">
    <w:name w:val="Comment Text Char"/>
    <w:basedOn w:val="DefaultParagraphFont"/>
    <w:link w:val="CommentText"/>
    <w:uiPriority w:val="99"/>
    <w:rsid w:val="007E6725"/>
    <w:rPr>
      <w:rFonts w:ascii="Book Antiqua" w:hAnsi="Book Antiqu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E6725"/>
    <w:rPr>
      <w:b/>
      <w:bCs/>
    </w:rPr>
  </w:style>
  <w:style w:type="character" w:customStyle="1" w:styleId="CommentSubjectChar">
    <w:name w:val="Comment Subject Char"/>
    <w:basedOn w:val="CommentTextChar"/>
    <w:link w:val="CommentSubject"/>
    <w:uiPriority w:val="99"/>
    <w:semiHidden/>
    <w:rsid w:val="007E6725"/>
    <w:rPr>
      <w:rFonts w:ascii="Book Antiqua" w:hAnsi="Book Antiqua"/>
      <w:b/>
      <w:bCs/>
      <w:kern w:val="0"/>
      <w:sz w:val="20"/>
      <w:szCs w:val="20"/>
      <w14:ligatures w14:val="none"/>
    </w:rPr>
  </w:style>
  <w:style w:type="character" w:styleId="UnresolvedMention">
    <w:name w:val="Unresolved Mention"/>
    <w:basedOn w:val="DefaultParagraphFont"/>
    <w:uiPriority w:val="99"/>
    <w:semiHidden/>
    <w:unhideWhenUsed/>
    <w:rsid w:val="00D70AB0"/>
    <w:rPr>
      <w:color w:val="605E5C"/>
      <w:shd w:val="clear" w:color="auto" w:fill="E1DFDD"/>
    </w:rPr>
  </w:style>
  <w:style w:type="paragraph" w:styleId="ListParagraph">
    <w:name w:val="List Paragraph"/>
    <w:basedOn w:val="Normal"/>
    <w:uiPriority w:val="34"/>
    <w:qFormat/>
    <w:rsid w:val="00053382"/>
    <w:pPr>
      <w:ind w:left="720"/>
      <w:contextualSpacing/>
    </w:pPr>
  </w:style>
  <w:style w:type="table" w:styleId="TableGrid">
    <w:name w:val="Table Grid"/>
    <w:basedOn w:val="TableNormal"/>
    <w:uiPriority w:val="39"/>
    <w:rsid w:val="00A32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5114"/>
    <w:pPr>
      <w:autoSpaceDE w:val="0"/>
      <w:autoSpaceDN w:val="0"/>
      <w:adjustRightInd w:val="0"/>
      <w:spacing w:after="0" w:line="240" w:lineRule="auto"/>
    </w:pPr>
    <w:rPr>
      <w:rFonts w:ascii="Arial Nova" w:hAnsi="Arial Nova" w:cs="Arial Nova"/>
      <w:color w:val="000000"/>
      <w:kern w:val="0"/>
      <w:sz w:val="24"/>
      <w:szCs w:val="24"/>
    </w:rPr>
  </w:style>
  <w:style w:type="table" w:customStyle="1" w:styleId="TableGrid2">
    <w:name w:val="Table Grid2"/>
    <w:basedOn w:val="TableNormal"/>
    <w:next w:val="TableGrid"/>
    <w:uiPriority w:val="39"/>
    <w:rsid w:val="002B227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ummy">
    <w:name w:val="Dummy"/>
    <w:next w:val="Normal"/>
    <w:uiPriority w:val="19"/>
    <w:rsid w:val="001C59B5"/>
    <w:pPr>
      <w:keepNext/>
      <w:keepLines/>
      <w:spacing w:after="120" w:line="240" w:lineRule="auto"/>
      <w:outlineLvl w:val="0"/>
    </w:pPr>
    <w:rPr>
      <w:rFonts w:ascii="Arial" w:hAnsi="Arial" w:cs="Arial"/>
      <w:b/>
      <w:kern w:val="0"/>
      <w:sz w:val="26"/>
      <w:szCs w:val="26"/>
      <w14:ligatures w14:val="none"/>
    </w:rPr>
  </w:style>
  <w:style w:type="paragraph" w:customStyle="1" w:styleId="BlockQuote">
    <w:name w:val="Block Quote"/>
    <w:basedOn w:val="Standard"/>
    <w:uiPriority w:val="5"/>
    <w:qFormat/>
    <w:rsid w:val="001C59B5"/>
    <w:pPr>
      <w:spacing w:after="120" w:line="240" w:lineRule="auto"/>
      <w:ind w:left="720" w:right="720" w:firstLine="0"/>
    </w:pPr>
  </w:style>
  <w:style w:type="paragraph" w:customStyle="1" w:styleId="CoL">
    <w:name w:val="CoL"/>
    <w:basedOn w:val="Standard"/>
    <w:uiPriority w:val="7"/>
    <w:qFormat/>
    <w:rsid w:val="001C59B5"/>
    <w:pPr>
      <w:numPr>
        <w:numId w:val="5"/>
      </w:numPr>
      <w:ind w:left="0"/>
    </w:pPr>
  </w:style>
  <w:style w:type="paragraph" w:customStyle="1" w:styleId="Main">
    <w:name w:val="Main"/>
    <w:next w:val="Normal"/>
    <w:uiPriority w:val="19"/>
    <w:rsid w:val="001C59B5"/>
    <w:pPr>
      <w:spacing w:after="0" w:line="240" w:lineRule="auto"/>
      <w:jc w:val="center"/>
    </w:pPr>
    <w:rPr>
      <w:rFonts w:ascii="Arial" w:eastAsiaTheme="majorEastAsia" w:hAnsi="Arial" w:cstheme="majorBidi"/>
      <w:b/>
      <w:caps/>
      <w:kern w:val="0"/>
      <w:sz w:val="26"/>
      <w:szCs w:val="56"/>
      <w14:ligatures w14:val="none"/>
    </w:rPr>
  </w:style>
  <w:style w:type="paragraph" w:customStyle="1" w:styleId="Mainex">
    <w:name w:val="Mainex"/>
    <w:basedOn w:val="Main"/>
    <w:next w:val="Normal"/>
    <w:uiPriority w:val="19"/>
    <w:rsid w:val="001C59B5"/>
    <w:pPr>
      <w:keepNext/>
      <w:spacing w:before="180" w:line="360" w:lineRule="auto"/>
      <w:outlineLvl w:val="0"/>
    </w:pPr>
    <w:rPr>
      <w:spacing w:val="120"/>
    </w:rPr>
  </w:style>
  <w:style w:type="paragraph" w:customStyle="1" w:styleId="PDTitle">
    <w:name w:val="PD Title"/>
    <w:basedOn w:val="Dummy"/>
    <w:rsid w:val="001C59B5"/>
    <w:pPr>
      <w:spacing w:after="240"/>
      <w:jc w:val="center"/>
    </w:pPr>
    <w:rPr>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80653">
      <w:bodyDiv w:val="1"/>
      <w:marLeft w:val="0"/>
      <w:marRight w:val="0"/>
      <w:marTop w:val="0"/>
      <w:marBottom w:val="0"/>
      <w:divBdr>
        <w:top w:val="none" w:sz="0" w:space="0" w:color="auto"/>
        <w:left w:val="none" w:sz="0" w:space="0" w:color="auto"/>
        <w:bottom w:val="none" w:sz="0" w:space="0" w:color="auto"/>
        <w:right w:val="none" w:sz="0" w:space="0" w:color="auto"/>
      </w:divBdr>
    </w:div>
    <w:div w:id="588544673">
      <w:bodyDiv w:val="1"/>
      <w:marLeft w:val="0"/>
      <w:marRight w:val="0"/>
      <w:marTop w:val="0"/>
      <w:marBottom w:val="0"/>
      <w:divBdr>
        <w:top w:val="none" w:sz="0" w:space="0" w:color="auto"/>
        <w:left w:val="none" w:sz="0" w:space="0" w:color="auto"/>
        <w:bottom w:val="none" w:sz="0" w:space="0" w:color="auto"/>
        <w:right w:val="none" w:sz="0" w:space="0" w:color="auto"/>
      </w:divBdr>
    </w:div>
    <w:div w:id="782960342">
      <w:bodyDiv w:val="1"/>
      <w:marLeft w:val="0"/>
      <w:marRight w:val="0"/>
      <w:marTop w:val="0"/>
      <w:marBottom w:val="0"/>
      <w:divBdr>
        <w:top w:val="none" w:sz="0" w:space="0" w:color="auto"/>
        <w:left w:val="none" w:sz="0" w:space="0" w:color="auto"/>
        <w:bottom w:val="none" w:sz="0" w:space="0" w:color="auto"/>
        <w:right w:val="none" w:sz="0" w:space="0" w:color="auto"/>
      </w:divBdr>
    </w:div>
    <w:div w:id="892615549">
      <w:bodyDiv w:val="1"/>
      <w:marLeft w:val="0"/>
      <w:marRight w:val="0"/>
      <w:marTop w:val="0"/>
      <w:marBottom w:val="0"/>
      <w:divBdr>
        <w:top w:val="none" w:sz="0" w:space="0" w:color="auto"/>
        <w:left w:val="none" w:sz="0" w:space="0" w:color="auto"/>
        <w:bottom w:val="none" w:sz="0" w:space="0" w:color="auto"/>
        <w:right w:val="none" w:sz="0" w:space="0" w:color="auto"/>
      </w:divBdr>
    </w:div>
    <w:div w:id="1157526804">
      <w:bodyDiv w:val="1"/>
      <w:marLeft w:val="0"/>
      <w:marRight w:val="0"/>
      <w:marTop w:val="0"/>
      <w:marBottom w:val="0"/>
      <w:divBdr>
        <w:top w:val="none" w:sz="0" w:space="0" w:color="auto"/>
        <w:left w:val="none" w:sz="0" w:space="0" w:color="auto"/>
        <w:bottom w:val="none" w:sz="0" w:space="0" w:color="auto"/>
        <w:right w:val="none" w:sz="0" w:space="0" w:color="auto"/>
      </w:divBdr>
    </w:div>
    <w:div w:id="1173571629">
      <w:bodyDiv w:val="1"/>
      <w:marLeft w:val="0"/>
      <w:marRight w:val="0"/>
      <w:marTop w:val="0"/>
      <w:marBottom w:val="0"/>
      <w:divBdr>
        <w:top w:val="none" w:sz="0" w:space="0" w:color="auto"/>
        <w:left w:val="none" w:sz="0" w:space="0" w:color="auto"/>
        <w:bottom w:val="none" w:sz="0" w:space="0" w:color="auto"/>
        <w:right w:val="none" w:sz="0" w:space="0" w:color="auto"/>
      </w:divBdr>
    </w:div>
    <w:div w:id="1501390066">
      <w:bodyDiv w:val="1"/>
      <w:marLeft w:val="0"/>
      <w:marRight w:val="0"/>
      <w:marTop w:val="0"/>
      <w:marBottom w:val="0"/>
      <w:divBdr>
        <w:top w:val="none" w:sz="0" w:space="0" w:color="auto"/>
        <w:left w:val="none" w:sz="0" w:space="0" w:color="auto"/>
        <w:bottom w:val="none" w:sz="0" w:space="0" w:color="auto"/>
        <w:right w:val="none" w:sz="0" w:space="0" w:color="auto"/>
      </w:divBdr>
    </w:div>
    <w:div w:id="1548495134">
      <w:bodyDiv w:val="1"/>
      <w:marLeft w:val="0"/>
      <w:marRight w:val="0"/>
      <w:marTop w:val="0"/>
      <w:marBottom w:val="0"/>
      <w:divBdr>
        <w:top w:val="none" w:sz="0" w:space="0" w:color="auto"/>
        <w:left w:val="none" w:sz="0" w:space="0" w:color="auto"/>
        <w:bottom w:val="none" w:sz="0" w:space="0" w:color="auto"/>
        <w:right w:val="none" w:sz="0" w:space="0" w:color="auto"/>
      </w:divBdr>
    </w:div>
    <w:div w:id="1605385768">
      <w:bodyDiv w:val="1"/>
      <w:marLeft w:val="0"/>
      <w:marRight w:val="0"/>
      <w:marTop w:val="0"/>
      <w:marBottom w:val="0"/>
      <w:divBdr>
        <w:top w:val="none" w:sz="0" w:space="0" w:color="auto"/>
        <w:left w:val="none" w:sz="0" w:space="0" w:color="auto"/>
        <w:bottom w:val="none" w:sz="0" w:space="0" w:color="auto"/>
        <w:right w:val="none" w:sz="0" w:space="0" w:color="auto"/>
      </w:divBdr>
    </w:div>
    <w:div w:id="1925870313">
      <w:bodyDiv w:val="1"/>
      <w:marLeft w:val="0"/>
      <w:marRight w:val="0"/>
      <w:marTop w:val="0"/>
      <w:marBottom w:val="0"/>
      <w:divBdr>
        <w:top w:val="none" w:sz="0" w:space="0" w:color="auto"/>
        <w:left w:val="none" w:sz="0" w:space="0" w:color="auto"/>
        <w:bottom w:val="none" w:sz="0" w:space="0" w:color="auto"/>
        <w:right w:val="none" w:sz="0" w:space="0" w:color="auto"/>
      </w:divBdr>
    </w:div>
    <w:div w:id="1943804170">
      <w:bodyDiv w:val="1"/>
      <w:marLeft w:val="0"/>
      <w:marRight w:val="0"/>
      <w:marTop w:val="0"/>
      <w:marBottom w:val="0"/>
      <w:divBdr>
        <w:top w:val="none" w:sz="0" w:space="0" w:color="auto"/>
        <w:left w:val="none" w:sz="0" w:space="0" w:color="auto"/>
        <w:bottom w:val="none" w:sz="0" w:space="0" w:color="auto"/>
        <w:right w:val="none" w:sz="0" w:space="0" w:color="auto"/>
      </w:divBdr>
    </w:div>
    <w:div w:id="213413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DF2F3AA19FF9418516062AF11C0ACF" ma:contentTypeVersion="15" ma:contentTypeDescription="Create a new document." ma:contentTypeScope="" ma:versionID="076dd357dd3c1d4749d3f04399baa1bf">
  <xsd:schema xmlns:xsd="http://www.w3.org/2001/XMLSchema" xmlns:xs="http://www.w3.org/2001/XMLSchema" xmlns:p="http://schemas.microsoft.com/office/2006/metadata/properties" xmlns:ns2="8114c60f-d572-43b4-ba5f-295801837341" xmlns:ns3="0db3a248-2f3b-4e14-a06e-708bd1cc474a" targetNamespace="http://schemas.microsoft.com/office/2006/metadata/properties" ma:root="true" ma:fieldsID="6b676db63e0a9f905094a2f1bfc5b0c9" ns2:_="" ns3:_="">
    <xsd:import namespace="8114c60f-d572-43b4-ba5f-295801837341"/>
    <xsd:import namespace="0db3a248-2f3b-4e14-a06e-708bd1cc47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60f-d572-43b4-ba5f-2958018373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468275ae-ef1e-40ba-9e1a-f8e2345e05de}" ma:internalName="TaxCatchAll" ma:showField="CatchAllData" ma:web="8114c60f-d572-43b4-ba5f-2958018373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b3a248-2f3b-4e14-a06e-708bd1cc47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29CFD-379A-4C63-8D08-9EF5584A5925}">
  <ds:schemaRefs>
    <ds:schemaRef ds:uri="http://schemas.microsoft.com/sharepoint/v3/contenttype/forms"/>
  </ds:schemaRefs>
</ds:datastoreItem>
</file>

<file path=customXml/itemProps2.xml><?xml version="1.0" encoding="utf-8"?>
<ds:datastoreItem xmlns:ds="http://schemas.openxmlformats.org/officeDocument/2006/customXml" ds:itemID="{80B80678-6A7E-440C-AD87-FD36EC803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c60f-d572-43b4-ba5f-295801837341"/>
    <ds:schemaRef ds:uri="0db3a248-2f3b-4e14-a06e-708bd1cc4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B0B159-B0B8-492B-B01E-DB80707316B1}">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14</ap:Pages>
  <ap:Words>2966</ap:Words>
  <ap:Characters>16521</ap:Characters>
  <ap:Application>Microsoft Office Word</ap:Application>
  <ap:DocSecurity>0</ap:DocSecurity>
  <ap:Lines>344</ap:Lines>
  <ap:Paragraphs>115</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19372</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2026-03-23T11:05:01Z</dcterms:created>
  <dcterms:modified xsi:type="dcterms:W3CDTF">2026-03-23T11:05:01Z</dcterms:modified>
</cp:coreProperties>
</file>