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3033" w:rsidR="007A3033" w:rsidP="00FC2D33" w:rsidRDefault="007A3033" w14:paraId="767A0A09" w14:textId="22EA467F">
      <w:pPr>
        <w:spacing w:line="240" w:lineRule="auto"/>
        <w:ind w:firstLine="0"/>
        <w:rPr>
          <w:b/>
          <w:bCs/>
          <w:szCs w:val="26"/>
        </w:rPr>
      </w:pPr>
      <w:bookmarkStart w:name="_Hlk182490147" w:id="0"/>
      <w:r>
        <w:rPr>
          <w:szCs w:val="26"/>
        </w:rPr>
        <w:t>ALJ/DBB/abb</w:t>
      </w:r>
      <w:r>
        <w:rPr>
          <w:szCs w:val="26"/>
        </w:rPr>
        <w:tab/>
      </w:r>
      <w:r>
        <w:rPr>
          <w:szCs w:val="26"/>
        </w:rPr>
        <w:tab/>
      </w:r>
      <w:r>
        <w:rPr>
          <w:szCs w:val="26"/>
        </w:rPr>
        <w:tab/>
      </w:r>
      <w:r>
        <w:rPr>
          <w:szCs w:val="26"/>
        </w:rPr>
        <w:tab/>
      </w:r>
      <w:r>
        <w:rPr>
          <w:szCs w:val="26"/>
        </w:rPr>
        <w:tab/>
      </w:r>
      <w:r>
        <w:rPr>
          <w:szCs w:val="26"/>
        </w:rPr>
        <w:tab/>
      </w:r>
      <w:r>
        <w:rPr>
          <w:szCs w:val="26"/>
        </w:rPr>
        <w:tab/>
      </w:r>
      <w:r w:rsidR="008958BC">
        <w:rPr>
          <w:szCs w:val="26"/>
        </w:rPr>
        <w:t xml:space="preserve">         </w:t>
      </w:r>
      <w:r w:rsidRPr="007A3033">
        <w:rPr>
          <w:b/>
          <w:bCs/>
          <w:szCs w:val="26"/>
        </w:rPr>
        <w:t>Agenda ID</w:t>
      </w:r>
      <w:r w:rsidR="008958BC">
        <w:rPr>
          <w:b/>
          <w:bCs/>
          <w:szCs w:val="26"/>
        </w:rPr>
        <w:t xml:space="preserve"> # </w:t>
      </w:r>
      <w:r w:rsidRPr="008958BC" w:rsidR="008958BC">
        <w:rPr>
          <w:b/>
          <w:bCs/>
          <w:szCs w:val="26"/>
        </w:rPr>
        <w:t>24178</w:t>
      </w:r>
      <w:r w:rsidRPr="007A3033">
        <w:rPr>
          <w:b/>
          <w:bCs/>
          <w:szCs w:val="26"/>
        </w:rPr>
        <w:tab/>
      </w:r>
      <w:r w:rsidRPr="007A3033">
        <w:rPr>
          <w:b/>
          <w:bCs/>
          <w:szCs w:val="26"/>
        </w:rPr>
        <w:tab/>
      </w:r>
      <w:r w:rsidRPr="007A3033">
        <w:rPr>
          <w:b/>
          <w:bCs/>
          <w:szCs w:val="26"/>
        </w:rPr>
        <w:tab/>
      </w:r>
      <w:r w:rsidRPr="007A3033">
        <w:rPr>
          <w:b/>
          <w:bCs/>
          <w:szCs w:val="26"/>
        </w:rPr>
        <w:tab/>
      </w:r>
      <w:r w:rsidRPr="007A3033">
        <w:rPr>
          <w:b/>
          <w:bCs/>
          <w:szCs w:val="26"/>
        </w:rPr>
        <w:tab/>
      </w:r>
      <w:r w:rsidRPr="007A3033">
        <w:rPr>
          <w:b/>
          <w:bCs/>
          <w:szCs w:val="26"/>
        </w:rPr>
        <w:tab/>
      </w:r>
      <w:r w:rsidRPr="007A3033">
        <w:rPr>
          <w:b/>
          <w:bCs/>
          <w:szCs w:val="26"/>
        </w:rPr>
        <w:tab/>
      </w:r>
      <w:r w:rsidRPr="007A3033">
        <w:rPr>
          <w:b/>
          <w:bCs/>
          <w:szCs w:val="26"/>
        </w:rPr>
        <w:tab/>
      </w:r>
      <w:r w:rsidR="00A5144D">
        <w:rPr>
          <w:b/>
          <w:bCs/>
          <w:szCs w:val="26"/>
        </w:rPr>
        <w:tab/>
      </w:r>
      <w:r w:rsidR="008958BC">
        <w:rPr>
          <w:b/>
          <w:bCs/>
          <w:szCs w:val="26"/>
        </w:rPr>
        <w:tab/>
      </w:r>
      <w:r w:rsidR="008958BC">
        <w:rPr>
          <w:b/>
          <w:bCs/>
          <w:szCs w:val="26"/>
        </w:rPr>
        <w:tab/>
        <w:t xml:space="preserve">         </w:t>
      </w:r>
      <w:r w:rsidRPr="007A3033">
        <w:rPr>
          <w:b/>
          <w:bCs/>
          <w:szCs w:val="26"/>
        </w:rPr>
        <w:t>Adjudicatory</w:t>
      </w:r>
    </w:p>
    <w:p w:rsidR="007A3033" w:rsidP="00FC2D33" w:rsidRDefault="007A3033" w14:paraId="3C40BEA3" w14:textId="77777777">
      <w:pPr>
        <w:spacing w:line="240" w:lineRule="auto"/>
        <w:ind w:firstLine="0"/>
        <w:rPr>
          <w:szCs w:val="26"/>
        </w:rPr>
      </w:pPr>
    </w:p>
    <w:p w:rsidR="00FC2D33" w:rsidP="00FC2D33" w:rsidRDefault="00FC2D33" w14:paraId="68EA601A" w14:textId="77777777">
      <w:pPr>
        <w:spacing w:line="240" w:lineRule="auto"/>
        <w:ind w:firstLine="0"/>
        <w:rPr>
          <w:rFonts w:eastAsia="Calibri" w:cs="Times New Roman"/>
          <w:u w:val="single"/>
        </w:rPr>
      </w:pPr>
    </w:p>
    <w:p w:rsidR="00FC2D33" w:rsidP="00FC2D33" w:rsidRDefault="00FC2D33" w14:paraId="0275B983" w14:textId="77777777">
      <w:pPr>
        <w:spacing w:line="240" w:lineRule="auto"/>
        <w:ind w:firstLine="0"/>
        <w:jc w:val="center"/>
        <w:rPr>
          <w:rFonts w:ascii="Arial" w:hAnsi="Arial" w:eastAsia="Calibri" w:cs="Arial"/>
          <w:sz w:val="24"/>
          <w:szCs w:val="24"/>
        </w:rPr>
      </w:pPr>
      <w:r>
        <w:rPr>
          <w:rFonts w:ascii="Arial" w:hAnsi="Arial" w:eastAsia="Calibri" w:cs="Arial"/>
          <w:b/>
          <w:sz w:val="24"/>
          <w:szCs w:val="24"/>
        </w:rPr>
        <w:t>BEFORE THE PUBLIC UTILITIES COMMISSION OF THE STATE OF CALIFORNIA</w:t>
      </w:r>
    </w:p>
    <w:p w:rsidR="00FC2D33" w:rsidP="00FC2D33" w:rsidRDefault="00FC2D33" w14:paraId="795A97ED" w14:textId="7D8F4620">
      <w:pPr>
        <w:spacing w:line="240" w:lineRule="auto"/>
        <w:ind w:firstLine="0"/>
        <w:rPr>
          <w:rFonts w:ascii="Arial" w:hAnsi="Arial" w:eastAsia="Calibri" w:cs="Arial"/>
          <w:sz w:val="24"/>
          <w:szCs w:val="24"/>
        </w:rPr>
      </w:pPr>
    </w:p>
    <w:p w:rsidR="007A3033" w:rsidP="00FC2D33" w:rsidRDefault="007A3033" w14:paraId="277913CD" w14:textId="77777777">
      <w:pPr>
        <w:spacing w:line="240" w:lineRule="auto"/>
        <w:ind w:firstLine="0"/>
        <w:rPr>
          <w:rFonts w:ascii="Arial" w:hAnsi="Arial" w:eastAsia="Calibri" w:cs="Arial"/>
          <w:sz w:val="24"/>
          <w:szCs w:val="24"/>
        </w:rPr>
      </w:pPr>
    </w:p>
    <w:tbl>
      <w:tblPr>
        <w:tblStyle w:val="TableGrid1"/>
        <w:tblW w:w="9360" w:type="dxa"/>
        <w:jc w:val="center"/>
        <w:tblInd w:w="0" w:type="dxa"/>
        <w:tblLayout w:type="fixed"/>
        <w:tblLook w:val="04A0" w:firstRow="1" w:lastRow="0" w:firstColumn="1" w:lastColumn="0" w:noHBand="0" w:noVBand="1"/>
      </w:tblPr>
      <w:tblGrid>
        <w:gridCol w:w="4680"/>
        <w:gridCol w:w="4680"/>
      </w:tblGrid>
      <w:tr w:rsidR="00FC2D33" w:rsidTr="008956EC" w14:paraId="76CCD47A" w14:textId="77777777">
        <w:trPr>
          <w:jc w:val="center"/>
        </w:trPr>
        <w:tc>
          <w:tcPr>
            <w:tcW w:w="4680" w:type="dxa"/>
            <w:tcBorders>
              <w:top w:val="nil"/>
              <w:left w:val="nil"/>
              <w:bottom w:val="single" w:color="auto" w:sz="4" w:space="0"/>
              <w:right w:val="single" w:color="auto" w:sz="4" w:space="0"/>
            </w:tcBorders>
          </w:tcPr>
          <w:p w:rsidR="00FC2D33" w:rsidP="00A36FA7" w:rsidRDefault="00FB6D5B" w14:paraId="238347ED" w14:textId="2BE7B1A3">
            <w:pPr>
              <w:spacing w:line="240" w:lineRule="auto"/>
              <w:ind w:firstLine="0"/>
              <w:rPr>
                <w:rFonts w:cs="Arial"/>
                <w:szCs w:val="26"/>
              </w:rPr>
            </w:pPr>
            <w:r>
              <w:rPr>
                <w:rFonts w:cs="Arial"/>
                <w:szCs w:val="26"/>
              </w:rPr>
              <w:t>Melissa Hicks</w:t>
            </w:r>
            <w:r w:rsidR="00FC2D33">
              <w:rPr>
                <w:rFonts w:cs="Arial"/>
                <w:szCs w:val="26"/>
              </w:rPr>
              <w:t>,</w:t>
            </w:r>
          </w:p>
          <w:p w:rsidR="00FC2D33" w:rsidP="00A36FA7" w:rsidRDefault="00FC2D33" w14:paraId="7E6B1DFE" w14:textId="77777777">
            <w:pPr>
              <w:spacing w:line="240" w:lineRule="auto"/>
              <w:ind w:firstLine="0"/>
              <w:rPr>
                <w:rFonts w:cs="Arial"/>
                <w:szCs w:val="26"/>
              </w:rPr>
            </w:pPr>
            <w:r>
              <w:rPr>
                <w:rFonts w:cs="Arial"/>
                <w:szCs w:val="26"/>
              </w:rPr>
              <w:tab/>
            </w:r>
            <w:r>
              <w:rPr>
                <w:rFonts w:cs="Arial"/>
                <w:szCs w:val="26"/>
              </w:rPr>
              <w:tab/>
            </w:r>
            <w:r>
              <w:rPr>
                <w:rFonts w:cs="Arial"/>
                <w:szCs w:val="26"/>
              </w:rPr>
              <w:tab/>
            </w:r>
            <w:r>
              <w:rPr>
                <w:rFonts w:cs="Arial"/>
                <w:szCs w:val="26"/>
              </w:rPr>
              <w:tab/>
              <w:t>Complainant,</w:t>
            </w:r>
          </w:p>
          <w:p w:rsidR="00FC2D33" w:rsidP="00A36FA7" w:rsidRDefault="00FC2D33" w14:paraId="6E6AA3BD" w14:textId="77777777">
            <w:pPr>
              <w:spacing w:line="240" w:lineRule="auto"/>
              <w:ind w:firstLine="0"/>
              <w:rPr>
                <w:rFonts w:cs="Arial"/>
                <w:szCs w:val="26"/>
              </w:rPr>
            </w:pPr>
          </w:p>
          <w:p w:rsidR="00FC2D33" w:rsidP="00A36FA7" w:rsidRDefault="00FC2D33" w14:paraId="0C187D47" w14:textId="77777777">
            <w:pPr>
              <w:spacing w:line="240" w:lineRule="auto"/>
              <w:ind w:firstLine="2140"/>
              <w:rPr>
                <w:rFonts w:cs="Arial"/>
                <w:szCs w:val="26"/>
              </w:rPr>
            </w:pPr>
            <w:r>
              <w:rPr>
                <w:rFonts w:cs="Arial"/>
                <w:szCs w:val="26"/>
              </w:rPr>
              <w:t>vs.</w:t>
            </w:r>
          </w:p>
          <w:p w:rsidR="00FC2D33" w:rsidP="00A36FA7" w:rsidRDefault="00FC2D33" w14:paraId="228ACAC3" w14:textId="77777777">
            <w:pPr>
              <w:spacing w:line="240" w:lineRule="auto"/>
              <w:ind w:firstLine="0"/>
              <w:rPr>
                <w:rFonts w:cs="Arial"/>
                <w:szCs w:val="26"/>
              </w:rPr>
            </w:pPr>
          </w:p>
          <w:p w:rsidR="00FC2D33" w:rsidP="00A36FA7" w:rsidRDefault="00FC2D33" w14:paraId="419156A2" w14:textId="729671A9">
            <w:pPr>
              <w:spacing w:line="240" w:lineRule="auto"/>
              <w:ind w:firstLine="0"/>
              <w:rPr>
                <w:rFonts w:cs="Arial"/>
                <w:szCs w:val="26"/>
              </w:rPr>
            </w:pPr>
            <w:r>
              <w:rPr>
                <w:rFonts w:cs="Arial"/>
                <w:szCs w:val="26"/>
              </w:rPr>
              <w:t>Pacific Bell d/b/a AT&amp;T California (U1001C),</w:t>
            </w:r>
          </w:p>
          <w:p w:rsidR="00FC2D33" w:rsidP="00A36FA7" w:rsidRDefault="00FC2D33" w14:paraId="7FB55CBD" w14:textId="77777777">
            <w:pPr>
              <w:spacing w:line="240" w:lineRule="auto"/>
              <w:ind w:firstLine="0"/>
              <w:rPr>
                <w:rFonts w:cs="Arial"/>
                <w:szCs w:val="26"/>
              </w:rPr>
            </w:pPr>
            <w:r>
              <w:rPr>
                <w:rFonts w:cs="Arial"/>
                <w:szCs w:val="26"/>
              </w:rPr>
              <w:tab/>
            </w:r>
            <w:r>
              <w:rPr>
                <w:rFonts w:cs="Arial"/>
                <w:szCs w:val="26"/>
              </w:rPr>
              <w:tab/>
            </w:r>
            <w:r>
              <w:rPr>
                <w:rFonts w:cs="Arial"/>
                <w:szCs w:val="26"/>
              </w:rPr>
              <w:tab/>
            </w:r>
            <w:r>
              <w:rPr>
                <w:rFonts w:cs="Arial"/>
                <w:szCs w:val="26"/>
              </w:rPr>
              <w:tab/>
              <w:t>Defendant.</w:t>
            </w:r>
          </w:p>
          <w:p w:rsidR="00FC2D33" w:rsidP="00A36FA7" w:rsidRDefault="00FC2D33" w14:paraId="6BB3C155" w14:textId="77777777">
            <w:pPr>
              <w:spacing w:line="240" w:lineRule="auto"/>
              <w:ind w:firstLine="0"/>
              <w:rPr>
                <w:rFonts w:cs="Arial"/>
                <w:szCs w:val="26"/>
              </w:rPr>
            </w:pPr>
          </w:p>
        </w:tc>
        <w:tc>
          <w:tcPr>
            <w:tcW w:w="4680" w:type="dxa"/>
            <w:tcBorders>
              <w:top w:val="nil"/>
              <w:left w:val="single" w:color="auto" w:sz="4" w:space="0"/>
              <w:bottom w:val="nil"/>
              <w:right w:val="nil"/>
            </w:tcBorders>
            <w:vAlign w:val="center"/>
            <w:hideMark/>
          </w:tcPr>
          <w:p w:rsidR="008956EC" w:rsidP="008956EC" w:rsidRDefault="008956EC" w14:paraId="3BC488EB" w14:textId="77777777">
            <w:pPr>
              <w:spacing w:line="240" w:lineRule="auto"/>
              <w:ind w:firstLine="0"/>
              <w:jc w:val="center"/>
              <w:rPr>
                <w:rFonts w:cs="Arial"/>
                <w:szCs w:val="26"/>
              </w:rPr>
            </w:pPr>
            <w:r>
              <w:rPr>
                <w:rFonts w:cs="Arial"/>
                <w:szCs w:val="26"/>
              </w:rPr>
              <w:t>(ECP)</w:t>
            </w:r>
          </w:p>
          <w:p w:rsidR="007A3033" w:rsidP="008956EC" w:rsidRDefault="00FC2D33" w14:paraId="48B03B81" w14:textId="77777777">
            <w:pPr>
              <w:spacing w:line="240" w:lineRule="auto"/>
              <w:ind w:firstLine="0"/>
              <w:jc w:val="center"/>
              <w:rPr>
                <w:rFonts w:cs="Arial"/>
                <w:szCs w:val="26"/>
              </w:rPr>
            </w:pPr>
            <w:r>
              <w:rPr>
                <w:rFonts w:cs="Arial"/>
                <w:szCs w:val="26"/>
              </w:rPr>
              <w:t>Case</w:t>
            </w:r>
            <w:r w:rsidR="007A3033">
              <w:rPr>
                <w:rFonts w:cs="Arial"/>
                <w:szCs w:val="26"/>
              </w:rPr>
              <w:t> </w:t>
            </w:r>
            <w:r w:rsidR="00FB6D5B">
              <w:rPr>
                <w:rFonts w:cs="Arial"/>
                <w:szCs w:val="26"/>
              </w:rPr>
              <w:t>25-10-021</w:t>
            </w:r>
          </w:p>
          <w:p w:rsidR="00FC2D33" w:rsidP="008956EC" w:rsidRDefault="00FC2D33" w14:paraId="08D537DD" w14:textId="4DE3998A">
            <w:pPr>
              <w:spacing w:line="240" w:lineRule="auto"/>
              <w:ind w:firstLine="0"/>
              <w:jc w:val="center"/>
              <w:rPr>
                <w:rFonts w:cs="Arial"/>
                <w:szCs w:val="26"/>
              </w:rPr>
            </w:pPr>
          </w:p>
        </w:tc>
      </w:tr>
    </w:tbl>
    <w:p w:rsidR="00FC2D33" w:rsidP="00FC2D33" w:rsidRDefault="00FC2D33" w14:paraId="2B003931" w14:textId="77777777">
      <w:pPr>
        <w:spacing w:line="240" w:lineRule="auto"/>
        <w:ind w:firstLine="0"/>
        <w:rPr>
          <w:rFonts w:ascii="Arial" w:hAnsi="Arial" w:eastAsia="Calibri" w:cs="Arial"/>
          <w:sz w:val="24"/>
          <w:szCs w:val="24"/>
        </w:rPr>
      </w:pPr>
    </w:p>
    <w:p w:rsidR="00FC2D33" w:rsidP="00FC2D33" w:rsidRDefault="00FC2D33" w14:paraId="429EE3CB" w14:textId="77777777">
      <w:pPr>
        <w:spacing w:line="240" w:lineRule="auto"/>
        <w:ind w:firstLine="0"/>
        <w:rPr>
          <w:rFonts w:ascii="Arial" w:hAnsi="Arial" w:eastAsia="Calibri" w:cs="Arial"/>
          <w:sz w:val="24"/>
          <w:szCs w:val="24"/>
        </w:rPr>
      </w:pPr>
    </w:p>
    <w:p w:rsidR="00FC2D33" w:rsidP="007A3033" w:rsidRDefault="00FC2D33" w14:paraId="6495B82A" w14:textId="309638C2">
      <w:pPr>
        <w:ind w:firstLine="0"/>
        <w:jc w:val="center"/>
        <w:rPr>
          <w:rFonts w:ascii="Arial" w:hAnsi="Arial" w:eastAsia="Times New Roman" w:cs="Times New Roman"/>
          <w:b/>
          <w:caps/>
          <w:szCs w:val="56"/>
        </w:rPr>
      </w:pPr>
      <w:bookmarkStart w:name="_Hlk54356077" w:id="1"/>
      <w:r>
        <w:rPr>
          <w:rFonts w:ascii="Arial" w:hAnsi="Arial" w:eastAsia="Times New Roman" w:cs="Times New Roman"/>
          <w:b/>
          <w:caps/>
          <w:szCs w:val="56"/>
        </w:rPr>
        <w:t xml:space="preserve">DECISION </w:t>
      </w:r>
      <w:r w:rsidR="006573A9">
        <w:rPr>
          <w:rFonts w:ascii="Arial" w:hAnsi="Arial" w:eastAsia="Times New Roman" w:cs="Times New Roman"/>
          <w:b/>
          <w:caps/>
          <w:szCs w:val="56"/>
        </w:rPr>
        <w:t>GRANTING REQUESTED RELIEF</w:t>
      </w:r>
    </w:p>
    <w:p w:rsidR="00FC2D33" w:rsidP="007A3033" w:rsidRDefault="00FC2D33" w14:paraId="5EC6FFCB" w14:textId="77777777">
      <w:pPr>
        <w:keepNext/>
        <w:keepLines/>
        <w:ind w:left="720" w:right="2160" w:hanging="720"/>
        <w:outlineLvl w:val="0"/>
        <w:rPr>
          <w:rFonts w:ascii="Arial" w:hAnsi="Arial" w:eastAsia="Times New Roman" w:cs="Times New Roman"/>
          <w:b/>
          <w:szCs w:val="32"/>
        </w:rPr>
      </w:pPr>
      <w:bookmarkStart w:name="_Toc104469878" w:id="2"/>
      <w:bookmarkEnd w:id="1"/>
      <w:r>
        <w:rPr>
          <w:rFonts w:ascii="Arial" w:hAnsi="Arial" w:eastAsia="Times New Roman" w:cs="Times New Roman"/>
          <w:b/>
          <w:szCs w:val="32"/>
        </w:rPr>
        <w:t>Summary</w:t>
      </w:r>
      <w:bookmarkEnd w:id="2"/>
    </w:p>
    <w:p w:rsidR="00FC2D33" w:rsidP="00FC2D33" w:rsidRDefault="00FC2D33" w14:paraId="134FF51A" w14:textId="3E845C76">
      <w:pPr>
        <w:rPr>
          <w:rFonts w:eastAsia="Calibri" w:cs="Times New Roman"/>
        </w:rPr>
      </w:pPr>
      <w:r>
        <w:rPr>
          <w:rFonts w:eastAsia="Calibri" w:cs="Times New Roman"/>
        </w:rPr>
        <w:t xml:space="preserve">The decision </w:t>
      </w:r>
      <w:r w:rsidR="006573A9">
        <w:rPr>
          <w:rFonts w:eastAsia="Calibri" w:cs="Times New Roman"/>
        </w:rPr>
        <w:t>grants</w:t>
      </w:r>
      <w:r>
        <w:rPr>
          <w:rFonts w:eastAsia="Calibri" w:cs="Times New Roman"/>
        </w:rPr>
        <w:t xml:space="preserve"> the requested relief</w:t>
      </w:r>
      <w:bookmarkStart w:name="_Hlk95991396" w:id="3"/>
      <w:r>
        <w:rPr>
          <w:rFonts w:eastAsia="Calibri" w:cs="Times New Roman"/>
        </w:rPr>
        <w:t>.</w:t>
      </w:r>
      <w:bookmarkEnd w:id="3"/>
    </w:p>
    <w:p w:rsidR="00FC2D33" w:rsidP="00FC2D33" w:rsidRDefault="00FC2D33" w14:paraId="7D7A9E90" w14:textId="15111797">
      <w:pPr>
        <w:tabs>
          <w:tab w:val="center" w:pos="5040"/>
        </w:tabs>
        <w:rPr>
          <w:rFonts w:eastAsia="Calibri" w:cs="Times New Roman"/>
        </w:rPr>
      </w:pPr>
      <w:r>
        <w:rPr>
          <w:rFonts w:eastAsia="Calibri" w:cs="Times New Roman"/>
        </w:rPr>
        <w:t>This proceeding is closed.</w:t>
      </w:r>
    </w:p>
    <w:p w:rsidRPr="00FB6D5B" w:rsidR="00FC2D33" w:rsidP="00A5144D" w:rsidRDefault="00FC2D33" w14:paraId="6421FC63" w14:textId="5E13D39C">
      <w:pPr>
        <w:pStyle w:val="ListParagraph"/>
        <w:keepNext/>
        <w:keepLines/>
        <w:numPr>
          <w:ilvl w:val="0"/>
          <w:numId w:val="4"/>
        </w:numPr>
        <w:ind w:left="720" w:right="2160" w:hanging="720"/>
        <w:outlineLvl w:val="0"/>
        <w:rPr>
          <w:rFonts w:ascii="Arial" w:hAnsi="Arial" w:eastAsia="Times New Roman" w:cs="Times New Roman"/>
          <w:b/>
          <w:szCs w:val="32"/>
        </w:rPr>
      </w:pPr>
      <w:r w:rsidRPr="00FB6D5B">
        <w:rPr>
          <w:rFonts w:ascii="Arial" w:hAnsi="Arial" w:eastAsia="Times New Roman" w:cs="Times New Roman"/>
          <w:b/>
          <w:szCs w:val="32"/>
        </w:rPr>
        <w:t>Factual and Procedural Background</w:t>
      </w:r>
    </w:p>
    <w:p w:rsidR="00FC2D33" w:rsidP="00FC2D33" w:rsidRDefault="00FC2D33" w14:paraId="06DC4865" w14:textId="5D7F0F7C">
      <w:pPr>
        <w:pStyle w:val="Standard"/>
        <w:rPr>
          <w:rFonts w:eastAsia="Calibri" w:cs="Times New Roman"/>
        </w:rPr>
      </w:pPr>
      <w:r>
        <w:rPr>
          <w:rFonts w:eastAsia="Calibri" w:cs="Times New Roman"/>
        </w:rPr>
        <w:t xml:space="preserve">On October </w:t>
      </w:r>
      <w:r w:rsidR="00FB6D5B">
        <w:rPr>
          <w:rFonts w:eastAsia="Calibri" w:cs="Times New Roman"/>
        </w:rPr>
        <w:t>31</w:t>
      </w:r>
      <w:r>
        <w:rPr>
          <w:rFonts w:eastAsia="Calibri" w:cs="Times New Roman"/>
        </w:rPr>
        <w:t xml:space="preserve">, 2025, </w:t>
      </w:r>
      <w:r w:rsidR="00FB6D5B">
        <w:rPr>
          <w:rFonts w:eastAsia="Calibri" w:cs="Times New Roman"/>
        </w:rPr>
        <w:t>Melissa Hicks</w:t>
      </w:r>
      <w:r>
        <w:rPr>
          <w:rFonts w:eastAsia="Calibri" w:cs="Times New Roman"/>
        </w:rPr>
        <w:t xml:space="preserve"> (Ms. </w:t>
      </w:r>
      <w:r w:rsidR="00FB6D5B">
        <w:rPr>
          <w:rFonts w:eastAsia="Calibri" w:cs="Times New Roman"/>
        </w:rPr>
        <w:t>Hicks</w:t>
      </w:r>
      <w:r>
        <w:rPr>
          <w:rFonts w:eastAsia="Calibri" w:cs="Times New Roman"/>
        </w:rPr>
        <w:t xml:space="preserve"> or Complainant) filed the instant complaint, </w:t>
      </w:r>
      <w:r w:rsidR="00FB6D5B">
        <w:rPr>
          <w:rFonts w:eastAsia="Calibri" w:cs="Times New Roman"/>
        </w:rPr>
        <w:t>asserting</w:t>
      </w:r>
      <w:r>
        <w:rPr>
          <w:rFonts w:eastAsia="Calibri" w:cs="Times New Roman"/>
        </w:rPr>
        <w:t xml:space="preserve"> that </w:t>
      </w:r>
      <w:r w:rsidR="00FB6D5B">
        <w:rPr>
          <w:rFonts w:eastAsia="Calibri" w:cs="Times New Roman"/>
        </w:rPr>
        <w:t xml:space="preserve">Pacific Bell </w:t>
      </w:r>
      <w:r w:rsidR="000E223E">
        <w:rPr>
          <w:rFonts w:eastAsia="Calibri" w:cs="Times New Roman"/>
        </w:rPr>
        <w:t xml:space="preserve">Telephone Company </w:t>
      </w:r>
      <w:r w:rsidR="00FB6D5B">
        <w:rPr>
          <w:rFonts w:eastAsia="Calibri" w:cs="Times New Roman"/>
        </w:rPr>
        <w:t>d/b/a/ AT&amp;T California (AT&amp;T or Defendant)</w:t>
      </w:r>
      <w:r>
        <w:rPr>
          <w:rFonts w:eastAsia="Calibri" w:cs="Times New Roman"/>
        </w:rPr>
        <w:t xml:space="preserve"> </w:t>
      </w:r>
      <w:r w:rsidR="00FB6D5B">
        <w:rPr>
          <w:rFonts w:eastAsia="Calibri" w:cs="Times New Roman"/>
        </w:rPr>
        <w:t xml:space="preserve">had stated that removing a phone line from her account would result in </w:t>
      </w:r>
      <w:r w:rsidR="00DD538D">
        <w:rPr>
          <w:rFonts w:eastAsia="Calibri" w:cs="Times New Roman"/>
        </w:rPr>
        <w:t>her</w:t>
      </w:r>
      <w:r w:rsidR="00FB6D5B">
        <w:rPr>
          <w:rFonts w:eastAsia="Calibri" w:cs="Times New Roman"/>
        </w:rPr>
        <w:t xml:space="preserve"> remaining </w:t>
      </w:r>
      <w:r w:rsidR="00DD538D">
        <w:rPr>
          <w:rFonts w:eastAsia="Calibri" w:cs="Times New Roman"/>
        </w:rPr>
        <w:t xml:space="preserve">phone </w:t>
      </w:r>
      <w:r w:rsidR="00FB6D5B">
        <w:rPr>
          <w:rFonts w:eastAsia="Calibri" w:cs="Times New Roman"/>
        </w:rPr>
        <w:t>line losing legacy status and receiving a new rate structure.</w:t>
      </w:r>
      <w:r>
        <w:rPr>
          <w:rFonts w:eastAsia="Calibri" w:cs="Times New Roman"/>
        </w:rPr>
        <w:t xml:space="preserve"> </w:t>
      </w:r>
      <w:r w:rsidR="00DD538D">
        <w:rPr>
          <w:rFonts w:eastAsia="Calibri" w:cs="Times New Roman"/>
        </w:rPr>
        <w:t xml:space="preserve"> </w:t>
      </w:r>
      <w:r>
        <w:rPr>
          <w:rFonts w:eastAsia="Calibri" w:cs="Times New Roman"/>
        </w:rPr>
        <w:t>Defendant</w:t>
      </w:r>
      <w:r w:rsidR="00FB6D5B">
        <w:rPr>
          <w:rFonts w:eastAsia="Calibri" w:cs="Times New Roman"/>
        </w:rPr>
        <w:t xml:space="preserve"> </w:t>
      </w:r>
      <w:r>
        <w:rPr>
          <w:rFonts w:eastAsia="Calibri" w:cs="Times New Roman"/>
        </w:rPr>
        <w:t xml:space="preserve">answered the complaint on </w:t>
      </w:r>
      <w:r w:rsidR="00FB6D5B">
        <w:rPr>
          <w:rFonts w:eastAsia="Calibri" w:cs="Times New Roman"/>
        </w:rPr>
        <w:t>December</w:t>
      </w:r>
      <w:r w:rsidR="00CC4C32">
        <w:rPr>
          <w:rFonts w:eastAsia="Calibri" w:cs="Times New Roman"/>
        </w:rPr>
        <w:t> </w:t>
      </w:r>
      <w:r w:rsidR="00FB6D5B">
        <w:rPr>
          <w:rFonts w:eastAsia="Calibri" w:cs="Times New Roman"/>
        </w:rPr>
        <w:t>23</w:t>
      </w:r>
      <w:r>
        <w:rPr>
          <w:rFonts w:eastAsia="Calibri" w:cs="Times New Roman"/>
        </w:rPr>
        <w:t xml:space="preserve">, 2025.  A remote hearing was held on </w:t>
      </w:r>
      <w:r w:rsidR="00FB6D5B">
        <w:rPr>
          <w:rFonts w:eastAsia="Calibri" w:cs="Times New Roman"/>
        </w:rPr>
        <w:t>January 14, 2026</w:t>
      </w:r>
      <w:r>
        <w:rPr>
          <w:rFonts w:eastAsia="Calibri" w:cs="Times New Roman"/>
        </w:rPr>
        <w:t>.</w:t>
      </w:r>
    </w:p>
    <w:p w:rsidR="00FC2D33" w:rsidP="00D7403C" w:rsidRDefault="00FC2D33" w14:paraId="4BD209C8" w14:textId="77777777">
      <w:pPr>
        <w:pStyle w:val="ListParagraph"/>
        <w:keepNext/>
        <w:keepLines/>
        <w:numPr>
          <w:ilvl w:val="0"/>
          <w:numId w:val="4"/>
        </w:numPr>
        <w:ind w:left="720" w:right="2160" w:hanging="720"/>
        <w:outlineLvl w:val="0"/>
        <w:rPr>
          <w:rFonts w:ascii="Arial" w:hAnsi="Arial" w:eastAsia="Times New Roman" w:cstheme="majorBidi"/>
          <w:b/>
          <w:szCs w:val="32"/>
        </w:rPr>
      </w:pPr>
      <w:bookmarkStart w:name="_Hlk94170269" w:id="4"/>
      <w:r w:rsidRPr="00FB6D5B">
        <w:rPr>
          <w:rFonts w:ascii="Arial" w:hAnsi="Arial" w:eastAsia="Times New Roman" w:cs="Times New Roman"/>
          <w:b/>
          <w:szCs w:val="32"/>
        </w:rPr>
        <w:t>Complainant’s</w:t>
      </w:r>
      <w:r>
        <w:rPr>
          <w:rFonts w:ascii="Arial" w:hAnsi="Arial" w:eastAsia="Times New Roman" w:cstheme="majorBidi"/>
          <w:b/>
          <w:szCs w:val="32"/>
        </w:rPr>
        <w:t xml:space="preserve"> Contentions</w:t>
      </w:r>
    </w:p>
    <w:bookmarkEnd w:id="4"/>
    <w:p w:rsidR="007057EE" w:rsidP="00FB6D5B" w:rsidRDefault="00FB6D5B" w14:paraId="0F1FF1DF" w14:textId="0DE6361E">
      <w:pPr>
        <w:pStyle w:val="Standard"/>
      </w:pPr>
      <w:r>
        <w:t xml:space="preserve">Ms. Hicks contends that AT&amp;T originally told her that if she was to port her phone number ending </w:t>
      </w:r>
      <w:r w:rsidR="004900D8">
        <w:t xml:space="preserve">in </w:t>
      </w:r>
      <w:r>
        <w:t xml:space="preserve">6645 (6645 line), her other phone line ending in 6648 </w:t>
      </w:r>
      <w:r>
        <w:lastRenderedPageBreak/>
        <w:t>(6648 line) would automatically be cancelled.</w:t>
      </w:r>
      <w:r>
        <w:rPr>
          <w:rStyle w:val="FootnoteReference"/>
        </w:rPr>
        <w:footnoteReference w:id="1"/>
      </w:r>
      <w:r w:rsidR="00384E9D">
        <w:t xml:space="preserve">  Ms. Hicks contends that AT&amp;T then reversed this position and stated that she could maintain her 6648 line after porting the 6645 line, but the 6648 line would lose legacy status and the rate would be transferred to a new rate structure </w:t>
      </w:r>
      <w:r w:rsidR="00813B04">
        <w:t>with</w:t>
      </w:r>
      <w:r w:rsidR="00384E9D">
        <w:t xml:space="preserve"> a higher cost.</w:t>
      </w:r>
      <w:r w:rsidR="007057EE">
        <w:t xml:space="preserve">  Ms. Hicks </w:t>
      </w:r>
      <w:r w:rsidR="008C5BC8">
        <w:t>contends</w:t>
      </w:r>
      <w:r w:rsidR="007057EE">
        <w:t xml:space="preserve"> that AT&amp;T stated that this was because she was cancelling a “bundled service.”</w:t>
      </w:r>
    </w:p>
    <w:p w:rsidR="00FB6D5B" w:rsidP="00FB6D5B" w:rsidRDefault="007057EE" w14:paraId="55D2EBF9" w14:textId="6F90C354">
      <w:pPr>
        <w:pStyle w:val="Standard"/>
      </w:pPr>
      <w:r>
        <w:t xml:space="preserve">Ms. Hicks argues that she does not have </w:t>
      </w:r>
      <w:r w:rsidR="002A4126">
        <w:t xml:space="preserve">a </w:t>
      </w:r>
      <w:r>
        <w:t xml:space="preserve">bundled service.  She states that she has </w:t>
      </w:r>
      <w:r w:rsidR="00F73D72">
        <w:t xml:space="preserve">had </w:t>
      </w:r>
      <w:r>
        <w:t xml:space="preserve">three copper phone lines since 2000, with a line ending in 6643 (6643 line) on a flat rate service, and the 6645 line and 6648 line </w:t>
      </w:r>
      <w:r w:rsidR="00C01DB5">
        <w:t xml:space="preserve">are </w:t>
      </w:r>
      <w:r>
        <w:t xml:space="preserve">on </w:t>
      </w:r>
      <w:r w:rsidR="00427508">
        <w:t xml:space="preserve">a </w:t>
      </w:r>
      <w:r>
        <w:t xml:space="preserve">measured rate service.  She </w:t>
      </w:r>
      <w:r w:rsidR="00E67A5D">
        <w:t>contends</w:t>
      </w:r>
      <w:r>
        <w:t xml:space="preserve"> that after AT&amp;T’s acquisition of Sprint, AT&amp;T chose to combine the 6645 line and 6648 line </w:t>
      </w:r>
      <w:r w:rsidR="00356C0B">
        <w:t>into</w:t>
      </w:r>
      <w:r>
        <w:t xml:space="preserve"> a common invoice under a new account.  She asserts that the charges for</w:t>
      </w:r>
      <w:r w:rsidR="001D5F93">
        <w:t xml:space="preserve"> </w:t>
      </w:r>
      <w:r w:rsidR="00356C0B">
        <w:t>her</w:t>
      </w:r>
      <w:r>
        <w:t xml:space="preserve"> 6645 and 6648 line</w:t>
      </w:r>
      <w:r w:rsidR="00D91E9D">
        <w:t>s</w:t>
      </w:r>
      <w:r>
        <w:t xml:space="preserve"> are billed </w:t>
      </w:r>
      <w:r w:rsidR="001D5F93">
        <w:t>individually.</w:t>
      </w:r>
    </w:p>
    <w:p w:rsidR="00110E09" w:rsidP="00FB6D5B" w:rsidRDefault="00110E09" w14:paraId="394B7149" w14:textId="24E61AE9">
      <w:pPr>
        <w:pStyle w:val="Standard"/>
      </w:pPr>
      <w:r>
        <w:t>Ms. Hicks requests that once her 6645 line is ported fr</w:t>
      </w:r>
      <w:r w:rsidR="00912E93">
        <w:t>om her account</w:t>
      </w:r>
      <w:r>
        <w:t xml:space="preserve">, the 6648 line </w:t>
      </w:r>
      <w:r w:rsidR="00D91E9D">
        <w:t xml:space="preserve">should </w:t>
      </w:r>
      <w:r>
        <w:t xml:space="preserve">be allowed to </w:t>
      </w:r>
      <w:r w:rsidR="001F3236">
        <w:t>retain</w:t>
      </w:r>
      <w:r>
        <w:t xml:space="preserve"> </w:t>
      </w:r>
      <w:r w:rsidR="00912E93">
        <w:t xml:space="preserve">its current </w:t>
      </w:r>
      <w:r w:rsidR="001F3236">
        <w:t xml:space="preserve">legacy </w:t>
      </w:r>
      <w:r>
        <w:t xml:space="preserve">status and </w:t>
      </w:r>
      <w:r w:rsidR="006A6EC6">
        <w:t xml:space="preserve">the same </w:t>
      </w:r>
      <w:r>
        <w:t>rate structure.</w:t>
      </w:r>
      <w:r w:rsidR="00EF10B8">
        <w:t xml:space="preserve">  </w:t>
      </w:r>
      <w:r w:rsidRPr="00673A43" w:rsidR="00EF10B8">
        <w:t xml:space="preserve">Ms. Hicks also requests that AT&amp;T refund </w:t>
      </w:r>
      <w:r w:rsidRPr="00673A43" w:rsidR="00912E93">
        <w:t xml:space="preserve">the </w:t>
      </w:r>
      <w:r w:rsidRPr="00673A43" w:rsidR="00EF10B8">
        <w:t xml:space="preserve">charges for the 6645 line </w:t>
      </w:r>
      <w:r w:rsidRPr="00673A43" w:rsidR="00912E93">
        <w:t>since</w:t>
      </w:r>
      <w:r w:rsidRPr="00673A43" w:rsidR="00EF10B8">
        <w:t xml:space="preserve"> the filing of her complaint</w:t>
      </w:r>
      <w:r w:rsidRPr="00673A43" w:rsidR="00B337A8">
        <w:t>,</w:t>
      </w:r>
      <w:r w:rsidRPr="00673A43" w:rsidR="00EF10B8">
        <w:t xml:space="preserve"> as she</w:t>
      </w:r>
      <w:r w:rsidRPr="00673A43" w:rsidR="0027226F">
        <w:t xml:space="preserve"> had to </w:t>
      </w:r>
      <w:r w:rsidRPr="00673A43" w:rsidR="00EF10B8">
        <w:t xml:space="preserve">establish a new mobile phone line </w:t>
      </w:r>
      <w:r w:rsidRPr="00673A43" w:rsidR="00CD383F">
        <w:t>while</w:t>
      </w:r>
      <w:r w:rsidRPr="00673A43" w:rsidR="00EF10B8">
        <w:t xml:space="preserve"> the complaint was </w:t>
      </w:r>
      <w:r w:rsidRPr="00673A43" w:rsidR="00CD383F">
        <w:t xml:space="preserve">under </w:t>
      </w:r>
      <w:r w:rsidRPr="00673A43" w:rsidR="00EF10B8">
        <w:t>review.</w:t>
      </w:r>
    </w:p>
    <w:p w:rsidR="002850BF" w:rsidP="0099542B" w:rsidRDefault="0099542B" w14:paraId="3611BB55" w14:textId="7C37477C">
      <w:pPr>
        <w:pStyle w:val="Standard"/>
      </w:pPr>
      <w:r>
        <w:t>At the hearing, Ms. Hicks stated that she could not port the 6648 line (instead of the 6645 line) for multiple reasons, including the current usages for each line.  Ms. Hicks testified that she did not make the choice in terms of how the lines would be billed, as this was AT&amp;T’s choice.</w:t>
      </w:r>
    </w:p>
    <w:p w:rsidR="00FC2D33" w:rsidP="00D7403C" w:rsidRDefault="00FC2D33" w14:paraId="4A96FF04" w14:textId="2926F006">
      <w:pPr>
        <w:pStyle w:val="ListParagraph"/>
        <w:keepNext/>
        <w:keepLines/>
        <w:numPr>
          <w:ilvl w:val="0"/>
          <w:numId w:val="4"/>
        </w:numPr>
        <w:ind w:left="720" w:right="2160" w:hanging="720"/>
        <w:outlineLvl w:val="0"/>
        <w:rPr>
          <w:rFonts w:ascii="Arial" w:hAnsi="Arial" w:eastAsia="Times New Roman" w:cstheme="majorBidi"/>
          <w:b/>
          <w:szCs w:val="32"/>
        </w:rPr>
      </w:pPr>
      <w:r w:rsidRPr="00FB6D5B">
        <w:rPr>
          <w:rFonts w:ascii="Arial" w:hAnsi="Arial" w:eastAsia="Times New Roman" w:cs="Times New Roman"/>
          <w:b/>
          <w:szCs w:val="32"/>
        </w:rPr>
        <w:t>Defendant’s</w:t>
      </w:r>
      <w:r>
        <w:rPr>
          <w:rFonts w:ascii="Arial" w:hAnsi="Arial" w:eastAsia="Times New Roman" w:cstheme="majorBidi"/>
          <w:b/>
          <w:szCs w:val="32"/>
        </w:rPr>
        <w:t xml:space="preserve"> Contentions</w:t>
      </w:r>
    </w:p>
    <w:p w:rsidR="00EF10B8" w:rsidP="00EF10B8" w:rsidRDefault="00EF10B8" w14:paraId="471D4C75" w14:textId="4A977B49">
      <w:pPr>
        <w:pStyle w:val="Standard"/>
      </w:pPr>
      <w:r>
        <w:t xml:space="preserve">AT&amp;T contends that Ms. Hicks was informed that AT&amp;T </w:t>
      </w:r>
      <w:r w:rsidR="00904EF4">
        <w:t xml:space="preserve">had </w:t>
      </w:r>
      <w:r>
        <w:t xml:space="preserve">updated its residential service offerings, and that </w:t>
      </w:r>
      <w:r w:rsidR="00C74ED2">
        <w:t xml:space="preserve">the customer notice and tariff stated that “Effective </w:t>
      </w:r>
      <w:r>
        <w:t xml:space="preserve">February 1, 2021, </w:t>
      </w:r>
      <w:r w:rsidR="00C74ED2">
        <w:t>Individual Line Measured Rate Residence Service (Residence Measured Rate Service) is no longer available to new subscribers.  Existing customers may keep the service but may not move or make changes to their service</w:t>
      </w:r>
      <w:r>
        <w:t>.”</w:t>
      </w:r>
      <w:r>
        <w:rPr>
          <w:rStyle w:val="FootnoteReference"/>
        </w:rPr>
        <w:footnoteReference w:id="2"/>
      </w:r>
    </w:p>
    <w:p w:rsidR="00C74ED2" w:rsidP="00EF10B8" w:rsidRDefault="00C74ED2" w14:paraId="02AEB9D4" w14:textId="259F1938">
      <w:pPr>
        <w:pStyle w:val="Standard"/>
      </w:pPr>
      <w:r>
        <w:t>AT&amp;T contends that the complaint fails to state a claim upon which relief can be granted.</w:t>
      </w:r>
      <w:r w:rsidR="00735279">
        <w:t xml:space="preserve">  AT&amp;T asserts that </w:t>
      </w:r>
      <w:r w:rsidR="002850BF">
        <w:t>its</w:t>
      </w:r>
      <w:r w:rsidR="00735279">
        <w:t xml:space="preserve"> rates and charges are</w:t>
      </w:r>
      <w:r w:rsidR="00904EF4">
        <w:t>,</w:t>
      </w:r>
      <w:r w:rsidR="00735279">
        <w:t xml:space="preserve"> and have been</w:t>
      </w:r>
      <w:r w:rsidR="00904EF4">
        <w:t>,</w:t>
      </w:r>
      <w:r w:rsidR="00735279">
        <w:t xml:space="preserve"> in full compliance with applicable tariffs</w:t>
      </w:r>
      <w:r w:rsidR="00C428E2">
        <w:t xml:space="preserve"> and therefore, “the relief Complainant requests is barred by the filed-rate doctrine, also known as the filed-tariff doctrine, and Cal. Pub. Util. Code </w:t>
      </w:r>
      <w:r w:rsidRPr="00F629CB" w:rsidR="00C428E2">
        <w:t>§</w:t>
      </w:r>
      <w:r w:rsidR="00C428E2">
        <w:t>532.”</w:t>
      </w:r>
      <w:r w:rsidR="00990CCD">
        <w:rPr>
          <w:rStyle w:val="FootnoteReference"/>
        </w:rPr>
        <w:footnoteReference w:id="3"/>
      </w:r>
      <w:r w:rsidR="0008166B">
        <w:t xml:space="preserve">  AT&amp;T requests that the complaint be dismissed with prejudice.</w:t>
      </w:r>
    </w:p>
    <w:p w:rsidR="00B85877" w:rsidP="00EF10B8" w:rsidRDefault="00A479DF" w14:paraId="57EE16A5" w14:textId="4CCAAE69">
      <w:pPr>
        <w:pStyle w:val="Standard"/>
      </w:pPr>
      <w:r>
        <w:t xml:space="preserve">At the hearing, </w:t>
      </w:r>
      <w:r w:rsidR="00B85877">
        <w:t xml:space="preserve">AT&amp;T’s representative stated that the 6645 line is currently the primary billing number on the account and the line that is being requested to be ported out.  </w:t>
      </w:r>
      <w:r w:rsidR="0099542B">
        <w:t>Following the porting of the 6645 line, t</w:t>
      </w:r>
      <w:r w:rsidR="00B85877">
        <w:t>he 6648 line would become the new primary billing number</w:t>
      </w:r>
      <w:r w:rsidR="0099542B">
        <w:t xml:space="preserve">, which would constitute a change for billing purposes.  The representative stated that porting out the 6648 line, instead, would not trigger a change for billing purposes and the 6645 line could remain under the </w:t>
      </w:r>
      <w:r w:rsidR="00C01DB5">
        <w:t>legacy</w:t>
      </w:r>
      <w:r w:rsidR="0099542B">
        <w:t xml:space="preserve"> rate.</w:t>
      </w:r>
    </w:p>
    <w:p w:rsidR="00A479DF" w:rsidP="00EF10B8" w:rsidRDefault="00F30930" w14:paraId="2002249A" w14:textId="42C54D58">
      <w:pPr>
        <w:pStyle w:val="Standard"/>
        <w:rPr>
          <w:rFonts w:ascii="Arial" w:hAnsi="Arial" w:eastAsia="Times New Roman" w:cstheme="majorBidi"/>
          <w:b/>
          <w:szCs w:val="32"/>
        </w:rPr>
      </w:pPr>
      <w:r>
        <w:t>At the hearing, a</w:t>
      </w:r>
      <w:r w:rsidR="00C91AAC">
        <w:t xml:space="preserve">t the request of the Administrative Law Judge, </w:t>
      </w:r>
      <w:r w:rsidR="00A479DF">
        <w:t xml:space="preserve">AT&amp;T’s representative testified </w:t>
      </w:r>
      <w:r w:rsidR="00C91AAC">
        <w:t xml:space="preserve">that he would see if there were any exceptions that could be made so that Complainant’s </w:t>
      </w:r>
      <w:r w:rsidR="00F63C79">
        <w:t xml:space="preserve">6648 line could maintain legacy status and </w:t>
      </w:r>
      <w:r w:rsidR="00A23AC1">
        <w:t>the same rate structure, following the porting of the 6645 line.  Following the hearing, AT&amp;T’s representative sent an update to the service list of this proceeding to state that AT&amp;T is unable to maintain the 6648 line as a measured rate line once the 6645 line is ported and that the “limitation arises from technical constraints, which require the remaining measured rate line to convert to a flat rate if there is a change in service.”</w:t>
      </w:r>
      <w:r w:rsidR="0033126F">
        <w:t xml:space="preserve">  The representative stated that once the 6645 line i</w:t>
      </w:r>
      <w:r w:rsidR="00DC1B84">
        <w:t>s</w:t>
      </w:r>
      <w:r w:rsidR="0033126F">
        <w:t xml:space="preserve"> ported, “6648 will become the primary number and will be billed at the flat rate.”</w:t>
      </w:r>
      <w:r w:rsidR="00B86304">
        <w:t xml:space="preserve">  The representative stated that as a courtesy to Ms. Hicks’ situation, AT&amp;T has issued a one-time credit of $33 to offset the difference between a year of flat rate and measured rate service ($2.75 per month for 12 months).</w:t>
      </w:r>
    </w:p>
    <w:p w:rsidR="00FC2D33" w:rsidP="00D7403C" w:rsidRDefault="00FC2D33" w14:paraId="00DC0CBF" w14:textId="59E52730">
      <w:pPr>
        <w:pStyle w:val="ListParagraph"/>
        <w:keepNext/>
        <w:keepLines/>
        <w:numPr>
          <w:ilvl w:val="0"/>
          <w:numId w:val="4"/>
        </w:numPr>
        <w:ind w:left="720" w:right="2160" w:hanging="720"/>
        <w:outlineLvl w:val="0"/>
        <w:rPr>
          <w:rFonts w:ascii="Arial" w:hAnsi="Arial" w:eastAsia="Times New Roman" w:cstheme="majorBidi"/>
          <w:b/>
          <w:szCs w:val="32"/>
        </w:rPr>
      </w:pPr>
      <w:r w:rsidRPr="006E6279">
        <w:rPr>
          <w:rFonts w:ascii="Arial" w:hAnsi="Arial" w:eastAsia="Times New Roman" w:cs="Times New Roman"/>
          <w:b/>
          <w:szCs w:val="32"/>
        </w:rPr>
        <w:t>Discussion</w:t>
      </w:r>
    </w:p>
    <w:p w:rsidR="00FC2D33" w:rsidP="00FC2D33" w:rsidRDefault="00FC2D33" w14:paraId="14E1AE31" w14:textId="09BD7C61">
      <w:pPr>
        <w:pStyle w:val="Standard"/>
      </w:pPr>
      <w:r>
        <w:t>In a complaint proceeding, the Public Utilities Code requires that a complaint allege “any act or thing done or omitted to be done by any public utility</w:t>
      </w:r>
      <w:r w:rsidR="00707FB7">
        <w:t xml:space="preserve"> </w:t>
      </w:r>
      <w:r>
        <w:t>… in violation or claimed to be in violation, of any provision of law or of any order or rule of the commission.”</w:t>
      </w:r>
      <w:r w:rsidRPr="00707FB7">
        <w:rPr>
          <w:rStyle w:val="FootnoteReference"/>
          <w:sz w:val="22"/>
        </w:rPr>
        <w:footnoteReference w:id="4"/>
      </w:r>
      <w:r w:rsidRPr="00707FB7">
        <w:rPr>
          <w:sz w:val="22"/>
        </w:rPr>
        <w:t xml:space="preserve"> </w:t>
      </w:r>
      <w:r>
        <w:t xml:space="preserve"> </w:t>
      </w:r>
      <w:r w:rsidR="00963F5B">
        <w:t xml:space="preserve"> Pursuant to Public Utilities (Pub. Util.) Code Section 451, “[a]</w:t>
      </w:r>
      <w:proofErr w:type="spellStart"/>
      <w:r w:rsidR="00963F5B">
        <w:t>ll</w:t>
      </w:r>
      <w:proofErr w:type="spellEnd"/>
      <w:r w:rsidR="00963F5B">
        <w:t xml:space="preserve"> rules made by a public utility affecting or pertaining to its charges or service to the public shall be just and reasonable.”</w:t>
      </w:r>
    </w:p>
    <w:p w:rsidR="00964069" w:rsidP="00964069" w:rsidRDefault="00100FE6" w14:paraId="7984153A" w14:textId="158467E1">
      <w:pPr>
        <w:pStyle w:val="Standard"/>
      </w:pPr>
      <w:r>
        <w:t xml:space="preserve">This proceeding hinges on AT&amp;T’s customer notice and tariff for residential offerings, which provides: </w:t>
      </w:r>
      <w:r w:rsidR="00964069">
        <w:t>“Effective February 1, 2021, Individual Line Measured Rate Residence Service (Residence Measured Rate Service) is no longer available to new subscribers.  Existing customers may keep the service but may not move or make changes to their service.”</w:t>
      </w:r>
      <w:r w:rsidR="00964069">
        <w:rPr>
          <w:rStyle w:val="FootnoteReference"/>
        </w:rPr>
        <w:footnoteReference w:id="5"/>
      </w:r>
      <w:r w:rsidR="00563386">
        <w:t xml:space="preserve">  AT&amp;T contends that </w:t>
      </w:r>
      <w:r>
        <w:t>porting Ms. Hicks’</w:t>
      </w:r>
      <w:r w:rsidR="00563386">
        <w:t xml:space="preserve"> </w:t>
      </w:r>
      <w:r>
        <w:t xml:space="preserve">6645 </w:t>
      </w:r>
      <w:r w:rsidR="00563386">
        <w:t>phone line</w:t>
      </w:r>
      <w:r>
        <w:t xml:space="preserve"> </w:t>
      </w:r>
      <w:r w:rsidR="00563386">
        <w:t xml:space="preserve">constitutes a “change” </w:t>
      </w:r>
      <w:r w:rsidR="006573A9">
        <w:t>to</w:t>
      </w:r>
      <w:r w:rsidR="00563386">
        <w:t xml:space="preserve"> service</w:t>
      </w:r>
      <w:r>
        <w:t xml:space="preserve"> because the 6645 line </w:t>
      </w:r>
      <w:r w:rsidR="006573A9">
        <w:t>was designated</w:t>
      </w:r>
      <w:r>
        <w:t xml:space="preserve"> as Ms. Hicks’ primary billing number</w:t>
      </w:r>
      <w:r w:rsidR="00563386">
        <w:t xml:space="preserve">.  At the hearing, AT&amp;T’s representative </w:t>
      </w:r>
      <w:r>
        <w:t xml:space="preserve">acknowledged that AT&amp;T – not Ms. Hicks - designated the 6645 line as the primary billing </w:t>
      </w:r>
      <w:r w:rsidR="006573A9">
        <w:t>number</w:t>
      </w:r>
      <w:r>
        <w:t xml:space="preserve">.  The representative also </w:t>
      </w:r>
      <w:r w:rsidR="006573A9">
        <w:t>acknowledged</w:t>
      </w:r>
      <w:r>
        <w:t xml:space="preserve"> that </w:t>
      </w:r>
      <w:r w:rsidR="00F93B20">
        <w:t xml:space="preserve">if the 6648 line </w:t>
      </w:r>
      <w:r>
        <w:t>had</w:t>
      </w:r>
      <w:r w:rsidR="00F93B20">
        <w:t xml:space="preserve"> instead</w:t>
      </w:r>
      <w:r>
        <w:t xml:space="preserve"> been</w:t>
      </w:r>
      <w:r w:rsidR="00F93B20">
        <w:t xml:space="preserve"> </w:t>
      </w:r>
      <w:r w:rsidR="0054507A">
        <w:t xml:space="preserve">designated </w:t>
      </w:r>
      <w:r w:rsidR="006573A9">
        <w:t xml:space="preserve">as </w:t>
      </w:r>
      <w:r w:rsidR="00F93B20">
        <w:t xml:space="preserve">the primary billing number, </w:t>
      </w:r>
      <w:r>
        <w:t>porting the 6645 line</w:t>
      </w:r>
      <w:r w:rsidR="00F93B20">
        <w:t xml:space="preserve"> would no</w:t>
      </w:r>
      <w:r>
        <w:t>t</w:t>
      </w:r>
      <w:r w:rsidR="00F93B20">
        <w:t xml:space="preserve"> trigger a “change” </w:t>
      </w:r>
      <w:r w:rsidR="00C01DB5">
        <w:t xml:space="preserve">of service </w:t>
      </w:r>
      <w:r w:rsidR="00F93B20">
        <w:t>for billing purposes</w:t>
      </w:r>
      <w:r>
        <w:t>.</w:t>
      </w:r>
    </w:p>
    <w:p w:rsidR="008F2D6F" w:rsidP="006C3484" w:rsidRDefault="00476F15" w14:paraId="4B9F5E6B" w14:textId="1AE09313">
      <w:pPr>
        <w:pStyle w:val="Standard"/>
      </w:pPr>
      <w:r>
        <w:t xml:space="preserve">The Commission finds that </w:t>
      </w:r>
      <w:r w:rsidR="006C3484">
        <w:t>AT&amp;T’s</w:t>
      </w:r>
      <w:r>
        <w:t xml:space="preserve"> customer notice and tariff </w:t>
      </w:r>
      <w:r w:rsidR="003730A7">
        <w:t>fails to</w:t>
      </w:r>
      <w:r w:rsidR="00100FE6">
        <w:t xml:space="preserve"> provide</w:t>
      </w:r>
      <w:r w:rsidR="006C3484">
        <w:t xml:space="preserve"> reasonable </w:t>
      </w:r>
      <w:r w:rsidR="00100FE6">
        <w:t xml:space="preserve">notice </w:t>
      </w:r>
      <w:r w:rsidR="00D6533E">
        <w:t xml:space="preserve">to </w:t>
      </w:r>
      <w:r w:rsidR="007A148B">
        <w:t>Ms. Hicks</w:t>
      </w:r>
      <w:r w:rsidR="00D6533E">
        <w:t xml:space="preserve"> that removal of </w:t>
      </w:r>
      <w:r w:rsidR="003730A7">
        <w:t xml:space="preserve">an unbundled phone line from her account </w:t>
      </w:r>
      <w:r w:rsidR="006C3484">
        <w:t>would constitute a change of service</w:t>
      </w:r>
      <w:r w:rsidR="00D6533E">
        <w:t xml:space="preserve">.  </w:t>
      </w:r>
      <w:r w:rsidR="003730A7">
        <w:t>A</w:t>
      </w:r>
      <w:r w:rsidRPr="008F2D6F" w:rsidR="00787B19">
        <w:t xml:space="preserve">n average residential customer could </w:t>
      </w:r>
      <w:r w:rsidRPr="008F2D6F" w:rsidR="008F2D6F">
        <w:t xml:space="preserve">not </w:t>
      </w:r>
      <w:r w:rsidRPr="008F2D6F" w:rsidR="00787B19">
        <w:t xml:space="preserve">reasonably expect that the removal of </w:t>
      </w:r>
      <w:r w:rsidR="003730A7">
        <w:t>an unbundled phone</w:t>
      </w:r>
      <w:r w:rsidRPr="008F2D6F" w:rsidR="00787B19">
        <w:t xml:space="preserve"> line from </w:t>
      </w:r>
      <w:r w:rsidR="003730A7">
        <w:t xml:space="preserve">an </w:t>
      </w:r>
      <w:r w:rsidRPr="008F2D6F" w:rsidR="00787B19">
        <w:t xml:space="preserve">account, while </w:t>
      </w:r>
      <w:r w:rsidRPr="008F2D6F" w:rsidR="008F2D6F">
        <w:t xml:space="preserve">still maintaining </w:t>
      </w:r>
      <w:r w:rsidR="003730A7">
        <w:t>an existing</w:t>
      </w:r>
      <w:r w:rsidRPr="008F2D6F" w:rsidR="00787B19">
        <w:t xml:space="preserve"> </w:t>
      </w:r>
      <w:r w:rsidRPr="008F2D6F" w:rsidR="008F2D6F">
        <w:t xml:space="preserve">AT&amp;T </w:t>
      </w:r>
      <w:r w:rsidRPr="008F2D6F" w:rsidR="00787B19">
        <w:t xml:space="preserve">phone line, </w:t>
      </w:r>
      <w:r w:rsidRPr="008F2D6F" w:rsidR="008F2D6F">
        <w:t>would</w:t>
      </w:r>
      <w:r w:rsidRPr="008F2D6F" w:rsidR="00787B19">
        <w:t xml:space="preserve"> constitute a “move” or “change</w:t>
      </w:r>
      <w:r w:rsidRPr="008F2D6F" w:rsidR="008F2D6F">
        <w:t>”</w:t>
      </w:r>
      <w:r w:rsidRPr="008F2D6F" w:rsidR="00787B19">
        <w:t xml:space="preserve"> to their service</w:t>
      </w:r>
      <w:r w:rsidR="008F2D6F">
        <w:t>.</w:t>
      </w:r>
      <w:r w:rsidR="00787B19">
        <w:t xml:space="preserve">  </w:t>
      </w:r>
      <w:r w:rsidR="003730A7">
        <w:t>Moreover</w:t>
      </w:r>
      <w:r w:rsidR="007A148B">
        <w:t xml:space="preserve">, the language </w:t>
      </w:r>
      <w:r w:rsidR="003730A7">
        <w:t>AT&amp;T relies upon</w:t>
      </w:r>
      <w:r w:rsidR="007A148B">
        <w:t xml:space="preserve"> </w:t>
      </w:r>
      <w:r w:rsidR="003730A7">
        <w:t>i</w:t>
      </w:r>
      <w:r w:rsidR="007A148B">
        <w:t xml:space="preserve">s found </w:t>
      </w:r>
      <w:r w:rsidR="003730A7">
        <w:t xml:space="preserve">buried in </w:t>
      </w:r>
      <w:r w:rsidR="007A148B">
        <w:t xml:space="preserve">a footnote within AT&amp;T’s </w:t>
      </w:r>
      <w:r w:rsidR="003730A7">
        <w:t>tariff schedule</w:t>
      </w:r>
      <w:r w:rsidR="007A148B">
        <w:t>.</w:t>
      </w:r>
      <w:r w:rsidR="007A148B">
        <w:rPr>
          <w:rStyle w:val="FootnoteReference"/>
        </w:rPr>
        <w:footnoteReference w:id="6"/>
      </w:r>
    </w:p>
    <w:p w:rsidR="00476F15" w:rsidP="006C3484" w:rsidRDefault="008F2D6F" w14:paraId="0E8DE274" w14:textId="54BA0D95">
      <w:pPr>
        <w:pStyle w:val="Standard"/>
      </w:pPr>
      <w:r>
        <w:t>In addition</w:t>
      </w:r>
      <w:r w:rsidR="006C3484">
        <w:t>,</w:t>
      </w:r>
      <w:r w:rsidR="00D6533E">
        <w:t xml:space="preserve"> </w:t>
      </w:r>
      <w:r w:rsidR="009628D3">
        <w:t xml:space="preserve">the Commission finds </w:t>
      </w:r>
      <w:r w:rsidR="007A148B">
        <w:t>AT&amp;T’s a</w:t>
      </w:r>
      <w:r w:rsidR="009628D3">
        <w:t>pplication of its tariff and notice language to Ms. Hicks’ account to be arbitrary.  AT&amp;T’s assertion that</w:t>
      </w:r>
      <w:r w:rsidR="00D6533E">
        <w:t xml:space="preserve"> removing </w:t>
      </w:r>
      <w:r w:rsidR="009628D3">
        <w:t>one of Ms. Hicks’</w:t>
      </w:r>
      <w:r w:rsidR="00D6533E">
        <w:t xml:space="preserve"> </w:t>
      </w:r>
      <w:r w:rsidR="00D846C8">
        <w:t xml:space="preserve">unbundled </w:t>
      </w:r>
      <w:r w:rsidR="00D6533E">
        <w:t>phone number</w:t>
      </w:r>
      <w:r w:rsidR="009628D3">
        <w:t>s would</w:t>
      </w:r>
      <w:r w:rsidR="00D6533E">
        <w:t xml:space="preserve"> constitute a “change” to service</w:t>
      </w:r>
      <w:r w:rsidR="006C3484">
        <w:t xml:space="preserve">, </w:t>
      </w:r>
      <w:r w:rsidR="007A148B">
        <w:t>while</w:t>
      </w:r>
      <w:r w:rsidR="00D6533E">
        <w:t xml:space="preserve"> remov</w:t>
      </w:r>
      <w:r w:rsidR="007A148B">
        <w:t>ing</w:t>
      </w:r>
      <w:r w:rsidR="00D6533E">
        <w:t xml:space="preserve"> </w:t>
      </w:r>
      <w:r w:rsidR="00D846C8">
        <w:t>the other</w:t>
      </w:r>
      <w:r w:rsidR="006C3484">
        <w:t xml:space="preserve"> </w:t>
      </w:r>
      <w:r w:rsidR="00D6533E">
        <w:t>phone number would not constitute a “change</w:t>
      </w:r>
      <w:r w:rsidR="007A148B">
        <w:t>,</w:t>
      </w:r>
      <w:r w:rsidR="00D846C8">
        <w:t>”</w:t>
      </w:r>
      <w:r w:rsidR="00D6533E">
        <w:t xml:space="preserve"> is </w:t>
      </w:r>
      <w:r w:rsidR="009628D3">
        <w:t xml:space="preserve">arbitrary and </w:t>
      </w:r>
      <w:r w:rsidR="006C3484">
        <w:t>unreasonable</w:t>
      </w:r>
      <w:r w:rsidR="00D6533E">
        <w:t>.</w:t>
      </w:r>
      <w:r w:rsidR="00787B19">
        <w:t xml:space="preserve">  </w:t>
      </w:r>
      <w:r w:rsidR="007A148B">
        <w:t>Ms. Hicks</w:t>
      </w:r>
      <w:r w:rsidR="00787B19">
        <w:t xml:space="preserve"> did not designate which phone number would be the primary phone number </w:t>
      </w:r>
      <w:r w:rsidR="009628D3">
        <w:t xml:space="preserve">on her account </w:t>
      </w:r>
      <w:r w:rsidR="00787B19">
        <w:t xml:space="preserve">and therefore, </w:t>
      </w:r>
      <w:r w:rsidR="009628D3">
        <w:t xml:space="preserve">she </w:t>
      </w:r>
      <w:r w:rsidR="00787B19">
        <w:t xml:space="preserve">should not be penalized </w:t>
      </w:r>
      <w:r w:rsidR="007A148B">
        <w:t>for</w:t>
      </w:r>
      <w:r w:rsidR="00787B19">
        <w:t xml:space="preserve"> AT&amp;T’s </w:t>
      </w:r>
      <w:r w:rsidR="00D846C8">
        <w:t xml:space="preserve">unilateral </w:t>
      </w:r>
      <w:r w:rsidR="00650812">
        <w:t xml:space="preserve">billing </w:t>
      </w:r>
      <w:r w:rsidR="00787B19">
        <w:t>designation</w:t>
      </w:r>
      <w:r w:rsidR="00384F2F">
        <w:t xml:space="preserve"> of the primary number</w:t>
      </w:r>
      <w:r w:rsidR="00787B19">
        <w:t>.</w:t>
      </w:r>
    </w:p>
    <w:p w:rsidR="000C4AA6" w:rsidP="000C4AA6" w:rsidRDefault="00963F5B" w14:paraId="121084B9" w14:textId="7445445C">
      <w:pPr>
        <w:pStyle w:val="Standard"/>
      </w:pPr>
      <w:r>
        <w:t>For these reasons</w:t>
      </w:r>
      <w:r w:rsidR="007A148B">
        <w:t>,</w:t>
      </w:r>
      <w:r w:rsidR="00787B19">
        <w:t xml:space="preserve"> the Commission </w:t>
      </w:r>
      <w:r w:rsidR="007A148B">
        <w:t>finds that AT&amp;T’s application of its tariff to the instant complaint is not just and reasonable under Pub. Util. Code</w:t>
      </w:r>
      <w:r w:rsidR="00A42777">
        <w:t> </w:t>
      </w:r>
      <w:r w:rsidRPr="00F629CB" w:rsidR="007A148B">
        <w:t>§</w:t>
      </w:r>
      <w:r w:rsidR="007A148B">
        <w:t xml:space="preserve">451.  The Commission </w:t>
      </w:r>
      <w:r w:rsidR="000C4AA6">
        <w:t xml:space="preserve">hereby </w:t>
      </w:r>
      <w:r w:rsidR="007A148B">
        <w:t>grants Ms. Hicks</w:t>
      </w:r>
      <w:r w:rsidR="000C4AA6">
        <w:t>’</w:t>
      </w:r>
      <w:r w:rsidR="007A148B">
        <w:t xml:space="preserve"> </w:t>
      </w:r>
      <w:r w:rsidR="00787B19">
        <w:t>requested relief</w:t>
      </w:r>
      <w:r w:rsidR="00D846C8">
        <w:t>, as follows below:</w:t>
      </w:r>
    </w:p>
    <w:p w:rsidR="009C1EB7" w:rsidP="000C4AA6" w:rsidRDefault="00787B19" w14:paraId="399DE153" w14:textId="205C7157">
      <w:pPr>
        <w:pStyle w:val="Standard"/>
      </w:pPr>
      <w:r>
        <w:t xml:space="preserve">As of the </w:t>
      </w:r>
      <w:r w:rsidR="00D846C8">
        <w:t xml:space="preserve">hearing </w:t>
      </w:r>
      <w:r>
        <w:t xml:space="preserve">date, </w:t>
      </w:r>
      <w:r w:rsidR="007A148B">
        <w:t>Ms. Hicks</w:t>
      </w:r>
      <w:r>
        <w:t xml:space="preserve"> ha</w:t>
      </w:r>
      <w:r w:rsidR="007A148B">
        <w:t>d</w:t>
      </w:r>
      <w:r>
        <w:t xml:space="preserve"> not ported </w:t>
      </w:r>
      <w:r w:rsidR="000C4AA6">
        <w:t>her</w:t>
      </w:r>
      <w:r w:rsidR="007A148B">
        <w:t xml:space="preserve"> </w:t>
      </w:r>
      <w:r>
        <w:t xml:space="preserve">6645 line, as she was awaiting the outcome of this proceeding.  At the time </w:t>
      </w:r>
      <w:r w:rsidR="007A148B">
        <w:t>Ms. Hicks</w:t>
      </w:r>
      <w:r>
        <w:t xml:space="preserve"> </w:t>
      </w:r>
      <w:r w:rsidR="00D846C8">
        <w:t>opts</w:t>
      </w:r>
      <w:r>
        <w:t xml:space="preserve"> to port</w:t>
      </w:r>
      <w:r w:rsidR="000C4AA6">
        <w:t xml:space="preserve"> her</w:t>
      </w:r>
      <w:r>
        <w:t xml:space="preserve"> 6645 line, this decision directs AT&amp;T to maintain</w:t>
      </w:r>
      <w:r w:rsidR="000C4AA6">
        <w:t xml:space="preserve"> the</w:t>
      </w:r>
      <w:r>
        <w:t xml:space="preserve"> legacy status and the same </w:t>
      </w:r>
      <w:r w:rsidR="007A148B">
        <w:t xml:space="preserve">rate </w:t>
      </w:r>
      <w:r>
        <w:t xml:space="preserve">structure for </w:t>
      </w:r>
      <w:r w:rsidR="00D846C8">
        <w:t>her</w:t>
      </w:r>
      <w:r>
        <w:t xml:space="preserve"> </w:t>
      </w:r>
      <w:r w:rsidR="000C4AA6">
        <w:t xml:space="preserve">existing </w:t>
      </w:r>
      <w:r>
        <w:t xml:space="preserve">6648 line.  </w:t>
      </w:r>
      <w:r w:rsidR="000C4AA6">
        <w:t>We</w:t>
      </w:r>
      <w:r>
        <w:t xml:space="preserve"> </w:t>
      </w:r>
      <w:r w:rsidR="000C4AA6">
        <w:t xml:space="preserve">also </w:t>
      </w:r>
      <w:r>
        <w:t xml:space="preserve">direct </w:t>
      </w:r>
      <w:r w:rsidRPr="000A07AF" w:rsidR="009C1EB7">
        <w:t xml:space="preserve">AT&amp;T </w:t>
      </w:r>
      <w:r w:rsidRPr="000A07AF">
        <w:t xml:space="preserve">to </w:t>
      </w:r>
      <w:r w:rsidRPr="000A07AF" w:rsidR="009C1EB7">
        <w:t xml:space="preserve">refund charges </w:t>
      </w:r>
      <w:r w:rsidRPr="000A07AF" w:rsidR="007A148B">
        <w:t xml:space="preserve">Ms. Hicks </w:t>
      </w:r>
      <w:r w:rsidRPr="000A07AF">
        <w:t xml:space="preserve">incurred </w:t>
      </w:r>
      <w:r w:rsidRPr="000A07AF" w:rsidR="009C1EB7">
        <w:t>for the 6645 line since the filing of her initial complaint</w:t>
      </w:r>
      <w:r w:rsidR="000C4AA6">
        <w:t>,</w:t>
      </w:r>
      <w:r w:rsidRPr="000A07AF">
        <w:t xml:space="preserve"> as Ms. Hicks had to maintain the 6645 line and procure a new mobile phone number while the complaint was being reviewed by the Commission</w:t>
      </w:r>
      <w:r w:rsidRPr="000A07AF" w:rsidR="00A908F6">
        <w:t xml:space="preserve">.  </w:t>
      </w:r>
      <w:r w:rsidRPr="000A07AF" w:rsidR="0001778C">
        <w:t>Ms. Hicks first filed an informal complaint with the Commission’s Consumer Affairs Branch on July 31, 2025</w:t>
      </w:r>
      <w:r w:rsidRPr="000A07AF" w:rsidR="00E6420B">
        <w:t>.</w:t>
      </w:r>
      <w:r w:rsidRPr="000A07AF" w:rsidR="000A07AF">
        <w:t xml:space="preserve">  </w:t>
      </w:r>
      <w:r w:rsidRPr="000A07AF" w:rsidR="009C1EB7">
        <w:t xml:space="preserve">As such, it is reasonable for </w:t>
      </w:r>
      <w:r w:rsidRPr="000A07AF" w:rsidR="000A07AF">
        <w:t>AT&amp;T</w:t>
      </w:r>
      <w:r w:rsidRPr="000A07AF" w:rsidR="009C1EB7">
        <w:t xml:space="preserve"> to refund </w:t>
      </w:r>
      <w:r w:rsidRPr="000A07AF" w:rsidR="000A07AF">
        <w:t>Ms. Hicks</w:t>
      </w:r>
      <w:r w:rsidRPr="000A07AF" w:rsidR="009C1EB7">
        <w:t xml:space="preserve"> the amount paid for the 6645 line from July 31, 2025</w:t>
      </w:r>
      <w:r w:rsidR="00A42777">
        <w:t>,</w:t>
      </w:r>
      <w:r w:rsidRPr="000A07AF" w:rsidR="009C1EB7">
        <w:t xml:space="preserve"> to </w:t>
      </w:r>
      <w:r w:rsidRPr="000A07AF" w:rsidR="000A07AF">
        <w:t xml:space="preserve">the effective </w:t>
      </w:r>
      <w:r w:rsidRPr="000A07AF" w:rsidR="009C1EB7">
        <w:t>date</w:t>
      </w:r>
      <w:r w:rsidRPr="000A07AF" w:rsidR="000A07AF">
        <w:t xml:space="preserve"> of this decision</w:t>
      </w:r>
      <w:r w:rsidRPr="000A07AF" w:rsidR="009C1EB7">
        <w:t xml:space="preserve">.  </w:t>
      </w:r>
      <w:r w:rsidRPr="000A07AF" w:rsidR="000A07AF">
        <w:t>AT&amp;T</w:t>
      </w:r>
      <w:r w:rsidRPr="000A07AF" w:rsidR="009C1EB7">
        <w:t xml:space="preserve"> shall refund this amount to Ms. Hicks within 30 days of the issuance of this decision.</w:t>
      </w:r>
    </w:p>
    <w:p w:rsidRPr="00284E22" w:rsidR="00FC2D33" w:rsidP="00D7403C" w:rsidRDefault="00FC2D33" w14:paraId="7E56C49F" w14:textId="77777777">
      <w:pPr>
        <w:pStyle w:val="ListParagraph"/>
        <w:keepNext/>
        <w:keepLines/>
        <w:numPr>
          <w:ilvl w:val="0"/>
          <w:numId w:val="4"/>
        </w:numPr>
        <w:ind w:left="720" w:right="2160" w:hanging="720"/>
        <w:outlineLvl w:val="0"/>
      </w:pPr>
      <w:r w:rsidRPr="006E6279">
        <w:rPr>
          <w:rFonts w:ascii="Arial" w:hAnsi="Arial" w:eastAsia="Times New Roman" w:cs="Times New Roman"/>
          <w:b/>
          <w:szCs w:val="32"/>
        </w:rPr>
        <w:t>Conclusion</w:t>
      </w:r>
    </w:p>
    <w:p w:rsidRPr="00AC0A98" w:rsidR="00F21C69" w:rsidP="00F21C69" w:rsidRDefault="00FC2D33" w14:paraId="2B5EA371" w14:textId="1574CA16">
      <w:pPr>
        <w:pStyle w:val="Standard"/>
      </w:pPr>
      <w:r>
        <w:rPr>
          <w:rFonts w:eastAsia="Calibri" w:cs="Times New Roman"/>
        </w:rPr>
        <w:t xml:space="preserve">The Commission concludes that Complainant </w:t>
      </w:r>
      <w:r w:rsidR="002A53D9">
        <w:rPr>
          <w:rFonts w:eastAsia="Calibri" w:cs="Times New Roman"/>
        </w:rPr>
        <w:t>has</w:t>
      </w:r>
      <w:r>
        <w:rPr>
          <w:rFonts w:eastAsia="Calibri" w:cs="Times New Roman"/>
        </w:rPr>
        <w:t xml:space="preserve"> </w:t>
      </w:r>
      <w:r w:rsidR="00584ACA">
        <w:rPr>
          <w:rFonts w:eastAsia="Calibri" w:cs="Times New Roman"/>
        </w:rPr>
        <w:t xml:space="preserve">met its burden of proof to </w:t>
      </w:r>
      <w:r>
        <w:rPr>
          <w:rFonts w:eastAsia="Calibri" w:cs="Times New Roman"/>
        </w:rPr>
        <w:t xml:space="preserve">demonstrate that </w:t>
      </w:r>
      <w:r w:rsidR="006E6279">
        <w:rPr>
          <w:rFonts w:eastAsia="Calibri" w:cs="Times New Roman"/>
        </w:rPr>
        <w:t>Defendant</w:t>
      </w:r>
      <w:r>
        <w:rPr>
          <w:rFonts w:eastAsia="Calibri" w:cs="Times New Roman"/>
        </w:rPr>
        <w:t xml:space="preserve"> violated </w:t>
      </w:r>
      <w:r w:rsidR="00584ACA">
        <w:rPr>
          <w:rFonts w:eastAsia="Calibri" w:cs="Times New Roman"/>
        </w:rPr>
        <w:t xml:space="preserve">Public Utilities Code Section 451 </w:t>
      </w:r>
      <w:r w:rsidR="00C35080">
        <w:rPr>
          <w:rFonts w:eastAsia="Calibri" w:cs="Times New Roman"/>
        </w:rPr>
        <w:t xml:space="preserve">and </w:t>
      </w:r>
      <w:r w:rsidR="00584ACA">
        <w:rPr>
          <w:rFonts w:eastAsia="Calibri" w:cs="Times New Roman"/>
        </w:rPr>
        <w:t xml:space="preserve">the Commission therefore grants the requested </w:t>
      </w:r>
      <w:r>
        <w:t xml:space="preserve">relief.  </w:t>
      </w:r>
      <w:r w:rsidR="00584ACA">
        <w:t xml:space="preserve">At the time Complainant decides to port her 6645 line, Defendant is directed to maintain the legacy status and the same rate structure for the existing 6648 line.  </w:t>
      </w:r>
      <w:r w:rsidR="00F21C69">
        <w:t>Within 30</w:t>
      </w:r>
      <w:r w:rsidR="00D846C8">
        <w:t xml:space="preserve"> </w:t>
      </w:r>
      <w:r w:rsidR="00F21C69">
        <w:t>days of the issuance of this decision, Defendant shall refund Complainant the amount paid for the 6645 line from July 31, 2025</w:t>
      </w:r>
      <w:r w:rsidR="00A42777">
        <w:t>,</w:t>
      </w:r>
      <w:r w:rsidR="00F21C69">
        <w:t xml:space="preserve"> to the issuance of this decision.</w:t>
      </w:r>
    </w:p>
    <w:p w:rsidR="00FC2D33" w:rsidP="00A5144D" w:rsidRDefault="00FC2D33" w14:paraId="6CD7D38B" w14:textId="77777777">
      <w:pPr>
        <w:keepNext/>
        <w:keepLines/>
        <w:ind w:left="720" w:right="2160" w:hanging="720"/>
        <w:outlineLvl w:val="0"/>
        <w:rPr>
          <w:rFonts w:ascii="Arial" w:hAnsi="Arial" w:eastAsia="Times New Roman" w:cstheme="majorBidi"/>
          <w:b/>
          <w:szCs w:val="32"/>
        </w:rPr>
      </w:pPr>
      <w:r>
        <w:rPr>
          <w:rFonts w:ascii="Arial" w:hAnsi="Arial" w:eastAsia="Times New Roman" w:cstheme="majorBidi"/>
          <w:b/>
          <w:szCs w:val="32"/>
        </w:rPr>
        <w:t>Assignment of Proceeding</w:t>
      </w:r>
    </w:p>
    <w:p w:rsidR="00FC2D33" w:rsidP="00FC2D33" w:rsidRDefault="00FC2D33" w14:paraId="2EDB65BF" w14:textId="77777777">
      <w:pPr>
        <w:rPr>
          <w:rFonts w:eastAsia="Calibri" w:cs="Times New Roman"/>
        </w:rPr>
      </w:pPr>
      <w:r>
        <w:rPr>
          <w:rFonts w:eastAsia="Calibri" w:cs="Times New Roman"/>
        </w:rPr>
        <w:t>Karen Douglas is the assigned Commissioner and Debbie Chiv is the assigned Administrative Law Judge and Presiding Officer in this proceeding.</w:t>
      </w:r>
    </w:p>
    <w:p w:rsidR="00FC2D33" w:rsidP="00A5144D" w:rsidRDefault="00FC2D33" w14:paraId="31DB19BE" w14:textId="77777777">
      <w:pPr>
        <w:keepNext/>
        <w:keepLines/>
        <w:ind w:left="720" w:right="2160" w:hanging="720"/>
        <w:outlineLvl w:val="0"/>
        <w:rPr>
          <w:rFonts w:ascii="Arial" w:hAnsi="Arial" w:eastAsia="Times New Roman" w:cstheme="majorBidi"/>
          <w:b/>
          <w:szCs w:val="32"/>
        </w:rPr>
      </w:pPr>
      <w:r>
        <w:rPr>
          <w:rFonts w:ascii="Arial" w:hAnsi="Arial" w:eastAsia="Times New Roman" w:cstheme="majorBidi"/>
          <w:b/>
          <w:szCs w:val="32"/>
        </w:rPr>
        <w:t>Waiver of Comment Period</w:t>
      </w:r>
    </w:p>
    <w:p w:rsidR="00FC2D33" w:rsidP="00FC2D33" w:rsidRDefault="00FC2D33" w14:paraId="3D776132" w14:textId="77777777">
      <w:pPr>
        <w:rPr>
          <w:rFonts w:eastAsia="Calibri" w:cs="Times New Roman"/>
        </w:rPr>
      </w:pPr>
      <w:r>
        <w:rPr>
          <w:rFonts w:eastAsia="Calibri" w:cs="Times New Roman"/>
        </w:rPr>
        <w:t>Pursuant to Rule 14.7(b), the 30</w:t>
      </w:r>
      <w:r>
        <w:rPr>
          <w:rFonts w:eastAsia="Calibri" w:cs="Times New Roman"/>
        </w:rPr>
        <w:noBreakHyphen/>
        <w:t>day public review and comment period required by Section 311 of the Public Utilities Code and the opportunity to file comments on the proposed decision is not applicable in Expedited Complaint Proceedings.  Accordingly, this decision was placed on the Commission’s agenda directly.</w:t>
      </w:r>
    </w:p>
    <w:p w:rsidR="00FC2D33" w:rsidP="00FC2D33" w:rsidRDefault="00FC2D33" w14:paraId="27D88678" w14:textId="77777777">
      <w:pPr>
        <w:keepNext/>
        <w:ind w:firstLine="0"/>
        <w:jc w:val="center"/>
        <w:outlineLvl w:val="0"/>
        <w:rPr>
          <w:rFonts w:ascii="Arial" w:hAnsi="Arial" w:eastAsia="Times New Roman" w:cstheme="majorBidi"/>
          <w:b/>
          <w:caps/>
          <w:spacing w:val="120"/>
          <w:szCs w:val="56"/>
        </w:rPr>
      </w:pPr>
      <w:r>
        <w:rPr>
          <w:rFonts w:ascii="Arial" w:hAnsi="Arial" w:eastAsia="Times New Roman" w:cstheme="majorBidi"/>
          <w:b/>
          <w:caps/>
          <w:spacing w:val="120"/>
          <w:szCs w:val="56"/>
        </w:rPr>
        <w:t>ORDER</w:t>
      </w:r>
    </w:p>
    <w:p w:rsidR="00FC2D33" w:rsidP="00FC2D33" w:rsidRDefault="00FC2D33" w14:paraId="38AB7220" w14:textId="77777777">
      <w:pPr>
        <w:keepNext/>
        <w:rPr>
          <w:rFonts w:eastAsia="Calibri" w:cs="Times New Roman"/>
        </w:rPr>
      </w:pPr>
      <w:r>
        <w:rPr>
          <w:rFonts w:eastAsia="Calibri" w:cs="Times New Roman"/>
          <w:b/>
        </w:rPr>
        <w:t>IT IS ORDERED</w:t>
      </w:r>
      <w:r>
        <w:rPr>
          <w:rFonts w:eastAsia="Calibri" w:cs="Times New Roman"/>
        </w:rPr>
        <w:t xml:space="preserve"> that:</w:t>
      </w:r>
    </w:p>
    <w:p w:rsidR="00584ACA" w:rsidP="00D7403C" w:rsidRDefault="004D651D" w14:paraId="01990BD9" w14:textId="3C79594D">
      <w:pPr>
        <w:numPr>
          <w:ilvl w:val="0"/>
          <w:numId w:val="1"/>
        </w:numPr>
        <w:ind w:left="0" w:firstLine="360"/>
        <w:rPr>
          <w:rFonts w:eastAsia="Calibri" w:cs="Times New Roman"/>
        </w:rPr>
      </w:pPr>
      <w:r>
        <w:rPr>
          <w:rFonts w:eastAsia="Calibri" w:cs="Times New Roman"/>
        </w:rPr>
        <w:t xml:space="preserve">As </w:t>
      </w:r>
      <w:r w:rsidR="00584ACA">
        <w:rPr>
          <w:rFonts w:eastAsia="Calibri" w:cs="Times New Roman"/>
        </w:rPr>
        <w:t>Complainant has met its burden of proof to demonstrate that Defendant violated Public Utilities Code Section 451</w:t>
      </w:r>
      <w:r>
        <w:rPr>
          <w:rFonts w:eastAsia="Calibri" w:cs="Times New Roman"/>
        </w:rPr>
        <w:t>, t</w:t>
      </w:r>
      <w:r w:rsidR="00584ACA">
        <w:rPr>
          <w:rFonts w:eastAsia="Calibri" w:cs="Times New Roman"/>
        </w:rPr>
        <w:t xml:space="preserve">he Commission grants the requested </w:t>
      </w:r>
      <w:r w:rsidR="00584ACA">
        <w:t>relief.</w:t>
      </w:r>
    </w:p>
    <w:p w:rsidR="00584ACA" w:rsidP="00D7403C" w:rsidRDefault="00584ACA" w14:paraId="0BA58D46" w14:textId="0AA49604">
      <w:pPr>
        <w:numPr>
          <w:ilvl w:val="0"/>
          <w:numId w:val="1"/>
        </w:numPr>
        <w:ind w:left="0" w:firstLine="360"/>
        <w:rPr>
          <w:rFonts w:eastAsia="Calibri" w:cs="Times New Roman"/>
        </w:rPr>
      </w:pPr>
      <w:r>
        <w:t>At the time Complainant opts to port her phone line ending in 6645, Defendant shall maintain the legacy status and same rate structure for Complainant’s phone number ending in 6648.</w:t>
      </w:r>
    </w:p>
    <w:p w:rsidR="00DF0810" w:rsidP="00D7403C" w:rsidRDefault="00784FEE" w14:paraId="43C9B768" w14:textId="111F9C22">
      <w:pPr>
        <w:numPr>
          <w:ilvl w:val="0"/>
          <w:numId w:val="1"/>
        </w:numPr>
        <w:ind w:left="0" w:firstLine="360"/>
        <w:rPr>
          <w:rFonts w:eastAsia="Calibri" w:cs="Times New Roman"/>
        </w:rPr>
      </w:pPr>
      <w:r>
        <w:t>Within 30</w:t>
      </w:r>
      <w:r w:rsidR="004D651D">
        <w:t xml:space="preserve"> </w:t>
      </w:r>
      <w:r>
        <w:t>days of the issuance of this decision, D</w:t>
      </w:r>
      <w:r w:rsidR="00DF0810">
        <w:t xml:space="preserve">efendant shall refund Complainant the amount paid for the </w:t>
      </w:r>
      <w:r w:rsidR="002057ED">
        <w:t xml:space="preserve">phone </w:t>
      </w:r>
      <w:r w:rsidR="00DF0810">
        <w:t>line</w:t>
      </w:r>
      <w:r w:rsidR="002057ED">
        <w:t xml:space="preserve"> ending in 6645</w:t>
      </w:r>
      <w:r w:rsidR="00DF0810">
        <w:t xml:space="preserve"> from July</w:t>
      </w:r>
      <w:r w:rsidR="00D7403C">
        <w:t> </w:t>
      </w:r>
      <w:r w:rsidR="00DF0810">
        <w:t>31,</w:t>
      </w:r>
      <w:r w:rsidR="00D7403C">
        <w:t> </w:t>
      </w:r>
      <w:r w:rsidR="00DF0810">
        <w:t xml:space="preserve">2025 to </w:t>
      </w:r>
      <w:r w:rsidR="002057ED">
        <w:t>the issuance of this decision.</w:t>
      </w:r>
    </w:p>
    <w:p w:rsidRPr="00D7403C" w:rsidR="00FC2D33" w:rsidP="00D7403C" w:rsidRDefault="00FC2D33" w14:paraId="7879EF14" w14:textId="5390E1DB">
      <w:pPr>
        <w:keepNext/>
        <w:keepLines/>
        <w:numPr>
          <w:ilvl w:val="0"/>
          <w:numId w:val="1"/>
        </w:numPr>
        <w:ind w:left="0" w:firstLine="360"/>
        <w:rPr>
          <w:rFonts w:eastAsia="Calibri" w:cs="Times New Roman"/>
        </w:rPr>
      </w:pPr>
      <w:r>
        <w:rPr>
          <w:rFonts w:eastAsia="Calibri" w:cs="Times New Roman"/>
        </w:rPr>
        <w:t xml:space="preserve"> Case</w:t>
      </w:r>
      <w:r w:rsidR="00707FB7">
        <w:rPr>
          <w:rFonts w:eastAsia="Calibri" w:cs="Times New Roman"/>
        </w:rPr>
        <w:t> </w:t>
      </w:r>
      <w:r>
        <w:rPr>
          <w:rFonts w:eastAsia="Calibri" w:cs="Times New Roman"/>
        </w:rPr>
        <w:t>25-10-0</w:t>
      </w:r>
      <w:r w:rsidR="009B15F4">
        <w:rPr>
          <w:rFonts w:eastAsia="Calibri" w:cs="Times New Roman"/>
        </w:rPr>
        <w:t>21</w:t>
      </w:r>
      <w:r>
        <w:rPr>
          <w:rFonts w:eastAsia="Calibri" w:cs="Times New Roman"/>
        </w:rPr>
        <w:t xml:space="preserve"> is closed.</w:t>
      </w:r>
    </w:p>
    <w:p w:rsidR="00FC2D33" w:rsidP="00D7403C" w:rsidRDefault="00FC2D33" w14:paraId="78D5C760" w14:textId="77777777">
      <w:pPr>
        <w:keepNext/>
        <w:keepLines/>
        <w:rPr>
          <w:rFonts w:eastAsia="Calibri" w:cs="Times New Roman"/>
        </w:rPr>
      </w:pPr>
      <w:r>
        <w:rPr>
          <w:rFonts w:eastAsia="Calibri" w:cs="Times New Roman"/>
        </w:rPr>
        <w:t>This order is effective today.</w:t>
      </w:r>
    </w:p>
    <w:p w:rsidR="009431DC" w:rsidP="00D7403C" w:rsidRDefault="00FC2D33" w14:paraId="3368F31C" w14:textId="53DF41A0">
      <w:pPr>
        <w:spacing w:line="240" w:lineRule="auto"/>
      </w:pPr>
      <w:r>
        <w:t>Dated </w:t>
      </w:r>
      <w:r w:rsidR="00A21F97">
        <w:t>May</w:t>
      </w:r>
      <w:r w:rsidR="00D7403C">
        <w:t> ___</w:t>
      </w:r>
      <w:r>
        <w:t>, </w:t>
      </w:r>
      <w:r w:rsidR="00D7403C">
        <w:t>2026, </w:t>
      </w:r>
      <w:r>
        <w:t>at </w:t>
      </w:r>
      <w:bookmarkEnd w:id="0"/>
      <w:r w:rsidR="00D7403C">
        <w:t>San Francisco, California.</w:t>
      </w:r>
    </w:p>
    <w:sectPr w:rsidR="009431DC" w:rsidSect="00FC2D33">
      <w:headerReference w:type="default" r:id="rId8"/>
      <w:footerReference w:type="default" r:id="rId9"/>
      <w:footerReference w:type="first" r:id="rId10"/>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5380" w14:textId="77777777" w:rsidR="00A523EB" w:rsidRDefault="00A523EB" w:rsidP="00FC2D33">
      <w:pPr>
        <w:spacing w:line="240" w:lineRule="auto"/>
      </w:pPr>
      <w:r>
        <w:separator/>
      </w:r>
    </w:p>
  </w:endnote>
  <w:endnote w:type="continuationSeparator" w:id="0">
    <w:p w14:paraId="421534BE" w14:textId="77777777" w:rsidR="00A523EB" w:rsidRDefault="00A523EB" w:rsidP="00FC2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89D4" w14:textId="77777777" w:rsidR="00FC2D33" w:rsidRDefault="00FC2D33" w:rsidP="00816341">
    <w:pPr>
      <w:pStyle w:val="Footer"/>
      <w:ind w:left="1080" w:firstLine="0"/>
    </w:pPr>
    <w:r>
      <w:tab/>
      <w:t xml:space="preserve">- </w:t>
    </w:r>
    <w:sdt>
      <w:sdtPr>
        <w:id w:val="-1908911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C5BE" w14:textId="295B8A1E" w:rsidR="00FC2D33" w:rsidRDefault="00977389" w:rsidP="00A6676A">
    <w:pPr>
      <w:pStyle w:val="Footer"/>
      <w:ind w:firstLine="0"/>
    </w:pPr>
    <w:r w:rsidRPr="00977389">
      <w:rPr>
        <w:sz w:val="16"/>
        <w:szCs w:val="16"/>
      </w:rPr>
      <w:t>603296343</w:t>
    </w:r>
    <w:r w:rsidR="00FC2D33">
      <w:tab/>
      <w:t xml:space="preserve">- 1 -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2826" w14:textId="77777777" w:rsidR="00A523EB" w:rsidRDefault="00A523EB" w:rsidP="00FC2D33">
      <w:pPr>
        <w:spacing w:line="240" w:lineRule="auto"/>
      </w:pPr>
      <w:r>
        <w:separator/>
      </w:r>
    </w:p>
  </w:footnote>
  <w:footnote w:type="continuationSeparator" w:id="0">
    <w:p w14:paraId="2111671F" w14:textId="77777777" w:rsidR="00A523EB" w:rsidRDefault="00A523EB" w:rsidP="00FC2D33">
      <w:pPr>
        <w:spacing w:line="240" w:lineRule="auto"/>
      </w:pPr>
      <w:r>
        <w:continuationSeparator/>
      </w:r>
    </w:p>
  </w:footnote>
  <w:footnote w:id="1">
    <w:p w14:paraId="136F53D4" w14:textId="59EA5DB1" w:rsidR="00FB6D5B" w:rsidRPr="00A5144D" w:rsidRDefault="00FB6D5B" w:rsidP="00A5144D">
      <w:pPr>
        <w:pStyle w:val="FootnoteText"/>
        <w:spacing w:after="0"/>
        <w:rPr>
          <w:sz w:val="22"/>
          <w:szCs w:val="22"/>
        </w:rPr>
      </w:pPr>
      <w:r w:rsidRPr="00A5144D">
        <w:rPr>
          <w:rStyle w:val="FootnoteReference"/>
          <w:sz w:val="22"/>
          <w:szCs w:val="22"/>
        </w:rPr>
        <w:footnoteRef/>
      </w:r>
      <w:r w:rsidRPr="00A5144D">
        <w:rPr>
          <w:sz w:val="22"/>
          <w:szCs w:val="22"/>
        </w:rPr>
        <w:t xml:space="preserve"> Complaint at 7.</w:t>
      </w:r>
    </w:p>
  </w:footnote>
  <w:footnote w:id="2">
    <w:p w14:paraId="0E9848B9" w14:textId="4D1188BD" w:rsidR="00EF10B8" w:rsidRPr="00A5144D" w:rsidRDefault="00EF10B8">
      <w:pPr>
        <w:pStyle w:val="FootnoteText"/>
        <w:rPr>
          <w:sz w:val="22"/>
          <w:szCs w:val="22"/>
        </w:rPr>
      </w:pPr>
      <w:r w:rsidRPr="00A5144D">
        <w:rPr>
          <w:rStyle w:val="FootnoteReference"/>
          <w:sz w:val="22"/>
          <w:szCs w:val="22"/>
        </w:rPr>
        <w:footnoteRef/>
      </w:r>
      <w:r w:rsidRPr="00A5144D">
        <w:rPr>
          <w:sz w:val="22"/>
          <w:szCs w:val="22"/>
        </w:rPr>
        <w:t xml:space="preserve"> Answer at </w:t>
      </w:r>
      <w:r w:rsidR="00C74ED2" w:rsidRPr="00A5144D">
        <w:rPr>
          <w:sz w:val="22"/>
          <w:szCs w:val="22"/>
        </w:rPr>
        <w:t>3.</w:t>
      </w:r>
    </w:p>
  </w:footnote>
  <w:footnote w:id="3">
    <w:p w14:paraId="3F7BA7FE" w14:textId="5E2F6ABD" w:rsidR="00990CCD" w:rsidRDefault="00990CCD" w:rsidP="00A5144D">
      <w:pPr>
        <w:pStyle w:val="FootnoteText"/>
        <w:spacing w:after="0"/>
      </w:pPr>
      <w:r w:rsidRPr="00A5144D">
        <w:rPr>
          <w:rStyle w:val="FootnoteReference"/>
          <w:sz w:val="22"/>
          <w:szCs w:val="22"/>
        </w:rPr>
        <w:footnoteRef/>
      </w:r>
      <w:r w:rsidRPr="00A5144D">
        <w:rPr>
          <w:sz w:val="22"/>
          <w:szCs w:val="22"/>
        </w:rPr>
        <w:t xml:space="preserve"> </w:t>
      </w:r>
      <w:r w:rsidR="00565B27" w:rsidRPr="00565B27">
        <w:rPr>
          <w:i/>
          <w:iCs/>
          <w:sz w:val="22"/>
          <w:szCs w:val="22"/>
        </w:rPr>
        <w:t>Id</w:t>
      </w:r>
      <w:r w:rsidR="00565B27">
        <w:rPr>
          <w:sz w:val="22"/>
          <w:szCs w:val="22"/>
        </w:rPr>
        <w:t>.</w:t>
      </w:r>
      <w:r w:rsidRPr="00A5144D">
        <w:rPr>
          <w:sz w:val="22"/>
          <w:szCs w:val="22"/>
        </w:rPr>
        <w:t xml:space="preserve"> at 4.</w:t>
      </w:r>
    </w:p>
  </w:footnote>
  <w:footnote w:id="4">
    <w:p w14:paraId="500F3177" w14:textId="16137CCB" w:rsidR="00FC2D33" w:rsidRPr="00A5144D" w:rsidRDefault="00FC2D33" w:rsidP="00CC4C32">
      <w:pPr>
        <w:pStyle w:val="FootnoteText"/>
        <w:ind w:left="360" w:hanging="360"/>
        <w:rPr>
          <w:sz w:val="22"/>
          <w:szCs w:val="22"/>
        </w:rPr>
      </w:pPr>
      <w:r w:rsidRPr="00A5144D">
        <w:rPr>
          <w:rStyle w:val="FootnoteReference"/>
          <w:sz w:val="22"/>
          <w:szCs w:val="22"/>
        </w:rPr>
        <w:footnoteRef/>
      </w:r>
      <w:r w:rsidR="00D7403C">
        <w:rPr>
          <w:sz w:val="22"/>
          <w:szCs w:val="22"/>
        </w:rPr>
        <w:t xml:space="preserve"> </w:t>
      </w:r>
      <w:r w:rsidRPr="00A5144D">
        <w:rPr>
          <w:sz w:val="22"/>
          <w:szCs w:val="22"/>
        </w:rPr>
        <w:t>Public Utilities Code Section 1702.</w:t>
      </w:r>
    </w:p>
  </w:footnote>
  <w:footnote w:id="5">
    <w:p w14:paraId="5B2F520C" w14:textId="17C24BB7" w:rsidR="00964069" w:rsidRPr="00A5144D" w:rsidRDefault="00964069" w:rsidP="00CC4C32">
      <w:pPr>
        <w:pStyle w:val="FootnoteText"/>
        <w:spacing w:after="0"/>
        <w:rPr>
          <w:sz w:val="22"/>
          <w:szCs w:val="22"/>
        </w:rPr>
      </w:pPr>
      <w:r w:rsidRPr="00A5144D">
        <w:rPr>
          <w:rStyle w:val="FootnoteReference"/>
          <w:sz w:val="22"/>
          <w:szCs w:val="22"/>
        </w:rPr>
        <w:footnoteRef/>
      </w:r>
      <w:r w:rsidRPr="00A5144D">
        <w:rPr>
          <w:sz w:val="22"/>
          <w:szCs w:val="22"/>
        </w:rPr>
        <w:t xml:space="preserve"> </w:t>
      </w:r>
      <w:r w:rsidR="006573A9">
        <w:rPr>
          <w:sz w:val="22"/>
          <w:szCs w:val="22"/>
        </w:rPr>
        <w:t xml:space="preserve">AT&amp;T California Schedule CAL. PUC No. A5, Exchange Service at Note 2, </w:t>
      </w:r>
      <w:r w:rsidR="006573A9" w:rsidRPr="006573A9">
        <w:rPr>
          <w:sz w:val="22"/>
          <w:szCs w:val="22"/>
        </w:rPr>
        <w:t>https://cpr.att.com/pdf/ca/a005.pdf</w:t>
      </w:r>
      <w:r w:rsidR="006573A9">
        <w:rPr>
          <w:sz w:val="22"/>
          <w:szCs w:val="22"/>
        </w:rPr>
        <w:t>.</w:t>
      </w:r>
    </w:p>
  </w:footnote>
  <w:footnote w:id="6">
    <w:p w14:paraId="48D075EE" w14:textId="1DDC447F" w:rsidR="007A148B" w:rsidRDefault="007A148B" w:rsidP="00A42777">
      <w:pPr>
        <w:pStyle w:val="FootnoteText"/>
        <w:spacing w:after="0"/>
      </w:pPr>
      <w:r>
        <w:rPr>
          <w:rStyle w:val="FootnoteReference"/>
        </w:rPr>
        <w:footnoteRef/>
      </w:r>
      <w:r w:rsidR="003730A7" w:rsidRPr="003730A7">
        <w:rPr>
          <w:i/>
          <w:iCs/>
        </w:rPr>
        <w:t>See</w:t>
      </w:r>
      <w:r w:rsidR="003730A7">
        <w:t xml:space="preserve"> </w:t>
      </w:r>
      <w:r w:rsidR="003730A7" w:rsidRPr="003730A7">
        <w:rPr>
          <w:i/>
          <w:iCs/>
          <w:sz w:val="22"/>
          <w:szCs w:val="22"/>
        </w:rPr>
        <w:t>id</w:t>
      </w:r>
      <w:r w:rsidR="003730A7">
        <w:rPr>
          <w:i/>
          <w:iCs/>
          <w:sz w:val="22"/>
          <w:szCs w:val="22"/>
        </w:rPr>
        <w:t>.</w:t>
      </w:r>
      <w:r w:rsidR="003730A7">
        <w:rPr>
          <w:sz w:val="22"/>
          <w:szCs w:val="22"/>
        </w:rPr>
        <w:t xml:space="preserve">, Exchange Service at Note 2 at 117, </w:t>
      </w:r>
      <w:r w:rsidR="003730A7" w:rsidRPr="006573A9">
        <w:rPr>
          <w:sz w:val="22"/>
          <w:szCs w:val="22"/>
        </w:rPr>
        <w:t>https://cpr.att.com/pdf/ca/a005.pdf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400" w14:textId="4F4E67E0" w:rsidR="00FC2D33" w:rsidRDefault="007A3033" w:rsidP="000524B9">
    <w:pPr>
      <w:pStyle w:val="Header"/>
      <w:ind w:firstLine="0"/>
      <w:rPr>
        <w:bCs/>
      </w:rPr>
    </w:pPr>
    <w:r w:rsidRPr="007A3033">
      <w:rPr>
        <w:bCs/>
      </w:rPr>
      <w:t>C.25-10-021</w:t>
    </w:r>
    <w:r>
      <w:rPr>
        <w:bCs/>
      </w:rPr>
      <w:t>  </w:t>
    </w:r>
    <w:r w:rsidR="00A5144D" w:rsidRPr="00A5144D">
      <w:rPr>
        <w:bCs/>
      </w:rPr>
      <w:t>ALJ/DBB/abb</w:t>
    </w:r>
  </w:p>
  <w:p w14:paraId="71507DC4" w14:textId="77777777" w:rsidR="007A3033" w:rsidRDefault="007A3033" w:rsidP="000524B9">
    <w:pPr>
      <w:pStyle w:val="Header"/>
      <w:ind w:firstLine="0"/>
      <w:rPr>
        <w:bCs/>
      </w:rPr>
    </w:pPr>
  </w:p>
  <w:p w14:paraId="2A18F7D0" w14:textId="77777777" w:rsidR="00FC2D33" w:rsidRDefault="00FC2D33" w:rsidP="000524B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FAB"/>
    <w:multiLevelType w:val="hybridMultilevel"/>
    <w:tmpl w:val="3184FB72"/>
    <w:lvl w:ilvl="0" w:tplc="DF06952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540" w:firstLine="540"/>
      </w:pPr>
    </w:lvl>
    <w:lvl w:ilvl="1">
      <w:start w:val="1"/>
      <w:numFmt w:val="lowerLetter"/>
      <w:lvlText w:val="(%2)"/>
      <w:lvlJc w:val="right"/>
      <w:pPr>
        <w:ind w:left="1152" w:hanging="72"/>
      </w:pPr>
    </w:lvl>
    <w:lvl w:ilvl="2">
      <w:start w:val="1"/>
      <w:numFmt w:val="none"/>
      <w:lvlText w:val=""/>
      <w:lvlJc w:val="left"/>
      <w:pPr>
        <w:ind w:left="720" w:firstLine="0"/>
      </w:pPr>
    </w:lvl>
    <w:lvl w:ilvl="3">
      <w:start w:val="1"/>
      <w:numFmt w:val="none"/>
      <w:lvlText w:val=""/>
      <w:lvlJc w:val="left"/>
      <w:pPr>
        <w:ind w:left="720" w:firstLine="0"/>
      </w:pPr>
    </w:lvl>
    <w:lvl w:ilvl="4">
      <w:start w:val="1"/>
      <w:numFmt w:val="none"/>
      <w:lvlText w:val=""/>
      <w:lvlJc w:val="left"/>
      <w:pPr>
        <w:ind w:left="720" w:firstLine="0"/>
      </w:pPr>
    </w:lvl>
    <w:lvl w:ilvl="5">
      <w:start w:val="1"/>
      <w:numFmt w:val="none"/>
      <w:lvlText w:val=""/>
      <w:lvlJc w:val="left"/>
      <w:pPr>
        <w:ind w:left="720" w:firstLine="0"/>
      </w:pPr>
    </w:lvl>
    <w:lvl w:ilvl="6">
      <w:start w:val="1"/>
      <w:numFmt w:val="none"/>
      <w:lvlText w:val=""/>
      <w:lvlJc w:val="left"/>
      <w:pPr>
        <w:ind w:left="720" w:firstLine="0"/>
      </w:pPr>
    </w:lvl>
    <w:lvl w:ilvl="7">
      <w:start w:val="1"/>
      <w:numFmt w:val="none"/>
      <w:lvlText w:val=""/>
      <w:lvlJc w:val="left"/>
      <w:pPr>
        <w:ind w:left="720" w:firstLine="0"/>
      </w:pPr>
    </w:lvl>
    <w:lvl w:ilvl="8">
      <w:start w:val="1"/>
      <w:numFmt w:val="none"/>
      <w:lvlText w:val=""/>
      <w:lvlJc w:val="left"/>
      <w:pPr>
        <w:ind w:left="720" w:firstLine="0"/>
      </w:pPr>
    </w:lvl>
  </w:abstractNum>
  <w:abstractNum w:abstractNumId="2" w15:restartNumberingAfterBreak="0">
    <w:nsid w:val="331F6D42"/>
    <w:multiLevelType w:val="multilevel"/>
    <w:tmpl w:val="3C526EDE"/>
    <w:styleLink w:val="Headings"/>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lvlText w:val="%1.%2.%3.%4.%5."/>
      <w:lvlJc w:val="left"/>
      <w:pPr>
        <w:tabs>
          <w:tab w:val="num" w:pos="2880"/>
        </w:tabs>
        <w:ind w:left="2880" w:hanging="1440"/>
      </w:pPr>
      <w:rPr>
        <w:rFonts w:ascii="Arial" w:hAnsi="Arial" w:cs="Times New Roman" w:hint="default"/>
        <w:b/>
        <w:i w:val="0"/>
        <w:sz w:val="26"/>
      </w:rPr>
    </w:lvl>
    <w:lvl w:ilvl="5">
      <w:start w:val="1"/>
      <w:numFmt w:val="decimal"/>
      <w:lvlText w:val="%1.%2.%3.%4.%5.%6."/>
      <w:lvlJc w:val="left"/>
      <w:pPr>
        <w:tabs>
          <w:tab w:val="num" w:pos="3528"/>
        </w:tabs>
        <w:ind w:left="3528" w:hanging="1728"/>
      </w:pPr>
      <w:rPr>
        <w:rFonts w:ascii="Arial" w:hAnsi="Arial" w:cs="Times New Roman"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3" w15:restartNumberingAfterBreak="0">
    <w:nsid w:val="75AF14EC"/>
    <w:multiLevelType w:val="singleLevel"/>
    <w:tmpl w:val="F7DA27B4"/>
    <w:lvl w:ilvl="0">
      <w:start w:val="1"/>
      <w:numFmt w:val="decimal"/>
      <w:lvlText w:val="%1."/>
      <w:lvlJc w:val="left"/>
      <w:pPr>
        <w:ind w:left="-540" w:firstLine="540"/>
      </w:pPr>
      <w:rPr>
        <w:rFonts w:hint="default"/>
      </w:rPr>
    </w:lvl>
  </w:abstractNum>
  <w:num w:numId="1" w16cid:durableId="1291135375">
    <w:abstractNumId w:val="3"/>
  </w:num>
  <w:num w:numId="2" w16cid:durableId="757602093">
    <w:abstractNumId w:val="1"/>
  </w:num>
  <w:num w:numId="3" w16cid:durableId="529757050">
    <w:abstractNumId w:val="2"/>
  </w:num>
  <w:num w:numId="4" w16cid:durableId="77340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33"/>
    <w:rsid w:val="00016082"/>
    <w:rsid w:val="0001778C"/>
    <w:rsid w:val="00062B66"/>
    <w:rsid w:val="00080833"/>
    <w:rsid w:val="0008166B"/>
    <w:rsid w:val="000A07AF"/>
    <w:rsid w:val="000A0A7B"/>
    <w:rsid w:val="000B254B"/>
    <w:rsid w:val="000C4AA6"/>
    <w:rsid w:val="000C5002"/>
    <w:rsid w:val="000E223E"/>
    <w:rsid w:val="00100A42"/>
    <w:rsid w:val="00100FE6"/>
    <w:rsid w:val="00110E09"/>
    <w:rsid w:val="00134F1A"/>
    <w:rsid w:val="0014772B"/>
    <w:rsid w:val="001557A9"/>
    <w:rsid w:val="00170568"/>
    <w:rsid w:val="001929A9"/>
    <w:rsid w:val="001A1892"/>
    <w:rsid w:val="001B6A45"/>
    <w:rsid w:val="001D5F93"/>
    <w:rsid w:val="001F3236"/>
    <w:rsid w:val="002057ED"/>
    <w:rsid w:val="00206753"/>
    <w:rsid w:val="00245A0D"/>
    <w:rsid w:val="0027226F"/>
    <w:rsid w:val="002738BC"/>
    <w:rsid w:val="002850BF"/>
    <w:rsid w:val="002A4126"/>
    <w:rsid w:val="002A53D9"/>
    <w:rsid w:val="002B7473"/>
    <w:rsid w:val="002D757C"/>
    <w:rsid w:val="002F54A6"/>
    <w:rsid w:val="0033126F"/>
    <w:rsid w:val="00347772"/>
    <w:rsid w:val="00356C0B"/>
    <w:rsid w:val="00361248"/>
    <w:rsid w:val="003730A7"/>
    <w:rsid w:val="003833CE"/>
    <w:rsid w:val="00384E9D"/>
    <w:rsid w:val="00384F2F"/>
    <w:rsid w:val="003B0EA6"/>
    <w:rsid w:val="003B7526"/>
    <w:rsid w:val="00412B21"/>
    <w:rsid w:val="00427508"/>
    <w:rsid w:val="00427544"/>
    <w:rsid w:val="004472AA"/>
    <w:rsid w:val="00476F15"/>
    <w:rsid w:val="00486B26"/>
    <w:rsid w:val="004900D8"/>
    <w:rsid w:val="00495398"/>
    <w:rsid w:val="004A759A"/>
    <w:rsid w:val="004C5B8F"/>
    <w:rsid w:val="004D5E30"/>
    <w:rsid w:val="004D651D"/>
    <w:rsid w:val="004E4BBB"/>
    <w:rsid w:val="004F2F01"/>
    <w:rsid w:val="005071C6"/>
    <w:rsid w:val="00526F34"/>
    <w:rsid w:val="0054507A"/>
    <w:rsid w:val="005471C3"/>
    <w:rsid w:val="00551D29"/>
    <w:rsid w:val="00563386"/>
    <w:rsid w:val="00565B27"/>
    <w:rsid w:val="00570D28"/>
    <w:rsid w:val="00584ACA"/>
    <w:rsid w:val="005858F8"/>
    <w:rsid w:val="00586828"/>
    <w:rsid w:val="005A0442"/>
    <w:rsid w:val="005E7EB5"/>
    <w:rsid w:val="00601EDB"/>
    <w:rsid w:val="00620265"/>
    <w:rsid w:val="00630717"/>
    <w:rsid w:val="0064757A"/>
    <w:rsid w:val="00650812"/>
    <w:rsid w:val="006573A9"/>
    <w:rsid w:val="00673A43"/>
    <w:rsid w:val="00692CAB"/>
    <w:rsid w:val="006A6EC6"/>
    <w:rsid w:val="006C3484"/>
    <w:rsid w:val="006D36D3"/>
    <w:rsid w:val="006E2275"/>
    <w:rsid w:val="006E6279"/>
    <w:rsid w:val="007057EE"/>
    <w:rsid w:val="00707FB7"/>
    <w:rsid w:val="00710259"/>
    <w:rsid w:val="00735279"/>
    <w:rsid w:val="00754321"/>
    <w:rsid w:val="00762D21"/>
    <w:rsid w:val="00764C9B"/>
    <w:rsid w:val="007733A6"/>
    <w:rsid w:val="00780C9D"/>
    <w:rsid w:val="00784FEE"/>
    <w:rsid w:val="00787B19"/>
    <w:rsid w:val="007A148B"/>
    <w:rsid w:val="007A3033"/>
    <w:rsid w:val="007B30F5"/>
    <w:rsid w:val="007B7C16"/>
    <w:rsid w:val="00813B04"/>
    <w:rsid w:val="00816716"/>
    <w:rsid w:val="0081748D"/>
    <w:rsid w:val="00822814"/>
    <w:rsid w:val="00827019"/>
    <w:rsid w:val="00837F08"/>
    <w:rsid w:val="0086171B"/>
    <w:rsid w:val="008632B7"/>
    <w:rsid w:val="008956EC"/>
    <w:rsid w:val="008958BC"/>
    <w:rsid w:val="008A3CE5"/>
    <w:rsid w:val="008A60E3"/>
    <w:rsid w:val="008C0A7F"/>
    <w:rsid w:val="008C5BC8"/>
    <w:rsid w:val="008D0AF7"/>
    <w:rsid w:val="008F2D6F"/>
    <w:rsid w:val="00904EF4"/>
    <w:rsid w:val="00912D64"/>
    <w:rsid w:val="00912E93"/>
    <w:rsid w:val="009431DC"/>
    <w:rsid w:val="009628D3"/>
    <w:rsid w:val="00963F5B"/>
    <w:rsid w:val="00964069"/>
    <w:rsid w:val="00976049"/>
    <w:rsid w:val="00977389"/>
    <w:rsid w:val="00977F4E"/>
    <w:rsid w:val="00984B46"/>
    <w:rsid w:val="00990CCD"/>
    <w:rsid w:val="0099542B"/>
    <w:rsid w:val="009A037E"/>
    <w:rsid w:val="009B15F4"/>
    <w:rsid w:val="009C1EB7"/>
    <w:rsid w:val="009C2486"/>
    <w:rsid w:val="009D37FE"/>
    <w:rsid w:val="009F48C7"/>
    <w:rsid w:val="009F6C1A"/>
    <w:rsid w:val="00A21F97"/>
    <w:rsid w:val="00A23AC1"/>
    <w:rsid w:val="00A368AC"/>
    <w:rsid w:val="00A42777"/>
    <w:rsid w:val="00A479DF"/>
    <w:rsid w:val="00A5144D"/>
    <w:rsid w:val="00A523EB"/>
    <w:rsid w:val="00A65A21"/>
    <w:rsid w:val="00A908F6"/>
    <w:rsid w:val="00AA07C6"/>
    <w:rsid w:val="00B05578"/>
    <w:rsid w:val="00B15A12"/>
    <w:rsid w:val="00B30416"/>
    <w:rsid w:val="00B337A8"/>
    <w:rsid w:val="00B45B69"/>
    <w:rsid w:val="00B64980"/>
    <w:rsid w:val="00B85877"/>
    <w:rsid w:val="00B86304"/>
    <w:rsid w:val="00B94F5E"/>
    <w:rsid w:val="00BA3A78"/>
    <w:rsid w:val="00BC245E"/>
    <w:rsid w:val="00BC4BC6"/>
    <w:rsid w:val="00BC65AC"/>
    <w:rsid w:val="00BC684E"/>
    <w:rsid w:val="00BD583A"/>
    <w:rsid w:val="00BF2177"/>
    <w:rsid w:val="00C01DB5"/>
    <w:rsid w:val="00C31EFF"/>
    <w:rsid w:val="00C35080"/>
    <w:rsid w:val="00C428E2"/>
    <w:rsid w:val="00C74ED2"/>
    <w:rsid w:val="00C91AAC"/>
    <w:rsid w:val="00CA0F64"/>
    <w:rsid w:val="00CA3B90"/>
    <w:rsid w:val="00CC085E"/>
    <w:rsid w:val="00CC2729"/>
    <w:rsid w:val="00CC4C32"/>
    <w:rsid w:val="00CC4D99"/>
    <w:rsid w:val="00CD2B58"/>
    <w:rsid w:val="00CD383F"/>
    <w:rsid w:val="00D15C57"/>
    <w:rsid w:val="00D6533E"/>
    <w:rsid w:val="00D7403C"/>
    <w:rsid w:val="00D7487F"/>
    <w:rsid w:val="00D846C8"/>
    <w:rsid w:val="00D91E9D"/>
    <w:rsid w:val="00DA016C"/>
    <w:rsid w:val="00DB0A4E"/>
    <w:rsid w:val="00DC1B84"/>
    <w:rsid w:val="00DD538D"/>
    <w:rsid w:val="00DE269F"/>
    <w:rsid w:val="00DE509B"/>
    <w:rsid w:val="00DF0810"/>
    <w:rsid w:val="00DF0E5A"/>
    <w:rsid w:val="00E21A15"/>
    <w:rsid w:val="00E3180F"/>
    <w:rsid w:val="00E334AA"/>
    <w:rsid w:val="00E56C31"/>
    <w:rsid w:val="00E57C0F"/>
    <w:rsid w:val="00E6420B"/>
    <w:rsid w:val="00E67A5D"/>
    <w:rsid w:val="00EA6863"/>
    <w:rsid w:val="00EB67B4"/>
    <w:rsid w:val="00EC1BA1"/>
    <w:rsid w:val="00ED513F"/>
    <w:rsid w:val="00EF10B8"/>
    <w:rsid w:val="00F0609E"/>
    <w:rsid w:val="00F21C69"/>
    <w:rsid w:val="00F30930"/>
    <w:rsid w:val="00F32BBA"/>
    <w:rsid w:val="00F33A45"/>
    <w:rsid w:val="00F343F6"/>
    <w:rsid w:val="00F52A7D"/>
    <w:rsid w:val="00F54642"/>
    <w:rsid w:val="00F57CC2"/>
    <w:rsid w:val="00F63C79"/>
    <w:rsid w:val="00F72086"/>
    <w:rsid w:val="00F72CA3"/>
    <w:rsid w:val="00F73D72"/>
    <w:rsid w:val="00F93B20"/>
    <w:rsid w:val="00FB6D5B"/>
    <w:rsid w:val="00FC2D33"/>
    <w:rsid w:val="00FD08E0"/>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A259B"/>
  <w15:chartTrackingRefBased/>
  <w15:docId w15:val="{2D8F8CB8-9CA2-4BB6-85D5-FCAAACE5846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33"/>
    <w:pPr>
      <w:spacing w:after="0" w:line="360" w:lineRule="auto"/>
      <w:ind w:firstLine="720"/>
    </w:pPr>
    <w:rPr>
      <w:rFonts w:ascii="Book Antiqua" w:hAnsi="Book Antiqua"/>
      <w:kern w:val="0"/>
      <w:sz w:val="26"/>
      <w:szCs w:val="22"/>
      <w14:ligatures w14:val="none"/>
    </w:rPr>
  </w:style>
  <w:style w:type="paragraph" w:styleId="Heading1">
    <w:name w:val="heading 1"/>
    <w:basedOn w:val="Normal"/>
    <w:next w:val="Normal"/>
    <w:link w:val="Heading1Char"/>
    <w:uiPriority w:val="4"/>
    <w:qFormat/>
    <w:rsid w:val="00FC2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4"/>
    <w:unhideWhenUsed/>
    <w:qFormat/>
    <w:rsid w:val="00FC2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semiHidden/>
    <w:unhideWhenUsed/>
    <w:qFormat/>
    <w:rsid w:val="00FC2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4"/>
    <w:semiHidden/>
    <w:unhideWhenUsed/>
    <w:qFormat/>
    <w:rsid w:val="00FC2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4"/>
    <w:semiHidden/>
    <w:unhideWhenUsed/>
    <w:qFormat/>
    <w:rsid w:val="00FC2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4"/>
    <w:semiHidden/>
    <w:unhideWhenUsed/>
    <w:qFormat/>
    <w:rsid w:val="00FC2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4"/>
    <w:rsid w:val="00FC2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D33"/>
    <w:rPr>
      <w:rFonts w:eastAsiaTheme="majorEastAsia" w:cstheme="majorBidi"/>
      <w:color w:val="272727" w:themeColor="text1" w:themeTint="D8"/>
    </w:rPr>
  </w:style>
  <w:style w:type="paragraph" w:styleId="Title">
    <w:name w:val="Title"/>
    <w:basedOn w:val="Normal"/>
    <w:next w:val="Normal"/>
    <w:link w:val="TitleChar"/>
    <w:uiPriority w:val="10"/>
    <w:qFormat/>
    <w:rsid w:val="00FC2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D3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D33"/>
    <w:pPr>
      <w:spacing w:before="160"/>
      <w:jc w:val="center"/>
    </w:pPr>
    <w:rPr>
      <w:i/>
      <w:iCs/>
      <w:color w:val="404040" w:themeColor="text1" w:themeTint="BF"/>
    </w:rPr>
  </w:style>
  <w:style w:type="character" w:customStyle="1" w:styleId="QuoteChar">
    <w:name w:val="Quote Char"/>
    <w:basedOn w:val="DefaultParagraphFont"/>
    <w:link w:val="Quote"/>
    <w:uiPriority w:val="29"/>
    <w:rsid w:val="00FC2D33"/>
    <w:rPr>
      <w:i/>
      <w:iCs/>
      <w:color w:val="404040" w:themeColor="text1" w:themeTint="BF"/>
    </w:rPr>
  </w:style>
  <w:style w:type="paragraph" w:styleId="ListParagraph">
    <w:name w:val="List Paragraph"/>
    <w:basedOn w:val="Normal"/>
    <w:uiPriority w:val="34"/>
    <w:qFormat/>
    <w:rsid w:val="00FC2D33"/>
    <w:pPr>
      <w:ind w:left="720"/>
      <w:contextualSpacing/>
    </w:pPr>
  </w:style>
  <w:style w:type="character" w:styleId="IntenseEmphasis">
    <w:name w:val="Intense Emphasis"/>
    <w:basedOn w:val="DefaultParagraphFont"/>
    <w:uiPriority w:val="21"/>
    <w:qFormat/>
    <w:rsid w:val="00FC2D33"/>
    <w:rPr>
      <w:i/>
      <w:iCs/>
      <w:color w:val="0F4761" w:themeColor="accent1" w:themeShade="BF"/>
    </w:rPr>
  </w:style>
  <w:style w:type="paragraph" w:styleId="IntenseQuote">
    <w:name w:val="Intense Quote"/>
    <w:basedOn w:val="Normal"/>
    <w:next w:val="Normal"/>
    <w:link w:val="IntenseQuoteChar"/>
    <w:uiPriority w:val="30"/>
    <w:qFormat/>
    <w:rsid w:val="00FC2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D33"/>
    <w:rPr>
      <w:i/>
      <w:iCs/>
      <w:color w:val="0F4761" w:themeColor="accent1" w:themeShade="BF"/>
    </w:rPr>
  </w:style>
  <w:style w:type="character" w:styleId="IntenseReference">
    <w:name w:val="Intense Reference"/>
    <w:basedOn w:val="DefaultParagraphFont"/>
    <w:uiPriority w:val="32"/>
    <w:qFormat/>
    <w:rsid w:val="00FC2D33"/>
    <w:rPr>
      <w:b/>
      <w:bCs/>
      <w:smallCaps/>
      <w:color w:val="0F4761" w:themeColor="accent1" w:themeShade="BF"/>
      <w:spacing w:val="5"/>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40"/>
    <w:locked/>
    <w:rsid w:val="00FC2D33"/>
    <w:rPr>
      <w:rFonts w:ascii="Book Antiqua" w:hAnsi="Book Antiqua"/>
      <w:szCs w:val="20"/>
    </w:r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Footnote Text Char2,ALTS FOOTNOTE"/>
    <w:basedOn w:val="Normal"/>
    <w:link w:val="FootnoteTextChar"/>
    <w:uiPriority w:val="40"/>
    <w:unhideWhenUsed/>
    <w:qFormat/>
    <w:rsid w:val="00FC2D33"/>
    <w:pPr>
      <w:spacing w:after="120" w:line="240" w:lineRule="auto"/>
      <w:ind w:firstLine="0"/>
    </w:pPr>
    <w:rPr>
      <w:kern w:val="2"/>
      <w:sz w:val="24"/>
      <w:szCs w:val="20"/>
      <w14:ligatures w14:val="standardContextual"/>
    </w:rPr>
  </w:style>
  <w:style w:type="character" w:customStyle="1" w:styleId="FootnoteTextChar1">
    <w:name w:val="Footnote Text Char1"/>
    <w:basedOn w:val="DefaultParagraphFont"/>
    <w:uiPriority w:val="99"/>
    <w:semiHidden/>
    <w:rsid w:val="00FC2D33"/>
    <w:rPr>
      <w:rFonts w:ascii="Book Antiqua" w:hAnsi="Book Antiqua"/>
      <w:kern w:val="0"/>
      <w:sz w:val="20"/>
      <w:szCs w:val="20"/>
      <w14:ligatures w14:val="none"/>
    </w:rPr>
  </w:style>
  <w:style w:type="paragraph" w:customStyle="1" w:styleId="OP">
    <w:name w:val="OP"/>
    <w:basedOn w:val="Normal"/>
    <w:uiPriority w:val="8"/>
    <w:qFormat/>
    <w:rsid w:val="00FC2D33"/>
    <w:pPr>
      <w:numPr>
        <w:numId w:val="2"/>
      </w:numPr>
      <w:ind w:left="0"/>
    </w:pPr>
  </w:style>
  <w:style w:type="paragraph" w:customStyle="1" w:styleId="ListAlpha">
    <w:name w:val="List Alpha"/>
    <w:basedOn w:val="Normal"/>
    <w:uiPriority w:val="4"/>
    <w:qFormat/>
    <w:rsid w:val="00FC2D33"/>
    <w:pPr>
      <w:spacing w:after="120" w:line="240" w:lineRule="auto"/>
      <w:ind w:left="1080" w:hanging="360"/>
    </w:pPr>
  </w:style>
  <w:style w:type="paragraph" w:customStyle="1" w:styleId="ListNum">
    <w:name w:val="List Num"/>
    <w:basedOn w:val="Normal"/>
    <w:uiPriority w:val="4"/>
    <w:rsid w:val="00FC2D33"/>
    <w:pPr>
      <w:tabs>
        <w:tab w:val="num" w:pos="1080"/>
      </w:tabs>
      <w:spacing w:after="120" w:line="240" w:lineRule="auto"/>
      <w:ind w:left="1080" w:hanging="360"/>
    </w:pPr>
  </w:style>
  <w:style w:type="character" w:styleId="FootnoteReference">
    <w:name w:val="footnote reference"/>
    <w:aliases w:val="o,fr,o1,o2,o3,o4,o5,o6,o11,o21,o7,Style 12,(NECG) Footnote Reference,Appel note de bas de p,Style 124,o + Times New Roman,Style 3,Style 17,Style 20,Style 13,fr1,fr2,fr3,Style 58"/>
    <w:basedOn w:val="DefaultParagraphFont"/>
    <w:uiPriority w:val="99"/>
    <w:semiHidden/>
    <w:unhideWhenUsed/>
    <w:qFormat/>
    <w:rsid w:val="00FC2D33"/>
    <w:rPr>
      <w:vertAlign w:val="superscript"/>
    </w:rPr>
  </w:style>
  <w:style w:type="table" w:customStyle="1" w:styleId="TableGrid1">
    <w:name w:val="Table Grid1"/>
    <w:basedOn w:val="TableNormal"/>
    <w:uiPriority w:val="39"/>
    <w:rsid w:val="00FC2D33"/>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
    <w:name w:val="FoF/CoL/OP"/>
    <w:uiPriority w:val="99"/>
    <w:rsid w:val="00FC2D33"/>
    <w:pPr>
      <w:numPr>
        <w:numId w:val="2"/>
      </w:numPr>
    </w:pPr>
  </w:style>
  <w:style w:type="numbering" w:customStyle="1" w:styleId="Headings">
    <w:name w:val="Headings"/>
    <w:uiPriority w:val="99"/>
    <w:rsid w:val="00FC2D33"/>
    <w:pPr>
      <w:numPr>
        <w:numId w:val="3"/>
      </w:numPr>
    </w:pPr>
  </w:style>
  <w:style w:type="paragraph" w:customStyle="1" w:styleId="Standard">
    <w:name w:val="Standard"/>
    <w:basedOn w:val="Normal"/>
    <w:qFormat/>
    <w:rsid w:val="00FC2D33"/>
  </w:style>
  <w:style w:type="paragraph" w:styleId="Header">
    <w:name w:val="header"/>
    <w:basedOn w:val="Normal"/>
    <w:link w:val="HeaderChar"/>
    <w:uiPriority w:val="99"/>
    <w:unhideWhenUsed/>
    <w:rsid w:val="00FC2D33"/>
    <w:pPr>
      <w:tabs>
        <w:tab w:val="center" w:pos="4680"/>
        <w:tab w:val="right" w:pos="9360"/>
      </w:tabs>
      <w:spacing w:line="240" w:lineRule="auto"/>
    </w:pPr>
  </w:style>
  <w:style w:type="character" w:customStyle="1" w:styleId="HeaderChar">
    <w:name w:val="Header Char"/>
    <w:basedOn w:val="DefaultParagraphFont"/>
    <w:link w:val="Header"/>
    <w:uiPriority w:val="99"/>
    <w:rsid w:val="00FC2D33"/>
    <w:rPr>
      <w:rFonts w:ascii="Book Antiqua" w:hAnsi="Book Antiqua"/>
      <w:kern w:val="0"/>
      <w:sz w:val="26"/>
      <w:szCs w:val="22"/>
      <w14:ligatures w14:val="none"/>
    </w:rPr>
  </w:style>
  <w:style w:type="paragraph" w:styleId="Footer">
    <w:name w:val="footer"/>
    <w:basedOn w:val="Normal"/>
    <w:link w:val="FooterChar"/>
    <w:uiPriority w:val="99"/>
    <w:unhideWhenUsed/>
    <w:rsid w:val="00FC2D33"/>
    <w:pPr>
      <w:tabs>
        <w:tab w:val="center" w:pos="4680"/>
        <w:tab w:val="right" w:pos="9360"/>
      </w:tabs>
      <w:spacing w:line="240" w:lineRule="auto"/>
    </w:pPr>
  </w:style>
  <w:style w:type="character" w:customStyle="1" w:styleId="FooterChar">
    <w:name w:val="Footer Char"/>
    <w:basedOn w:val="DefaultParagraphFont"/>
    <w:link w:val="Footer"/>
    <w:uiPriority w:val="99"/>
    <w:rsid w:val="00FC2D33"/>
    <w:rPr>
      <w:rFonts w:ascii="Book Antiqua" w:hAnsi="Book Antiqua"/>
      <w:kern w:val="0"/>
      <w:sz w:val="26"/>
      <w:szCs w:val="22"/>
      <w14:ligatures w14:val="none"/>
    </w:rPr>
  </w:style>
  <w:style w:type="character" w:styleId="CommentReference">
    <w:name w:val="annotation reference"/>
    <w:basedOn w:val="DefaultParagraphFont"/>
    <w:uiPriority w:val="99"/>
    <w:semiHidden/>
    <w:unhideWhenUsed/>
    <w:rsid w:val="00707FB7"/>
    <w:rPr>
      <w:sz w:val="16"/>
      <w:szCs w:val="16"/>
    </w:rPr>
  </w:style>
  <w:style w:type="paragraph" w:styleId="CommentText">
    <w:name w:val="annotation text"/>
    <w:basedOn w:val="Normal"/>
    <w:link w:val="CommentTextChar"/>
    <w:uiPriority w:val="99"/>
    <w:unhideWhenUsed/>
    <w:rsid w:val="00707FB7"/>
    <w:pPr>
      <w:spacing w:line="240" w:lineRule="auto"/>
    </w:pPr>
    <w:rPr>
      <w:sz w:val="20"/>
      <w:szCs w:val="20"/>
    </w:rPr>
  </w:style>
  <w:style w:type="character" w:customStyle="1" w:styleId="CommentTextChar">
    <w:name w:val="Comment Text Char"/>
    <w:basedOn w:val="DefaultParagraphFont"/>
    <w:link w:val="CommentText"/>
    <w:uiPriority w:val="99"/>
    <w:rsid w:val="00707FB7"/>
    <w:rPr>
      <w:rFonts w:ascii="Book Antiqua" w:hAnsi="Book Antiqu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7FB7"/>
    <w:rPr>
      <w:b/>
      <w:bCs/>
    </w:rPr>
  </w:style>
  <w:style w:type="character" w:customStyle="1" w:styleId="CommentSubjectChar">
    <w:name w:val="Comment Subject Char"/>
    <w:basedOn w:val="CommentTextChar"/>
    <w:link w:val="CommentSubject"/>
    <w:uiPriority w:val="99"/>
    <w:semiHidden/>
    <w:rsid w:val="00707FB7"/>
    <w:rPr>
      <w:rFonts w:ascii="Book Antiqua" w:hAnsi="Book Antiqua"/>
      <w:b/>
      <w:bCs/>
      <w:kern w:val="0"/>
      <w:sz w:val="20"/>
      <w:szCs w:val="20"/>
      <w14:ligatures w14:val="none"/>
    </w:rPr>
  </w:style>
  <w:style w:type="character" w:styleId="Hyperlink">
    <w:name w:val="Hyperlink"/>
    <w:basedOn w:val="DefaultParagraphFont"/>
    <w:uiPriority w:val="99"/>
    <w:unhideWhenUsed/>
    <w:rsid w:val="008F2D6F"/>
    <w:rPr>
      <w:color w:val="467886" w:themeColor="hyperlink"/>
      <w:u w:val="single"/>
    </w:rPr>
  </w:style>
  <w:style w:type="character" w:styleId="UnresolvedMention">
    <w:name w:val="Unresolved Mention"/>
    <w:basedOn w:val="DefaultParagraphFont"/>
    <w:uiPriority w:val="99"/>
    <w:semiHidden/>
    <w:unhideWhenUsed/>
    <w:rsid w:val="008F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B4D3-9F74-44E7-B13D-99FBB7A7A18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1521</ap:Words>
  <ap:Characters>8672</ap:Characters>
  <ap:Application>Microsoft Office Word</ap:Application>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10173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2026-04-28T15:54:52Z</dcterms:created>
  <dcterms:modified xsi:type="dcterms:W3CDTF">2026-04-28T15:54:52Z</dcterms:modified>
</cp:coreProperties>
</file>