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62C2" w:rsidR="003062C2" w:rsidP="003062C2" w:rsidRDefault="00E4762A" w14:paraId="6F514DD0" w14:textId="43F2485F">
      <w:pPr>
        <w:tabs>
          <w:tab w:val="center" w:pos="4680"/>
          <w:tab w:val="right" w:pos="9360"/>
        </w:tabs>
        <w:spacing w:line="240" w:lineRule="auto"/>
        <w:ind w:firstLine="0"/>
        <w:rPr>
          <w:rFonts w:eastAsia="Times New Roman" w:cs="Times New Roman"/>
          <w:b/>
          <w:bCs/>
          <w:szCs w:val="20"/>
        </w:rPr>
      </w:pPr>
      <w:r>
        <w:rPr>
          <w:rFonts w:eastAsia="Times New Roman" w:cs="Times New Roman"/>
          <w:szCs w:val="20"/>
        </w:rPr>
        <w:t>ALJ</w:t>
      </w:r>
      <w:r w:rsidRPr="003062C2" w:rsidR="003062C2">
        <w:rPr>
          <w:rFonts w:eastAsia="Times New Roman" w:cs="Times New Roman"/>
          <w:szCs w:val="20"/>
        </w:rPr>
        <w:t>/</w:t>
      </w:r>
      <w:r>
        <w:rPr>
          <w:rFonts w:eastAsia="Times New Roman" w:cs="Times New Roman"/>
          <w:szCs w:val="20"/>
        </w:rPr>
        <w:t>MS9</w:t>
      </w:r>
      <w:r w:rsidRPr="003062C2" w:rsidR="003062C2">
        <w:rPr>
          <w:rFonts w:eastAsia="Times New Roman" w:cs="Times New Roman"/>
          <w:szCs w:val="20"/>
        </w:rPr>
        <w:t>/</w:t>
      </w:r>
      <w:proofErr w:type="spellStart"/>
      <w:r w:rsidRPr="003062C2" w:rsidR="003062C2">
        <w:rPr>
          <w:rFonts w:eastAsia="Times New Roman" w:cs="Times New Roman"/>
          <w:szCs w:val="20"/>
        </w:rPr>
        <w:t>jds</w:t>
      </w:r>
      <w:proofErr w:type="spellEnd"/>
      <w:r w:rsidRPr="003062C2" w:rsidR="003062C2">
        <w:rPr>
          <w:rFonts w:eastAsia="Times New Roman" w:cs="Times New Roman"/>
          <w:szCs w:val="20"/>
        </w:rPr>
        <w:tab/>
      </w:r>
      <w:r w:rsidRPr="003062C2" w:rsidR="003062C2">
        <w:rPr>
          <w:rFonts w:eastAsia="Times New Roman" w:cs="Times New Roman"/>
          <w:szCs w:val="20"/>
        </w:rPr>
        <w:tab/>
      </w:r>
      <w:r w:rsidRPr="003062C2" w:rsidR="003062C2">
        <w:rPr>
          <w:rFonts w:eastAsia="Times New Roman" w:cs="Times New Roman"/>
          <w:b/>
          <w:bCs/>
          <w:szCs w:val="20"/>
        </w:rPr>
        <w:t>Date of Issuance 3/2</w:t>
      </w:r>
      <w:r>
        <w:rPr>
          <w:rFonts w:eastAsia="Times New Roman" w:cs="Times New Roman"/>
          <w:b/>
          <w:bCs/>
          <w:szCs w:val="20"/>
        </w:rPr>
        <w:t>5</w:t>
      </w:r>
      <w:r w:rsidRPr="003062C2" w:rsidR="003062C2">
        <w:rPr>
          <w:rFonts w:eastAsia="Times New Roman" w:cs="Times New Roman"/>
          <w:b/>
          <w:bCs/>
          <w:szCs w:val="20"/>
        </w:rPr>
        <w:t>/2026</w:t>
      </w:r>
    </w:p>
    <w:p w:rsidRPr="003062C2" w:rsidR="003062C2" w:rsidP="003062C2" w:rsidRDefault="003062C2" w14:paraId="1D2319C1" w14:textId="77777777">
      <w:pPr>
        <w:tabs>
          <w:tab w:val="center" w:pos="4680"/>
          <w:tab w:val="right" w:pos="9360"/>
        </w:tabs>
        <w:spacing w:line="240" w:lineRule="auto"/>
        <w:ind w:firstLine="0"/>
        <w:rPr>
          <w:rFonts w:eastAsia="Times New Roman" w:cs="Times New Roman"/>
          <w:szCs w:val="20"/>
        </w:rPr>
      </w:pPr>
    </w:p>
    <w:p w:rsidRPr="003062C2" w:rsidR="003062C2" w:rsidP="003062C2" w:rsidRDefault="003062C2" w14:paraId="669FCEF6" w14:textId="77777777">
      <w:pPr>
        <w:tabs>
          <w:tab w:val="center" w:pos="4680"/>
          <w:tab w:val="right" w:pos="9360"/>
        </w:tabs>
        <w:spacing w:line="240" w:lineRule="auto"/>
        <w:ind w:firstLine="0"/>
        <w:rPr>
          <w:rFonts w:eastAsia="Times New Roman" w:cs="Times New Roman"/>
          <w:szCs w:val="20"/>
        </w:rPr>
      </w:pPr>
    </w:p>
    <w:p w:rsidRPr="003062C2" w:rsidR="003062C2" w:rsidP="003062C2" w:rsidRDefault="003062C2" w14:paraId="1BD3A902" w14:textId="77777777">
      <w:pPr>
        <w:tabs>
          <w:tab w:val="center" w:pos="4680"/>
          <w:tab w:val="right" w:pos="9360"/>
        </w:tabs>
        <w:spacing w:line="240" w:lineRule="auto"/>
        <w:ind w:firstLine="0"/>
        <w:rPr>
          <w:rFonts w:eastAsia="Times New Roman" w:cs="Times New Roman"/>
          <w:szCs w:val="20"/>
        </w:rPr>
      </w:pPr>
      <w:r w:rsidRPr="003062C2">
        <w:rPr>
          <w:rFonts w:eastAsia="Times New Roman" w:cs="Times New Roman"/>
          <w:szCs w:val="20"/>
        </w:rPr>
        <w:t>Decision 26-03-</w:t>
      </w:r>
      <w:proofErr w:type="gramStart"/>
      <w:r w:rsidRPr="003062C2">
        <w:rPr>
          <w:rFonts w:eastAsia="Times New Roman" w:cs="Times New Roman"/>
          <w:szCs w:val="20"/>
        </w:rPr>
        <w:t>013  March</w:t>
      </w:r>
      <w:proofErr w:type="gramEnd"/>
      <w:r w:rsidRPr="003062C2">
        <w:rPr>
          <w:rFonts w:eastAsia="Times New Roman" w:cs="Times New Roman"/>
          <w:szCs w:val="20"/>
        </w:rPr>
        <w:t xml:space="preserve"> 19, 2026</w:t>
      </w:r>
    </w:p>
    <w:p w:rsidRPr="003062C2" w:rsidR="003062C2" w:rsidP="003062C2" w:rsidRDefault="003062C2" w14:paraId="22076BF3" w14:textId="77777777">
      <w:pPr>
        <w:tabs>
          <w:tab w:val="center" w:pos="4680"/>
          <w:tab w:val="right" w:pos="9360"/>
        </w:tabs>
        <w:spacing w:line="240" w:lineRule="auto"/>
        <w:ind w:firstLine="0"/>
        <w:rPr>
          <w:rFonts w:eastAsia="Times New Roman" w:cs="Times New Roman"/>
          <w:szCs w:val="20"/>
        </w:rPr>
      </w:pPr>
    </w:p>
    <w:p w:rsidR="00DA7B5D" w:rsidP="00BB0243" w:rsidRDefault="00DA7B5D" w14:paraId="63B9B9C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717D7BC"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4EB48311"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87069B" w14:paraId="18BC3119" w14:textId="2F00562B">
            <w:pPr>
              <w:spacing w:line="240" w:lineRule="auto"/>
              <w:ind w:firstLine="0"/>
              <w:rPr>
                <w:rFonts w:cs="Arial"/>
                <w:szCs w:val="26"/>
              </w:rPr>
            </w:pPr>
            <w:r>
              <w:rPr>
                <w:rFonts w:cs="Arial"/>
                <w:szCs w:val="26"/>
              </w:rPr>
              <w:t>O</w:t>
            </w:r>
            <w:r w:rsidRPr="0038108F">
              <w:rPr>
                <w:rFonts w:cs="Arial"/>
                <w:szCs w:val="26"/>
              </w:rPr>
              <w:t>rder Instituting Rulemaking to Improve the California Climate Credit</w:t>
            </w:r>
            <w:r w:rsidRPr="009A088F">
              <w:rPr>
                <w:rFonts w:cs="Arial"/>
                <w:szCs w:val="26"/>
              </w:rPr>
              <w:t>.</w:t>
            </w:r>
            <w:r w:rsidRP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87069B" w14:paraId="06B451D8" w14:textId="5890731B">
            <w:pPr>
              <w:spacing w:line="240" w:lineRule="auto"/>
              <w:ind w:firstLine="0"/>
              <w:jc w:val="center"/>
              <w:rPr>
                <w:rFonts w:cs="Arial"/>
                <w:szCs w:val="26"/>
              </w:rPr>
            </w:pPr>
            <w:r>
              <w:rPr>
                <w:rFonts w:cs="Arial"/>
                <w:szCs w:val="26"/>
              </w:rPr>
              <w:t>Rulemaking 25-07-013</w:t>
            </w:r>
          </w:p>
        </w:tc>
      </w:tr>
    </w:tbl>
    <w:p w:rsidR="00DA7B5D" w:rsidP="008F0116" w:rsidRDefault="00DA7B5D" w14:paraId="7E14F478" w14:textId="77777777">
      <w:pPr>
        <w:spacing w:line="240" w:lineRule="auto"/>
        <w:ind w:firstLine="0"/>
        <w:rPr>
          <w:rFonts w:ascii="Arial" w:hAnsi="Arial" w:cs="Arial"/>
          <w:sz w:val="24"/>
          <w:szCs w:val="24"/>
        </w:rPr>
      </w:pPr>
    </w:p>
    <w:p w:rsidR="00DA7B5D" w:rsidP="008F0116" w:rsidRDefault="00DA7B5D" w14:paraId="04F3A2DF" w14:textId="77777777">
      <w:pPr>
        <w:spacing w:line="240" w:lineRule="auto"/>
        <w:ind w:firstLine="0"/>
        <w:rPr>
          <w:rFonts w:ascii="Arial" w:hAnsi="Arial" w:cs="Arial"/>
          <w:sz w:val="24"/>
          <w:szCs w:val="24"/>
        </w:rPr>
      </w:pPr>
    </w:p>
    <w:p w:rsidR="0098655A" w:rsidP="008F155F" w:rsidRDefault="0087069B" w14:paraId="65B05878" w14:textId="214DF8A9">
      <w:pPr>
        <w:pStyle w:val="Dummy"/>
        <w:jc w:val="center"/>
      </w:pPr>
      <w:bookmarkStart w:name="_Toc225243934" w:id="0"/>
      <w:bookmarkStart w:name="_Toc225244032" w:id="1"/>
      <w:bookmarkStart w:name="_Toc220504677" w:id="2"/>
      <w:r>
        <w:t xml:space="preserve">DECISION </w:t>
      </w:r>
      <w:r w:rsidR="00B93656">
        <w:t>PAUSING</w:t>
      </w:r>
      <w:r>
        <w:t xml:space="preserve"> THE </w:t>
      </w:r>
      <w:r w:rsidR="00B22C99">
        <w:t>2026 RESIDENTIAL CLIMATE CREDIT</w:t>
      </w:r>
      <w:r w:rsidR="00BE1992">
        <w:t>S</w:t>
      </w:r>
      <w:r w:rsidR="00B22C99">
        <w:t xml:space="preserve"> DISTRIBUTED BY THE </w:t>
      </w:r>
      <w:r w:rsidR="00B93656">
        <w:t>LARGE ELECTRIC UTILITIES</w:t>
      </w:r>
      <w:bookmarkEnd w:id="0"/>
      <w:bookmarkEnd w:id="1"/>
      <w:r w:rsidR="00B93656">
        <w:t xml:space="preserve"> </w:t>
      </w:r>
      <w:bookmarkEnd w:id="2"/>
    </w:p>
    <w:p w:rsidR="00A10D33" w:rsidP="00695A1F" w:rsidRDefault="00A10D33" w14:paraId="0AEDFB07" w14:textId="77777777">
      <w:pPr>
        <w:spacing w:line="240" w:lineRule="auto"/>
      </w:pPr>
    </w:p>
    <w:p w:rsidR="00A10D33" w:rsidP="00695A1F" w:rsidRDefault="00A10D33" w14:paraId="47446B34" w14:textId="77777777">
      <w:pPr>
        <w:spacing w:line="240" w:lineRule="auto"/>
      </w:pPr>
    </w:p>
    <w:p w:rsidR="00A10D33" w:rsidP="00695A1F" w:rsidRDefault="00A10D33" w14:paraId="7DCCE21C" w14:textId="77777777">
      <w:pPr>
        <w:spacing w:line="240" w:lineRule="auto"/>
      </w:pPr>
    </w:p>
    <w:p w:rsidR="00A10D33" w:rsidP="00695A1F" w:rsidRDefault="00A10D33" w14:paraId="4A698186" w14:textId="77777777">
      <w:pPr>
        <w:spacing w:line="240" w:lineRule="auto"/>
      </w:pPr>
    </w:p>
    <w:p w:rsidR="00A10D33" w:rsidP="00695A1F" w:rsidRDefault="00A10D33" w14:paraId="6EC55A85" w14:textId="77777777">
      <w:pPr>
        <w:spacing w:line="240" w:lineRule="auto"/>
      </w:pPr>
    </w:p>
    <w:p w:rsidR="00A10D33" w:rsidP="00695A1F" w:rsidRDefault="00A10D33" w14:paraId="023F3103" w14:textId="77777777">
      <w:pPr>
        <w:spacing w:line="240" w:lineRule="auto"/>
      </w:pPr>
    </w:p>
    <w:p w:rsidR="00A10D33" w:rsidP="00695A1F" w:rsidRDefault="00A10D33" w14:paraId="041E3E0C" w14:textId="77777777">
      <w:pPr>
        <w:spacing w:line="240" w:lineRule="auto"/>
      </w:pPr>
    </w:p>
    <w:p w:rsidR="00A10D33" w:rsidP="00695A1F" w:rsidRDefault="00A10D33" w14:paraId="6C31FA93" w14:textId="77777777">
      <w:pPr>
        <w:spacing w:line="240" w:lineRule="auto"/>
      </w:pPr>
    </w:p>
    <w:p w:rsidR="00A10D33" w:rsidP="00695A1F" w:rsidRDefault="00A10D33" w14:paraId="760BD61E" w14:textId="77777777">
      <w:pPr>
        <w:spacing w:line="240" w:lineRule="auto"/>
      </w:pPr>
    </w:p>
    <w:p w:rsidR="00A10D33" w:rsidP="00695A1F" w:rsidRDefault="00A10D33" w14:paraId="15A4114F" w14:textId="77777777">
      <w:pPr>
        <w:spacing w:line="240" w:lineRule="auto"/>
      </w:pPr>
    </w:p>
    <w:p w:rsidR="00A10D33" w:rsidP="00695A1F" w:rsidRDefault="00A10D33" w14:paraId="44E97D98" w14:textId="77777777">
      <w:pPr>
        <w:spacing w:line="240" w:lineRule="auto"/>
      </w:pPr>
    </w:p>
    <w:p w:rsidR="00A10D33" w:rsidP="00695A1F" w:rsidRDefault="00A10D33" w14:paraId="35EC837B" w14:textId="77777777">
      <w:pPr>
        <w:spacing w:line="240" w:lineRule="auto"/>
      </w:pPr>
    </w:p>
    <w:p w:rsidR="00A10D33" w:rsidP="00695A1F" w:rsidRDefault="00A10D33" w14:paraId="1928C42B" w14:textId="77777777">
      <w:pPr>
        <w:spacing w:line="240" w:lineRule="auto"/>
      </w:pPr>
    </w:p>
    <w:p w:rsidR="00A10D33" w:rsidP="00695A1F" w:rsidRDefault="00A10D33" w14:paraId="5B94FBC9" w14:textId="77777777">
      <w:pPr>
        <w:spacing w:line="240" w:lineRule="auto"/>
      </w:pPr>
    </w:p>
    <w:p w:rsidR="00A10D33" w:rsidP="00695A1F" w:rsidRDefault="00A10D33" w14:paraId="07ADB966" w14:textId="77777777">
      <w:pPr>
        <w:spacing w:line="240" w:lineRule="auto"/>
      </w:pPr>
    </w:p>
    <w:p w:rsidR="00AF2503" w:rsidP="00AF2503" w:rsidRDefault="00AF2503" w14:paraId="0315E750" w14:textId="77777777">
      <w:pPr>
        <w:tabs>
          <w:tab w:val="right" w:pos="9360"/>
        </w:tabs>
        <w:spacing w:line="240" w:lineRule="auto"/>
        <w:ind w:firstLine="0"/>
        <w:rPr>
          <w:rFonts w:ascii="Arial" w:hAnsi="Arial" w:cs="Arial"/>
          <w:sz w:val="24"/>
          <w:szCs w:val="24"/>
        </w:rPr>
      </w:pPr>
    </w:p>
    <w:p w:rsidR="00AF2503" w:rsidP="00AF2503" w:rsidRDefault="00AF2503" w14:paraId="7A579265" w14:textId="77777777">
      <w:pPr>
        <w:tabs>
          <w:tab w:val="right" w:pos="9360"/>
        </w:tabs>
        <w:spacing w:line="240" w:lineRule="auto"/>
        <w:ind w:firstLine="0"/>
        <w:rPr>
          <w:rFonts w:ascii="Arial" w:hAnsi="Arial" w:cs="Arial"/>
          <w:sz w:val="24"/>
          <w:szCs w:val="24"/>
        </w:rPr>
        <w:sectPr w:rsidR="00AF2503" w:rsidSect="009E0F62">
          <w:headerReference w:type="default" r:id="rId11"/>
          <w:headerReference w:type="first" r:id="rId12"/>
          <w:footerReference w:type="first" r:id="rId13"/>
          <w:pgSz w:w="12240" w:h="15840"/>
          <w:pgMar w:top="1728" w:right="1440" w:bottom="1440" w:left="1440" w:header="720" w:footer="432" w:gutter="0"/>
          <w:pgNumType w:start="1"/>
          <w:cols w:space="720"/>
          <w:titlePg/>
          <w:docGrid w:linePitch="360"/>
        </w:sectPr>
      </w:pPr>
    </w:p>
    <w:p w:rsidRPr="007D76D6" w:rsidR="00AF2503" w:rsidP="00AF2503" w:rsidRDefault="00AF2503" w14:paraId="0C981E97" w14:textId="77777777">
      <w:pPr>
        <w:pStyle w:val="TOCHeading"/>
      </w:pPr>
      <w:r w:rsidRPr="007D76D6">
        <w:lastRenderedPageBreak/>
        <w:t>TABLE OF CONTENTS</w:t>
      </w:r>
    </w:p>
    <w:p w:rsidRPr="007D76D6" w:rsidR="00AF2503" w:rsidP="00AF2503" w:rsidRDefault="00AF2503" w14:paraId="42DA2EA4" w14:textId="77777777">
      <w:pPr>
        <w:tabs>
          <w:tab w:val="right" w:pos="9360"/>
        </w:tabs>
        <w:spacing w:line="240" w:lineRule="auto"/>
        <w:ind w:firstLine="0"/>
      </w:pPr>
      <w:r w:rsidRPr="007D76D6">
        <w:rPr>
          <w:b/>
        </w:rPr>
        <w:t>Title</w:t>
      </w:r>
      <w:r w:rsidRPr="007D76D6">
        <w:tab/>
      </w:r>
      <w:r w:rsidRPr="007D76D6">
        <w:rPr>
          <w:b/>
        </w:rPr>
        <w:t>Page</w:t>
      </w:r>
    </w:p>
    <w:sdt>
      <w:sdtPr>
        <w:id w:val="-1224440197"/>
        <w:docPartObj>
          <w:docPartGallery w:val="Table of Contents"/>
          <w:docPartUnique/>
        </w:docPartObj>
      </w:sdtPr>
      <w:sdtEndPr>
        <w:rPr>
          <w:b/>
          <w:bCs/>
          <w:noProof/>
        </w:rPr>
      </w:sdtEndPr>
      <w:sdtContent>
        <w:p w:rsidRPr="00E5564F" w:rsidR="00AF2503" w:rsidP="00955E7E" w:rsidRDefault="00AF2503" w14:paraId="6BBF93AB" w14:textId="4EC54158">
          <w:pPr>
            <w:pStyle w:val="TOC1"/>
            <w:tabs>
              <w:tab w:val="right" w:leader="dot" w:pos="9350"/>
            </w:tabs>
            <w:ind w:left="0" w:firstLine="0"/>
            <w:rPr>
              <w:rFonts w:asciiTheme="minorHAnsi" w:hAnsiTheme="minorHAnsi" w:cstheme="minorBidi"/>
              <w:noProof/>
              <w:kern w:val="2"/>
              <w:sz w:val="24"/>
              <w:szCs w:val="24"/>
              <w14:ligatures w14:val="standardContextual"/>
            </w:rPr>
          </w:pPr>
        </w:p>
        <w:p w:rsidR="00955E7E" w:rsidRDefault="00AF2503" w14:paraId="311511B2" w14:textId="08EC1DD9">
          <w:pPr>
            <w:pStyle w:val="TOC1"/>
            <w:tabs>
              <w:tab w:val="right" w:leader="dot" w:pos="9350"/>
            </w:tabs>
            <w:rPr>
              <w:rFonts w:asciiTheme="minorHAnsi" w:hAnsiTheme="minorHAnsi" w:cstheme="minorBidi"/>
              <w:noProof/>
              <w:kern w:val="2"/>
              <w:sz w:val="24"/>
              <w:szCs w:val="24"/>
              <w14:ligatures w14:val="standardContextual"/>
            </w:rPr>
          </w:pPr>
          <w:r w:rsidRPr="00742D04">
            <w:rPr>
              <w:rFonts w:asciiTheme="minorHAnsi" w:hAnsiTheme="minorHAnsi"/>
              <w:sz w:val="22"/>
            </w:rPr>
            <w:fldChar w:fldCharType="begin"/>
          </w:r>
          <w:r w:rsidRPr="00742D04">
            <w:rPr>
              <w:rFonts w:asciiTheme="minorHAnsi" w:hAnsiTheme="minorHAnsi"/>
              <w:sz w:val="22"/>
            </w:rPr>
            <w:instrText xml:space="preserve"> TOC \o "1-6" \h \z \u </w:instrText>
          </w:r>
          <w:r w:rsidRPr="00742D04">
            <w:rPr>
              <w:rFonts w:asciiTheme="minorHAnsi" w:hAnsiTheme="minorHAnsi"/>
              <w:sz w:val="22"/>
            </w:rPr>
            <w:fldChar w:fldCharType="separate"/>
          </w:r>
          <w:hyperlink w:history="1" w:anchor="_Toc225244032">
            <w:r w:rsidRPr="002E5864" w:rsidR="00955E7E">
              <w:rPr>
                <w:rStyle w:val="Hyperlink"/>
                <w:noProof/>
              </w:rPr>
              <w:t>DECISION PAUSING THE 2026 RESIDENTIAL CLIMATE CREDITS DISTRIBUTED BY THE LARGE ELECTRIC UTILITIES</w:t>
            </w:r>
            <w:r w:rsidR="00955E7E">
              <w:rPr>
                <w:noProof/>
                <w:webHidden/>
              </w:rPr>
              <w:tab/>
            </w:r>
            <w:r w:rsidR="00955E7E">
              <w:rPr>
                <w:noProof/>
                <w:webHidden/>
              </w:rPr>
              <w:fldChar w:fldCharType="begin"/>
            </w:r>
            <w:r w:rsidR="00955E7E">
              <w:rPr>
                <w:noProof/>
                <w:webHidden/>
              </w:rPr>
              <w:instrText xml:space="preserve"> PAGEREF _Toc225244032 \h </w:instrText>
            </w:r>
            <w:r w:rsidR="00955E7E">
              <w:rPr>
                <w:noProof/>
                <w:webHidden/>
              </w:rPr>
            </w:r>
            <w:r w:rsidR="00955E7E">
              <w:rPr>
                <w:noProof/>
                <w:webHidden/>
              </w:rPr>
              <w:fldChar w:fldCharType="separate"/>
            </w:r>
            <w:r w:rsidR="00955E7E">
              <w:rPr>
                <w:noProof/>
                <w:webHidden/>
              </w:rPr>
              <w:t>1</w:t>
            </w:r>
            <w:r w:rsidR="00955E7E">
              <w:rPr>
                <w:noProof/>
                <w:webHidden/>
              </w:rPr>
              <w:fldChar w:fldCharType="end"/>
            </w:r>
          </w:hyperlink>
        </w:p>
        <w:p w:rsidR="00955E7E" w:rsidRDefault="00955E7E" w14:paraId="1054A69E" w14:textId="25B8EFD9">
          <w:pPr>
            <w:pStyle w:val="TOC1"/>
            <w:tabs>
              <w:tab w:val="right" w:leader="dot" w:pos="9350"/>
            </w:tabs>
            <w:rPr>
              <w:rFonts w:asciiTheme="minorHAnsi" w:hAnsiTheme="minorHAnsi" w:cstheme="minorBidi"/>
              <w:noProof/>
              <w:kern w:val="2"/>
              <w:sz w:val="24"/>
              <w:szCs w:val="24"/>
              <w14:ligatures w14:val="standardContextual"/>
            </w:rPr>
          </w:pPr>
          <w:hyperlink w:history="1" w:anchor="_Toc225244033">
            <w:r w:rsidRPr="002E5864">
              <w:rPr>
                <w:rStyle w:val="Hyperlink"/>
                <w:noProof/>
              </w:rPr>
              <w:t>DECISION PAUSING THE 2026 RESIDENTIAL CLIMATE CREDITS DISTRIBUTED BY THE LARGE ELECTRIC UTILITIES</w:t>
            </w:r>
            <w:r>
              <w:rPr>
                <w:noProof/>
                <w:webHidden/>
              </w:rPr>
              <w:tab/>
            </w:r>
            <w:r>
              <w:rPr>
                <w:noProof/>
                <w:webHidden/>
              </w:rPr>
              <w:fldChar w:fldCharType="begin"/>
            </w:r>
            <w:r>
              <w:rPr>
                <w:noProof/>
                <w:webHidden/>
              </w:rPr>
              <w:instrText xml:space="preserve"> PAGEREF _Toc225244033 \h </w:instrText>
            </w:r>
            <w:r>
              <w:rPr>
                <w:noProof/>
                <w:webHidden/>
              </w:rPr>
            </w:r>
            <w:r>
              <w:rPr>
                <w:noProof/>
                <w:webHidden/>
              </w:rPr>
              <w:fldChar w:fldCharType="separate"/>
            </w:r>
            <w:r>
              <w:rPr>
                <w:noProof/>
                <w:webHidden/>
              </w:rPr>
              <w:t>1</w:t>
            </w:r>
            <w:r>
              <w:rPr>
                <w:noProof/>
                <w:webHidden/>
              </w:rPr>
              <w:fldChar w:fldCharType="end"/>
            </w:r>
          </w:hyperlink>
        </w:p>
        <w:p w:rsidR="00955E7E" w:rsidRDefault="00955E7E" w14:paraId="1A88C3C8" w14:textId="2C7359B8">
          <w:pPr>
            <w:pStyle w:val="TOC1"/>
            <w:tabs>
              <w:tab w:val="right" w:leader="dot" w:pos="9350"/>
            </w:tabs>
            <w:rPr>
              <w:rFonts w:asciiTheme="minorHAnsi" w:hAnsiTheme="minorHAnsi" w:cstheme="minorBidi"/>
              <w:noProof/>
              <w:kern w:val="2"/>
              <w:sz w:val="24"/>
              <w:szCs w:val="24"/>
              <w14:ligatures w14:val="standardContextual"/>
            </w:rPr>
          </w:pPr>
          <w:hyperlink w:history="1" w:anchor="_Toc225244034">
            <w:r w:rsidRPr="002E5864">
              <w:rPr>
                <w:rStyle w:val="Hyperlink"/>
                <w:noProof/>
              </w:rPr>
              <w:t>Summary</w:t>
            </w:r>
            <w:r>
              <w:rPr>
                <w:noProof/>
                <w:webHidden/>
              </w:rPr>
              <w:tab/>
            </w:r>
            <w:r>
              <w:rPr>
                <w:noProof/>
                <w:webHidden/>
              </w:rPr>
              <w:fldChar w:fldCharType="begin"/>
            </w:r>
            <w:r>
              <w:rPr>
                <w:noProof/>
                <w:webHidden/>
              </w:rPr>
              <w:instrText xml:space="preserve"> PAGEREF _Toc225244034 \h </w:instrText>
            </w:r>
            <w:r>
              <w:rPr>
                <w:noProof/>
                <w:webHidden/>
              </w:rPr>
            </w:r>
            <w:r>
              <w:rPr>
                <w:noProof/>
                <w:webHidden/>
              </w:rPr>
              <w:fldChar w:fldCharType="separate"/>
            </w:r>
            <w:r>
              <w:rPr>
                <w:noProof/>
                <w:webHidden/>
              </w:rPr>
              <w:t>1</w:t>
            </w:r>
            <w:r>
              <w:rPr>
                <w:noProof/>
                <w:webHidden/>
              </w:rPr>
              <w:fldChar w:fldCharType="end"/>
            </w:r>
          </w:hyperlink>
        </w:p>
        <w:p w:rsidR="00955E7E" w:rsidRDefault="00955E7E" w14:paraId="0BCB94F8" w14:textId="6F88C3B8">
          <w:pPr>
            <w:pStyle w:val="TOC1"/>
            <w:tabs>
              <w:tab w:val="right" w:leader="dot" w:pos="9350"/>
            </w:tabs>
            <w:rPr>
              <w:rFonts w:asciiTheme="minorHAnsi" w:hAnsiTheme="minorHAnsi" w:cstheme="minorBidi"/>
              <w:noProof/>
              <w:kern w:val="2"/>
              <w:sz w:val="24"/>
              <w:szCs w:val="24"/>
              <w14:ligatures w14:val="standardContextual"/>
            </w:rPr>
          </w:pPr>
          <w:hyperlink w:history="1" w:anchor="_Toc225244035">
            <w:r w:rsidRPr="002E5864">
              <w:rPr>
                <w:rStyle w:val="Hyperlink"/>
                <w:noProof/>
              </w:rPr>
              <w:t>1.</w:t>
            </w:r>
            <w:r>
              <w:rPr>
                <w:rFonts w:asciiTheme="minorHAnsi" w:hAnsiTheme="minorHAnsi" w:cstheme="minorBidi"/>
                <w:noProof/>
                <w:kern w:val="2"/>
                <w:sz w:val="24"/>
                <w:szCs w:val="24"/>
                <w14:ligatures w14:val="standardContextual"/>
              </w:rPr>
              <w:tab/>
            </w:r>
            <w:r w:rsidRPr="002E5864">
              <w:rPr>
                <w:rStyle w:val="Hyperlink"/>
                <w:noProof/>
              </w:rPr>
              <w:t>Background</w:t>
            </w:r>
            <w:r>
              <w:rPr>
                <w:noProof/>
                <w:webHidden/>
              </w:rPr>
              <w:tab/>
            </w:r>
            <w:r>
              <w:rPr>
                <w:noProof/>
                <w:webHidden/>
              </w:rPr>
              <w:fldChar w:fldCharType="begin"/>
            </w:r>
            <w:r>
              <w:rPr>
                <w:noProof/>
                <w:webHidden/>
              </w:rPr>
              <w:instrText xml:space="preserve"> PAGEREF _Toc225244035 \h </w:instrText>
            </w:r>
            <w:r>
              <w:rPr>
                <w:noProof/>
                <w:webHidden/>
              </w:rPr>
            </w:r>
            <w:r>
              <w:rPr>
                <w:noProof/>
                <w:webHidden/>
              </w:rPr>
              <w:fldChar w:fldCharType="separate"/>
            </w:r>
            <w:r>
              <w:rPr>
                <w:noProof/>
                <w:webHidden/>
              </w:rPr>
              <w:t>1</w:t>
            </w:r>
            <w:r>
              <w:rPr>
                <w:noProof/>
                <w:webHidden/>
              </w:rPr>
              <w:fldChar w:fldCharType="end"/>
            </w:r>
          </w:hyperlink>
        </w:p>
        <w:p w:rsidR="00955E7E" w:rsidRDefault="00955E7E" w14:paraId="1C1EA23F" w14:textId="0186B31E">
          <w:pPr>
            <w:pStyle w:val="TOC2"/>
            <w:tabs>
              <w:tab w:val="right" w:leader="dot" w:pos="9350"/>
            </w:tabs>
            <w:rPr>
              <w:rFonts w:asciiTheme="minorHAnsi" w:hAnsiTheme="minorHAnsi" w:cstheme="minorBidi"/>
              <w:noProof/>
              <w:kern w:val="2"/>
              <w:sz w:val="24"/>
              <w:szCs w:val="24"/>
              <w14:ligatures w14:val="standardContextual"/>
            </w:rPr>
          </w:pPr>
          <w:hyperlink w:history="1" w:anchor="_Toc225244036">
            <w:r w:rsidRPr="002E5864">
              <w:rPr>
                <w:rStyle w:val="Hyperlink"/>
                <w:noProof/>
              </w:rPr>
              <w:t>1.1.</w:t>
            </w:r>
            <w:r>
              <w:rPr>
                <w:rFonts w:asciiTheme="minorHAnsi" w:hAnsiTheme="minorHAnsi" w:cstheme="minorBidi"/>
                <w:noProof/>
                <w:kern w:val="2"/>
                <w:sz w:val="24"/>
                <w:szCs w:val="24"/>
                <w14:ligatures w14:val="standardContextual"/>
              </w:rPr>
              <w:tab/>
            </w:r>
            <w:r w:rsidRPr="002E5864">
              <w:rPr>
                <w:rStyle w:val="Hyperlink"/>
                <w:noProof/>
              </w:rPr>
              <w:t>Procedural Background</w:t>
            </w:r>
            <w:r>
              <w:rPr>
                <w:noProof/>
                <w:webHidden/>
              </w:rPr>
              <w:tab/>
            </w:r>
            <w:r>
              <w:rPr>
                <w:noProof/>
                <w:webHidden/>
              </w:rPr>
              <w:fldChar w:fldCharType="begin"/>
            </w:r>
            <w:r>
              <w:rPr>
                <w:noProof/>
                <w:webHidden/>
              </w:rPr>
              <w:instrText xml:space="preserve"> PAGEREF _Toc225244036 \h </w:instrText>
            </w:r>
            <w:r>
              <w:rPr>
                <w:noProof/>
                <w:webHidden/>
              </w:rPr>
            </w:r>
            <w:r>
              <w:rPr>
                <w:noProof/>
                <w:webHidden/>
              </w:rPr>
              <w:fldChar w:fldCharType="separate"/>
            </w:r>
            <w:r>
              <w:rPr>
                <w:noProof/>
                <w:webHidden/>
              </w:rPr>
              <w:t>3</w:t>
            </w:r>
            <w:r>
              <w:rPr>
                <w:noProof/>
                <w:webHidden/>
              </w:rPr>
              <w:fldChar w:fldCharType="end"/>
            </w:r>
          </w:hyperlink>
        </w:p>
        <w:p w:rsidR="00955E7E" w:rsidRDefault="00955E7E" w14:paraId="5E430E8C" w14:textId="321CCD9D">
          <w:pPr>
            <w:pStyle w:val="TOC1"/>
            <w:tabs>
              <w:tab w:val="right" w:leader="dot" w:pos="9350"/>
            </w:tabs>
            <w:rPr>
              <w:rFonts w:asciiTheme="minorHAnsi" w:hAnsiTheme="minorHAnsi" w:cstheme="minorBidi"/>
              <w:noProof/>
              <w:kern w:val="2"/>
              <w:sz w:val="24"/>
              <w:szCs w:val="24"/>
              <w14:ligatures w14:val="standardContextual"/>
            </w:rPr>
          </w:pPr>
          <w:hyperlink w:history="1" w:anchor="_Toc225244037">
            <w:r w:rsidRPr="002E5864">
              <w:rPr>
                <w:rStyle w:val="Hyperlink"/>
                <w:noProof/>
              </w:rPr>
              <w:t>2.</w:t>
            </w:r>
            <w:r>
              <w:rPr>
                <w:rFonts w:asciiTheme="minorHAnsi" w:hAnsiTheme="minorHAnsi" w:cstheme="minorBidi"/>
                <w:noProof/>
                <w:kern w:val="2"/>
                <w:sz w:val="24"/>
                <w:szCs w:val="24"/>
                <w14:ligatures w14:val="standardContextual"/>
              </w:rPr>
              <w:tab/>
            </w:r>
            <w:r w:rsidRPr="002E5864">
              <w:rPr>
                <w:rStyle w:val="Hyperlink"/>
                <w:noProof/>
              </w:rPr>
              <w:t>Jurisdiction</w:t>
            </w:r>
            <w:r>
              <w:rPr>
                <w:noProof/>
                <w:webHidden/>
              </w:rPr>
              <w:tab/>
            </w:r>
            <w:r>
              <w:rPr>
                <w:noProof/>
                <w:webHidden/>
              </w:rPr>
              <w:fldChar w:fldCharType="begin"/>
            </w:r>
            <w:r>
              <w:rPr>
                <w:noProof/>
                <w:webHidden/>
              </w:rPr>
              <w:instrText xml:space="preserve"> PAGEREF _Toc225244037 \h </w:instrText>
            </w:r>
            <w:r>
              <w:rPr>
                <w:noProof/>
                <w:webHidden/>
              </w:rPr>
            </w:r>
            <w:r>
              <w:rPr>
                <w:noProof/>
                <w:webHidden/>
              </w:rPr>
              <w:fldChar w:fldCharType="separate"/>
            </w:r>
            <w:r>
              <w:rPr>
                <w:noProof/>
                <w:webHidden/>
              </w:rPr>
              <w:t>5</w:t>
            </w:r>
            <w:r>
              <w:rPr>
                <w:noProof/>
                <w:webHidden/>
              </w:rPr>
              <w:fldChar w:fldCharType="end"/>
            </w:r>
          </w:hyperlink>
        </w:p>
        <w:p w:rsidR="00955E7E" w:rsidRDefault="00955E7E" w14:paraId="4D91EB86" w14:textId="6D18426B">
          <w:pPr>
            <w:pStyle w:val="TOC1"/>
            <w:tabs>
              <w:tab w:val="right" w:leader="dot" w:pos="9350"/>
            </w:tabs>
            <w:rPr>
              <w:rFonts w:asciiTheme="minorHAnsi" w:hAnsiTheme="minorHAnsi" w:cstheme="minorBidi"/>
              <w:noProof/>
              <w:kern w:val="2"/>
              <w:sz w:val="24"/>
              <w:szCs w:val="24"/>
              <w14:ligatures w14:val="standardContextual"/>
            </w:rPr>
          </w:pPr>
          <w:hyperlink w:history="1" w:anchor="_Toc225244038">
            <w:r w:rsidRPr="002E5864">
              <w:rPr>
                <w:rStyle w:val="Hyperlink"/>
                <w:noProof/>
              </w:rPr>
              <w:t>3.</w:t>
            </w:r>
            <w:r>
              <w:rPr>
                <w:rFonts w:asciiTheme="minorHAnsi" w:hAnsiTheme="minorHAnsi" w:cstheme="minorBidi"/>
                <w:noProof/>
                <w:kern w:val="2"/>
                <w:sz w:val="24"/>
                <w:szCs w:val="24"/>
                <w14:ligatures w14:val="standardContextual"/>
              </w:rPr>
              <w:tab/>
            </w:r>
            <w:r w:rsidRPr="002E5864">
              <w:rPr>
                <w:rStyle w:val="Hyperlink"/>
                <w:noProof/>
              </w:rPr>
              <w:t>Issues Before the Commission</w:t>
            </w:r>
            <w:r>
              <w:rPr>
                <w:noProof/>
                <w:webHidden/>
              </w:rPr>
              <w:tab/>
            </w:r>
            <w:r>
              <w:rPr>
                <w:noProof/>
                <w:webHidden/>
              </w:rPr>
              <w:fldChar w:fldCharType="begin"/>
            </w:r>
            <w:r>
              <w:rPr>
                <w:noProof/>
                <w:webHidden/>
              </w:rPr>
              <w:instrText xml:space="preserve"> PAGEREF _Toc225244038 \h </w:instrText>
            </w:r>
            <w:r>
              <w:rPr>
                <w:noProof/>
                <w:webHidden/>
              </w:rPr>
            </w:r>
            <w:r>
              <w:rPr>
                <w:noProof/>
                <w:webHidden/>
              </w:rPr>
              <w:fldChar w:fldCharType="separate"/>
            </w:r>
            <w:r>
              <w:rPr>
                <w:noProof/>
                <w:webHidden/>
              </w:rPr>
              <w:t>5</w:t>
            </w:r>
            <w:r>
              <w:rPr>
                <w:noProof/>
                <w:webHidden/>
              </w:rPr>
              <w:fldChar w:fldCharType="end"/>
            </w:r>
          </w:hyperlink>
        </w:p>
        <w:p w:rsidR="00955E7E" w:rsidRDefault="00955E7E" w14:paraId="72054546" w14:textId="11A81DE9">
          <w:pPr>
            <w:pStyle w:val="TOC1"/>
            <w:tabs>
              <w:tab w:val="right" w:leader="dot" w:pos="9350"/>
            </w:tabs>
            <w:rPr>
              <w:rFonts w:asciiTheme="minorHAnsi" w:hAnsiTheme="minorHAnsi" w:cstheme="minorBidi"/>
              <w:noProof/>
              <w:kern w:val="2"/>
              <w:sz w:val="24"/>
              <w:szCs w:val="24"/>
              <w14:ligatures w14:val="standardContextual"/>
            </w:rPr>
          </w:pPr>
          <w:hyperlink w:history="1" w:anchor="_Toc225244039">
            <w:r w:rsidRPr="002E5864">
              <w:rPr>
                <w:rStyle w:val="Hyperlink"/>
                <w:noProof/>
              </w:rPr>
              <w:t>4.</w:t>
            </w:r>
            <w:r>
              <w:rPr>
                <w:rFonts w:asciiTheme="minorHAnsi" w:hAnsiTheme="minorHAnsi" w:cstheme="minorBidi"/>
                <w:noProof/>
                <w:kern w:val="2"/>
                <w:sz w:val="24"/>
                <w:szCs w:val="24"/>
                <w14:ligatures w14:val="standardContextual"/>
              </w:rPr>
              <w:tab/>
            </w:r>
            <w:r w:rsidRPr="002E5864">
              <w:rPr>
                <w:rStyle w:val="Hyperlink"/>
                <w:noProof/>
              </w:rPr>
              <w:t>Pausing the Climate Credit</w:t>
            </w:r>
            <w:r>
              <w:rPr>
                <w:noProof/>
                <w:webHidden/>
              </w:rPr>
              <w:tab/>
            </w:r>
            <w:r>
              <w:rPr>
                <w:noProof/>
                <w:webHidden/>
              </w:rPr>
              <w:fldChar w:fldCharType="begin"/>
            </w:r>
            <w:r>
              <w:rPr>
                <w:noProof/>
                <w:webHidden/>
              </w:rPr>
              <w:instrText xml:space="preserve"> PAGEREF _Toc225244039 \h </w:instrText>
            </w:r>
            <w:r>
              <w:rPr>
                <w:noProof/>
                <w:webHidden/>
              </w:rPr>
            </w:r>
            <w:r>
              <w:rPr>
                <w:noProof/>
                <w:webHidden/>
              </w:rPr>
              <w:fldChar w:fldCharType="separate"/>
            </w:r>
            <w:r>
              <w:rPr>
                <w:noProof/>
                <w:webHidden/>
              </w:rPr>
              <w:t>6</w:t>
            </w:r>
            <w:r>
              <w:rPr>
                <w:noProof/>
                <w:webHidden/>
              </w:rPr>
              <w:fldChar w:fldCharType="end"/>
            </w:r>
          </w:hyperlink>
        </w:p>
        <w:p w:rsidR="00955E7E" w:rsidRDefault="00955E7E" w14:paraId="4F3F8737" w14:textId="2C9826A6">
          <w:pPr>
            <w:pStyle w:val="TOC1"/>
            <w:tabs>
              <w:tab w:val="right" w:leader="dot" w:pos="9350"/>
            </w:tabs>
            <w:rPr>
              <w:rFonts w:asciiTheme="minorHAnsi" w:hAnsiTheme="minorHAnsi" w:cstheme="minorBidi"/>
              <w:noProof/>
              <w:kern w:val="2"/>
              <w:sz w:val="24"/>
              <w:szCs w:val="24"/>
              <w14:ligatures w14:val="standardContextual"/>
            </w:rPr>
          </w:pPr>
          <w:hyperlink w:history="1" w:anchor="_Toc225244040">
            <w:r w:rsidRPr="002E5864">
              <w:rPr>
                <w:rStyle w:val="Hyperlink"/>
                <w:noProof/>
              </w:rPr>
              <w:t>Table 1: Residential Climate Credit Amounts Provided to Investor-owned Electric Utility Customers in 2025 and 2026</w:t>
            </w:r>
            <w:r>
              <w:rPr>
                <w:noProof/>
                <w:webHidden/>
              </w:rPr>
              <w:tab/>
            </w:r>
            <w:r>
              <w:rPr>
                <w:noProof/>
                <w:webHidden/>
              </w:rPr>
              <w:fldChar w:fldCharType="begin"/>
            </w:r>
            <w:r>
              <w:rPr>
                <w:noProof/>
                <w:webHidden/>
              </w:rPr>
              <w:instrText xml:space="preserve"> PAGEREF _Toc225244040 \h </w:instrText>
            </w:r>
            <w:r>
              <w:rPr>
                <w:noProof/>
                <w:webHidden/>
              </w:rPr>
            </w:r>
            <w:r>
              <w:rPr>
                <w:noProof/>
                <w:webHidden/>
              </w:rPr>
              <w:fldChar w:fldCharType="separate"/>
            </w:r>
            <w:r>
              <w:rPr>
                <w:noProof/>
                <w:webHidden/>
              </w:rPr>
              <w:t>6</w:t>
            </w:r>
            <w:r>
              <w:rPr>
                <w:noProof/>
                <w:webHidden/>
              </w:rPr>
              <w:fldChar w:fldCharType="end"/>
            </w:r>
          </w:hyperlink>
        </w:p>
        <w:p w:rsidR="00955E7E" w:rsidRDefault="00955E7E" w14:paraId="53331B53" w14:textId="3F0431DC">
          <w:pPr>
            <w:pStyle w:val="TOC1"/>
            <w:tabs>
              <w:tab w:val="right" w:leader="dot" w:pos="9350"/>
            </w:tabs>
            <w:rPr>
              <w:rFonts w:asciiTheme="minorHAnsi" w:hAnsiTheme="minorHAnsi" w:cstheme="minorBidi"/>
              <w:noProof/>
              <w:kern w:val="2"/>
              <w:sz w:val="24"/>
              <w:szCs w:val="24"/>
              <w14:ligatures w14:val="standardContextual"/>
            </w:rPr>
          </w:pPr>
          <w:hyperlink w:history="1" w:anchor="_Toc225244041">
            <w:r w:rsidRPr="002E5864">
              <w:rPr>
                <w:rStyle w:val="Hyperlink"/>
                <w:noProof/>
              </w:rPr>
              <w:t>5.</w:t>
            </w:r>
            <w:r>
              <w:rPr>
                <w:rFonts w:asciiTheme="minorHAnsi" w:hAnsiTheme="minorHAnsi" w:cstheme="minorBidi"/>
                <w:noProof/>
                <w:kern w:val="2"/>
                <w:sz w:val="24"/>
                <w:szCs w:val="24"/>
                <w14:ligatures w14:val="standardContextual"/>
              </w:rPr>
              <w:tab/>
            </w:r>
            <w:r w:rsidRPr="002E5864">
              <w:rPr>
                <w:rStyle w:val="Hyperlink"/>
                <w:noProof/>
              </w:rPr>
              <w:t>Summary of Public Comment</w:t>
            </w:r>
            <w:r>
              <w:rPr>
                <w:noProof/>
                <w:webHidden/>
              </w:rPr>
              <w:tab/>
            </w:r>
            <w:r>
              <w:rPr>
                <w:noProof/>
                <w:webHidden/>
              </w:rPr>
              <w:fldChar w:fldCharType="begin"/>
            </w:r>
            <w:r>
              <w:rPr>
                <w:noProof/>
                <w:webHidden/>
              </w:rPr>
              <w:instrText xml:space="preserve"> PAGEREF _Toc225244041 \h </w:instrText>
            </w:r>
            <w:r>
              <w:rPr>
                <w:noProof/>
                <w:webHidden/>
              </w:rPr>
            </w:r>
            <w:r>
              <w:rPr>
                <w:noProof/>
                <w:webHidden/>
              </w:rPr>
              <w:fldChar w:fldCharType="separate"/>
            </w:r>
            <w:r>
              <w:rPr>
                <w:noProof/>
                <w:webHidden/>
              </w:rPr>
              <w:t>12</w:t>
            </w:r>
            <w:r>
              <w:rPr>
                <w:noProof/>
                <w:webHidden/>
              </w:rPr>
              <w:fldChar w:fldCharType="end"/>
            </w:r>
          </w:hyperlink>
        </w:p>
        <w:p w:rsidR="00955E7E" w:rsidRDefault="00955E7E" w14:paraId="6AAC30E4" w14:textId="6A32662A">
          <w:pPr>
            <w:pStyle w:val="TOC1"/>
            <w:tabs>
              <w:tab w:val="right" w:leader="dot" w:pos="9350"/>
            </w:tabs>
            <w:rPr>
              <w:rFonts w:asciiTheme="minorHAnsi" w:hAnsiTheme="minorHAnsi" w:cstheme="minorBidi"/>
              <w:noProof/>
              <w:kern w:val="2"/>
              <w:sz w:val="24"/>
              <w:szCs w:val="24"/>
              <w14:ligatures w14:val="standardContextual"/>
            </w:rPr>
          </w:pPr>
          <w:hyperlink w:history="1" w:anchor="_Toc225244042">
            <w:r w:rsidRPr="002E5864">
              <w:rPr>
                <w:rStyle w:val="Hyperlink"/>
                <w:noProof/>
              </w:rPr>
              <w:t>6.</w:t>
            </w:r>
            <w:r>
              <w:rPr>
                <w:rFonts w:asciiTheme="minorHAnsi" w:hAnsiTheme="minorHAnsi" w:cstheme="minorBidi"/>
                <w:noProof/>
                <w:kern w:val="2"/>
                <w:sz w:val="24"/>
                <w:szCs w:val="24"/>
                <w14:ligatures w14:val="standardContextual"/>
              </w:rPr>
              <w:tab/>
            </w:r>
            <w:r w:rsidRPr="002E5864">
              <w:rPr>
                <w:rStyle w:val="Hyperlink"/>
                <w:noProof/>
              </w:rPr>
              <w:t>Service of the Proposed Decision</w:t>
            </w:r>
            <w:r>
              <w:rPr>
                <w:noProof/>
                <w:webHidden/>
              </w:rPr>
              <w:tab/>
            </w:r>
            <w:r>
              <w:rPr>
                <w:noProof/>
                <w:webHidden/>
              </w:rPr>
              <w:fldChar w:fldCharType="begin"/>
            </w:r>
            <w:r>
              <w:rPr>
                <w:noProof/>
                <w:webHidden/>
              </w:rPr>
              <w:instrText xml:space="preserve"> PAGEREF _Toc225244042 \h </w:instrText>
            </w:r>
            <w:r>
              <w:rPr>
                <w:noProof/>
                <w:webHidden/>
              </w:rPr>
            </w:r>
            <w:r>
              <w:rPr>
                <w:noProof/>
                <w:webHidden/>
              </w:rPr>
              <w:fldChar w:fldCharType="separate"/>
            </w:r>
            <w:r>
              <w:rPr>
                <w:noProof/>
                <w:webHidden/>
              </w:rPr>
              <w:t>12</w:t>
            </w:r>
            <w:r>
              <w:rPr>
                <w:noProof/>
                <w:webHidden/>
              </w:rPr>
              <w:fldChar w:fldCharType="end"/>
            </w:r>
          </w:hyperlink>
        </w:p>
        <w:p w:rsidR="00955E7E" w:rsidRDefault="00955E7E" w14:paraId="6ADC90B0" w14:textId="7BA7BDA0">
          <w:pPr>
            <w:pStyle w:val="TOC1"/>
            <w:tabs>
              <w:tab w:val="right" w:leader="dot" w:pos="9350"/>
            </w:tabs>
            <w:rPr>
              <w:rFonts w:asciiTheme="minorHAnsi" w:hAnsiTheme="minorHAnsi" w:cstheme="minorBidi"/>
              <w:noProof/>
              <w:kern w:val="2"/>
              <w:sz w:val="24"/>
              <w:szCs w:val="24"/>
              <w14:ligatures w14:val="standardContextual"/>
            </w:rPr>
          </w:pPr>
          <w:hyperlink w:history="1" w:anchor="_Toc225244043">
            <w:r w:rsidRPr="002E5864">
              <w:rPr>
                <w:rStyle w:val="Hyperlink"/>
                <w:noProof/>
              </w:rPr>
              <w:t>7.</w:t>
            </w:r>
            <w:r>
              <w:rPr>
                <w:rFonts w:asciiTheme="minorHAnsi" w:hAnsiTheme="minorHAnsi" w:cstheme="minorBidi"/>
                <w:noProof/>
                <w:kern w:val="2"/>
                <w:sz w:val="24"/>
                <w:szCs w:val="24"/>
                <w14:ligatures w14:val="standardContextual"/>
              </w:rPr>
              <w:tab/>
            </w:r>
            <w:r w:rsidRPr="002E5864">
              <w:rPr>
                <w:rStyle w:val="Hyperlink"/>
                <w:noProof/>
              </w:rPr>
              <w:t>Procedural Matters</w:t>
            </w:r>
            <w:r>
              <w:rPr>
                <w:noProof/>
                <w:webHidden/>
              </w:rPr>
              <w:tab/>
            </w:r>
            <w:r>
              <w:rPr>
                <w:noProof/>
                <w:webHidden/>
              </w:rPr>
              <w:fldChar w:fldCharType="begin"/>
            </w:r>
            <w:r>
              <w:rPr>
                <w:noProof/>
                <w:webHidden/>
              </w:rPr>
              <w:instrText xml:space="preserve"> PAGEREF _Toc225244043 \h </w:instrText>
            </w:r>
            <w:r>
              <w:rPr>
                <w:noProof/>
                <w:webHidden/>
              </w:rPr>
            </w:r>
            <w:r>
              <w:rPr>
                <w:noProof/>
                <w:webHidden/>
              </w:rPr>
              <w:fldChar w:fldCharType="separate"/>
            </w:r>
            <w:r>
              <w:rPr>
                <w:noProof/>
                <w:webHidden/>
              </w:rPr>
              <w:t>13</w:t>
            </w:r>
            <w:r>
              <w:rPr>
                <w:noProof/>
                <w:webHidden/>
              </w:rPr>
              <w:fldChar w:fldCharType="end"/>
            </w:r>
          </w:hyperlink>
        </w:p>
        <w:p w:rsidR="00955E7E" w:rsidRDefault="00955E7E" w14:paraId="2AA7A56D" w14:textId="668A0C1F">
          <w:pPr>
            <w:pStyle w:val="TOC1"/>
            <w:tabs>
              <w:tab w:val="right" w:leader="dot" w:pos="9350"/>
            </w:tabs>
            <w:rPr>
              <w:rFonts w:asciiTheme="minorHAnsi" w:hAnsiTheme="minorHAnsi" w:cstheme="minorBidi"/>
              <w:noProof/>
              <w:kern w:val="2"/>
              <w:sz w:val="24"/>
              <w:szCs w:val="24"/>
              <w14:ligatures w14:val="standardContextual"/>
            </w:rPr>
          </w:pPr>
          <w:hyperlink w:history="1" w:anchor="_Toc225244044">
            <w:r w:rsidRPr="002E5864">
              <w:rPr>
                <w:rStyle w:val="Hyperlink"/>
                <w:noProof/>
              </w:rPr>
              <w:t>8.</w:t>
            </w:r>
            <w:r>
              <w:rPr>
                <w:rFonts w:asciiTheme="minorHAnsi" w:hAnsiTheme="minorHAnsi" w:cstheme="minorBidi"/>
                <w:noProof/>
                <w:kern w:val="2"/>
                <w:sz w:val="24"/>
                <w:szCs w:val="24"/>
                <w14:ligatures w14:val="standardContextual"/>
              </w:rPr>
              <w:tab/>
            </w:r>
            <w:r w:rsidRPr="002E5864">
              <w:rPr>
                <w:rStyle w:val="Hyperlink"/>
                <w:noProof/>
              </w:rPr>
              <w:t>Comments on Proposed Decision</w:t>
            </w:r>
            <w:r>
              <w:rPr>
                <w:noProof/>
                <w:webHidden/>
              </w:rPr>
              <w:tab/>
            </w:r>
            <w:r>
              <w:rPr>
                <w:noProof/>
                <w:webHidden/>
              </w:rPr>
              <w:fldChar w:fldCharType="begin"/>
            </w:r>
            <w:r>
              <w:rPr>
                <w:noProof/>
                <w:webHidden/>
              </w:rPr>
              <w:instrText xml:space="preserve"> PAGEREF _Toc225244044 \h </w:instrText>
            </w:r>
            <w:r>
              <w:rPr>
                <w:noProof/>
                <w:webHidden/>
              </w:rPr>
            </w:r>
            <w:r>
              <w:rPr>
                <w:noProof/>
                <w:webHidden/>
              </w:rPr>
              <w:fldChar w:fldCharType="separate"/>
            </w:r>
            <w:r>
              <w:rPr>
                <w:noProof/>
                <w:webHidden/>
              </w:rPr>
              <w:t>13</w:t>
            </w:r>
            <w:r>
              <w:rPr>
                <w:noProof/>
                <w:webHidden/>
              </w:rPr>
              <w:fldChar w:fldCharType="end"/>
            </w:r>
          </w:hyperlink>
        </w:p>
        <w:p w:rsidR="00955E7E" w:rsidRDefault="00955E7E" w14:paraId="7C82193D" w14:textId="6C17B402">
          <w:pPr>
            <w:pStyle w:val="TOC1"/>
            <w:tabs>
              <w:tab w:val="right" w:leader="dot" w:pos="9350"/>
            </w:tabs>
            <w:rPr>
              <w:rFonts w:asciiTheme="minorHAnsi" w:hAnsiTheme="minorHAnsi" w:cstheme="minorBidi"/>
              <w:noProof/>
              <w:kern w:val="2"/>
              <w:sz w:val="24"/>
              <w:szCs w:val="24"/>
              <w14:ligatures w14:val="standardContextual"/>
            </w:rPr>
          </w:pPr>
          <w:hyperlink w:history="1" w:anchor="_Toc225244045">
            <w:r w:rsidRPr="002E5864">
              <w:rPr>
                <w:rStyle w:val="Hyperlink"/>
                <w:noProof/>
              </w:rPr>
              <w:t>9.</w:t>
            </w:r>
            <w:r>
              <w:rPr>
                <w:rFonts w:asciiTheme="minorHAnsi" w:hAnsiTheme="minorHAnsi" w:cstheme="minorBidi"/>
                <w:noProof/>
                <w:kern w:val="2"/>
                <w:sz w:val="24"/>
                <w:szCs w:val="24"/>
                <w14:ligatures w14:val="standardContextual"/>
              </w:rPr>
              <w:tab/>
            </w:r>
            <w:r w:rsidRPr="002E5864">
              <w:rPr>
                <w:rStyle w:val="Hyperlink"/>
                <w:noProof/>
              </w:rPr>
              <w:t>Assignment of Proceeding</w:t>
            </w:r>
            <w:r>
              <w:rPr>
                <w:noProof/>
                <w:webHidden/>
              </w:rPr>
              <w:tab/>
            </w:r>
            <w:r>
              <w:rPr>
                <w:noProof/>
                <w:webHidden/>
              </w:rPr>
              <w:fldChar w:fldCharType="begin"/>
            </w:r>
            <w:r>
              <w:rPr>
                <w:noProof/>
                <w:webHidden/>
              </w:rPr>
              <w:instrText xml:space="preserve"> PAGEREF _Toc225244045 \h </w:instrText>
            </w:r>
            <w:r>
              <w:rPr>
                <w:noProof/>
                <w:webHidden/>
              </w:rPr>
            </w:r>
            <w:r>
              <w:rPr>
                <w:noProof/>
                <w:webHidden/>
              </w:rPr>
              <w:fldChar w:fldCharType="separate"/>
            </w:r>
            <w:r>
              <w:rPr>
                <w:noProof/>
                <w:webHidden/>
              </w:rPr>
              <w:t>18</w:t>
            </w:r>
            <w:r>
              <w:rPr>
                <w:noProof/>
                <w:webHidden/>
              </w:rPr>
              <w:fldChar w:fldCharType="end"/>
            </w:r>
          </w:hyperlink>
        </w:p>
        <w:p w:rsidR="00955E7E" w:rsidRDefault="00955E7E" w14:paraId="260F46C7" w14:textId="1282AF93">
          <w:pPr>
            <w:pStyle w:val="TOC1"/>
            <w:tabs>
              <w:tab w:val="right" w:leader="dot" w:pos="9350"/>
            </w:tabs>
            <w:rPr>
              <w:rFonts w:asciiTheme="minorHAnsi" w:hAnsiTheme="minorHAnsi" w:cstheme="minorBidi"/>
              <w:noProof/>
              <w:kern w:val="2"/>
              <w:sz w:val="24"/>
              <w:szCs w:val="24"/>
              <w14:ligatures w14:val="standardContextual"/>
            </w:rPr>
          </w:pPr>
          <w:hyperlink w:history="1" w:anchor="_Toc225244046">
            <w:r w:rsidRPr="002E5864">
              <w:rPr>
                <w:rStyle w:val="Hyperlink"/>
                <w:noProof/>
              </w:rPr>
              <w:t>Findings of Fact</w:t>
            </w:r>
            <w:r>
              <w:rPr>
                <w:noProof/>
                <w:webHidden/>
              </w:rPr>
              <w:tab/>
            </w:r>
            <w:r>
              <w:rPr>
                <w:noProof/>
                <w:webHidden/>
              </w:rPr>
              <w:fldChar w:fldCharType="begin"/>
            </w:r>
            <w:r>
              <w:rPr>
                <w:noProof/>
                <w:webHidden/>
              </w:rPr>
              <w:instrText xml:space="preserve"> PAGEREF _Toc225244046 \h </w:instrText>
            </w:r>
            <w:r>
              <w:rPr>
                <w:noProof/>
                <w:webHidden/>
              </w:rPr>
            </w:r>
            <w:r>
              <w:rPr>
                <w:noProof/>
                <w:webHidden/>
              </w:rPr>
              <w:fldChar w:fldCharType="separate"/>
            </w:r>
            <w:r>
              <w:rPr>
                <w:noProof/>
                <w:webHidden/>
              </w:rPr>
              <w:t>18</w:t>
            </w:r>
            <w:r>
              <w:rPr>
                <w:noProof/>
                <w:webHidden/>
              </w:rPr>
              <w:fldChar w:fldCharType="end"/>
            </w:r>
          </w:hyperlink>
        </w:p>
        <w:p w:rsidR="00955E7E" w:rsidRDefault="00955E7E" w14:paraId="331AFF75" w14:textId="32FFE4DE">
          <w:pPr>
            <w:pStyle w:val="TOC1"/>
            <w:tabs>
              <w:tab w:val="right" w:leader="dot" w:pos="9350"/>
            </w:tabs>
            <w:rPr>
              <w:rFonts w:asciiTheme="minorHAnsi" w:hAnsiTheme="minorHAnsi" w:cstheme="minorBidi"/>
              <w:noProof/>
              <w:kern w:val="2"/>
              <w:sz w:val="24"/>
              <w:szCs w:val="24"/>
              <w14:ligatures w14:val="standardContextual"/>
            </w:rPr>
          </w:pPr>
          <w:hyperlink w:history="1" w:anchor="_Toc225244047">
            <w:r w:rsidRPr="002E5864">
              <w:rPr>
                <w:rStyle w:val="Hyperlink"/>
                <w:noProof/>
              </w:rPr>
              <w:t>Conclusions of Law</w:t>
            </w:r>
            <w:r>
              <w:rPr>
                <w:noProof/>
                <w:webHidden/>
              </w:rPr>
              <w:tab/>
            </w:r>
            <w:r>
              <w:rPr>
                <w:noProof/>
                <w:webHidden/>
              </w:rPr>
              <w:fldChar w:fldCharType="begin"/>
            </w:r>
            <w:r>
              <w:rPr>
                <w:noProof/>
                <w:webHidden/>
              </w:rPr>
              <w:instrText xml:space="preserve"> PAGEREF _Toc225244047 \h </w:instrText>
            </w:r>
            <w:r>
              <w:rPr>
                <w:noProof/>
                <w:webHidden/>
              </w:rPr>
            </w:r>
            <w:r>
              <w:rPr>
                <w:noProof/>
                <w:webHidden/>
              </w:rPr>
              <w:fldChar w:fldCharType="separate"/>
            </w:r>
            <w:r>
              <w:rPr>
                <w:noProof/>
                <w:webHidden/>
              </w:rPr>
              <w:t>18</w:t>
            </w:r>
            <w:r>
              <w:rPr>
                <w:noProof/>
                <w:webHidden/>
              </w:rPr>
              <w:fldChar w:fldCharType="end"/>
            </w:r>
          </w:hyperlink>
        </w:p>
        <w:p w:rsidR="00955E7E" w:rsidRDefault="00955E7E" w14:paraId="2DC70A11" w14:textId="65BD9524">
          <w:pPr>
            <w:pStyle w:val="TOC1"/>
            <w:tabs>
              <w:tab w:val="right" w:leader="dot" w:pos="9350"/>
            </w:tabs>
            <w:rPr>
              <w:rFonts w:asciiTheme="minorHAnsi" w:hAnsiTheme="minorHAnsi" w:cstheme="minorBidi"/>
              <w:noProof/>
              <w:kern w:val="2"/>
              <w:sz w:val="24"/>
              <w:szCs w:val="24"/>
              <w14:ligatures w14:val="standardContextual"/>
            </w:rPr>
          </w:pPr>
          <w:hyperlink w:history="1" w:anchor="_Toc225244048">
            <w:r w:rsidRPr="002E5864">
              <w:rPr>
                <w:rStyle w:val="Hyperlink"/>
                <w:noProof/>
              </w:rPr>
              <w:t>ORDER</w:t>
            </w:r>
            <w:r>
              <w:rPr>
                <w:noProof/>
                <w:webHidden/>
              </w:rPr>
              <w:tab/>
            </w:r>
            <w:r>
              <w:rPr>
                <w:noProof/>
                <w:webHidden/>
              </w:rPr>
              <w:fldChar w:fldCharType="begin"/>
            </w:r>
            <w:r>
              <w:rPr>
                <w:noProof/>
                <w:webHidden/>
              </w:rPr>
              <w:instrText xml:space="preserve"> PAGEREF _Toc225244048 \h </w:instrText>
            </w:r>
            <w:r>
              <w:rPr>
                <w:noProof/>
                <w:webHidden/>
              </w:rPr>
            </w:r>
            <w:r>
              <w:rPr>
                <w:noProof/>
                <w:webHidden/>
              </w:rPr>
              <w:fldChar w:fldCharType="separate"/>
            </w:r>
            <w:r>
              <w:rPr>
                <w:noProof/>
                <w:webHidden/>
              </w:rPr>
              <w:t>19</w:t>
            </w:r>
            <w:r>
              <w:rPr>
                <w:noProof/>
                <w:webHidden/>
              </w:rPr>
              <w:fldChar w:fldCharType="end"/>
            </w:r>
          </w:hyperlink>
        </w:p>
        <w:p w:rsidRPr="00695A1F" w:rsidR="00AF2503" w:rsidP="00695A1F" w:rsidRDefault="00AF2503" w14:paraId="41A0AC83" w14:textId="47D9EA7E">
          <w:pPr>
            <w:pStyle w:val="TOC1"/>
            <w:tabs>
              <w:tab w:val="right" w:leader="dot" w:pos="9350"/>
            </w:tabs>
            <w:rPr>
              <w:rFonts w:asciiTheme="minorHAnsi" w:hAnsiTheme="minorHAnsi"/>
              <w:sz w:val="22"/>
            </w:rPr>
          </w:pPr>
          <w:r w:rsidRPr="00742D04">
            <w:rPr>
              <w:rFonts w:asciiTheme="minorHAnsi" w:hAnsiTheme="minorHAnsi"/>
              <w:sz w:val="22"/>
            </w:rPr>
            <w:fldChar w:fldCharType="end"/>
          </w:r>
        </w:p>
      </w:sdtContent>
    </w:sdt>
    <w:p w:rsidR="00793425" w:rsidP="005A148C" w:rsidRDefault="00793425" w14:paraId="5AC9C655" w14:textId="77777777">
      <w:pPr>
        <w:pStyle w:val="Dummy"/>
        <w:sectPr w:rsidR="00793425" w:rsidSect="00793425">
          <w:footerReference w:type="default" r:id="rId14"/>
          <w:headerReference w:type="first" r:id="rId15"/>
          <w:footerReference w:type="first" r:id="rId16"/>
          <w:pgSz w:w="12240" w:h="15840"/>
          <w:pgMar w:top="1728" w:right="1440" w:bottom="1440" w:left="1440" w:header="720" w:footer="720" w:gutter="0"/>
          <w:pgNumType w:fmt="lowerRoman" w:start="1"/>
          <w:cols w:space="720"/>
          <w:titlePg/>
          <w:docGrid w:linePitch="360"/>
        </w:sectPr>
      </w:pPr>
      <w:bookmarkStart w:name="_Toc8123714" w:id="3"/>
      <w:bookmarkStart w:name="_Toc220504678" w:id="4"/>
    </w:p>
    <w:p w:rsidR="00793425" w:rsidP="00793425" w:rsidRDefault="00793425" w14:paraId="5C2E28A1" w14:textId="79C78D31">
      <w:pPr>
        <w:pStyle w:val="Dummy"/>
        <w:jc w:val="center"/>
      </w:pPr>
      <w:bookmarkStart w:name="_Toc225244033" w:id="5"/>
      <w:r>
        <w:lastRenderedPageBreak/>
        <w:t>DECISION PAUSING THE 2026 RESIDENTIAL CLIMATE CREDITS DISTRIBUTED BY THE LARGE ELECTRIC UTILITIES</w:t>
      </w:r>
      <w:bookmarkEnd w:id="5"/>
      <w:r>
        <w:t xml:space="preserve"> </w:t>
      </w:r>
    </w:p>
    <w:p w:rsidR="00793425" w:rsidP="005A148C" w:rsidRDefault="00793425" w14:paraId="2B50C806" w14:textId="77777777">
      <w:pPr>
        <w:pStyle w:val="Dummy"/>
      </w:pPr>
    </w:p>
    <w:p w:rsidR="005A148C" w:rsidP="005A148C" w:rsidRDefault="005A148C" w14:paraId="393EDD18" w14:textId="5525EF0E">
      <w:pPr>
        <w:pStyle w:val="Dummy"/>
      </w:pPr>
      <w:bookmarkStart w:name="_Toc225244034" w:id="6"/>
      <w:r>
        <w:t>Summary</w:t>
      </w:r>
      <w:bookmarkEnd w:id="3"/>
      <w:bookmarkEnd w:id="4"/>
      <w:bookmarkEnd w:id="6"/>
    </w:p>
    <w:p w:rsidR="00D74272" w:rsidP="00D74272" w:rsidRDefault="00D74272" w14:paraId="0CCBCF42" w14:textId="01DAFD5A">
      <w:pPr>
        <w:pStyle w:val="Standard"/>
      </w:pPr>
      <w:r>
        <w:t xml:space="preserve">This decision orders the large electric investor-owned utilities to pause the distribution of the 2026 electric residential Climate Credit so that a forthcoming decision can </w:t>
      </w:r>
      <w:proofErr w:type="gramStart"/>
      <w:r>
        <w:t>direct</w:t>
      </w:r>
      <w:proofErr w:type="gramEnd"/>
      <w:r>
        <w:t xml:space="preserve"> when </w:t>
      </w:r>
      <w:r w:rsidR="000F7005">
        <w:t>in 2026</w:t>
      </w:r>
      <w:r w:rsidR="00EB5EAF">
        <w:t xml:space="preserve"> </w:t>
      </w:r>
      <w:r>
        <w:t xml:space="preserve">these credits should be distributed. </w:t>
      </w:r>
    </w:p>
    <w:p w:rsidR="00D74272" w:rsidP="00D74272" w:rsidRDefault="00D74272" w14:paraId="01DAC237" w14:textId="03886F7E">
      <w:pPr>
        <w:pStyle w:val="Standard"/>
      </w:pPr>
      <w:r>
        <w:t xml:space="preserve">The residential electric Climate Credit is provided on customer bills in April and October, which </w:t>
      </w:r>
      <w:r w:rsidR="00B22C99">
        <w:t xml:space="preserve">on average statewide </w:t>
      </w:r>
      <w:r>
        <w:t>are relatively low</w:t>
      </w:r>
      <w:r w:rsidR="00396159">
        <w:t>-</w:t>
      </w:r>
      <w:r>
        <w:t>bill</w:t>
      </w:r>
      <w:r w:rsidR="0008015E">
        <w:t>ed</w:t>
      </w:r>
      <w:r>
        <w:t xml:space="preserve"> months. The current phase of this proceeding is considering moving the 2026 residential electric Climate Credit to high-billed summer months to maximize its affordability impact. A proposed decision addressing that matter is anticipated in March 2026. Pausing the spring Climate Credit will allow the Commission to include it in these considerations. </w:t>
      </w:r>
    </w:p>
    <w:p w:rsidR="0073353F" w:rsidP="00D74272" w:rsidRDefault="00D74272" w14:paraId="3CB07126" w14:textId="28E9E3F5">
      <w:pPr>
        <w:pStyle w:val="Standard"/>
      </w:pPr>
      <w:r>
        <w:t>This proceeding remains open.</w:t>
      </w:r>
    </w:p>
    <w:p w:rsidRPr="00121089" w:rsidR="005A148C" w:rsidP="00A55ACD" w:rsidRDefault="002C7FE9" w14:paraId="57F18370" w14:textId="16BE4F77">
      <w:pPr>
        <w:pStyle w:val="Heading1"/>
        <w:numPr>
          <w:ilvl w:val="0"/>
          <w:numId w:val="1"/>
        </w:numPr>
      </w:pPr>
      <w:bookmarkStart w:name="_Toc8123715" w:id="7"/>
      <w:bookmarkStart w:name="_Toc220504679" w:id="8"/>
      <w:bookmarkStart w:name="_Toc225244035" w:id="9"/>
      <w:r w:rsidRPr="00121089">
        <w:t>Background</w:t>
      </w:r>
      <w:bookmarkEnd w:id="7"/>
      <w:bookmarkEnd w:id="8"/>
      <w:bookmarkEnd w:id="9"/>
    </w:p>
    <w:p w:rsidR="00C153B9" w:rsidP="00D74272" w:rsidRDefault="00D74272" w14:paraId="40AB73C7" w14:textId="77777777">
      <w:pPr>
        <w:pStyle w:val="Standard"/>
      </w:pPr>
      <w:bookmarkStart w:name="_Toc220504680" w:id="10"/>
      <w:r>
        <w:t>The residential Climate Credit is a credit that appears on the investor-owned electric and gas utilities’ residential customers’ bills. These credits are currently delivered twice a year to electric customers and once a year to gas customers during traditionally low-bill</w:t>
      </w:r>
      <w:r w:rsidR="0008015E">
        <w:t>ed</w:t>
      </w:r>
      <w:r>
        <w:t xml:space="preserve"> months: in the spring and fall for electric customers, and in the spring for gas customers. </w:t>
      </w:r>
    </w:p>
    <w:p w:rsidR="00BF77CE" w:rsidP="00D74272" w:rsidRDefault="00FE5A0B" w14:paraId="2EFA9A28" w14:textId="5BF0459B">
      <w:pPr>
        <w:pStyle w:val="Standard"/>
      </w:pPr>
      <w:r>
        <w:t xml:space="preserve">Although it is distributed on bills by the </w:t>
      </w:r>
      <w:r w:rsidR="00B85E6F">
        <w:t>utilities, th</w:t>
      </w:r>
      <w:r w:rsidR="0038472E">
        <w:t xml:space="preserve">e </w:t>
      </w:r>
      <w:r w:rsidR="00D74272">
        <w:t xml:space="preserve">Climate Credit </w:t>
      </w:r>
      <w:r w:rsidR="00B85E6F">
        <w:t xml:space="preserve">is not a utility benefit; it </w:t>
      </w:r>
      <w:r w:rsidR="00D74272">
        <w:t>comes from funds generated by the State’s greenhouse gas Cap-and-Invest Program.</w:t>
      </w:r>
      <w:r w:rsidR="00B85E6F">
        <w:t xml:space="preserve"> All residential customers </w:t>
      </w:r>
      <w:r w:rsidR="00BF77CE">
        <w:t xml:space="preserve">of the investor-owned electric utilities </w:t>
      </w:r>
      <w:r w:rsidR="00B85E6F">
        <w:t xml:space="preserve">receive </w:t>
      </w:r>
      <w:r w:rsidR="00792FA3">
        <w:t xml:space="preserve">it, including </w:t>
      </w:r>
      <w:r w:rsidR="00BF77CE">
        <w:t>customers</w:t>
      </w:r>
      <w:r w:rsidR="00792FA3">
        <w:t xml:space="preserve"> who receive </w:t>
      </w:r>
      <w:r w:rsidR="006E1843">
        <w:t xml:space="preserve">generation </w:t>
      </w:r>
      <w:r w:rsidR="00792FA3">
        <w:t xml:space="preserve">service from </w:t>
      </w:r>
      <w:r w:rsidR="004033C6">
        <w:t>Community Choice Aggregators (CCAs).</w:t>
      </w:r>
      <w:r w:rsidRPr="00BF77CE" w:rsidR="00BF77CE">
        <w:t xml:space="preserve"> </w:t>
      </w:r>
    </w:p>
    <w:p w:rsidR="00D74272" w:rsidP="00D74272" w:rsidRDefault="00A44B29" w14:paraId="191DF96C" w14:textId="2767E645">
      <w:pPr>
        <w:pStyle w:val="Standard"/>
      </w:pPr>
      <w:r>
        <w:lastRenderedPageBreak/>
        <w:t>From</w:t>
      </w:r>
      <w:r w:rsidR="00BF77CE">
        <w:t xml:space="preserve"> its inception in 2014, </w:t>
      </w:r>
      <w:r w:rsidR="00224416">
        <w:t xml:space="preserve">the </w:t>
      </w:r>
      <w:r w:rsidR="00BF77CE">
        <w:t xml:space="preserve">Climate Credit </w:t>
      </w:r>
      <w:r w:rsidR="007A24D0">
        <w:t>has</w:t>
      </w:r>
      <w:r w:rsidR="009678CB">
        <w:t xml:space="preserve"> </w:t>
      </w:r>
      <w:r w:rsidR="007A24D0">
        <w:t>been</w:t>
      </w:r>
      <w:r w:rsidR="009678CB">
        <w:t xml:space="preserve"> </w:t>
      </w:r>
      <w:r w:rsidR="009675FF">
        <w:t xml:space="preserve">intentionally </w:t>
      </w:r>
      <w:r w:rsidR="009678CB">
        <w:t>provided</w:t>
      </w:r>
      <w:r w:rsidR="00224416">
        <w:t xml:space="preserve"> </w:t>
      </w:r>
      <w:r w:rsidR="00BF77CE">
        <w:t>in the shoulder seasons of spring and fall</w:t>
      </w:r>
      <w:r w:rsidR="007F57A7">
        <w:t xml:space="preserve"> (</w:t>
      </w:r>
      <w:r w:rsidR="0025088D">
        <w:t>April and October</w:t>
      </w:r>
      <w:r w:rsidR="007F57A7">
        <w:t>)</w:t>
      </w:r>
      <w:r w:rsidR="0025088D">
        <w:t xml:space="preserve"> b</w:t>
      </w:r>
      <w:r w:rsidR="00BF77CE">
        <w:t>ecause “for much of the state, peak usage occurs in the summer</w:t>
      </w:r>
      <w:r w:rsidR="00A10F3C">
        <w:t>,</w:t>
      </w:r>
      <w:r w:rsidR="0025088D">
        <w:t xml:space="preserve">” and </w:t>
      </w:r>
      <w:r w:rsidR="00BF77CE">
        <w:t>the Commission did “not want to reduce incentives for customers to conserve”</w:t>
      </w:r>
      <w:r w:rsidR="00BF77CE">
        <w:rPr>
          <w:rStyle w:val="FootnoteReference"/>
        </w:rPr>
        <w:footnoteReference w:id="2"/>
      </w:r>
      <w:r w:rsidR="00BF77CE">
        <w:t xml:space="preserve"> </w:t>
      </w:r>
      <w:r w:rsidR="007B2EC6">
        <w:t xml:space="preserve">or </w:t>
      </w:r>
      <w:r w:rsidR="00E14E93">
        <w:t xml:space="preserve">undermine the </w:t>
      </w:r>
      <w:r w:rsidR="007D7CB6">
        <w:t>price signal</w:t>
      </w:r>
      <w:r w:rsidR="00583E7D">
        <w:t>s</w:t>
      </w:r>
      <w:r w:rsidR="007D7CB6">
        <w:t xml:space="preserve"> </w:t>
      </w:r>
      <w:r w:rsidR="00583E7D">
        <w:t>embedded in</w:t>
      </w:r>
      <w:r w:rsidR="002A3A42">
        <w:t xml:space="preserve"> the higher bills that result from higher electricity usage.</w:t>
      </w:r>
      <w:r w:rsidR="004F5BBB">
        <w:rPr>
          <w:rStyle w:val="FootnoteReference"/>
        </w:rPr>
        <w:footnoteReference w:id="3"/>
      </w:r>
      <w:r w:rsidR="002A3A42">
        <w:t xml:space="preserve">  </w:t>
      </w:r>
    </w:p>
    <w:p w:rsidR="00D74272" w:rsidP="00D74272" w:rsidRDefault="00D74272" w14:paraId="2DF66307" w14:textId="77777777">
      <w:pPr>
        <w:pStyle w:val="Standard"/>
      </w:pPr>
      <w:r>
        <w:t>On October 30, 2024, Governor Newsom signed Executive Order (EO) N-5-24 addressing rising electricity ratepayer costs and affordability concerns. EO N-5-24 required the Commission to identify actions that could improve affordability, and in its responding report the Commission identified the Climate Credit as one area of opportunity.</w:t>
      </w:r>
      <w:r>
        <w:rPr>
          <w:rStyle w:val="FootnoteReference"/>
        </w:rPr>
        <w:footnoteReference w:id="4"/>
      </w:r>
      <w:r>
        <w:t xml:space="preserve"> </w:t>
      </w:r>
    </w:p>
    <w:p w:rsidR="00D74272" w:rsidP="00D74272" w:rsidRDefault="00D74272" w14:paraId="6041BF42" w14:textId="77777777">
      <w:pPr>
        <w:pStyle w:val="Standard"/>
      </w:pPr>
      <w:r>
        <w:t xml:space="preserve">On July 24, 2025, the Commission approved the Order Instituting Rulemaking (OIR) to Improve the California Climate Credit, opening the instant rulemaking. </w:t>
      </w:r>
    </w:p>
    <w:p w:rsidR="00D74272" w:rsidP="00D74272" w:rsidRDefault="00D74272" w14:paraId="55533E43" w14:textId="3CCD7187">
      <w:pPr>
        <w:pStyle w:val="Standard"/>
      </w:pPr>
      <w:r>
        <w:rPr>
          <w:rFonts w:cs="Arial"/>
          <w:szCs w:val="26"/>
        </w:rPr>
        <w:t>On September 19, 2025</w:t>
      </w:r>
      <w:r w:rsidRPr="004D5810">
        <w:rPr>
          <w:rFonts w:cs="Arial"/>
          <w:szCs w:val="26"/>
        </w:rPr>
        <w:t xml:space="preserve">, </w:t>
      </w:r>
      <w:r>
        <w:rPr>
          <w:rFonts w:cs="Arial"/>
          <w:szCs w:val="26"/>
        </w:rPr>
        <w:t xml:space="preserve">Governor Newsom signed </w:t>
      </w:r>
      <w:r w:rsidRPr="004D5810">
        <w:rPr>
          <w:rFonts w:cs="Arial"/>
          <w:szCs w:val="26"/>
        </w:rPr>
        <w:t xml:space="preserve">Assembly Bill </w:t>
      </w:r>
      <w:r>
        <w:rPr>
          <w:rFonts w:cs="Arial"/>
          <w:szCs w:val="26"/>
        </w:rPr>
        <w:t xml:space="preserve">(AB) </w:t>
      </w:r>
      <w:r w:rsidRPr="004D5810">
        <w:rPr>
          <w:rFonts w:cs="Arial"/>
          <w:szCs w:val="26"/>
        </w:rPr>
        <w:t xml:space="preserve">1207 </w:t>
      </w:r>
      <w:r w:rsidR="00974464">
        <w:rPr>
          <w:rFonts w:cs="Arial"/>
          <w:szCs w:val="26"/>
        </w:rPr>
        <w:t xml:space="preserve">(Irwin), Statutes 2025, Chapter 117 (AB 1207) </w:t>
      </w:r>
      <w:r w:rsidRPr="004D5810">
        <w:rPr>
          <w:rFonts w:cs="Arial"/>
          <w:szCs w:val="26"/>
        </w:rPr>
        <w:t>exten</w:t>
      </w:r>
      <w:r>
        <w:rPr>
          <w:rFonts w:cs="Arial"/>
          <w:szCs w:val="26"/>
        </w:rPr>
        <w:t>ding</w:t>
      </w:r>
      <w:r w:rsidRPr="004D5810">
        <w:rPr>
          <w:rFonts w:cs="Arial"/>
          <w:szCs w:val="26"/>
        </w:rPr>
        <w:t xml:space="preserve"> the </w:t>
      </w:r>
      <w:r>
        <w:rPr>
          <w:rFonts w:cs="Arial"/>
          <w:szCs w:val="26"/>
        </w:rPr>
        <w:t xml:space="preserve">Cap-and-Trade </w:t>
      </w:r>
      <w:r w:rsidRPr="004D5810">
        <w:rPr>
          <w:rFonts w:cs="Arial"/>
          <w:szCs w:val="26"/>
        </w:rPr>
        <w:t>program through 2045, renam</w:t>
      </w:r>
      <w:r>
        <w:rPr>
          <w:rFonts w:cs="Arial"/>
          <w:szCs w:val="26"/>
        </w:rPr>
        <w:t>ing</w:t>
      </w:r>
      <w:r w:rsidRPr="004D5810">
        <w:rPr>
          <w:rFonts w:cs="Arial"/>
          <w:szCs w:val="26"/>
        </w:rPr>
        <w:t xml:space="preserve"> the program Cap</w:t>
      </w:r>
      <w:r>
        <w:rPr>
          <w:rFonts w:cs="Arial"/>
          <w:szCs w:val="26"/>
        </w:rPr>
        <w:t>-</w:t>
      </w:r>
      <w:r w:rsidRPr="004D5810">
        <w:rPr>
          <w:rFonts w:cs="Arial"/>
          <w:szCs w:val="26"/>
        </w:rPr>
        <w:t>an</w:t>
      </w:r>
      <w:r>
        <w:rPr>
          <w:rFonts w:cs="Arial"/>
          <w:szCs w:val="26"/>
        </w:rPr>
        <w:t>d-</w:t>
      </w:r>
      <w:r w:rsidRPr="004D5810">
        <w:rPr>
          <w:rFonts w:cs="Arial"/>
          <w:szCs w:val="26"/>
        </w:rPr>
        <w:t>Invest</w:t>
      </w:r>
      <w:r>
        <w:rPr>
          <w:rFonts w:cs="Arial"/>
          <w:szCs w:val="26"/>
        </w:rPr>
        <w:t xml:space="preserve">, and making </w:t>
      </w:r>
      <w:proofErr w:type="gramStart"/>
      <w:r>
        <w:rPr>
          <w:rFonts w:cs="Arial"/>
          <w:szCs w:val="26"/>
        </w:rPr>
        <w:t>a number of</w:t>
      </w:r>
      <w:proofErr w:type="gramEnd"/>
      <w:r>
        <w:rPr>
          <w:rFonts w:cs="Arial"/>
          <w:szCs w:val="26"/>
        </w:rPr>
        <w:t xml:space="preserve"> changes relevant to the funds that make up the Climate Credit. </w:t>
      </w:r>
      <w:r>
        <w:t xml:space="preserve">This proceeding is implementing these changes and considering ways to improve the effectiveness of the Climate Credit in supporting affordability, with Phase 1A focused on immediate actions to improve affordability in 2026. </w:t>
      </w:r>
    </w:p>
    <w:p w:rsidR="00D74272" w:rsidP="00D74272" w:rsidRDefault="00D74272" w14:paraId="758870C5" w14:textId="75DE3F3E">
      <w:pPr>
        <w:pStyle w:val="Standard"/>
        <w:rPr>
          <w:rFonts w:cs="Arial"/>
          <w:szCs w:val="26"/>
        </w:rPr>
      </w:pPr>
      <w:r>
        <w:rPr>
          <w:rFonts w:cs="Arial"/>
          <w:szCs w:val="26"/>
        </w:rPr>
        <w:lastRenderedPageBreak/>
        <w:t xml:space="preserve">AB 1207 established </w:t>
      </w:r>
      <w:r w:rsidR="0008015E">
        <w:rPr>
          <w:rFonts w:cs="Arial"/>
          <w:szCs w:val="26"/>
        </w:rPr>
        <w:t>Public Utilities Code (</w:t>
      </w:r>
      <w:r>
        <w:rPr>
          <w:rFonts w:cs="Arial"/>
          <w:szCs w:val="26"/>
        </w:rPr>
        <w:t>Pub. Util. Code</w:t>
      </w:r>
      <w:r w:rsidR="0008015E">
        <w:rPr>
          <w:rFonts w:cs="Arial"/>
          <w:szCs w:val="26"/>
        </w:rPr>
        <w:t>)</w:t>
      </w:r>
      <w:r>
        <w:rPr>
          <w:rFonts w:cs="Arial"/>
          <w:szCs w:val="26"/>
        </w:rPr>
        <w:t xml:space="preserve"> </w:t>
      </w:r>
      <w:r w:rsidR="0008015E">
        <w:rPr>
          <w:rFonts w:cs="Arial"/>
          <w:szCs w:val="26"/>
        </w:rPr>
        <w:t>Section (</w:t>
      </w:r>
      <w:r>
        <w:rPr>
          <w:rFonts w:cs="Arial"/>
          <w:szCs w:val="26"/>
        </w:rPr>
        <w:t>Sec.</w:t>
      </w:r>
      <w:r w:rsidR="0008015E">
        <w:rPr>
          <w:rFonts w:cs="Arial"/>
          <w:szCs w:val="26"/>
        </w:rPr>
        <w:t>)</w:t>
      </w:r>
      <w:r>
        <w:rPr>
          <w:rFonts w:cs="Arial"/>
          <w:szCs w:val="26"/>
        </w:rPr>
        <w:t xml:space="preserve"> 748.5(a)(3) requiring electric credits to be provided “in no more than four high-billed months of each year to maximize customer electric bill affordability, or as otherwise directed by the Commission to address extreme, unforeseen, and temporary circumstances.”</w:t>
      </w:r>
      <w:r>
        <w:rPr>
          <w:rStyle w:val="FootnoteReference"/>
          <w:rFonts w:cs="Arial"/>
          <w:szCs w:val="26"/>
        </w:rPr>
        <w:footnoteReference w:id="5"/>
      </w:r>
      <w:r>
        <w:rPr>
          <w:rFonts w:cs="Arial"/>
          <w:szCs w:val="26"/>
        </w:rPr>
        <w:t xml:space="preserve"> </w:t>
      </w:r>
    </w:p>
    <w:p w:rsidR="00B066F7" w:rsidP="00D74272" w:rsidRDefault="004403FB" w14:paraId="27EC9C07" w14:textId="2C468888">
      <w:pPr>
        <w:pStyle w:val="Standard"/>
        <w:rPr>
          <w:rFonts w:cs="Arial"/>
          <w:szCs w:val="26"/>
        </w:rPr>
      </w:pPr>
      <w:r>
        <w:rPr>
          <w:rFonts w:cs="Arial"/>
          <w:szCs w:val="26"/>
        </w:rPr>
        <w:t>On January 20, 2026, t</w:t>
      </w:r>
      <w:r w:rsidR="00B066F7">
        <w:rPr>
          <w:rFonts w:cs="Arial"/>
          <w:szCs w:val="26"/>
        </w:rPr>
        <w:t>he California Air Resources Board (CARB)</w:t>
      </w:r>
      <w:proofErr w:type="gramStart"/>
      <w:r w:rsidR="00B066F7">
        <w:rPr>
          <w:rFonts w:cs="Arial"/>
          <w:szCs w:val="26"/>
        </w:rPr>
        <w:t xml:space="preserve"> </w:t>
      </w:r>
      <w:r w:rsidR="00A21B93">
        <w:rPr>
          <w:rFonts w:cs="Arial"/>
          <w:szCs w:val="26"/>
        </w:rPr>
        <w:t>which</w:t>
      </w:r>
      <w:proofErr w:type="gramEnd"/>
      <w:r w:rsidR="00A21B93">
        <w:rPr>
          <w:rFonts w:cs="Arial"/>
          <w:szCs w:val="26"/>
        </w:rPr>
        <w:t xml:space="preserve"> promulgates the regulations </w:t>
      </w:r>
      <w:r w:rsidR="00B834FE">
        <w:rPr>
          <w:rFonts w:cs="Arial"/>
          <w:szCs w:val="26"/>
        </w:rPr>
        <w:t xml:space="preserve">for </w:t>
      </w:r>
      <w:r w:rsidR="00F742FE">
        <w:rPr>
          <w:rFonts w:cs="Arial"/>
          <w:szCs w:val="26"/>
        </w:rPr>
        <w:t xml:space="preserve">the </w:t>
      </w:r>
      <w:r w:rsidR="00B834FE">
        <w:rPr>
          <w:rFonts w:cs="Arial"/>
          <w:szCs w:val="26"/>
        </w:rPr>
        <w:t>Cap-and-Invest</w:t>
      </w:r>
      <w:r w:rsidR="00F742FE">
        <w:rPr>
          <w:rFonts w:cs="Arial"/>
          <w:szCs w:val="26"/>
        </w:rPr>
        <w:t xml:space="preserve"> Program</w:t>
      </w:r>
      <w:r w:rsidR="00B834FE">
        <w:rPr>
          <w:rFonts w:cs="Arial"/>
          <w:szCs w:val="26"/>
        </w:rPr>
        <w:t xml:space="preserve">, </w:t>
      </w:r>
      <w:r>
        <w:t xml:space="preserve">issued its Initial Statement of Reasons </w:t>
      </w:r>
      <w:r w:rsidR="003D7DD4">
        <w:t>pr</w:t>
      </w:r>
      <w:r w:rsidR="00F742FE">
        <w:t>oposing amendments to these regulations</w:t>
      </w:r>
      <w:r>
        <w:t>.</w:t>
      </w:r>
    </w:p>
    <w:p w:rsidRPr="00D74272" w:rsidR="00D74272" w:rsidP="00D74272" w:rsidRDefault="00D74272" w14:paraId="6252AF5A" w14:textId="566EB09E">
      <w:pPr>
        <w:pStyle w:val="Standard"/>
      </w:pPr>
      <w:r>
        <w:t>The scope and schedule of</w:t>
      </w:r>
      <w:r w:rsidR="0008015E">
        <w:t xml:space="preserve"> Phase 1A of</w:t>
      </w:r>
      <w:r>
        <w:t xml:space="preserve"> this proceeding are focused on addressing immediate actions that can benefit residential customer affordability as quickly as possible. Phase 1A addresses these issues, along with statutory deadlines imposed by AB 1207 that fall in 2026 and 2027. Phase 1B considers a broader set of changes to the residential Climate Credit.</w:t>
      </w:r>
    </w:p>
    <w:p w:rsidR="00A12AFA" w:rsidP="00A12AFA" w:rsidRDefault="00A12AFA" w14:paraId="4C06E3D4" w14:textId="47143FB0">
      <w:pPr>
        <w:pStyle w:val="Heading2"/>
      </w:pPr>
      <w:bookmarkStart w:name="_Toc225244036" w:id="11"/>
      <w:r>
        <w:t>Procedural Background</w:t>
      </w:r>
      <w:bookmarkEnd w:id="10"/>
      <w:bookmarkEnd w:id="11"/>
    </w:p>
    <w:p w:rsidR="00840E4A" w:rsidP="00840E4A" w:rsidRDefault="00840E4A" w14:paraId="3E14F0AA" w14:textId="3A1AB3C9">
      <w:pPr>
        <w:pStyle w:val="xstandard"/>
      </w:pPr>
      <w:bookmarkStart w:name="_Toc8123718" w:id="12"/>
      <w:r w:rsidRPr="00AB0618">
        <w:t xml:space="preserve">The following parties filed </w:t>
      </w:r>
      <w:r>
        <w:t xml:space="preserve">opening and/or reply </w:t>
      </w:r>
      <w:r w:rsidRPr="00AB0618">
        <w:t>comments on the OIR: Bear Valley Electric Service, Inc., jointly with Liberty Utilities (</w:t>
      </w:r>
      <w:proofErr w:type="spellStart"/>
      <w:r w:rsidRPr="00AB0618">
        <w:t>CalPeco</w:t>
      </w:r>
      <w:proofErr w:type="spellEnd"/>
      <w:r w:rsidRPr="00AB0618">
        <w:t xml:space="preserve"> Electric) LLC, and PacifiCorp</w:t>
      </w:r>
      <w:r>
        <w:t xml:space="preserve"> (the Joint Small and Multi</w:t>
      </w:r>
      <w:r w:rsidR="00194BD1">
        <w:t>-</w:t>
      </w:r>
      <w:r>
        <w:t xml:space="preserve">jurisdictional </w:t>
      </w:r>
      <w:r w:rsidR="00194BD1">
        <w:t>Utilities</w:t>
      </w:r>
      <w:r>
        <w:t xml:space="preserve"> or SMJUs)</w:t>
      </w:r>
      <w:r w:rsidRPr="00AB0618">
        <w:t>; the Public Advocates Office</w:t>
      </w:r>
      <w:r w:rsidR="0008015E">
        <w:t xml:space="preserve"> at the California Public Utilities Commission (Cal Advocates)</w:t>
      </w:r>
      <w:r w:rsidRPr="00AB0618">
        <w:t>; the California Community Choice Association</w:t>
      </w:r>
      <w:r>
        <w:t xml:space="preserve"> (</w:t>
      </w:r>
      <w:proofErr w:type="spellStart"/>
      <w:r>
        <w:t>CalCCA</w:t>
      </w:r>
      <w:proofErr w:type="spellEnd"/>
      <w:r>
        <w:t>)</w:t>
      </w:r>
      <w:r w:rsidRPr="00AB0618">
        <w:t>;</w:t>
      </w:r>
      <w:r>
        <w:t xml:space="preserve"> California Farm Bureau Federation; California Large Energy Consumers Association</w:t>
      </w:r>
      <w:r w:rsidR="00411FEE">
        <w:t xml:space="preserve">; California Manufacturers &amp; Technology Association; </w:t>
      </w:r>
      <w:r>
        <w:t xml:space="preserve">(CLECA); Center for Accessible Technology; </w:t>
      </w:r>
      <w:r w:rsidRPr="007A69B1">
        <w:t>Center for Sustainable Energy</w:t>
      </w:r>
      <w:r>
        <w:t xml:space="preserve">; Coalition of California Utility Employees; Energy Producers and Users Coalition; </w:t>
      </w:r>
      <w:r w:rsidR="00107813">
        <w:t>Environmental Defense Fund (EDF)</w:t>
      </w:r>
      <w:r w:rsidR="00D138D0">
        <w:t xml:space="preserve">; </w:t>
      </w:r>
      <w:r>
        <w:t xml:space="preserve">Natural Resources Defense Council; Pacific Gas and Electric </w:t>
      </w:r>
      <w:r>
        <w:lastRenderedPageBreak/>
        <w:t>Company</w:t>
      </w:r>
      <w:r w:rsidR="0008015E">
        <w:t xml:space="preserve"> (PG&amp;E)</w:t>
      </w:r>
      <w:r>
        <w:t>; Pacific Steel Group; San Diego Gas &amp; Electric Company</w:t>
      </w:r>
      <w:r w:rsidR="0008015E">
        <w:t xml:space="preserve"> (SDG&amp;E)</w:t>
      </w:r>
      <w:r>
        <w:t xml:space="preserve">; Small Business Utility Advocates (SBUA); Southern California Edison Company (SCE); Southern California Gas Company (SoCalGas); </w:t>
      </w:r>
      <w:r w:rsidR="00682D38">
        <w:t xml:space="preserve"> Southwest Gas Corporation; </w:t>
      </w:r>
      <w:r>
        <w:t xml:space="preserve">and The Utility Reform Network (TURN). The </w:t>
      </w:r>
      <w:r w:rsidRPr="00C30B8A">
        <w:t>California Environmental Justice Alliance</w:t>
      </w:r>
      <w:r>
        <w:t xml:space="preserve"> (CEJA), Central California Asthma Collaborative (CCAC), Central California Environmental Justice Network (CCEJN), and Leadership Counsel for Justice and Accountability (LCJA) filed motions for party status that were granted by </w:t>
      </w:r>
      <w:proofErr w:type="gramStart"/>
      <w:r>
        <w:t>the ALJ</w:t>
      </w:r>
      <w:proofErr w:type="gramEnd"/>
      <w:r>
        <w:t xml:space="preserve">. </w:t>
      </w:r>
    </w:p>
    <w:p w:rsidR="00840E4A" w:rsidP="00840E4A" w:rsidRDefault="00840E4A" w14:paraId="44618F36" w14:textId="39BDAEDE">
      <w:pPr>
        <w:pStyle w:val="xstandard"/>
      </w:pPr>
      <w:r w:rsidRPr="00AB0618">
        <w:t xml:space="preserve">A prehearing conference </w:t>
      </w:r>
      <w:r>
        <w:t xml:space="preserve">(PHC) </w:t>
      </w:r>
      <w:r w:rsidRPr="00AB0618">
        <w:t xml:space="preserve">was held </w:t>
      </w:r>
      <w:r w:rsidRPr="00CD4058">
        <w:t>on November 21, 2025</w:t>
      </w:r>
      <w:r>
        <w:t>,</w:t>
      </w:r>
      <w:r w:rsidRPr="00CD4058">
        <w:t xml:space="preserve"> t</w:t>
      </w:r>
      <w:r w:rsidRPr="00AB0618">
        <w:t xml:space="preserve">o address the issues of law and fact, determine the need for hearing, set the schedule for resolving the matter, and address other matters as necessary. </w:t>
      </w:r>
      <w:r w:rsidR="00BA6046">
        <w:t xml:space="preserve">The PHC </w:t>
      </w:r>
      <w:r w:rsidR="001234D0">
        <w:t>involved extensive discussion on issues</w:t>
      </w:r>
      <w:r w:rsidR="00691D19">
        <w:t xml:space="preserve"> and priorities, </w:t>
      </w:r>
      <w:r w:rsidR="00154B34">
        <w:t xml:space="preserve">including </w:t>
      </w:r>
      <w:r w:rsidR="001260B1">
        <w:t xml:space="preserve">the </w:t>
      </w:r>
      <w:proofErr w:type="gramStart"/>
      <w:r w:rsidR="001260B1">
        <w:t>approach of</w:t>
      </w:r>
      <w:proofErr w:type="gramEnd"/>
      <w:r w:rsidR="001260B1">
        <w:t xml:space="preserve"> im</w:t>
      </w:r>
      <w:r w:rsidR="00237300">
        <w:t>mediately focus</w:t>
      </w:r>
      <w:r w:rsidR="00AB1FF1">
        <w:t>ing</w:t>
      </w:r>
      <w:r w:rsidR="00237300">
        <w:t xml:space="preserve"> on short-term actions to address affordability</w:t>
      </w:r>
      <w:r w:rsidR="00C82B5E">
        <w:t>. Th</w:t>
      </w:r>
      <w:r w:rsidR="00691D19">
        <w:t xml:space="preserve">e ALJ provided parties with an additional opportunity </w:t>
      </w:r>
      <w:r w:rsidR="00CB5B5E">
        <w:t xml:space="preserve">to provide input </w:t>
      </w:r>
      <w:r w:rsidR="00C82B5E">
        <w:t>regarding PHC topics by filing</w:t>
      </w:r>
      <w:r w:rsidR="00CB5B5E">
        <w:t xml:space="preserve"> post-PHC statements.</w:t>
      </w:r>
      <w:r w:rsidRPr="00AB0618">
        <w:t xml:space="preserve"> </w:t>
      </w:r>
      <w:r>
        <w:t xml:space="preserve">On December 8, 2026, the following parties filed post-PHC statements: </w:t>
      </w:r>
      <w:proofErr w:type="spellStart"/>
      <w:r>
        <w:t>CalCCA</w:t>
      </w:r>
      <w:proofErr w:type="spellEnd"/>
      <w:r>
        <w:t xml:space="preserve">; CCAC; CEJA, </w:t>
      </w:r>
      <w:r w:rsidR="008E341D">
        <w:t>CCEJN</w:t>
      </w:r>
      <w:r>
        <w:t>, and LCJA (jointly); CLECA; the Joint SMJUs; Pacific Steel; PG&amp;E; SBUA; SCE; SDG&amp;E; SoCalGas; and TURN.</w:t>
      </w:r>
    </w:p>
    <w:p w:rsidR="00D74272" w:rsidP="00D74272" w:rsidRDefault="00D74272" w14:paraId="00CDADC7" w14:textId="2511CE60">
      <w:pPr>
        <w:pStyle w:val="xstandard"/>
      </w:pPr>
      <w:r>
        <w:t>On February 3, 2026, the Assigned Commissioner’s Scoping Memo and Ruling (Scoping Memo) was issued, detailing the anticipated rapid timeline for Phase 1A.</w:t>
      </w:r>
      <w:r>
        <w:rPr>
          <w:rStyle w:val="FootnoteReference"/>
        </w:rPr>
        <w:footnoteReference w:id="6"/>
      </w:r>
      <w:r>
        <w:t xml:space="preserve"> In the Scoping Memo, the Assigned Commissioner stated her intent to issue a </w:t>
      </w:r>
      <w:r w:rsidR="00974464">
        <w:t xml:space="preserve">proposed decision (PD) </w:t>
      </w:r>
      <w:r>
        <w:t xml:space="preserve">in February 2026 pausing the large electric utilities’ 2026 residential </w:t>
      </w:r>
      <w:r w:rsidR="00F5332F">
        <w:t xml:space="preserve">electric </w:t>
      </w:r>
      <w:r>
        <w:t>Climate Credit.</w:t>
      </w:r>
      <w:r>
        <w:rPr>
          <w:rStyle w:val="FootnoteReference"/>
        </w:rPr>
        <w:footnoteReference w:id="7"/>
      </w:r>
      <w:r>
        <w:t xml:space="preserve"> </w:t>
      </w:r>
    </w:p>
    <w:p w:rsidR="001E6C39" w:rsidP="001E6C39" w:rsidRDefault="00086936" w14:paraId="4164FD19" w14:textId="759BF3A2">
      <w:pPr>
        <w:pStyle w:val="xstandard"/>
      </w:pPr>
      <w:r>
        <w:lastRenderedPageBreak/>
        <w:t>The record was submitted on</w:t>
      </w:r>
      <w:r w:rsidR="001E6C39">
        <w:t xml:space="preserve"> February 3, 2026.</w:t>
      </w:r>
    </w:p>
    <w:p w:rsidR="0050028B" w:rsidP="00D74272" w:rsidRDefault="0050028B" w14:paraId="17654E38" w14:textId="6242AF2C">
      <w:pPr>
        <w:pStyle w:val="xstandard"/>
      </w:pPr>
      <w:r>
        <w:t>On March 5, 2026</w:t>
      </w:r>
      <w:r w:rsidR="002A4E91">
        <w:t>,</w:t>
      </w:r>
      <w:r>
        <w:t xml:space="preserve"> this proceeding was reassigned to President John Reynolds.</w:t>
      </w:r>
    </w:p>
    <w:p w:rsidR="005A148C" w:rsidP="00121089" w:rsidRDefault="0063491C" w14:paraId="7DFA0D9B" w14:textId="6A322376">
      <w:pPr>
        <w:pStyle w:val="Heading1"/>
      </w:pPr>
      <w:bookmarkStart w:name="_Toc220504681" w:id="13"/>
      <w:bookmarkStart w:name="_Toc225244037" w:id="14"/>
      <w:r>
        <w:t>Jurisdiction</w:t>
      </w:r>
      <w:bookmarkEnd w:id="12"/>
      <w:bookmarkEnd w:id="13"/>
      <w:bookmarkEnd w:id="14"/>
    </w:p>
    <w:p w:rsidRPr="0063491C" w:rsidR="0063491C" w:rsidP="006E6574" w:rsidRDefault="001F42C1" w14:paraId="7CE8E0ED" w14:textId="209A15D3">
      <w:pPr>
        <w:pStyle w:val="Standard"/>
      </w:pPr>
      <w:r>
        <w:rPr>
          <w:rFonts w:cs="Arial"/>
          <w:szCs w:val="26"/>
        </w:rPr>
        <w:t>The Commission’s a</w:t>
      </w:r>
      <w:r w:rsidR="00824BC3">
        <w:rPr>
          <w:rFonts w:cs="Arial"/>
          <w:szCs w:val="26"/>
        </w:rPr>
        <w:t xml:space="preserve">uthority applicable to </w:t>
      </w:r>
      <w:r>
        <w:rPr>
          <w:rFonts w:cs="Arial"/>
          <w:szCs w:val="26"/>
        </w:rPr>
        <w:t xml:space="preserve">Climate Credit funds </w:t>
      </w:r>
      <w:r w:rsidR="00824BC3">
        <w:rPr>
          <w:rFonts w:cs="Arial"/>
          <w:szCs w:val="26"/>
        </w:rPr>
        <w:t xml:space="preserve">comes from </w:t>
      </w:r>
      <w:r w:rsidR="00B96AFF">
        <w:rPr>
          <w:rFonts w:cs="Arial"/>
          <w:szCs w:val="26"/>
        </w:rPr>
        <w:t>two</w:t>
      </w:r>
      <w:r w:rsidR="00A63B39">
        <w:rPr>
          <w:rFonts w:cs="Arial"/>
          <w:szCs w:val="26"/>
        </w:rPr>
        <w:t xml:space="preserve"> </w:t>
      </w:r>
      <w:r w:rsidR="00824BC3">
        <w:rPr>
          <w:rFonts w:cs="Arial"/>
          <w:szCs w:val="26"/>
        </w:rPr>
        <w:t>main sources: CARB’s regulations</w:t>
      </w:r>
      <w:r w:rsidR="00B96AFF">
        <w:rPr>
          <w:rFonts w:cs="Arial"/>
          <w:szCs w:val="26"/>
        </w:rPr>
        <w:t xml:space="preserve"> and</w:t>
      </w:r>
      <w:r w:rsidR="00AE4A6A">
        <w:rPr>
          <w:rFonts w:cs="Arial"/>
          <w:szCs w:val="26"/>
        </w:rPr>
        <w:t xml:space="preserve"> </w:t>
      </w:r>
      <w:r w:rsidR="00824BC3">
        <w:rPr>
          <w:rFonts w:cs="Arial"/>
          <w:szCs w:val="26"/>
        </w:rPr>
        <w:t>Pub. Util. Code Sec. 748.5</w:t>
      </w:r>
      <w:r w:rsidR="00A63B39">
        <w:rPr>
          <w:rFonts w:cs="Arial"/>
          <w:szCs w:val="26"/>
        </w:rPr>
        <w:t xml:space="preserve">. </w:t>
      </w:r>
      <w:r w:rsidR="008C56D8">
        <w:rPr>
          <w:rFonts w:cs="Arial"/>
          <w:szCs w:val="26"/>
        </w:rPr>
        <w:t xml:space="preserve">The Commission implements and establishes its guidance in compliance </w:t>
      </w:r>
      <w:r w:rsidR="00421CAD">
        <w:rPr>
          <w:rFonts w:cs="Arial"/>
          <w:szCs w:val="26"/>
        </w:rPr>
        <w:t xml:space="preserve">with </w:t>
      </w:r>
      <w:r w:rsidR="002A3558">
        <w:rPr>
          <w:rFonts w:cs="Arial"/>
          <w:szCs w:val="26"/>
        </w:rPr>
        <w:t>these and other broadly applicable authorities, including Pub. Util. Code Sec</w:t>
      </w:r>
      <w:r w:rsidR="00680570">
        <w:rPr>
          <w:rFonts w:cs="Arial"/>
          <w:szCs w:val="26"/>
        </w:rPr>
        <w:t>s</w:t>
      </w:r>
      <w:r w:rsidR="008C56D8">
        <w:rPr>
          <w:rFonts w:cs="Arial"/>
          <w:szCs w:val="26"/>
        </w:rPr>
        <w:t xml:space="preserve">. </w:t>
      </w:r>
      <w:r w:rsidR="00254C9A">
        <w:rPr>
          <w:rFonts w:cs="Arial"/>
          <w:szCs w:val="26"/>
        </w:rPr>
        <w:t>701 and 451</w:t>
      </w:r>
      <w:r w:rsidR="00680570">
        <w:rPr>
          <w:rFonts w:cs="Arial"/>
          <w:szCs w:val="26"/>
        </w:rPr>
        <w:t xml:space="preserve">. </w:t>
      </w:r>
      <w:r w:rsidR="00824BC3">
        <w:rPr>
          <w:rFonts w:cs="Arial"/>
          <w:szCs w:val="26"/>
        </w:rPr>
        <w:t>Various legislation has also provided guidance</w:t>
      </w:r>
      <w:r w:rsidR="006B2144">
        <w:rPr>
          <w:rFonts w:cs="Arial"/>
          <w:szCs w:val="26"/>
        </w:rPr>
        <w:t xml:space="preserve">, and this proceeding </w:t>
      </w:r>
      <w:r w:rsidR="009C3A48">
        <w:rPr>
          <w:rFonts w:cs="Arial"/>
          <w:szCs w:val="26"/>
        </w:rPr>
        <w:t>will implement portions of AB 1207</w:t>
      </w:r>
      <w:r w:rsidR="00824BC3">
        <w:rPr>
          <w:rFonts w:cs="Arial"/>
          <w:szCs w:val="26"/>
        </w:rPr>
        <w:t xml:space="preserve">. </w:t>
      </w:r>
      <w:r w:rsidR="006B2144">
        <w:rPr>
          <w:rFonts w:cs="Arial"/>
          <w:szCs w:val="26"/>
        </w:rPr>
        <w:t>In numerous decisions throughout R.10-05-</w:t>
      </w:r>
      <w:proofErr w:type="gramStart"/>
      <w:r w:rsidR="006B2144">
        <w:rPr>
          <w:rFonts w:cs="Arial"/>
          <w:szCs w:val="26"/>
        </w:rPr>
        <w:t>006</w:t>
      </w:r>
      <w:r w:rsidR="00940906">
        <w:rPr>
          <w:rFonts w:cs="Arial"/>
          <w:szCs w:val="26"/>
        </w:rPr>
        <w:t xml:space="preserve">, </w:t>
      </w:r>
      <w:r w:rsidR="006B2144">
        <w:rPr>
          <w:rFonts w:cs="Arial"/>
          <w:szCs w:val="26"/>
        </w:rPr>
        <w:t xml:space="preserve"> R.11</w:t>
      </w:r>
      <w:proofErr w:type="gramEnd"/>
      <w:r w:rsidR="006B2144">
        <w:rPr>
          <w:rFonts w:cs="Arial"/>
          <w:szCs w:val="26"/>
        </w:rPr>
        <w:t>-03-012</w:t>
      </w:r>
      <w:r w:rsidR="00AD2934">
        <w:rPr>
          <w:rFonts w:cs="Arial"/>
          <w:szCs w:val="26"/>
        </w:rPr>
        <w:t>, and R-20-05-002,</w:t>
      </w:r>
      <w:r w:rsidR="006B2144">
        <w:rPr>
          <w:rFonts w:cs="Arial"/>
          <w:szCs w:val="26"/>
        </w:rPr>
        <w:t xml:space="preserve"> (for the electric utilities) and R.14-03-003 (for natural gas utilities) the Commission adopted rules and other guidance for the forecasting, distribution, and outreach related to allowance revenues.</w:t>
      </w:r>
    </w:p>
    <w:p w:rsidR="005A148C" w:rsidP="005939A5" w:rsidRDefault="005939A5" w14:paraId="0D09DA6A" w14:textId="77777777">
      <w:pPr>
        <w:pStyle w:val="Heading1"/>
      </w:pPr>
      <w:bookmarkStart w:name="_Toc8123719" w:id="15"/>
      <w:bookmarkStart w:name="_Toc220504682" w:id="16"/>
      <w:bookmarkStart w:name="_Toc225244038" w:id="17"/>
      <w:r>
        <w:t xml:space="preserve">Issues Before the </w:t>
      </w:r>
      <w:bookmarkEnd w:id="15"/>
      <w:r w:rsidR="008A08BF">
        <w:t>Commission</w:t>
      </w:r>
      <w:bookmarkEnd w:id="16"/>
      <w:bookmarkEnd w:id="17"/>
    </w:p>
    <w:p w:rsidR="00365777" w:rsidP="00E03727" w:rsidRDefault="009D7D09" w14:paraId="7DD5640B" w14:textId="2B44D0CC">
      <w:pPr>
        <w:pStyle w:val="Standard"/>
      </w:pPr>
      <w:r>
        <w:t xml:space="preserve">This Decision resolves </w:t>
      </w:r>
      <w:r w:rsidR="00551088">
        <w:t xml:space="preserve">only </w:t>
      </w:r>
      <w:r w:rsidR="00365777">
        <w:t>Issue 1 within Phase 1A</w:t>
      </w:r>
      <w:r w:rsidR="00B17633">
        <w:t xml:space="preserve"> of this proceeding, which is</w:t>
      </w:r>
      <w:r w:rsidR="00E03727">
        <w:t xml:space="preserve"> w</w:t>
      </w:r>
      <w:r w:rsidR="00BE2073">
        <w:t>hether the Commission should order the large electric utilities to pause the distribution of the 2026 residential Climate Credit while considering other issues in this phase.</w:t>
      </w:r>
    </w:p>
    <w:p w:rsidR="008B5DAE" w:rsidP="008B5DAE" w:rsidRDefault="008B5DAE" w14:paraId="280CC43F" w14:textId="22AFC3B1">
      <w:pPr>
        <w:pStyle w:val="Standard"/>
      </w:pPr>
      <w:r>
        <w:t>The Scoping Memo explained that the electric SMJUs would not be included in the scope of Issue 1 because the record indicates that SMJU customers are less likely to benefit from an immediate pause.</w:t>
      </w:r>
      <w:r>
        <w:rPr>
          <w:rStyle w:val="FootnoteReference"/>
        </w:rPr>
        <w:footnoteReference w:id="8"/>
      </w:r>
    </w:p>
    <w:p w:rsidR="00645207" w:rsidP="003F5C6C" w:rsidRDefault="00B61FB1" w14:paraId="6E2ECCDF" w14:textId="5244051C">
      <w:pPr>
        <w:pStyle w:val="Standard"/>
      </w:pPr>
      <w:r>
        <w:t>We note that th</w:t>
      </w:r>
      <w:r w:rsidR="006F24C4">
        <w:t xml:space="preserve">e electric utilities also </w:t>
      </w:r>
      <w:r w:rsidR="0027298A">
        <w:t xml:space="preserve">distribute </w:t>
      </w:r>
      <w:r>
        <w:t>Small Business Climate Credit</w:t>
      </w:r>
      <w:r w:rsidR="009074FB">
        <w:t>s</w:t>
      </w:r>
      <w:r>
        <w:t xml:space="preserve"> and Industry Assistance Credit</w:t>
      </w:r>
      <w:r w:rsidR="009074FB">
        <w:t>s,</w:t>
      </w:r>
      <w:r>
        <w:t xml:space="preserve"> which </w:t>
      </w:r>
      <w:r w:rsidR="006F24C4">
        <w:t xml:space="preserve">stem from the same funding source and are provided to </w:t>
      </w:r>
      <w:proofErr w:type="gramStart"/>
      <w:r w:rsidR="006F24C4">
        <w:t>qualifying</w:t>
      </w:r>
      <w:proofErr w:type="gramEnd"/>
      <w:r w:rsidR="006F24C4">
        <w:t xml:space="preserve"> small business and industrial customers. </w:t>
      </w:r>
      <w:r w:rsidR="009074FB">
        <w:lastRenderedPageBreak/>
        <w:t>The</w:t>
      </w:r>
      <w:r w:rsidR="00CB49E4">
        <w:t xml:space="preserve">se credits </w:t>
      </w:r>
      <w:r>
        <w:t xml:space="preserve">are not affected by this decision nor </w:t>
      </w:r>
      <w:r w:rsidR="00CB49E4">
        <w:t xml:space="preserve">are they </w:t>
      </w:r>
      <w:r>
        <w:t>within the scope of issues being considered in this phase of R.25-07-013.</w:t>
      </w:r>
    </w:p>
    <w:p w:rsidR="005939A5" w:rsidP="005939A5" w:rsidRDefault="00727CAD" w14:paraId="5A4CECA2" w14:textId="7B6C68F2">
      <w:pPr>
        <w:pStyle w:val="Heading1"/>
      </w:pPr>
      <w:bookmarkStart w:name="_Toc220504683" w:id="18"/>
      <w:bookmarkStart w:name="_Toc225244039" w:id="19"/>
      <w:r>
        <w:t>Pausing the Climate Credit</w:t>
      </w:r>
      <w:bookmarkEnd w:id="18"/>
      <w:bookmarkEnd w:id="19"/>
    </w:p>
    <w:p w:rsidR="00D74272" w:rsidP="00D74272" w:rsidRDefault="00D74272" w14:paraId="7C217E94" w14:textId="77777777">
      <w:pPr>
        <w:pStyle w:val="Standard"/>
        <w:rPr>
          <w:rFonts w:cs="Arial"/>
          <w:szCs w:val="26"/>
        </w:rPr>
      </w:pPr>
      <w:r>
        <w:rPr>
          <w:rFonts w:cs="Arial"/>
          <w:szCs w:val="26"/>
        </w:rPr>
        <w:t>Under current rules, the electric utilities distribute the residential Climate Credit twice a year: in the spring (April) and the fall (October).</w:t>
      </w:r>
      <w:r>
        <w:rPr>
          <w:rStyle w:val="FootnoteReference"/>
          <w:rFonts w:cs="Arial"/>
          <w:szCs w:val="26"/>
        </w:rPr>
        <w:footnoteReference w:id="9"/>
      </w:r>
      <w:r>
        <w:rPr>
          <w:rFonts w:cs="Arial"/>
          <w:szCs w:val="26"/>
        </w:rPr>
        <w:t xml:space="preserve"> Exact timing of the distribution varies because the dates of billing cycles vary among customers. For example, for the spring distribution, the utilities provide the Climate Credit to each customer within the billing cycle that either contains April 1 or that contains the greatest number of April days, meaning customers may receive their spring credit in either April or May. </w:t>
      </w:r>
    </w:p>
    <w:p w:rsidR="00CF38BB" w:rsidP="000D253E" w:rsidRDefault="00D74272" w14:paraId="6C113E9C" w14:textId="0F30F3E9">
      <w:pPr>
        <w:pStyle w:val="Standard"/>
        <w:rPr>
          <w:rFonts w:cs="Arial"/>
          <w:szCs w:val="26"/>
        </w:rPr>
      </w:pPr>
      <w:r w:rsidRPr="00B857BE">
        <w:rPr>
          <w:rFonts w:cs="Arial"/>
          <w:szCs w:val="26"/>
        </w:rPr>
        <w:t>Table</w:t>
      </w:r>
      <w:r>
        <w:rPr>
          <w:rFonts w:cs="Arial"/>
          <w:szCs w:val="26"/>
        </w:rPr>
        <w:t xml:space="preserve"> 1 provides Climate Credit amounts </w:t>
      </w:r>
      <w:r w:rsidR="007945AA">
        <w:rPr>
          <w:rFonts w:cs="Arial"/>
          <w:szCs w:val="26"/>
        </w:rPr>
        <w:t>approved by the Commission for distribution</w:t>
      </w:r>
      <w:r w:rsidR="0046182F">
        <w:rPr>
          <w:rFonts w:cs="Arial"/>
          <w:szCs w:val="26"/>
        </w:rPr>
        <w:t xml:space="preserve"> to the customers of </w:t>
      </w:r>
      <w:r>
        <w:rPr>
          <w:rFonts w:cs="Arial"/>
          <w:szCs w:val="26"/>
        </w:rPr>
        <w:t>each investor-owned electric utility in California.</w:t>
      </w:r>
      <w:r>
        <w:rPr>
          <w:rStyle w:val="FootnoteReference"/>
          <w:rFonts w:cs="Arial"/>
          <w:szCs w:val="26"/>
        </w:rPr>
        <w:footnoteReference w:id="10"/>
      </w:r>
      <w:r>
        <w:rPr>
          <w:rFonts w:cs="Arial"/>
          <w:szCs w:val="26"/>
        </w:rPr>
        <w:t xml:space="preserve"> The credit amount is the amount delivered in each of the two distributions. Table 1 shows that the 2026 Climate Credits </w:t>
      </w:r>
      <w:r w:rsidR="00223283">
        <w:rPr>
          <w:rFonts w:cs="Arial"/>
          <w:szCs w:val="26"/>
        </w:rPr>
        <w:t xml:space="preserve">distributed by the </w:t>
      </w:r>
      <w:r w:rsidR="006D65BF">
        <w:rPr>
          <w:rFonts w:cs="Arial"/>
          <w:szCs w:val="26"/>
        </w:rPr>
        <w:t>large electric utilities</w:t>
      </w:r>
      <w:r w:rsidR="00223283">
        <w:rPr>
          <w:rFonts w:cs="Arial"/>
          <w:szCs w:val="26"/>
        </w:rPr>
        <w:t xml:space="preserve"> </w:t>
      </w:r>
      <w:r>
        <w:rPr>
          <w:rFonts w:cs="Arial"/>
          <w:szCs w:val="26"/>
        </w:rPr>
        <w:t xml:space="preserve">are approximately 40 to 60 percent smaller than the 2025 Climate Credits. The SMJUs’ Climate Credits are not within the scope of Issue </w:t>
      </w:r>
      <w:proofErr w:type="gramStart"/>
      <w:r>
        <w:rPr>
          <w:rFonts w:cs="Arial"/>
          <w:szCs w:val="26"/>
        </w:rPr>
        <w:t>1</w:t>
      </w:r>
      <w:proofErr w:type="gramEnd"/>
      <w:r>
        <w:rPr>
          <w:rFonts w:cs="Arial"/>
          <w:szCs w:val="26"/>
        </w:rPr>
        <w:t xml:space="preserve"> but their amounts are provided for context. </w:t>
      </w:r>
      <w:r w:rsidR="00B857BE">
        <w:rPr>
          <w:rFonts w:cs="Arial"/>
          <w:szCs w:val="26"/>
        </w:rPr>
        <w:t xml:space="preserve"> </w:t>
      </w:r>
    </w:p>
    <w:p w:rsidR="00D74272" w:rsidP="000D253E" w:rsidRDefault="00D74272" w14:paraId="2726A75A" w14:textId="77777777">
      <w:pPr>
        <w:pStyle w:val="Standard"/>
        <w:rPr>
          <w:rFonts w:cs="Arial"/>
          <w:szCs w:val="26"/>
        </w:rPr>
      </w:pPr>
    </w:p>
    <w:p w:rsidRPr="003F5C6C" w:rsidR="00966815" w:rsidP="003F5C6C" w:rsidRDefault="008017C6" w14:paraId="77353B90" w14:textId="49BC6BBB">
      <w:pPr>
        <w:pStyle w:val="Dummy"/>
      </w:pPr>
      <w:bookmarkStart w:name="_Toc225244040" w:id="20"/>
      <w:r w:rsidRPr="003F5C6C">
        <w:t xml:space="preserve">Table 1: </w:t>
      </w:r>
      <w:r w:rsidRPr="003F5C6C" w:rsidR="00B857BE">
        <w:t xml:space="preserve">Residential Climate Credit Amounts </w:t>
      </w:r>
      <w:r w:rsidR="00537BC4">
        <w:t xml:space="preserve">Provided to </w:t>
      </w:r>
      <w:r w:rsidR="002B79CB">
        <w:t xml:space="preserve">Investor-owned </w:t>
      </w:r>
      <w:r w:rsidR="00537BC4">
        <w:t xml:space="preserve">Electric Utility </w:t>
      </w:r>
      <w:r w:rsidR="002B79CB">
        <w:t>Customers in</w:t>
      </w:r>
      <w:r w:rsidRPr="003F5C6C" w:rsidR="00B857BE">
        <w:t xml:space="preserve"> 202</w:t>
      </w:r>
      <w:r w:rsidR="003F5C6C">
        <w:t>5</w:t>
      </w:r>
      <w:r w:rsidRPr="003F5C6C" w:rsidR="00B857BE">
        <w:t xml:space="preserve"> and 202</w:t>
      </w:r>
      <w:r w:rsidR="003F5C6C">
        <w:t>6</w:t>
      </w:r>
      <w:bookmarkEnd w:id="20"/>
    </w:p>
    <w:tbl>
      <w:tblPr>
        <w:tblStyle w:val="TableGrid"/>
        <w:tblW w:w="0" w:type="auto"/>
        <w:tblLook w:val="04A0" w:firstRow="1" w:lastRow="0" w:firstColumn="1" w:lastColumn="0" w:noHBand="0" w:noVBand="1"/>
      </w:tblPr>
      <w:tblGrid>
        <w:gridCol w:w="3407"/>
        <w:gridCol w:w="3116"/>
        <w:gridCol w:w="2827"/>
      </w:tblGrid>
      <w:tr w:rsidRPr="00966815" w:rsidR="00427F42" w:rsidTr="002E25DD" w14:paraId="73136DDF" w14:textId="77777777">
        <w:tc>
          <w:tcPr>
            <w:tcW w:w="3407" w:type="dxa"/>
          </w:tcPr>
          <w:p w:rsidRPr="00966815" w:rsidR="00427F42" w:rsidP="00E4247E" w:rsidRDefault="00427F42" w14:paraId="0A4C173E" w14:textId="02868CEF">
            <w:pPr>
              <w:pStyle w:val="Standard"/>
              <w:ind w:firstLine="0"/>
              <w:rPr>
                <w:rFonts w:cs="Segoe UI"/>
                <w:color w:val="242424"/>
                <w:sz w:val="23"/>
                <w:szCs w:val="23"/>
                <w:bdr w:val="none" w:color="auto" w:sz="0" w:space="0" w:frame="1"/>
              </w:rPr>
            </w:pPr>
            <w:r w:rsidRPr="00966815">
              <w:rPr>
                <w:rFonts w:cs="Segoe UI"/>
                <w:color w:val="242424"/>
                <w:sz w:val="23"/>
                <w:szCs w:val="23"/>
                <w:bdr w:val="none" w:color="auto" w:sz="0" w:space="0" w:frame="1"/>
              </w:rPr>
              <w:t>Electric Utility</w:t>
            </w:r>
          </w:p>
        </w:tc>
        <w:tc>
          <w:tcPr>
            <w:tcW w:w="3116" w:type="dxa"/>
          </w:tcPr>
          <w:p w:rsidRPr="00966815" w:rsidR="00427F42" w:rsidP="00E4247E" w:rsidRDefault="00427F42" w14:paraId="24245900" w14:textId="6D4C790C">
            <w:pPr>
              <w:pStyle w:val="Standard"/>
              <w:ind w:firstLine="0"/>
              <w:rPr>
                <w:rFonts w:cs="Segoe UI"/>
                <w:color w:val="242424"/>
                <w:sz w:val="23"/>
                <w:szCs w:val="23"/>
                <w:bdr w:val="none" w:color="auto" w:sz="0" w:space="0" w:frame="1"/>
              </w:rPr>
            </w:pPr>
            <w:r w:rsidRPr="00966815">
              <w:rPr>
                <w:rFonts w:cs="Segoe UI"/>
                <w:color w:val="242424"/>
                <w:sz w:val="23"/>
                <w:szCs w:val="23"/>
                <w:bdr w:val="none" w:color="auto" w:sz="0" w:space="0" w:frame="1"/>
              </w:rPr>
              <w:t>2026 Climate Credit amount</w:t>
            </w:r>
          </w:p>
        </w:tc>
        <w:tc>
          <w:tcPr>
            <w:tcW w:w="2827" w:type="dxa"/>
          </w:tcPr>
          <w:p w:rsidRPr="00966815" w:rsidR="00427F42" w:rsidP="00E4247E" w:rsidRDefault="00427F42" w14:paraId="217726AD" w14:textId="554D12C4">
            <w:pPr>
              <w:pStyle w:val="Standard"/>
              <w:ind w:firstLine="0"/>
              <w:rPr>
                <w:rFonts w:cs="Segoe UI"/>
                <w:color w:val="242424"/>
                <w:sz w:val="23"/>
                <w:szCs w:val="23"/>
                <w:bdr w:val="none" w:color="auto" w:sz="0" w:space="0" w:frame="1"/>
              </w:rPr>
            </w:pPr>
            <w:r w:rsidRPr="00966815">
              <w:rPr>
                <w:rFonts w:cs="Segoe UI"/>
                <w:color w:val="242424"/>
                <w:sz w:val="23"/>
                <w:szCs w:val="23"/>
                <w:bdr w:val="none" w:color="auto" w:sz="0" w:space="0" w:frame="1"/>
              </w:rPr>
              <w:t>2025 Climate Credit amount</w:t>
            </w:r>
          </w:p>
        </w:tc>
      </w:tr>
      <w:tr w:rsidRPr="00966815" w:rsidR="002E25DD" w:rsidTr="002E25DD" w14:paraId="0381D7CF" w14:textId="59C2F318">
        <w:tc>
          <w:tcPr>
            <w:tcW w:w="3407" w:type="dxa"/>
          </w:tcPr>
          <w:p w:rsidRPr="00966815" w:rsidR="002E25DD" w:rsidP="00E4247E" w:rsidRDefault="002E25DD" w14:paraId="2CFD2A1B" w14:textId="4E0B612B">
            <w:pPr>
              <w:pStyle w:val="Standard"/>
              <w:ind w:firstLine="0"/>
              <w:rPr>
                <w:rFonts w:cs="Arial"/>
                <w:szCs w:val="26"/>
              </w:rPr>
            </w:pPr>
            <w:r w:rsidRPr="00966815">
              <w:rPr>
                <w:rFonts w:cs="Segoe UI"/>
                <w:color w:val="242424"/>
                <w:sz w:val="23"/>
                <w:szCs w:val="23"/>
                <w:bdr w:val="none" w:color="auto" w:sz="0" w:space="0" w:frame="1"/>
              </w:rPr>
              <w:t>PG</w:t>
            </w:r>
            <w:r w:rsidRPr="00966815" w:rsidR="00427F42">
              <w:rPr>
                <w:rFonts w:cs="Segoe UI"/>
                <w:color w:val="242424"/>
                <w:sz w:val="23"/>
                <w:szCs w:val="23"/>
                <w:bdr w:val="none" w:color="auto" w:sz="0" w:space="0" w:frame="1"/>
              </w:rPr>
              <w:t>&amp;E</w:t>
            </w:r>
          </w:p>
        </w:tc>
        <w:tc>
          <w:tcPr>
            <w:tcW w:w="3116" w:type="dxa"/>
          </w:tcPr>
          <w:p w:rsidRPr="00966815" w:rsidR="002E25DD" w:rsidP="00E4247E" w:rsidRDefault="002E25DD" w14:paraId="07452AA6" w14:textId="0AD5E31A">
            <w:pPr>
              <w:pStyle w:val="Standard"/>
              <w:ind w:firstLine="0"/>
              <w:rPr>
                <w:rFonts w:cs="Arial"/>
                <w:szCs w:val="26"/>
              </w:rPr>
            </w:pPr>
            <w:r w:rsidRPr="00966815">
              <w:rPr>
                <w:rFonts w:cs="Segoe UI"/>
                <w:color w:val="242424"/>
                <w:sz w:val="23"/>
                <w:szCs w:val="23"/>
                <w:bdr w:val="none" w:color="auto" w:sz="0" w:space="0" w:frame="1"/>
              </w:rPr>
              <w:t>$36.18</w:t>
            </w:r>
          </w:p>
        </w:tc>
        <w:tc>
          <w:tcPr>
            <w:tcW w:w="2827" w:type="dxa"/>
          </w:tcPr>
          <w:p w:rsidRPr="00966815" w:rsidR="002E25DD" w:rsidP="00E4247E" w:rsidRDefault="002E25DD" w14:paraId="26F4C074" w14:textId="274D0001">
            <w:pPr>
              <w:pStyle w:val="Standard"/>
              <w:ind w:firstLine="0"/>
              <w:rPr>
                <w:rFonts w:cs="Segoe UI"/>
                <w:color w:val="242424"/>
                <w:sz w:val="23"/>
                <w:szCs w:val="23"/>
                <w:bdr w:val="none" w:color="auto" w:sz="0" w:space="0" w:frame="1"/>
              </w:rPr>
            </w:pPr>
            <w:r w:rsidRPr="00966815">
              <w:rPr>
                <w:rFonts w:cs="Segoe UI"/>
                <w:color w:val="242424"/>
                <w:sz w:val="23"/>
                <w:szCs w:val="23"/>
                <w:bdr w:val="none" w:color="auto" w:sz="0" w:space="0" w:frame="1"/>
              </w:rPr>
              <w:t>$58</w:t>
            </w:r>
            <w:r w:rsidR="0008015E">
              <w:rPr>
                <w:rFonts w:cs="Segoe UI"/>
                <w:color w:val="242424"/>
                <w:sz w:val="23"/>
                <w:szCs w:val="23"/>
                <w:bdr w:val="none" w:color="auto" w:sz="0" w:space="0" w:frame="1"/>
              </w:rPr>
              <w:t>.</w:t>
            </w:r>
            <w:r w:rsidR="00164ECD">
              <w:rPr>
                <w:rFonts w:cs="Segoe UI"/>
                <w:color w:val="242424"/>
                <w:sz w:val="23"/>
                <w:szCs w:val="23"/>
                <w:bdr w:val="none" w:color="auto" w:sz="0" w:space="0" w:frame="1"/>
              </w:rPr>
              <w:t>23</w:t>
            </w:r>
          </w:p>
        </w:tc>
      </w:tr>
      <w:tr w:rsidRPr="00966815" w:rsidR="002E25DD" w:rsidTr="002E25DD" w14:paraId="439F1DFB" w14:textId="1E36660D">
        <w:tc>
          <w:tcPr>
            <w:tcW w:w="3407" w:type="dxa"/>
          </w:tcPr>
          <w:p w:rsidRPr="00966815" w:rsidR="002E25DD" w:rsidP="00E4247E" w:rsidRDefault="002E25DD" w14:paraId="2740C7D7" w14:textId="5A590DD7">
            <w:pPr>
              <w:pStyle w:val="Standard"/>
              <w:ind w:firstLine="0"/>
              <w:rPr>
                <w:rFonts w:cs="Arial"/>
                <w:szCs w:val="26"/>
              </w:rPr>
            </w:pPr>
            <w:r w:rsidRPr="00966815">
              <w:rPr>
                <w:rFonts w:cs="Segoe UI"/>
                <w:color w:val="242424"/>
                <w:sz w:val="23"/>
                <w:szCs w:val="23"/>
                <w:bdr w:val="none" w:color="auto" w:sz="0" w:space="0" w:frame="1"/>
              </w:rPr>
              <w:t>SCE</w:t>
            </w:r>
          </w:p>
        </w:tc>
        <w:tc>
          <w:tcPr>
            <w:tcW w:w="3116" w:type="dxa"/>
          </w:tcPr>
          <w:p w:rsidRPr="00966815" w:rsidR="002E25DD" w:rsidP="00E4247E" w:rsidRDefault="002E25DD" w14:paraId="7B3F39F3" w14:textId="5BF7CD41">
            <w:pPr>
              <w:pStyle w:val="Standard"/>
              <w:ind w:firstLine="0"/>
              <w:rPr>
                <w:rFonts w:cs="Arial"/>
                <w:szCs w:val="26"/>
              </w:rPr>
            </w:pPr>
            <w:r w:rsidRPr="00966815">
              <w:rPr>
                <w:rFonts w:cs="Segoe UI"/>
                <w:color w:val="242424"/>
                <w:sz w:val="23"/>
                <w:szCs w:val="23"/>
                <w:bdr w:val="none" w:color="auto" w:sz="0" w:space="0" w:frame="1"/>
              </w:rPr>
              <w:t>$36.00</w:t>
            </w:r>
          </w:p>
        </w:tc>
        <w:tc>
          <w:tcPr>
            <w:tcW w:w="2827" w:type="dxa"/>
          </w:tcPr>
          <w:p w:rsidRPr="00966815" w:rsidR="002E25DD" w:rsidP="00E4247E" w:rsidRDefault="00AC3B65" w14:paraId="27F5BB65" w14:textId="4E06F679">
            <w:pPr>
              <w:pStyle w:val="Standard"/>
              <w:ind w:firstLine="0"/>
              <w:rPr>
                <w:rFonts w:cs="Segoe UI"/>
                <w:color w:val="242424"/>
                <w:sz w:val="23"/>
                <w:szCs w:val="23"/>
                <w:bdr w:val="none" w:color="auto" w:sz="0" w:space="0" w:frame="1"/>
              </w:rPr>
            </w:pPr>
            <w:r w:rsidRPr="00966815">
              <w:rPr>
                <w:rFonts w:cs="Segoe UI"/>
                <w:color w:val="242424"/>
                <w:sz w:val="23"/>
                <w:szCs w:val="23"/>
                <w:bdr w:val="none" w:color="auto" w:sz="0" w:space="0" w:frame="1"/>
              </w:rPr>
              <w:t>$56</w:t>
            </w:r>
            <w:r w:rsidR="0008015E">
              <w:rPr>
                <w:rFonts w:cs="Segoe UI"/>
                <w:color w:val="242424"/>
                <w:sz w:val="23"/>
                <w:szCs w:val="23"/>
                <w:bdr w:val="none" w:color="auto" w:sz="0" w:space="0" w:frame="1"/>
              </w:rPr>
              <w:t>.00</w:t>
            </w:r>
            <w:r w:rsidRPr="00966815">
              <w:rPr>
                <w:rFonts w:cs="Segoe UI"/>
                <w:color w:val="242424"/>
                <w:sz w:val="23"/>
                <w:szCs w:val="23"/>
                <w:bdr w:val="none" w:color="auto" w:sz="0" w:space="0" w:frame="1"/>
              </w:rPr>
              <w:t> </w:t>
            </w:r>
          </w:p>
        </w:tc>
      </w:tr>
      <w:tr w:rsidRPr="00966815" w:rsidR="002E25DD" w:rsidTr="002E25DD" w14:paraId="5B9216D6" w14:textId="3968AC10">
        <w:tc>
          <w:tcPr>
            <w:tcW w:w="3407" w:type="dxa"/>
          </w:tcPr>
          <w:p w:rsidRPr="00966815" w:rsidR="002E25DD" w:rsidP="00E4247E" w:rsidRDefault="002E25DD" w14:paraId="4A4E0604" w14:textId="0EDC3D98">
            <w:pPr>
              <w:pStyle w:val="Standard"/>
              <w:ind w:firstLine="0"/>
              <w:rPr>
                <w:rFonts w:cs="Arial"/>
                <w:szCs w:val="26"/>
              </w:rPr>
            </w:pPr>
            <w:r w:rsidRPr="00966815">
              <w:rPr>
                <w:rFonts w:cs="Segoe UI"/>
                <w:color w:val="242424"/>
                <w:sz w:val="23"/>
                <w:szCs w:val="23"/>
                <w:bdr w:val="none" w:color="auto" w:sz="0" w:space="0" w:frame="1"/>
              </w:rPr>
              <w:lastRenderedPageBreak/>
              <w:t>SDG&amp;E</w:t>
            </w:r>
          </w:p>
        </w:tc>
        <w:tc>
          <w:tcPr>
            <w:tcW w:w="3116" w:type="dxa"/>
          </w:tcPr>
          <w:p w:rsidRPr="00966815" w:rsidR="002E25DD" w:rsidP="00E4247E" w:rsidRDefault="002E25DD" w14:paraId="2E49AD82" w14:textId="3EFC6DEC">
            <w:pPr>
              <w:pStyle w:val="Standard"/>
              <w:ind w:firstLine="0"/>
              <w:rPr>
                <w:rFonts w:cs="Arial"/>
                <w:szCs w:val="26"/>
              </w:rPr>
            </w:pPr>
            <w:r w:rsidRPr="00966815">
              <w:rPr>
                <w:rFonts w:cs="Segoe UI"/>
                <w:color w:val="242424"/>
                <w:sz w:val="23"/>
                <w:szCs w:val="23"/>
                <w:bdr w:val="none" w:color="auto" w:sz="0" w:space="0" w:frame="1"/>
              </w:rPr>
              <w:t>$49.36</w:t>
            </w:r>
          </w:p>
        </w:tc>
        <w:tc>
          <w:tcPr>
            <w:tcW w:w="2827" w:type="dxa"/>
          </w:tcPr>
          <w:p w:rsidRPr="00966815" w:rsidR="002E25DD" w:rsidP="00E4247E" w:rsidRDefault="006412DF" w14:paraId="7F9DB4C1" w14:textId="5005E35B">
            <w:pPr>
              <w:pStyle w:val="Standard"/>
              <w:ind w:firstLine="0"/>
              <w:rPr>
                <w:rFonts w:cs="Segoe UI"/>
                <w:color w:val="242424"/>
                <w:sz w:val="23"/>
                <w:szCs w:val="23"/>
                <w:bdr w:val="none" w:color="auto" w:sz="0" w:space="0" w:frame="1"/>
              </w:rPr>
            </w:pPr>
            <w:r w:rsidRPr="00966815">
              <w:rPr>
                <w:rFonts w:cs="Segoe UI"/>
                <w:color w:val="242424"/>
                <w:sz w:val="23"/>
                <w:szCs w:val="23"/>
                <w:bdr w:val="none" w:color="auto" w:sz="0" w:space="0" w:frame="1"/>
              </w:rPr>
              <w:t>$81</w:t>
            </w:r>
            <w:r w:rsidR="0008015E">
              <w:rPr>
                <w:rFonts w:cs="Segoe UI"/>
                <w:color w:val="242424"/>
                <w:sz w:val="23"/>
                <w:szCs w:val="23"/>
                <w:bdr w:val="none" w:color="auto" w:sz="0" w:space="0" w:frame="1"/>
              </w:rPr>
              <w:t>.</w:t>
            </w:r>
            <w:r w:rsidR="00164ECD">
              <w:rPr>
                <w:rFonts w:cs="Segoe UI"/>
                <w:color w:val="242424"/>
                <w:sz w:val="23"/>
                <w:szCs w:val="23"/>
                <w:bdr w:val="none" w:color="auto" w:sz="0" w:space="0" w:frame="1"/>
              </w:rPr>
              <w:t>38</w:t>
            </w:r>
          </w:p>
        </w:tc>
      </w:tr>
      <w:tr w:rsidRPr="00966815" w:rsidR="002E25DD" w:rsidTr="002E25DD" w14:paraId="199F4B14" w14:textId="5E1A4AF2">
        <w:tc>
          <w:tcPr>
            <w:tcW w:w="3407" w:type="dxa"/>
          </w:tcPr>
          <w:p w:rsidRPr="00966815" w:rsidR="002E25DD" w:rsidP="00E4247E" w:rsidRDefault="002E25DD" w14:paraId="0E82FBF1" w14:textId="1594CF76">
            <w:pPr>
              <w:pStyle w:val="Standard"/>
              <w:ind w:firstLine="0"/>
              <w:rPr>
                <w:rFonts w:cs="Arial"/>
                <w:szCs w:val="26"/>
              </w:rPr>
            </w:pPr>
            <w:r w:rsidRPr="00966815">
              <w:rPr>
                <w:rFonts w:cs="Segoe UI"/>
                <w:color w:val="242424"/>
                <w:sz w:val="23"/>
                <w:szCs w:val="23"/>
                <w:bdr w:val="none" w:color="auto" w:sz="0" w:space="0" w:frame="1"/>
              </w:rPr>
              <w:t>Liberty</w:t>
            </w:r>
            <w:r w:rsidRPr="00966815" w:rsidR="008B2559">
              <w:rPr>
                <w:rStyle w:val="FootnoteReference"/>
                <w:rFonts w:cs="Segoe UI"/>
                <w:color w:val="242424"/>
                <w:sz w:val="23"/>
                <w:szCs w:val="23"/>
                <w:bdr w:val="none" w:color="auto" w:sz="0" w:space="0" w:frame="1"/>
              </w:rPr>
              <w:footnoteReference w:id="11"/>
            </w:r>
          </w:p>
        </w:tc>
        <w:tc>
          <w:tcPr>
            <w:tcW w:w="3116" w:type="dxa"/>
          </w:tcPr>
          <w:p w:rsidRPr="00966815" w:rsidR="002E25DD" w:rsidP="00E4247E" w:rsidRDefault="00427F42" w14:paraId="52080B1D" w14:textId="4C6E000B">
            <w:pPr>
              <w:pStyle w:val="Standard"/>
              <w:ind w:firstLine="0"/>
              <w:rPr>
                <w:rFonts w:cs="Arial"/>
                <w:szCs w:val="26"/>
              </w:rPr>
            </w:pPr>
            <w:r w:rsidRPr="00966815">
              <w:rPr>
                <w:rFonts w:cs="Segoe UI"/>
                <w:color w:val="242424"/>
                <w:sz w:val="23"/>
                <w:szCs w:val="23"/>
                <w:bdr w:val="none" w:color="auto" w:sz="0" w:space="0" w:frame="1"/>
              </w:rPr>
              <w:t>$71.98</w:t>
            </w:r>
          </w:p>
        </w:tc>
        <w:tc>
          <w:tcPr>
            <w:tcW w:w="2827" w:type="dxa"/>
          </w:tcPr>
          <w:p w:rsidRPr="00966815" w:rsidR="002E25DD" w:rsidP="00E4247E" w:rsidRDefault="002F08BE" w14:paraId="31BA20DF" w14:textId="633A4C3F">
            <w:pPr>
              <w:pStyle w:val="Standard"/>
              <w:ind w:firstLine="0"/>
              <w:rPr>
                <w:rFonts w:cs="Arial"/>
                <w:szCs w:val="26"/>
              </w:rPr>
            </w:pPr>
            <w:r w:rsidRPr="00966815">
              <w:rPr>
                <w:rFonts w:cs="Segoe UI"/>
                <w:color w:val="242424"/>
                <w:sz w:val="23"/>
                <w:szCs w:val="23"/>
                <w:bdr w:val="none" w:color="auto" w:sz="0" w:space="0" w:frame="1"/>
              </w:rPr>
              <w:t>$71.98</w:t>
            </w:r>
          </w:p>
        </w:tc>
      </w:tr>
      <w:tr w:rsidRPr="00966815" w:rsidR="002E25DD" w:rsidTr="002E25DD" w14:paraId="523BA806" w14:textId="28737BFF">
        <w:tc>
          <w:tcPr>
            <w:tcW w:w="3407" w:type="dxa"/>
          </w:tcPr>
          <w:p w:rsidRPr="00966815" w:rsidR="002E25DD" w:rsidP="00E4247E" w:rsidRDefault="002E25DD" w14:paraId="0F0FF531" w14:textId="0CEFEE5B">
            <w:pPr>
              <w:pStyle w:val="Standard"/>
              <w:ind w:firstLine="0"/>
              <w:rPr>
                <w:rFonts w:cs="Arial"/>
                <w:szCs w:val="26"/>
              </w:rPr>
            </w:pPr>
            <w:r w:rsidRPr="00966815">
              <w:rPr>
                <w:rFonts w:cs="Segoe UI"/>
                <w:color w:val="242424"/>
                <w:sz w:val="23"/>
                <w:szCs w:val="23"/>
                <w:bdr w:val="none" w:color="auto" w:sz="0" w:space="0" w:frame="1"/>
              </w:rPr>
              <w:t>PacifiCorp</w:t>
            </w:r>
          </w:p>
        </w:tc>
        <w:tc>
          <w:tcPr>
            <w:tcW w:w="3116" w:type="dxa"/>
          </w:tcPr>
          <w:p w:rsidRPr="00966815" w:rsidR="002E25DD" w:rsidP="00E4247E" w:rsidRDefault="0008015E" w14:paraId="723E11BE" w14:textId="6B97D9CB">
            <w:pPr>
              <w:pStyle w:val="Standard"/>
              <w:ind w:firstLine="0"/>
              <w:rPr>
                <w:rFonts w:cs="Arial"/>
                <w:szCs w:val="26"/>
              </w:rPr>
            </w:pPr>
            <w:r>
              <w:rPr>
                <w:rFonts w:cs="Segoe UI"/>
                <w:color w:val="242424"/>
                <w:sz w:val="23"/>
                <w:szCs w:val="23"/>
                <w:bdr w:val="none" w:color="auto" w:sz="0" w:space="0" w:frame="1"/>
              </w:rPr>
              <w:t>$</w:t>
            </w:r>
            <w:r w:rsidR="00F76A06">
              <w:rPr>
                <w:rFonts w:cs="Segoe UI"/>
                <w:color w:val="242424"/>
                <w:sz w:val="23"/>
                <w:szCs w:val="23"/>
                <w:bdr w:val="none" w:color="auto" w:sz="0" w:space="0" w:frame="1"/>
              </w:rPr>
              <w:t>111.83</w:t>
            </w:r>
          </w:p>
        </w:tc>
        <w:tc>
          <w:tcPr>
            <w:tcW w:w="2827" w:type="dxa"/>
          </w:tcPr>
          <w:p w:rsidRPr="00966815" w:rsidR="002E25DD" w:rsidP="00E4247E" w:rsidRDefault="0008015E" w14:paraId="71689B5C" w14:textId="6523D9C5">
            <w:pPr>
              <w:pStyle w:val="Standard"/>
              <w:ind w:firstLine="0"/>
              <w:rPr>
                <w:rFonts w:cs="Arial"/>
                <w:szCs w:val="26"/>
              </w:rPr>
            </w:pPr>
            <w:r>
              <w:rPr>
                <w:rFonts w:cs="Segoe UI"/>
                <w:color w:val="242424"/>
                <w:sz w:val="23"/>
                <w:szCs w:val="23"/>
                <w:bdr w:val="none" w:color="auto" w:sz="0" w:space="0" w:frame="1"/>
              </w:rPr>
              <w:t>$</w:t>
            </w:r>
            <w:r w:rsidRPr="00966815" w:rsidR="002F08BE">
              <w:rPr>
                <w:rFonts w:cs="Segoe UI"/>
                <w:color w:val="242424"/>
                <w:sz w:val="23"/>
                <w:szCs w:val="23"/>
                <w:bdr w:val="none" w:color="auto" w:sz="0" w:space="0" w:frame="1"/>
              </w:rPr>
              <w:t>259.36</w:t>
            </w:r>
          </w:p>
        </w:tc>
      </w:tr>
      <w:tr w:rsidRPr="00966815" w:rsidR="002E25DD" w:rsidTr="002E25DD" w14:paraId="0270B97E" w14:textId="36AF4740">
        <w:tc>
          <w:tcPr>
            <w:tcW w:w="3407" w:type="dxa"/>
          </w:tcPr>
          <w:p w:rsidRPr="00966815" w:rsidR="002E25DD" w:rsidP="00E4247E" w:rsidRDefault="002E25DD" w14:paraId="55A9CDB6" w14:textId="222B7729">
            <w:pPr>
              <w:pStyle w:val="Standard"/>
              <w:ind w:firstLine="0"/>
              <w:rPr>
                <w:rFonts w:cs="Arial"/>
                <w:szCs w:val="26"/>
              </w:rPr>
            </w:pPr>
            <w:r w:rsidRPr="00966815">
              <w:rPr>
                <w:rFonts w:cs="Segoe UI"/>
                <w:color w:val="242424"/>
                <w:sz w:val="23"/>
                <w:szCs w:val="23"/>
                <w:bdr w:val="none" w:color="auto" w:sz="0" w:space="0" w:frame="1"/>
              </w:rPr>
              <w:t>Bear Valley</w:t>
            </w:r>
          </w:p>
        </w:tc>
        <w:tc>
          <w:tcPr>
            <w:tcW w:w="3116" w:type="dxa"/>
          </w:tcPr>
          <w:p w:rsidRPr="00D10B12" w:rsidR="002E25DD" w:rsidP="00E4247E" w:rsidRDefault="00427F42" w14:paraId="6E45AFA8" w14:textId="57F97A25">
            <w:pPr>
              <w:pStyle w:val="Standard"/>
              <w:ind w:firstLine="0"/>
              <w:rPr>
                <w:rFonts w:cs="Arial"/>
                <w:sz w:val="23"/>
                <w:szCs w:val="23"/>
              </w:rPr>
            </w:pPr>
            <w:r w:rsidRPr="0008015E">
              <w:rPr>
                <w:rFonts w:cs="Segoe UI"/>
                <w:color w:val="242424"/>
                <w:sz w:val="23"/>
                <w:szCs w:val="23"/>
                <w:bdr w:val="none" w:color="auto" w:sz="0" w:space="0" w:frame="1"/>
              </w:rPr>
              <w:t>$17.52</w:t>
            </w:r>
          </w:p>
        </w:tc>
        <w:tc>
          <w:tcPr>
            <w:tcW w:w="2827" w:type="dxa"/>
          </w:tcPr>
          <w:p w:rsidRPr="00D10B12" w:rsidR="002E25DD" w:rsidP="00E4247E" w:rsidRDefault="00463A6F" w14:paraId="7D4D3771" w14:textId="47FE273F">
            <w:pPr>
              <w:pStyle w:val="Standard"/>
              <w:ind w:firstLine="0"/>
              <w:rPr>
                <w:rFonts w:cs="Arial"/>
                <w:sz w:val="23"/>
                <w:szCs w:val="23"/>
              </w:rPr>
            </w:pPr>
            <w:r w:rsidRPr="00D10B12">
              <w:rPr>
                <w:rFonts w:cs="Arial"/>
                <w:sz w:val="23"/>
                <w:szCs w:val="23"/>
              </w:rPr>
              <w:t>$34.91</w:t>
            </w:r>
          </w:p>
        </w:tc>
      </w:tr>
    </w:tbl>
    <w:p w:rsidR="00692C3A" w:rsidP="000D253E" w:rsidRDefault="00B712DD" w14:paraId="33DAB7F1" w14:textId="3D63765E">
      <w:pPr>
        <w:pStyle w:val="Standard"/>
        <w:rPr>
          <w:rFonts w:cs="Arial"/>
          <w:szCs w:val="26"/>
        </w:rPr>
      </w:pPr>
      <w:r>
        <w:rPr>
          <w:rFonts w:cs="Arial"/>
          <w:szCs w:val="26"/>
        </w:rPr>
        <w:t xml:space="preserve"> </w:t>
      </w:r>
    </w:p>
    <w:p w:rsidR="002357AA" w:rsidP="002357AA" w:rsidRDefault="002B6E13" w14:paraId="297CC1FD" w14:textId="77777777">
      <w:pPr>
        <w:pStyle w:val="Standard"/>
        <w:rPr>
          <w:rFonts w:cs="Arial"/>
          <w:szCs w:val="26"/>
        </w:rPr>
      </w:pPr>
      <w:r>
        <w:rPr>
          <w:rFonts w:cs="Arial"/>
          <w:szCs w:val="26"/>
        </w:rPr>
        <w:t xml:space="preserve">In </w:t>
      </w:r>
      <w:r w:rsidR="001422BD">
        <w:rPr>
          <w:rFonts w:cs="Arial"/>
          <w:szCs w:val="26"/>
        </w:rPr>
        <w:t>2025</w:t>
      </w:r>
      <w:r>
        <w:rPr>
          <w:rFonts w:cs="Arial"/>
          <w:szCs w:val="26"/>
        </w:rPr>
        <w:t>,</w:t>
      </w:r>
      <w:r w:rsidR="001422BD">
        <w:rPr>
          <w:rFonts w:cs="Arial"/>
          <w:szCs w:val="26"/>
        </w:rPr>
        <w:t xml:space="preserve"> AB 1207 established Pub. Util. Code Sec. 748.5(a)(3) requiring electric Climate Credits to be provided “in no more than four high-billed months of each year to maximize customer electric bill affordability, or as otherwise directed by the Commission to address extreme, unforeseen, and temporary circumstances.” </w:t>
      </w:r>
    </w:p>
    <w:p w:rsidR="00CA4626" w:rsidP="002357AA" w:rsidRDefault="002357AA" w14:paraId="207F138C" w14:textId="06450385">
      <w:pPr>
        <w:pStyle w:val="Standard"/>
        <w:rPr>
          <w:rFonts w:cs="Arial"/>
          <w:szCs w:val="26"/>
        </w:rPr>
      </w:pPr>
      <w:r>
        <w:rPr>
          <w:rFonts w:cs="Arial"/>
          <w:szCs w:val="26"/>
        </w:rPr>
        <w:t>In addition to this requirement, w</w:t>
      </w:r>
      <w:r w:rsidR="00CA4626">
        <w:rPr>
          <w:rFonts w:cs="Arial"/>
          <w:szCs w:val="26"/>
        </w:rPr>
        <w:t xml:space="preserve">e look </w:t>
      </w:r>
      <w:proofErr w:type="gramStart"/>
      <w:r w:rsidR="00CA4626">
        <w:rPr>
          <w:rFonts w:cs="Arial"/>
          <w:szCs w:val="26"/>
        </w:rPr>
        <w:t>to</w:t>
      </w:r>
      <w:proofErr w:type="gramEnd"/>
      <w:r w:rsidR="00CA4626">
        <w:rPr>
          <w:rFonts w:cs="Arial"/>
          <w:szCs w:val="26"/>
        </w:rPr>
        <w:t xml:space="preserve"> party positions regarding whether we should take immediate action for 2026 relief</w:t>
      </w:r>
      <w:r w:rsidR="00F7720B">
        <w:rPr>
          <w:rFonts w:cs="Arial"/>
          <w:szCs w:val="26"/>
        </w:rPr>
        <w:t>, and what actions may be possible.</w:t>
      </w:r>
    </w:p>
    <w:p w:rsidR="00D90E82" w:rsidP="00883842" w:rsidRDefault="00883842" w14:paraId="29639EC2" w14:textId="428AC0E1">
      <w:pPr>
        <w:pStyle w:val="Standard"/>
        <w:rPr>
          <w:rFonts w:cs="Arial"/>
          <w:szCs w:val="26"/>
        </w:rPr>
      </w:pPr>
      <w:r>
        <w:rPr>
          <w:rFonts w:cs="Arial"/>
          <w:szCs w:val="26"/>
        </w:rPr>
        <w:t xml:space="preserve">Parties including TURN, SBUA, </w:t>
      </w:r>
      <w:r w:rsidR="00471057">
        <w:rPr>
          <w:rFonts w:cs="Arial"/>
          <w:szCs w:val="26"/>
        </w:rPr>
        <w:t xml:space="preserve">EDF, </w:t>
      </w:r>
      <w:r>
        <w:rPr>
          <w:rFonts w:cs="Arial"/>
          <w:szCs w:val="26"/>
        </w:rPr>
        <w:t>and CEJA, CCEJN, LCJA (jointly, the EJ Parties) supported taking immediate action for bill relief in 2026.</w:t>
      </w:r>
      <w:r>
        <w:rPr>
          <w:rStyle w:val="FootnoteReference"/>
          <w:rFonts w:cs="Arial"/>
          <w:szCs w:val="26"/>
        </w:rPr>
        <w:footnoteReference w:id="12"/>
      </w:r>
      <w:r>
        <w:rPr>
          <w:rFonts w:cs="Arial"/>
          <w:szCs w:val="26"/>
        </w:rPr>
        <w:t xml:space="preserve"> </w:t>
      </w:r>
      <w:r w:rsidR="00511469">
        <w:rPr>
          <w:rFonts w:cs="Arial"/>
          <w:szCs w:val="26"/>
        </w:rPr>
        <w:t xml:space="preserve">EDF suggested that any near-term action contemplated could be </w:t>
      </w:r>
      <w:r w:rsidR="008000E8">
        <w:rPr>
          <w:rFonts w:cs="Arial"/>
          <w:szCs w:val="26"/>
        </w:rPr>
        <w:t xml:space="preserve">shared </w:t>
      </w:r>
      <w:r w:rsidR="00027DC1">
        <w:rPr>
          <w:rFonts w:cs="Arial"/>
          <w:szCs w:val="26"/>
        </w:rPr>
        <w:t xml:space="preserve">via ruling </w:t>
      </w:r>
      <w:r w:rsidR="008000E8">
        <w:rPr>
          <w:rFonts w:cs="Arial"/>
          <w:szCs w:val="26"/>
        </w:rPr>
        <w:t>as a “heads-up”</w:t>
      </w:r>
      <w:r w:rsidR="008B59EC">
        <w:rPr>
          <w:rFonts w:cs="Arial"/>
          <w:szCs w:val="26"/>
        </w:rPr>
        <w:t xml:space="preserve"> to support the utilities’ ability to implement actions </w:t>
      </w:r>
      <w:r w:rsidR="008F4F8F">
        <w:rPr>
          <w:rFonts w:cs="Arial"/>
          <w:szCs w:val="26"/>
        </w:rPr>
        <w:t>immediately.</w:t>
      </w:r>
      <w:r w:rsidR="008F4F8F">
        <w:rPr>
          <w:rStyle w:val="FootnoteReference"/>
          <w:rFonts w:cs="Arial"/>
          <w:szCs w:val="26"/>
        </w:rPr>
        <w:footnoteReference w:id="13"/>
      </w:r>
      <w:r w:rsidR="00812397">
        <w:rPr>
          <w:rFonts w:cs="Arial"/>
          <w:szCs w:val="26"/>
        </w:rPr>
        <w:t xml:space="preserve"> </w:t>
      </w:r>
      <w:r w:rsidR="00D90E82">
        <w:rPr>
          <w:rFonts w:cs="Arial"/>
          <w:szCs w:val="26"/>
        </w:rPr>
        <w:t>Parties including SDG&amp;E and the EJ Parties agreed that providing the Climate Credit in high-billed months, or in summer for electric customers, would be aligned with statute and likely to benefit customers.</w:t>
      </w:r>
      <w:r w:rsidR="00D90E82">
        <w:rPr>
          <w:rStyle w:val="FootnoteReference"/>
          <w:rFonts w:cs="Arial"/>
          <w:szCs w:val="26"/>
        </w:rPr>
        <w:footnoteReference w:id="14"/>
      </w:r>
      <w:r w:rsidR="00913FAE">
        <w:rPr>
          <w:rFonts w:cs="Arial"/>
          <w:szCs w:val="26"/>
        </w:rPr>
        <w:t xml:space="preserve"> </w:t>
      </w:r>
      <w:r w:rsidR="00E85E05">
        <w:rPr>
          <w:rFonts w:cs="Arial"/>
          <w:szCs w:val="26"/>
        </w:rPr>
        <w:t xml:space="preserve">While </w:t>
      </w:r>
      <w:r w:rsidR="007C0A29">
        <w:rPr>
          <w:rFonts w:cs="Arial"/>
          <w:szCs w:val="26"/>
        </w:rPr>
        <w:t xml:space="preserve">full analysis </w:t>
      </w:r>
      <w:r w:rsidR="00B2110B">
        <w:rPr>
          <w:rFonts w:cs="Arial"/>
          <w:szCs w:val="26"/>
        </w:rPr>
        <w:lastRenderedPageBreak/>
        <w:t xml:space="preserve">determining </w:t>
      </w:r>
      <w:r w:rsidR="00086B70">
        <w:rPr>
          <w:rFonts w:cs="Arial"/>
          <w:szCs w:val="26"/>
        </w:rPr>
        <w:t xml:space="preserve">customers’ highest-billed months </w:t>
      </w:r>
      <w:r w:rsidR="00412CA4">
        <w:rPr>
          <w:rFonts w:cs="Arial"/>
          <w:szCs w:val="26"/>
        </w:rPr>
        <w:t>and examining the granularity of the var</w:t>
      </w:r>
      <w:r w:rsidR="007B4691">
        <w:rPr>
          <w:rFonts w:cs="Arial"/>
          <w:szCs w:val="26"/>
        </w:rPr>
        <w:t xml:space="preserve">iation of these times among customers </w:t>
      </w:r>
      <w:r w:rsidR="005A31E5">
        <w:rPr>
          <w:rFonts w:cs="Arial"/>
          <w:szCs w:val="26"/>
        </w:rPr>
        <w:t>is still to come in this proceeding</w:t>
      </w:r>
      <w:r w:rsidR="00E73F35">
        <w:rPr>
          <w:rFonts w:cs="Arial"/>
          <w:szCs w:val="26"/>
        </w:rPr>
        <w:t>,</w:t>
      </w:r>
      <w:r w:rsidR="00E70E7F">
        <w:rPr>
          <w:rFonts w:cs="Arial"/>
          <w:szCs w:val="26"/>
        </w:rPr>
        <w:t xml:space="preserve"> the record </w:t>
      </w:r>
      <w:r w:rsidR="005A31E5">
        <w:rPr>
          <w:rFonts w:cs="Arial"/>
          <w:szCs w:val="26"/>
        </w:rPr>
        <w:t xml:space="preserve">already </w:t>
      </w:r>
      <w:r w:rsidR="00E70E7F">
        <w:rPr>
          <w:rFonts w:cs="Arial"/>
          <w:szCs w:val="26"/>
        </w:rPr>
        <w:t xml:space="preserve">shows </w:t>
      </w:r>
      <w:r w:rsidR="00E73F35">
        <w:rPr>
          <w:rFonts w:cs="Arial"/>
          <w:szCs w:val="26"/>
        </w:rPr>
        <w:t>that</w:t>
      </w:r>
      <w:r w:rsidR="00C8028A">
        <w:rPr>
          <w:rFonts w:cs="Arial"/>
          <w:szCs w:val="26"/>
        </w:rPr>
        <w:t xml:space="preserve"> </w:t>
      </w:r>
      <w:r w:rsidR="007C1115">
        <w:t>o</w:t>
      </w:r>
      <w:r w:rsidR="003B1EAE">
        <w:t>n average statewide, energy usage and bills are lower in the shoulder seasons of spring and fall than in the summer and winter</w:t>
      </w:r>
      <w:r w:rsidR="00DD4C6D">
        <w:rPr>
          <w:rFonts w:cs="Arial"/>
          <w:szCs w:val="26"/>
        </w:rPr>
        <w:t>.</w:t>
      </w:r>
      <w:r w:rsidR="00DD4C6D">
        <w:rPr>
          <w:rStyle w:val="FootnoteReference"/>
          <w:rFonts w:cs="Arial"/>
          <w:szCs w:val="26"/>
        </w:rPr>
        <w:footnoteReference w:id="15"/>
      </w:r>
      <w:r w:rsidR="00E70E7F">
        <w:rPr>
          <w:rFonts w:cs="Arial"/>
          <w:szCs w:val="26"/>
        </w:rPr>
        <w:t xml:space="preserve"> </w:t>
      </w:r>
    </w:p>
    <w:p w:rsidR="00883842" w:rsidP="00883842" w:rsidRDefault="00883842" w14:paraId="21F7842E" w14:textId="1744881B">
      <w:pPr>
        <w:pStyle w:val="Standard"/>
        <w:rPr>
          <w:rFonts w:cs="Arial"/>
          <w:szCs w:val="26"/>
        </w:rPr>
      </w:pPr>
      <w:r>
        <w:rPr>
          <w:rFonts w:cs="Arial"/>
          <w:szCs w:val="26"/>
        </w:rPr>
        <w:t xml:space="preserve">With respect to the range of possible actions that could be implemented this year, SCE, PG&amp;E, and SDG&amp;E stated </w:t>
      </w:r>
      <w:r w:rsidR="00FC393F">
        <w:rPr>
          <w:rFonts w:cs="Arial"/>
          <w:szCs w:val="26"/>
        </w:rPr>
        <w:t xml:space="preserve">in their post-PHC Statements </w:t>
      </w:r>
      <w:r>
        <w:rPr>
          <w:rFonts w:cs="Arial"/>
          <w:szCs w:val="26"/>
        </w:rPr>
        <w:t xml:space="preserve">that it was too late to change </w:t>
      </w:r>
      <w:r w:rsidRPr="004A583A">
        <w:rPr>
          <w:rFonts w:cs="Arial"/>
          <w:szCs w:val="26"/>
        </w:rPr>
        <w:t>the eligibility or calculation</w:t>
      </w:r>
      <w:r>
        <w:rPr>
          <w:rFonts w:cs="Arial"/>
          <w:szCs w:val="26"/>
        </w:rPr>
        <w:t xml:space="preserve"> methodology</w:t>
      </w:r>
      <w:r w:rsidRPr="004A583A">
        <w:rPr>
          <w:rFonts w:cs="Arial"/>
          <w:szCs w:val="26"/>
        </w:rPr>
        <w:t xml:space="preserve"> of the Climate Credit before the 2026 credits were distributed, and that it was too late to accelerate the spring 2026 credit, but that it would be possible to accelerate the October 2026 credits to deliver them in September or August 2026.</w:t>
      </w:r>
      <w:r w:rsidRPr="004A583A">
        <w:rPr>
          <w:rStyle w:val="FootnoteReference"/>
          <w:rFonts w:cs="Arial"/>
          <w:szCs w:val="26"/>
        </w:rPr>
        <w:footnoteReference w:id="16"/>
      </w:r>
      <w:r w:rsidRPr="004A583A">
        <w:rPr>
          <w:rFonts w:cs="Arial"/>
          <w:szCs w:val="26"/>
        </w:rPr>
        <w:t xml:space="preserve"> SDG&amp;E stated that it would not be possible to increase the number</w:t>
      </w:r>
      <w:r>
        <w:rPr>
          <w:rFonts w:cs="Arial"/>
          <w:szCs w:val="26"/>
        </w:rPr>
        <w:t xml:space="preserve"> of distributions in 2026 beyond two.</w:t>
      </w:r>
      <w:r>
        <w:rPr>
          <w:rStyle w:val="FootnoteReference"/>
          <w:rFonts w:cs="Arial"/>
          <w:szCs w:val="26"/>
        </w:rPr>
        <w:footnoteReference w:id="17"/>
      </w:r>
      <w:r>
        <w:rPr>
          <w:rFonts w:cs="Arial"/>
          <w:szCs w:val="26"/>
        </w:rPr>
        <w:t xml:space="preserve"> Discussion focused on the potential to move up the fall credit</w:t>
      </w:r>
      <w:r w:rsidR="00D90E82">
        <w:rPr>
          <w:rFonts w:cs="Arial"/>
          <w:szCs w:val="26"/>
        </w:rPr>
        <w:t xml:space="preserve"> to the summer</w:t>
      </w:r>
      <w:r>
        <w:rPr>
          <w:rFonts w:cs="Arial"/>
          <w:szCs w:val="26"/>
        </w:rPr>
        <w:t>, with the utilities agreeing that this could be implemented in 2026.</w:t>
      </w:r>
      <w:r>
        <w:rPr>
          <w:rStyle w:val="FootnoteReference"/>
          <w:rFonts w:cs="Arial"/>
          <w:szCs w:val="26"/>
        </w:rPr>
        <w:footnoteReference w:id="18"/>
      </w:r>
      <w:r>
        <w:rPr>
          <w:rFonts w:cs="Arial"/>
          <w:szCs w:val="26"/>
        </w:rPr>
        <w:t xml:space="preserve"> </w:t>
      </w:r>
    </w:p>
    <w:p w:rsidR="00883842" w:rsidP="00883842" w:rsidRDefault="009759CD" w14:paraId="2F96957B" w14:textId="28AE6EF7">
      <w:pPr>
        <w:pStyle w:val="Standard"/>
        <w:rPr>
          <w:rFonts w:cs="Arial"/>
          <w:szCs w:val="26"/>
        </w:rPr>
      </w:pPr>
      <w:r>
        <w:rPr>
          <w:rFonts w:cs="Arial"/>
          <w:szCs w:val="26"/>
        </w:rPr>
        <w:t xml:space="preserve">We </w:t>
      </w:r>
      <w:r w:rsidR="00B96577">
        <w:rPr>
          <w:rFonts w:cs="Arial"/>
          <w:szCs w:val="26"/>
        </w:rPr>
        <w:t>agree that changing Climate Credit amounts</w:t>
      </w:r>
      <w:r w:rsidR="00FD039E">
        <w:rPr>
          <w:rFonts w:cs="Arial"/>
          <w:szCs w:val="26"/>
        </w:rPr>
        <w:t xml:space="preserve"> or eligibility is too complex to accomplish </w:t>
      </w:r>
      <w:r w:rsidR="0016330C">
        <w:rPr>
          <w:rFonts w:cs="Arial"/>
          <w:szCs w:val="26"/>
        </w:rPr>
        <w:t xml:space="preserve">for 2026 distributions. </w:t>
      </w:r>
      <w:r w:rsidR="00883842">
        <w:rPr>
          <w:rFonts w:cs="Arial"/>
          <w:szCs w:val="26"/>
        </w:rPr>
        <w:t xml:space="preserve">No party </w:t>
      </w:r>
      <w:r w:rsidR="00E94BE9">
        <w:rPr>
          <w:rFonts w:cs="Arial"/>
          <w:szCs w:val="26"/>
        </w:rPr>
        <w:t xml:space="preserve">specifically </w:t>
      </w:r>
      <w:r w:rsidR="00883842">
        <w:rPr>
          <w:rFonts w:cs="Arial"/>
          <w:szCs w:val="26"/>
        </w:rPr>
        <w:t xml:space="preserve">contemplated </w:t>
      </w:r>
      <w:r w:rsidRPr="0089345B" w:rsidR="00883842">
        <w:rPr>
          <w:rFonts w:cs="Arial"/>
          <w:i/>
          <w:iCs/>
          <w:szCs w:val="26"/>
        </w:rPr>
        <w:t>pausing</w:t>
      </w:r>
      <w:r w:rsidR="00883842">
        <w:rPr>
          <w:rFonts w:cs="Arial"/>
          <w:szCs w:val="26"/>
        </w:rPr>
        <w:t xml:space="preserve"> the spring 2026 distribution to allow it to be distributed later</w:t>
      </w:r>
      <w:r w:rsidR="0016330C">
        <w:rPr>
          <w:rFonts w:cs="Arial"/>
          <w:szCs w:val="26"/>
        </w:rPr>
        <w:t xml:space="preserve"> this year</w:t>
      </w:r>
      <w:r w:rsidR="00883842">
        <w:rPr>
          <w:rFonts w:cs="Arial"/>
          <w:szCs w:val="26"/>
        </w:rPr>
        <w:t xml:space="preserve">, but neither did any party identify any reason why the utilities could not do so. </w:t>
      </w:r>
    </w:p>
    <w:p w:rsidR="009B0B27" w:rsidP="009B0B27" w:rsidRDefault="009B0B27" w14:paraId="6A7BC652" w14:textId="3E705CCE">
      <w:pPr>
        <w:pStyle w:val="Standard"/>
        <w:rPr>
          <w:rFonts w:cs="Arial"/>
          <w:szCs w:val="26"/>
        </w:rPr>
      </w:pPr>
      <w:r>
        <w:rPr>
          <w:rFonts w:cs="Arial"/>
          <w:szCs w:val="26"/>
        </w:rPr>
        <w:lastRenderedPageBreak/>
        <w:t>In the past, the Commission has changed the timing of upcoming Climate Credits. In February 2023, the Commission ordered the acceleration of the April 2023 Climate Credits in response to the rapid spike in natural gas prices that occurred throughout the West in winter 2023.</w:t>
      </w:r>
      <w:r>
        <w:rPr>
          <w:rStyle w:val="FootnoteReference"/>
          <w:rFonts w:cs="Arial"/>
          <w:szCs w:val="26"/>
        </w:rPr>
        <w:footnoteReference w:id="19"/>
      </w:r>
      <w:r>
        <w:rPr>
          <w:rFonts w:cs="Arial"/>
          <w:szCs w:val="26"/>
        </w:rPr>
        <w:t xml:space="preserve"> </w:t>
      </w:r>
      <w:r w:rsidR="002E41F1">
        <w:rPr>
          <w:rFonts w:cs="Arial"/>
          <w:szCs w:val="26"/>
        </w:rPr>
        <w:t xml:space="preserve">While </w:t>
      </w:r>
      <w:r w:rsidR="00711207">
        <w:rPr>
          <w:rFonts w:cs="Arial"/>
          <w:szCs w:val="26"/>
        </w:rPr>
        <w:t>the current timing change is a dela</w:t>
      </w:r>
      <w:r w:rsidR="00EC1028">
        <w:rPr>
          <w:rFonts w:cs="Arial"/>
          <w:szCs w:val="26"/>
        </w:rPr>
        <w:t xml:space="preserve">y </w:t>
      </w:r>
      <w:r w:rsidR="005F1942">
        <w:rPr>
          <w:rFonts w:cs="Arial"/>
          <w:szCs w:val="26"/>
        </w:rPr>
        <w:t>and not</w:t>
      </w:r>
      <w:r w:rsidR="00EC1028">
        <w:rPr>
          <w:rFonts w:cs="Arial"/>
          <w:szCs w:val="26"/>
        </w:rPr>
        <w:t xml:space="preserve"> an acceleration, this </w:t>
      </w:r>
      <w:r w:rsidR="00B942B9">
        <w:rPr>
          <w:rFonts w:cs="Arial"/>
          <w:szCs w:val="26"/>
        </w:rPr>
        <w:t xml:space="preserve">shows that the utilities have in the past implemented a change in the </w:t>
      </w:r>
      <w:r w:rsidR="005F1942">
        <w:rPr>
          <w:rFonts w:cs="Arial"/>
          <w:szCs w:val="26"/>
        </w:rPr>
        <w:t xml:space="preserve">distribution timing of the </w:t>
      </w:r>
      <w:r w:rsidR="00B942B9">
        <w:rPr>
          <w:rFonts w:cs="Arial"/>
          <w:szCs w:val="26"/>
        </w:rPr>
        <w:t xml:space="preserve">Climate Credit with </w:t>
      </w:r>
      <w:r w:rsidR="00EA6898">
        <w:rPr>
          <w:rFonts w:cs="Arial"/>
          <w:szCs w:val="26"/>
        </w:rPr>
        <w:t xml:space="preserve">limited </w:t>
      </w:r>
      <w:r w:rsidR="00BD4D15">
        <w:rPr>
          <w:rFonts w:cs="Arial"/>
          <w:szCs w:val="26"/>
        </w:rPr>
        <w:t xml:space="preserve">lead </w:t>
      </w:r>
      <w:r w:rsidR="00EA6898">
        <w:rPr>
          <w:rFonts w:cs="Arial"/>
          <w:szCs w:val="26"/>
        </w:rPr>
        <w:t>time.</w:t>
      </w:r>
    </w:p>
    <w:p w:rsidR="00D74272" w:rsidP="00D74272" w:rsidRDefault="00D74272" w14:paraId="1D5C0B8D" w14:textId="403BCFBB">
      <w:pPr>
        <w:pStyle w:val="Standard"/>
        <w:rPr>
          <w:rFonts w:cs="Arial"/>
          <w:szCs w:val="26"/>
        </w:rPr>
      </w:pPr>
      <w:r>
        <w:rPr>
          <w:rFonts w:cs="Arial"/>
          <w:szCs w:val="26"/>
        </w:rPr>
        <w:t xml:space="preserve">As noted above, the assigned Commissioner stated in her Scoping Memo that she intended to issue a </w:t>
      </w:r>
      <w:r w:rsidR="0008015E">
        <w:rPr>
          <w:rFonts w:cs="Arial"/>
          <w:szCs w:val="26"/>
        </w:rPr>
        <w:t>proposed d</w:t>
      </w:r>
      <w:r>
        <w:rPr>
          <w:rFonts w:cs="Arial"/>
          <w:szCs w:val="26"/>
        </w:rPr>
        <w:t xml:space="preserve">ecision (PD) pausing the large electric utilities’ 2026 residential Climate Credit, providing advance notice of this possibility to the utilities. </w:t>
      </w:r>
    </w:p>
    <w:p w:rsidR="00D74272" w:rsidP="00D74272" w:rsidRDefault="00D74272" w14:paraId="5F0766A0" w14:textId="67EB8029">
      <w:pPr>
        <w:pStyle w:val="Standard"/>
        <w:rPr>
          <w:rFonts w:cs="Arial"/>
          <w:szCs w:val="26"/>
        </w:rPr>
      </w:pPr>
      <w:r>
        <w:rPr>
          <w:rFonts w:cs="Arial"/>
          <w:szCs w:val="26"/>
        </w:rPr>
        <w:t xml:space="preserve">We conclude that the large electric utilities’ 2026 residential Climate Credit should be paused because doing so allows for the possibility for distribution of the credit to have much </w:t>
      </w:r>
      <w:proofErr w:type="gramStart"/>
      <w:r>
        <w:rPr>
          <w:rFonts w:cs="Arial"/>
          <w:szCs w:val="26"/>
        </w:rPr>
        <w:t>greater affordability</w:t>
      </w:r>
      <w:proofErr w:type="gramEnd"/>
      <w:r>
        <w:rPr>
          <w:rFonts w:cs="Arial"/>
          <w:szCs w:val="26"/>
        </w:rPr>
        <w:t xml:space="preserve"> impacts this year. With a PD on the additional Phase 1A matters </w:t>
      </w:r>
      <w:r w:rsidR="00504F96">
        <w:rPr>
          <w:rFonts w:cs="Arial"/>
          <w:szCs w:val="26"/>
        </w:rPr>
        <w:t xml:space="preserve">to be issued </w:t>
      </w:r>
      <w:r>
        <w:rPr>
          <w:rFonts w:cs="Arial"/>
          <w:szCs w:val="26"/>
        </w:rPr>
        <w:t>in March 2026, the delay will be very brief</w:t>
      </w:r>
      <w:r w:rsidR="00542F9B">
        <w:rPr>
          <w:rFonts w:cs="Arial"/>
          <w:szCs w:val="26"/>
        </w:rPr>
        <w:t>. T</w:t>
      </w:r>
      <w:r w:rsidR="00F73FB8">
        <w:rPr>
          <w:rFonts w:cs="Arial"/>
          <w:szCs w:val="26"/>
        </w:rPr>
        <w:t xml:space="preserve">he full </w:t>
      </w:r>
      <w:r w:rsidR="007A453F">
        <w:rPr>
          <w:rFonts w:cs="Arial"/>
          <w:szCs w:val="26"/>
        </w:rPr>
        <w:t xml:space="preserve">2026 </w:t>
      </w:r>
      <w:r w:rsidR="00F73FB8">
        <w:rPr>
          <w:rFonts w:cs="Arial"/>
          <w:szCs w:val="26"/>
        </w:rPr>
        <w:t xml:space="preserve">credits must be distributed this year </w:t>
      </w:r>
      <w:r w:rsidR="00265215">
        <w:rPr>
          <w:rFonts w:cs="Arial"/>
          <w:szCs w:val="26"/>
        </w:rPr>
        <w:t>for</w:t>
      </w:r>
      <w:r w:rsidR="00B33517">
        <w:rPr>
          <w:rFonts w:cs="Arial"/>
          <w:szCs w:val="26"/>
        </w:rPr>
        <w:t xml:space="preserve"> the revenue requirement forecasts adopted in the utilities’ 2026 </w:t>
      </w:r>
      <w:r w:rsidR="00B53C6D">
        <w:rPr>
          <w:rFonts w:cs="Arial"/>
          <w:szCs w:val="26"/>
        </w:rPr>
        <w:t>Energy Resource Recovery Account decisions</w:t>
      </w:r>
      <w:r w:rsidR="00B42323">
        <w:rPr>
          <w:rStyle w:val="FootnoteReference"/>
          <w:rFonts w:cs="Arial"/>
          <w:szCs w:val="26"/>
        </w:rPr>
        <w:footnoteReference w:id="20"/>
      </w:r>
      <w:r w:rsidR="00B53C6D">
        <w:rPr>
          <w:rFonts w:cs="Arial"/>
          <w:szCs w:val="26"/>
        </w:rPr>
        <w:t xml:space="preserve"> </w:t>
      </w:r>
      <w:r w:rsidR="00B42323">
        <w:rPr>
          <w:rFonts w:cs="Arial"/>
          <w:szCs w:val="26"/>
        </w:rPr>
        <w:t>to remain accurate</w:t>
      </w:r>
      <w:r w:rsidR="007C2887">
        <w:rPr>
          <w:rFonts w:cs="Arial"/>
          <w:szCs w:val="26"/>
        </w:rPr>
        <w:t>. E</w:t>
      </w:r>
      <w:r w:rsidR="00542F9B">
        <w:rPr>
          <w:rFonts w:cs="Arial"/>
          <w:szCs w:val="26"/>
        </w:rPr>
        <w:t xml:space="preserve">nsuring that customers receive their full credits in 2026 is </w:t>
      </w:r>
      <w:r w:rsidR="00EC632E">
        <w:rPr>
          <w:rFonts w:cs="Arial"/>
          <w:szCs w:val="26"/>
        </w:rPr>
        <w:t xml:space="preserve">an extremely high priority for us. </w:t>
      </w:r>
      <w:r>
        <w:rPr>
          <w:rFonts w:cs="Arial"/>
          <w:szCs w:val="26"/>
        </w:rPr>
        <w:t xml:space="preserve">We bear in mind that the residential electric Climate Credits are smaller this year and pausing them lets us consider the most impactful time for distribution. </w:t>
      </w:r>
    </w:p>
    <w:p w:rsidR="00CF168D" w:rsidP="007F344B" w:rsidRDefault="00D74272" w14:paraId="2AA5A20F" w14:textId="53377E7B">
      <w:pPr>
        <w:pStyle w:val="Standard"/>
        <w:rPr>
          <w:rFonts w:cs="Arial"/>
          <w:szCs w:val="26"/>
        </w:rPr>
      </w:pPr>
      <w:r>
        <w:rPr>
          <w:rFonts w:cs="Arial"/>
          <w:szCs w:val="26"/>
        </w:rPr>
        <w:t xml:space="preserve">We find that pausing the </w:t>
      </w:r>
      <w:r w:rsidR="00146952">
        <w:rPr>
          <w:rFonts w:cs="Arial"/>
          <w:szCs w:val="26"/>
        </w:rPr>
        <w:t xml:space="preserve">residential </w:t>
      </w:r>
      <w:r w:rsidR="00244F75">
        <w:rPr>
          <w:rFonts w:cs="Arial"/>
          <w:szCs w:val="26"/>
        </w:rPr>
        <w:t xml:space="preserve">electric </w:t>
      </w:r>
      <w:r>
        <w:rPr>
          <w:rFonts w:cs="Arial"/>
          <w:szCs w:val="26"/>
        </w:rPr>
        <w:t xml:space="preserve">credit </w:t>
      </w:r>
      <w:r w:rsidR="00E81C26">
        <w:rPr>
          <w:rFonts w:cs="Arial"/>
          <w:szCs w:val="26"/>
        </w:rPr>
        <w:t>is</w:t>
      </w:r>
      <w:r>
        <w:rPr>
          <w:rFonts w:cs="Arial"/>
          <w:szCs w:val="26"/>
        </w:rPr>
        <w:t xml:space="preserve"> </w:t>
      </w:r>
      <w:r w:rsidR="00011367">
        <w:rPr>
          <w:rFonts w:cs="Arial"/>
          <w:szCs w:val="26"/>
        </w:rPr>
        <w:t>consistent</w:t>
      </w:r>
      <w:r>
        <w:rPr>
          <w:rFonts w:cs="Arial"/>
          <w:szCs w:val="26"/>
        </w:rPr>
        <w:t xml:space="preserve"> with State law: Pub. Util. Code Section 748.5(a)(3) explicitly requires its distribution in high-</w:t>
      </w:r>
      <w:r>
        <w:rPr>
          <w:rFonts w:cs="Arial"/>
          <w:szCs w:val="26"/>
        </w:rPr>
        <w:lastRenderedPageBreak/>
        <w:t>billed months. If we take no action now, the first 2026 credit will be provided in the spring, which is a historically low-bill time for electricity customers. The current distribution timing was intentionally aligned with lower-usage, lower-bill times of year to maximize awareness of the credit and to preserve the price signal in rates.</w:t>
      </w:r>
      <w:r>
        <w:rPr>
          <w:rStyle w:val="FootnoteReference"/>
          <w:rFonts w:cs="Arial"/>
          <w:szCs w:val="26"/>
        </w:rPr>
        <w:footnoteReference w:id="21"/>
      </w:r>
      <w:r>
        <w:rPr>
          <w:rFonts w:cs="Arial"/>
          <w:szCs w:val="26"/>
        </w:rPr>
        <w:t xml:space="preserve">A brief pause allows parties and the Commission additional time to confirm when in 2026 the credit will provide most affordability benefit to </w:t>
      </w:r>
      <w:r w:rsidR="00216187">
        <w:rPr>
          <w:rFonts w:cs="Arial"/>
          <w:szCs w:val="26"/>
        </w:rPr>
        <w:t xml:space="preserve">residential </w:t>
      </w:r>
      <w:r>
        <w:rPr>
          <w:rFonts w:cs="Arial"/>
          <w:szCs w:val="26"/>
        </w:rPr>
        <w:t xml:space="preserve">customers. </w:t>
      </w:r>
    </w:p>
    <w:p w:rsidR="007F344B" w:rsidP="007F344B" w:rsidRDefault="00D74272" w14:paraId="38FE7D65" w14:textId="40C03793">
      <w:pPr>
        <w:pStyle w:val="Standard"/>
        <w:rPr>
          <w:rFonts w:cs="Arial"/>
          <w:szCs w:val="26"/>
        </w:rPr>
      </w:pPr>
      <w:r>
        <w:rPr>
          <w:rFonts w:cs="Arial"/>
          <w:szCs w:val="26"/>
        </w:rPr>
        <w:t xml:space="preserve">We take this action in direct response to statutory direction and in support of our overall goal to maximize </w:t>
      </w:r>
      <w:proofErr w:type="gramStart"/>
      <w:r>
        <w:rPr>
          <w:rFonts w:cs="Arial"/>
          <w:szCs w:val="26"/>
        </w:rPr>
        <w:t>the Climate</w:t>
      </w:r>
      <w:proofErr w:type="gramEnd"/>
      <w:r>
        <w:rPr>
          <w:rFonts w:cs="Arial"/>
          <w:szCs w:val="26"/>
        </w:rPr>
        <w:t xml:space="preserve"> Credit’s effectiveness in supporting customer affordability.</w:t>
      </w:r>
      <w:r w:rsidR="007F344B">
        <w:rPr>
          <w:rFonts w:cs="Arial"/>
          <w:szCs w:val="26"/>
        </w:rPr>
        <w:t xml:space="preserve"> This decision orders PG&amp;E, SCE, and SDG&amp;E to pause the distribution of the residential electric Climate Credit</w:t>
      </w:r>
      <w:r w:rsidR="000206C5">
        <w:rPr>
          <w:rFonts w:cs="Arial"/>
          <w:szCs w:val="26"/>
        </w:rPr>
        <w:t xml:space="preserve">. It also directs them to </w:t>
      </w:r>
      <w:r w:rsidR="007F344B">
        <w:rPr>
          <w:rFonts w:cs="Arial"/>
          <w:szCs w:val="26"/>
        </w:rPr>
        <w:t>file Tier 1 Advice Letters to update applicable tariffs as necessary.</w:t>
      </w:r>
      <w:r w:rsidR="007F344B">
        <w:rPr>
          <w:rStyle w:val="FootnoteReference"/>
          <w:rFonts w:cs="Arial"/>
          <w:szCs w:val="26"/>
        </w:rPr>
        <w:footnoteReference w:id="22"/>
      </w:r>
      <w:r w:rsidR="007F344B">
        <w:rPr>
          <w:rFonts w:cs="Arial"/>
          <w:szCs w:val="26"/>
        </w:rPr>
        <w:t xml:space="preserve"> </w:t>
      </w:r>
    </w:p>
    <w:p w:rsidR="00A50E13" w:rsidP="000115E8" w:rsidRDefault="005F5E96" w14:paraId="7F3734F7" w14:textId="5DD6CDD2">
      <w:pPr>
        <w:pStyle w:val="Standard"/>
        <w:rPr>
          <w:rFonts w:cs="Arial"/>
          <w:szCs w:val="26"/>
        </w:rPr>
      </w:pPr>
      <w:r>
        <w:rPr>
          <w:rFonts w:cs="Arial"/>
          <w:szCs w:val="26"/>
        </w:rPr>
        <w:t xml:space="preserve">To </w:t>
      </w:r>
      <w:r w:rsidR="001E629F">
        <w:rPr>
          <w:rFonts w:cs="Arial"/>
          <w:szCs w:val="26"/>
        </w:rPr>
        <w:t xml:space="preserve">support customer understanding of this change, </w:t>
      </w:r>
      <w:r w:rsidR="00832596">
        <w:rPr>
          <w:rFonts w:cs="Arial"/>
          <w:szCs w:val="26"/>
        </w:rPr>
        <w:t xml:space="preserve">and in response to comments on the PD, </w:t>
      </w:r>
      <w:r w:rsidR="001E629F">
        <w:rPr>
          <w:rFonts w:cs="Arial"/>
          <w:szCs w:val="26"/>
        </w:rPr>
        <w:t xml:space="preserve">we also direct the utilities to </w:t>
      </w:r>
      <w:r w:rsidR="00DC2D2D">
        <w:rPr>
          <w:rFonts w:cs="Arial"/>
          <w:szCs w:val="26"/>
        </w:rPr>
        <w:t>update and provide</w:t>
      </w:r>
      <w:r w:rsidR="001E629F">
        <w:rPr>
          <w:rFonts w:cs="Arial"/>
          <w:szCs w:val="26"/>
        </w:rPr>
        <w:t xml:space="preserve"> </w:t>
      </w:r>
      <w:r w:rsidR="00D877BF">
        <w:rPr>
          <w:rFonts w:cs="Arial"/>
          <w:szCs w:val="26"/>
        </w:rPr>
        <w:t xml:space="preserve">messaging </w:t>
      </w:r>
      <w:r w:rsidR="0080403A">
        <w:rPr>
          <w:rFonts w:cs="Arial"/>
          <w:szCs w:val="26"/>
        </w:rPr>
        <w:t xml:space="preserve">on their websites, </w:t>
      </w:r>
      <w:r w:rsidR="008949AA">
        <w:rPr>
          <w:rFonts w:cs="Arial"/>
          <w:szCs w:val="26"/>
        </w:rPr>
        <w:t>via customer service</w:t>
      </w:r>
      <w:r w:rsidR="00B76C53">
        <w:rPr>
          <w:rFonts w:cs="Arial"/>
          <w:szCs w:val="26"/>
        </w:rPr>
        <w:t xml:space="preserve"> call-in scripts, and</w:t>
      </w:r>
      <w:r w:rsidR="00E066BD">
        <w:rPr>
          <w:rFonts w:cs="Arial"/>
          <w:szCs w:val="26"/>
        </w:rPr>
        <w:t>/or</w:t>
      </w:r>
      <w:r w:rsidR="00B76C53">
        <w:rPr>
          <w:rFonts w:cs="Arial"/>
          <w:szCs w:val="26"/>
        </w:rPr>
        <w:t xml:space="preserve"> other electronic means as necessary</w:t>
      </w:r>
      <w:r w:rsidR="00E066BD">
        <w:rPr>
          <w:rFonts w:cs="Arial"/>
          <w:szCs w:val="26"/>
        </w:rPr>
        <w:t>. Updates should</w:t>
      </w:r>
      <w:r w:rsidR="00967339">
        <w:rPr>
          <w:rFonts w:cs="Arial"/>
          <w:szCs w:val="26"/>
        </w:rPr>
        <w:t xml:space="preserve"> remove reference to a residential electric Climate Credit in April 2026</w:t>
      </w:r>
      <w:r w:rsidR="00A50E13">
        <w:rPr>
          <w:rFonts w:cs="Arial"/>
          <w:szCs w:val="26"/>
        </w:rPr>
        <w:t xml:space="preserve"> </w:t>
      </w:r>
      <w:r w:rsidR="00627E58">
        <w:rPr>
          <w:rFonts w:cs="Arial"/>
          <w:szCs w:val="26"/>
        </w:rPr>
        <w:t xml:space="preserve">and </w:t>
      </w:r>
      <w:r w:rsidR="00A50E13">
        <w:rPr>
          <w:rFonts w:cs="Arial"/>
          <w:szCs w:val="26"/>
        </w:rPr>
        <w:t>explain</w:t>
      </w:r>
      <w:r w:rsidR="00376EC7">
        <w:rPr>
          <w:rFonts w:cs="Arial"/>
          <w:szCs w:val="26"/>
        </w:rPr>
        <w:t xml:space="preserve"> that customers will still receive their Climate Credit later this year and that the State is taking action to reduce electric bills when they are highest. </w:t>
      </w:r>
    </w:p>
    <w:p w:rsidR="00355673" w:rsidP="000115E8" w:rsidRDefault="00376EC7" w14:paraId="2B595571" w14:textId="3EB7FFEE">
      <w:pPr>
        <w:pStyle w:val="Standard"/>
        <w:rPr>
          <w:rFonts w:cs="Arial"/>
          <w:szCs w:val="26"/>
        </w:rPr>
      </w:pPr>
      <w:r>
        <w:rPr>
          <w:rFonts w:cs="Arial"/>
          <w:szCs w:val="26"/>
        </w:rPr>
        <w:t xml:space="preserve">While this information should be </w:t>
      </w:r>
      <w:r w:rsidR="00B94DDF">
        <w:rPr>
          <w:rFonts w:cs="Arial"/>
          <w:szCs w:val="26"/>
        </w:rPr>
        <w:t xml:space="preserve">made </w:t>
      </w:r>
      <w:r>
        <w:rPr>
          <w:rFonts w:cs="Arial"/>
          <w:szCs w:val="26"/>
        </w:rPr>
        <w:t xml:space="preserve">easily accessible </w:t>
      </w:r>
      <w:r w:rsidR="00B94DDF">
        <w:rPr>
          <w:rFonts w:cs="Arial"/>
          <w:szCs w:val="26"/>
        </w:rPr>
        <w:t>to customers seeking it out</w:t>
      </w:r>
      <w:r>
        <w:rPr>
          <w:rFonts w:cs="Arial"/>
          <w:szCs w:val="26"/>
        </w:rPr>
        <w:t xml:space="preserve">, </w:t>
      </w:r>
      <w:r w:rsidR="000C558B">
        <w:rPr>
          <w:rFonts w:cs="Arial"/>
          <w:szCs w:val="26"/>
        </w:rPr>
        <w:t xml:space="preserve">it is unnecessary to </w:t>
      </w:r>
      <w:r w:rsidR="002E747F">
        <w:rPr>
          <w:rFonts w:cs="Arial"/>
          <w:szCs w:val="26"/>
        </w:rPr>
        <w:t>proactive</w:t>
      </w:r>
      <w:r w:rsidR="000C558B">
        <w:rPr>
          <w:rFonts w:cs="Arial"/>
          <w:szCs w:val="26"/>
        </w:rPr>
        <w:t>ly</w:t>
      </w:r>
      <w:r w:rsidR="002E747F">
        <w:rPr>
          <w:rFonts w:cs="Arial"/>
          <w:szCs w:val="26"/>
        </w:rPr>
        <w:t xml:space="preserve"> </w:t>
      </w:r>
      <w:r w:rsidR="00454E0B">
        <w:rPr>
          <w:rFonts w:cs="Arial"/>
          <w:szCs w:val="26"/>
        </w:rPr>
        <w:t>c</w:t>
      </w:r>
      <w:r w:rsidR="009E04FB">
        <w:rPr>
          <w:rFonts w:cs="Arial"/>
          <w:szCs w:val="26"/>
        </w:rPr>
        <w:t xml:space="preserve">ommunicate to all customers via </w:t>
      </w:r>
      <w:r w:rsidR="002E747F">
        <w:rPr>
          <w:rFonts w:cs="Arial"/>
          <w:szCs w:val="26"/>
        </w:rPr>
        <w:t xml:space="preserve">mass </w:t>
      </w:r>
      <w:proofErr w:type="gramStart"/>
      <w:r w:rsidR="002E747F">
        <w:rPr>
          <w:rFonts w:cs="Arial"/>
          <w:szCs w:val="26"/>
        </w:rPr>
        <w:t>mailers</w:t>
      </w:r>
      <w:proofErr w:type="gramEnd"/>
      <w:r w:rsidR="002E747F">
        <w:rPr>
          <w:rFonts w:cs="Arial"/>
          <w:szCs w:val="26"/>
        </w:rPr>
        <w:t xml:space="preserve"> or bill inserts the fact that the Climate Credit was paused</w:t>
      </w:r>
      <w:r w:rsidR="009E04FB">
        <w:rPr>
          <w:rFonts w:cs="Arial"/>
          <w:szCs w:val="26"/>
        </w:rPr>
        <w:t xml:space="preserve">. Such </w:t>
      </w:r>
      <w:r w:rsidR="002E747F">
        <w:rPr>
          <w:rFonts w:cs="Arial"/>
          <w:szCs w:val="26"/>
        </w:rPr>
        <w:t xml:space="preserve">outreach </w:t>
      </w:r>
      <w:r w:rsidR="008A2C0D">
        <w:rPr>
          <w:rFonts w:cs="Arial"/>
          <w:szCs w:val="26"/>
        </w:rPr>
        <w:t xml:space="preserve">could be confusing and </w:t>
      </w:r>
      <w:r w:rsidR="002E747F">
        <w:rPr>
          <w:rFonts w:cs="Arial"/>
          <w:szCs w:val="26"/>
        </w:rPr>
        <w:t>would entail additional costs</w:t>
      </w:r>
      <w:r w:rsidR="008A2C0D">
        <w:rPr>
          <w:rFonts w:cs="Arial"/>
          <w:szCs w:val="26"/>
        </w:rPr>
        <w:t>,</w:t>
      </w:r>
      <w:r w:rsidR="002E747F">
        <w:rPr>
          <w:rFonts w:cs="Arial"/>
          <w:szCs w:val="26"/>
        </w:rPr>
        <w:t xml:space="preserve"> and little time </w:t>
      </w:r>
      <w:r w:rsidR="002E747F">
        <w:rPr>
          <w:rFonts w:cs="Arial"/>
          <w:szCs w:val="26"/>
        </w:rPr>
        <w:lastRenderedPageBreak/>
        <w:t>remains to create and implement it.</w:t>
      </w:r>
      <w:r w:rsidR="00771792">
        <w:rPr>
          <w:rStyle w:val="FootnoteReference"/>
          <w:rFonts w:cs="Arial"/>
          <w:szCs w:val="26"/>
        </w:rPr>
        <w:footnoteReference w:id="23"/>
      </w:r>
      <w:r w:rsidR="00285DE4">
        <w:rPr>
          <w:rFonts w:cs="Arial"/>
          <w:szCs w:val="26"/>
        </w:rPr>
        <w:t xml:space="preserve"> </w:t>
      </w:r>
      <w:r w:rsidR="009E04FB">
        <w:rPr>
          <w:rFonts w:cs="Arial"/>
          <w:szCs w:val="26"/>
        </w:rPr>
        <w:t xml:space="preserve">Mass communication of </w:t>
      </w:r>
      <w:r w:rsidR="00A65193">
        <w:rPr>
          <w:rFonts w:cs="Arial"/>
          <w:szCs w:val="26"/>
        </w:rPr>
        <w:t>the</w:t>
      </w:r>
      <w:r w:rsidR="009E04FB">
        <w:rPr>
          <w:rFonts w:cs="Arial"/>
          <w:szCs w:val="26"/>
        </w:rPr>
        <w:t xml:space="preserve"> pause would also</w:t>
      </w:r>
      <w:r w:rsidR="00AB01D6">
        <w:rPr>
          <w:rFonts w:cs="Arial"/>
          <w:szCs w:val="26"/>
        </w:rPr>
        <w:t xml:space="preserve"> </w:t>
      </w:r>
      <w:r w:rsidR="00285DE4">
        <w:rPr>
          <w:rFonts w:cs="Arial"/>
          <w:szCs w:val="26"/>
        </w:rPr>
        <w:t xml:space="preserve">counteract messaging done in support of the April gas </w:t>
      </w:r>
      <w:r w:rsidR="008A5649">
        <w:rPr>
          <w:rFonts w:cs="Arial"/>
          <w:szCs w:val="26"/>
        </w:rPr>
        <w:t>Climate C</w:t>
      </w:r>
      <w:r w:rsidR="00285DE4">
        <w:rPr>
          <w:rFonts w:cs="Arial"/>
          <w:szCs w:val="26"/>
        </w:rPr>
        <w:t xml:space="preserve">redit, Industry Assistance Credit, SMJU April </w:t>
      </w:r>
      <w:r w:rsidR="00E154ED">
        <w:rPr>
          <w:rFonts w:cs="Arial"/>
          <w:szCs w:val="26"/>
        </w:rPr>
        <w:t xml:space="preserve">residential electric </w:t>
      </w:r>
      <w:r w:rsidR="008A5649">
        <w:rPr>
          <w:rFonts w:cs="Arial"/>
          <w:szCs w:val="26"/>
        </w:rPr>
        <w:t xml:space="preserve">Climate </w:t>
      </w:r>
      <w:r w:rsidR="00285DE4">
        <w:rPr>
          <w:rFonts w:cs="Arial"/>
          <w:szCs w:val="26"/>
        </w:rPr>
        <w:t xml:space="preserve">Credit, and </w:t>
      </w:r>
      <w:r w:rsidR="008A5649">
        <w:rPr>
          <w:rFonts w:cs="Arial"/>
          <w:szCs w:val="26"/>
        </w:rPr>
        <w:t xml:space="preserve">the </w:t>
      </w:r>
      <w:r w:rsidR="00285DE4">
        <w:rPr>
          <w:rFonts w:cs="Arial"/>
          <w:szCs w:val="26"/>
        </w:rPr>
        <w:t xml:space="preserve">Small Business Climate Credit, all of which are proceeding regularly. </w:t>
      </w:r>
      <w:r w:rsidR="00355673">
        <w:rPr>
          <w:rFonts w:cs="Arial"/>
          <w:szCs w:val="26"/>
        </w:rPr>
        <w:t>We agree with EDF</w:t>
      </w:r>
      <w:r w:rsidR="009B4C58">
        <w:rPr>
          <w:rFonts w:cs="Arial"/>
          <w:szCs w:val="26"/>
        </w:rPr>
        <w:t xml:space="preserve"> that </w:t>
      </w:r>
      <w:r w:rsidR="00355673">
        <w:rPr>
          <w:rFonts w:cs="Arial"/>
          <w:szCs w:val="26"/>
        </w:rPr>
        <w:t>“</w:t>
      </w:r>
      <w:r w:rsidRPr="009B4C58" w:rsidR="009B4C58">
        <w:rPr>
          <w:rFonts w:cs="Arial"/>
          <w:szCs w:val="26"/>
        </w:rPr>
        <w:t>we do not need to be overly concerned about communicating to customers that there was a deviation from the spring/fall schedule and, rather, emphasize</w:t>
      </w:r>
      <w:r w:rsidR="00913B33">
        <w:rPr>
          <w:rFonts w:cs="Arial"/>
          <w:szCs w:val="26"/>
        </w:rPr>
        <w:t>…</w:t>
      </w:r>
      <w:r w:rsidRPr="009B4C58" w:rsidR="009B4C58">
        <w:rPr>
          <w:rFonts w:cs="Arial"/>
          <w:szCs w:val="26"/>
        </w:rPr>
        <w:t xml:space="preserve"> how affordability benefits are coming</w:t>
      </w:r>
      <w:r w:rsidR="00913B33">
        <w:rPr>
          <w:rFonts w:cs="Arial"/>
          <w:szCs w:val="26"/>
        </w:rPr>
        <w:t xml:space="preserve">”; </w:t>
      </w:r>
      <w:r w:rsidR="00985BF7">
        <w:rPr>
          <w:rFonts w:cs="Arial"/>
          <w:szCs w:val="26"/>
        </w:rPr>
        <w:t>prioritizing “</w:t>
      </w:r>
      <w:r w:rsidRPr="009B4C58" w:rsidR="009B4C58">
        <w:rPr>
          <w:rFonts w:cs="Arial"/>
          <w:szCs w:val="26"/>
        </w:rPr>
        <w:t>focusing on prospective improvements and not the change to the regular cadence.</w:t>
      </w:r>
      <w:r w:rsidR="00985BF7">
        <w:rPr>
          <w:rFonts w:cs="Arial"/>
          <w:szCs w:val="26"/>
        </w:rPr>
        <w:t>”</w:t>
      </w:r>
      <w:r w:rsidR="00985BF7">
        <w:rPr>
          <w:rStyle w:val="FootnoteReference"/>
          <w:rFonts w:cs="Arial"/>
          <w:szCs w:val="26"/>
        </w:rPr>
        <w:footnoteReference w:id="24"/>
      </w:r>
      <w:r w:rsidR="008A5649">
        <w:rPr>
          <w:rFonts w:cs="Arial"/>
          <w:szCs w:val="26"/>
        </w:rPr>
        <w:t xml:space="preserve"> </w:t>
      </w:r>
      <w:r w:rsidR="006A35BE">
        <w:rPr>
          <w:rFonts w:cs="Arial"/>
          <w:szCs w:val="26"/>
        </w:rPr>
        <w:t>PG&amp;E prefers</w:t>
      </w:r>
      <w:r w:rsidR="008A5649">
        <w:rPr>
          <w:rFonts w:cs="Arial"/>
          <w:szCs w:val="26"/>
        </w:rPr>
        <w:t xml:space="preserve"> that the Commission undertake </w:t>
      </w:r>
      <w:r w:rsidR="00A54586">
        <w:rPr>
          <w:rFonts w:cs="Arial"/>
          <w:szCs w:val="26"/>
        </w:rPr>
        <w:t>outreach regarding the pause,</w:t>
      </w:r>
      <w:r w:rsidR="00A54586">
        <w:rPr>
          <w:rStyle w:val="FootnoteReference"/>
          <w:rFonts w:cs="Arial"/>
          <w:szCs w:val="26"/>
        </w:rPr>
        <w:footnoteReference w:id="25"/>
      </w:r>
      <w:r w:rsidR="00A54586">
        <w:rPr>
          <w:rFonts w:cs="Arial"/>
          <w:szCs w:val="26"/>
        </w:rPr>
        <w:t xml:space="preserve"> which we intend to do.</w:t>
      </w:r>
    </w:p>
    <w:p w:rsidR="006D2120" w:rsidP="00D74272" w:rsidRDefault="00403842" w14:paraId="739E0861" w14:textId="17C3033B">
      <w:pPr>
        <w:pStyle w:val="Standard"/>
        <w:rPr>
          <w:rFonts w:cs="Arial"/>
          <w:szCs w:val="26"/>
        </w:rPr>
      </w:pPr>
      <w:r>
        <w:rPr>
          <w:rFonts w:cs="Arial"/>
          <w:szCs w:val="26"/>
        </w:rPr>
        <w:t xml:space="preserve">This information should be provided in accessible formats </w:t>
      </w:r>
      <w:r w:rsidR="00B31610">
        <w:rPr>
          <w:rFonts w:cs="Arial"/>
          <w:szCs w:val="26"/>
        </w:rPr>
        <w:t xml:space="preserve">and multiple languages in line with other utility communications. </w:t>
      </w:r>
      <w:r w:rsidR="00AF5E9C">
        <w:rPr>
          <w:rFonts w:cs="Arial"/>
          <w:szCs w:val="26"/>
        </w:rPr>
        <w:t xml:space="preserve">As is already </w:t>
      </w:r>
      <w:r w:rsidR="00B9259C">
        <w:rPr>
          <w:rFonts w:cs="Arial"/>
          <w:szCs w:val="26"/>
        </w:rPr>
        <w:t>the process for Climate Credit outreach</w:t>
      </w:r>
      <w:r w:rsidR="00DA741C">
        <w:rPr>
          <w:rFonts w:cs="Arial"/>
          <w:szCs w:val="26"/>
        </w:rPr>
        <w:t>,</w:t>
      </w:r>
      <w:r w:rsidR="00AF5E9C">
        <w:rPr>
          <w:rFonts w:cs="Arial"/>
          <w:szCs w:val="26"/>
        </w:rPr>
        <w:t xml:space="preserve"> the utilities </w:t>
      </w:r>
      <w:r w:rsidR="00FD54B0">
        <w:rPr>
          <w:rFonts w:cs="Arial"/>
          <w:szCs w:val="26"/>
        </w:rPr>
        <w:t>will</w:t>
      </w:r>
      <w:r w:rsidR="00AF5E9C">
        <w:rPr>
          <w:rFonts w:cs="Arial"/>
          <w:szCs w:val="26"/>
        </w:rPr>
        <w:t xml:space="preserve"> work with Energy Division</w:t>
      </w:r>
      <w:r w:rsidR="004523F0">
        <w:rPr>
          <w:rFonts w:cs="Arial"/>
          <w:szCs w:val="26"/>
        </w:rPr>
        <w:t xml:space="preserve"> staff</w:t>
      </w:r>
      <w:r w:rsidR="00AF5E9C">
        <w:rPr>
          <w:rFonts w:cs="Arial"/>
          <w:szCs w:val="26"/>
        </w:rPr>
        <w:t xml:space="preserve"> to </w:t>
      </w:r>
      <w:r w:rsidR="0062692B">
        <w:rPr>
          <w:rFonts w:cs="Arial"/>
          <w:szCs w:val="26"/>
        </w:rPr>
        <w:t xml:space="preserve">receive approval </w:t>
      </w:r>
      <w:r w:rsidR="00F8023C">
        <w:rPr>
          <w:rFonts w:cs="Arial"/>
          <w:szCs w:val="26"/>
        </w:rPr>
        <w:t xml:space="preserve">of outreach messages implemented </w:t>
      </w:r>
      <w:proofErr w:type="gramStart"/>
      <w:r w:rsidR="00F8023C">
        <w:rPr>
          <w:rFonts w:cs="Arial"/>
          <w:szCs w:val="26"/>
        </w:rPr>
        <w:t>as a result of</w:t>
      </w:r>
      <w:proofErr w:type="gramEnd"/>
      <w:r w:rsidR="00F8023C">
        <w:rPr>
          <w:rFonts w:cs="Arial"/>
          <w:szCs w:val="26"/>
        </w:rPr>
        <w:t xml:space="preserve"> this decision</w:t>
      </w:r>
      <w:r w:rsidR="007B543B">
        <w:rPr>
          <w:rFonts w:cs="Arial"/>
          <w:szCs w:val="26"/>
        </w:rPr>
        <w:t xml:space="preserve">. </w:t>
      </w:r>
      <w:r w:rsidR="00A34D9F">
        <w:rPr>
          <w:rFonts w:cs="Arial"/>
          <w:szCs w:val="26"/>
        </w:rPr>
        <w:t xml:space="preserve">The Commission will also lead broader outreach efforts to ensure customers are aware that their Climate Credit </w:t>
      </w:r>
      <w:r w:rsidR="004962CD">
        <w:rPr>
          <w:rFonts w:cs="Arial"/>
          <w:szCs w:val="26"/>
        </w:rPr>
        <w:t>will be forthcoming this year.</w:t>
      </w:r>
    </w:p>
    <w:p w:rsidR="00883842" w:rsidP="00280503" w:rsidRDefault="000B5FC2" w14:paraId="1CF321E3" w14:textId="12FC0456">
      <w:pPr>
        <w:pStyle w:val="Standard"/>
        <w:rPr>
          <w:rFonts w:cs="Arial"/>
          <w:szCs w:val="26"/>
        </w:rPr>
      </w:pPr>
      <w:proofErr w:type="gramStart"/>
      <w:r>
        <w:rPr>
          <w:rFonts w:cs="Arial"/>
          <w:szCs w:val="26"/>
        </w:rPr>
        <w:t>Subsequent to</w:t>
      </w:r>
      <w:proofErr w:type="gramEnd"/>
      <w:r>
        <w:rPr>
          <w:rFonts w:cs="Arial"/>
          <w:szCs w:val="26"/>
        </w:rPr>
        <w:t xml:space="preserve"> any Commission decision directing when </w:t>
      </w:r>
      <w:r w:rsidR="00024B60">
        <w:rPr>
          <w:rFonts w:cs="Arial"/>
          <w:szCs w:val="26"/>
        </w:rPr>
        <w:t xml:space="preserve">in 2026 the </w:t>
      </w:r>
      <w:r>
        <w:rPr>
          <w:rFonts w:cs="Arial"/>
          <w:szCs w:val="26"/>
        </w:rPr>
        <w:t xml:space="preserve">residential Climate Credits </w:t>
      </w:r>
      <w:r w:rsidR="00D04439">
        <w:rPr>
          <w:rFonts w:cs="Arial"/>
          <w:szCs w:val="26"/>
        </w:rPr>
        <w:t>will be provided, the utilities should</w:t>
      </w:r>
      <w:r w:rsidR="00D24E55">
        <w:rPr>
          <w:rFonts w:cs="Arial"/>
          <w:szCs w:val="26"/>
        </w:rPr>
        <w:t xml:space="preserve"> update </w:t>
      </w:r>
      <w:r w:rsidR="00E84678">
        <w:rPr>
          <w:rFonts w:cs="Arial"/>
          <w:szCs w:val="26"/>
        </w:rPr>
        <w:t>the above</w:t>
      </w:r>
      <w:r w:rsidR="00D24E55">
        <w:rPr>
          <w:rFonts w:cs="Arial"/>
          <w:szCs w:val="26"/>
        </w:rPr>
        <w:t xml:space="preserve"> messaging accordingly</w:t>
      </w:r>
      <w:r w:rsidR="00912B4E">
        <w:rPr>
          <w:rFonts w:cs="Arial"/>
          <w:szCs w:val="26"/>
        </w:rPr>
        <w:t xml:space="preserve"> to reflect that timing</w:t>
      </w:r>
      <w:r w:rsidR="00B9259C">
        <w:rPr>
          <w:rFonts w:cs="Arial"/>
          <w:szCs w:val="26"/>
        </w:rPr>
        <w:t xml:space="preserve"> so that customers know when they will receive their credit.</w:t>
      </w:r>
      <w:r w:rsidR="00F6001D">
        <w:rPr>
          <w:rFonts w:cs="Arial"/>
          <w:szCs w:val="26"/>
        </w:rPr>
        <w:t xml:space="preserve"> </w:t>
      </w:r>
      <w:r w:rsidR="00D74272">
        <w:rPr>
          <w:rFonts w:cs="Arial"/>
          <w:szCs w:val="26"/>
        </w:rPr>
        <w:t xml:space="preserve">For clarity, and as stated above, we reiterate that the Small Business Climate Credit is not affected by this Decision. We note that Ordering Paragraph (OP) 6 of </w:t>
      </w:r>
      <w:r w:rsidRPr="0041757F" w:rsidR="00D74272">
        <w:rPr>
          <w:rFonts w:cs="Arial"/>
          <w:szCs w:val="26"/>
        </w:rPr>
        <w:t>D.21-08-026</w:t>
      </w:r>
      <w:r w:rsidR="00D74272">
        <w:rPr>
          <w:rFonts w:cs="Arial"/>
          <w:szCs w:val="26"/>
        </w:rPr>
        <w:t xml:space="preserve"> states that the electric Small Business Climate Credit shall be distributed “</w:t>
      </w:r>
      <w:r w:rsidRPr="0041757F" w:rsidR="00D74272">
        <w:rPr>
          <w:rFonts w:cs="Arial"/>
          <w:szCs w:val="26"/>
        </w:rPr>
        <w:t xml:space="preserve">at the </w:t>
      </w:r>
      <w:r w:rsidRPr="00F914C4" w:rsidR="00D74272">
        <w:rPr>
          <w:rFonts w:cs="Arial"/>
          <w:i/>
          <w:iCs/>
          <w:szCs w:val="26"/>
        </w:rPr>
        <w:t>same times</w:t>
      </w:r>
      <w:r w:rsidRPr="0041757F" w:rsidR="00D74272">
        <w:rPr>
          <w:rFonts w:cs="Arial"/>
          <w:szCs w:val="26"/>
        </w:rPr>
        <w:t xml:space="preserve"> the residential California </w:t>
      </w:r>
      <w:r w:rsidRPr="0041757F" w:rsidR="00D74272">
        <w:rPr>
          <w:rFonts w:cs="Arial"/>
          <w:szCs w:val="26"/>
        </w:rPr>
        <w:lastRenderedPageBreak/>
        <w:t>Climate Credit is distributed</w:t>
      </w:r>
      <w:r w:rsidR="00D74272">
        <w:rPr>
          <w:rFonts w:cs="Arial"/>
          <w:szCs w:val="26"/>
        </w:rPr>
        <w:t xml:space="preserve"> (emphasis added).</w:t>
      </w:r>
      <w:r w:rsidRPr="0041757F" w:rsidR="00D74272">
        <w:rPr>
          <w:rFonts w:cs="Arial"/>
          <w:szCs w:val="26"/>
        </w:rPr>
        <w:t>“</w:t>
      </w:r>
      <w:r w:rsidR="00D74272">
        <w:rPr>
          <w:rStyle w:val="FootnoteReference"/>
          <w:rFonts w:cs="Arial"/>
          <w:szCs w:val="26"/>
        </w:rPr>
        <w:footnoteReference w:id="26"/>
      </w:r>
      <w:r w:rsidR="00D74272">
        <w:rPr>
          <w:rFonts w:cs="Arial"/>
          <w:szCs w:val="26"/>
        </w:rPr>
        <w:t xml:space="preserve"> We reiterate that the Small Business Climate Credit is not within scope here and its distribution as previously directed is not impacted, notwithstanding this particular language linking it to the residential Climate Credit timing.</w:t>
      </w:r>
    </w:p>
    <w:p w:rsidR="00603238" w:rsidP="00FA1B4F" w:rsidRDefault="00603238" w14:paraId="0C3512F2" w14:textId="77777777">
      <w:pPr>
        <w:pStyle w:val="Heading1"/>
      </w:pPr>
      <w:bookmarkStart w:name="_Toc220504688" w:id="21"/>
      <w:bookmarkStart w:name="_Toc225244041" w:id="22"/>
      <w:bookmarkStart w:name="_Toc8123721" w:id="23"/>
      <w:r>
        <w:t>Summary of Public Comment</w:t>
      </w:r>
      <w:bookmarkEnd w:id="21"/>
      <w:bookmarkEnd w:id="22"/>
    </w:p>
    <w:p w:rsidRPr="00343E5C" w:rsidR="00343E5C" w:rsidP="002A5FF6" w:rsidRDefault="00603238" w14:paraId="226942B4" w14:textId="42D53E53">
      <w:r w:rsidRPr="00551088">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4E1D2F">
        <w:t xml:space="preserve"> </w:t>
      </w:r>
      <w:r w:rsidR="00946E38">
        <w:t xml:space="preserve">As </w:t>
      </w:r>
      <w:proofErr w:type="gramStart"/>
      <w:r w:rsidR="00946E38">
        <w:t>of</w:t>
      </w:r>
      <w:proofErr w:type="gramEnd"/>
      <w:r w:rsidR="00946E38">
        <w:t xml:space="preserve"> the issuance of the revised PD, one</w:t>
      </w:r>
      <w:r w:rsidR="004E1D2F">
        <w:t xml:space="preserve"> public comment</w:t>
      </w:r>
      <w:r w:rsidR="00946E38">
        <w:t xml:space="preserve"> </w:t>
      </w:r>
      <w:r w:rsidR="00911B6F">
        <w:t>appeared</w:t>
      </w:r>
      <w:r w:rsidR="00153C7D">
        <w:t xml:space="preserve"> </w:t>
      </w:r>
      <w:r w:rsidR="00230D15">
        <w:t>on the Docket Card for this proceeding.</w:t>
      </w:r>
      <w:bookmarkEnd w:id="23"/>
      <w:r w:rsidR="00A96BF1">
        <w:t xml:space="preserve"> The comment </w:t>
      </w:r>
      <w:r w:rsidR="00437752">
        <w:t xml:space="preserve">expresses concern about the </w:t>
      </w:r>
      <w:r w:rsidR="00413B0A">
        <w:t>pause coming so soon before the April Climate Credit distribution.</w:t>
      </w:r>
    </w:p>
    <w:p w:rsidR="00D74272" w:rsidP="00D74272" w:rsidRDefault="00D74272" w14:paraId="4383174A" w14:textId="77777777">
      <w:pPr>
        <w:pStyle w:val="Heading1"/>
      </w:pPr>
      <w:bookmarkStart w:name="_Toc225244042" w:id="24"/>
      <w:bookmarkStart w:name="_Toc8123723" w:id="25"/>
      <w:bookmarkStart w:name="_Toc220504689" w:id="26"/>
      <w:r>
        <w:t>Service of the Proposed Decision</w:t>
      </w:r>
      <w:bookmarkEnd w:id="24"/>
    </w:p>
    <w:p w:rsidR="009616A6" w:rsidP="009616A6" w:rsidRDefault="00D74272" w14:paraId="272881F8" w14:textId="3D94E536">
      <w:pPr>
        <w:pStyle w:val="Standard"/>
      </w:pPr>
      <w:r>
        <w:t xml:space="preserve">As a courtesy, both the Scoping Memo and the </w:t>
      </w:r>
      <w:r w:rsidR="00C16C58">
        <w:t>proposed d</w:t>
      </w:r>
      <w:r>
        <w:t xml:space="preserve">ecision were served to the service lists of </w:t>
      </w:r>
      <w:r w:rsidRPr="00F4035B">
        <w:t>R.20-05-002</w:t>
      </w:r>
      <w:r>
        <w:t xml:space="preserve">, the </w:t>
      </w:r>
      <w:r w:rsidRPr="000C2D0A">
        <w:t>Rulemaking to Review Climate Credits for Current Compliance with Statute and for Potential Improvements</w:t>
      </w:r>
      <w:r>
        <w:t xml:space="preserve"> as well as </w:t>
      </w:r>
      <w:r w:rsidRPr="00BE7B28">
        <w:t>R.11-03-012</w:t>
      </w:r>
      <w:r>
        <w:t xml:space="preserve">, the </w:t>
      </w:r>
      <w:r w:rsidRPr="0019350D">
        <w:t>Rulemaking to Address Utility Cost and Revenue Issues Associated with Greenhouse Gas Emissions</w:t>
      </w:r>
      <w:r>
        <w:t>. Service of th</w:t>
      </w:r>
      <w:r w:rsidR="00717969">
        <w:t>e</w:t>
      </w:r>
      <w:r>
        <w:t xml:space="preserve"> </w:t>
      </w:r>
      <w:r w:rsidR="00C16C58">
        <w:t>proposed d</w:t>
      </w:r>
      <w:r>
        <w:t>ecision does not confer party status or place any person who has received such service on the official service list for this proceeding. Instructions for obtaining party status or being placed on the official service list are provided within the OIR for the instant rulemaking.</w:t>
      </w:r>
    </w:p>
    <w:p w:rsidR="009616A6" w:rsidP="00FB7E78" w:rsidRDefault="009616A6" w14:paraId="3378F54D" w14:textId="7997F5B7">
      <w:pPr>
        <w:pStyle w:val="Heading1"/>
      </w:pPr>
      <w:bookmarkStart w:name="_Toc225244043" w:id="27"/>
      <w:r>
        <w:lastRenderedPageBreak/>
        <w:t>Procedural Matters</w:t>
      </w:r>
      <w:bookmarkEnd w:id="27"/>
    </w:p>
    <w:p w:rsidRPr="00343E5C" w:rsidR="009616A6" w:rsidP="009616A6" w:rsidRDefault="00854702" w14:paraId="48864E22" w14:textId="599D1502">
      <w:pPr>
        <w:pStyle w:val="Standard"/>
      </w:pPr>
      <w:r>
        <w:t xml:space="preserve">This decision affirms all rulings made by the ALJ and assigned Commissioner in this proceeding. </w:t>
      </w:r>
      <w:r w:rsidR="002746EC">
        <w:t xml:space="preserve">All motions </w:t>
      </w:r>
      <w:r>
        <w:t>not ruled on are deemed denied.</w:t>
      </w:r>
    </w:p>
    <w:p w:rsidR="005939A5" w:rsidP="005939A5" w:rsidRDefault="005939A5" w14:paraId="483A701A" w14:textId="5B646AFA">
      <w:pPr>
        <w:pStyle w:val="Heading1"/>
      </w:pPr>
      <w:bookmarkStart w:name="_Toc225244044" w:id="28"/>
      <w:r>
        <w:t>Comments on Proposed Decision</w:t>
      </w:r>
      <w:bookmarkEnd w:id="25"/>
      <w:bookmarkEnd w:id="26"/>
      <w:bookmarkEnd w:id="28"/>
    </w:p>
    <w:p w:rsidR="005939A5" w:rsidP="005C58FA" w:rsidRDefault="005C58FA" w14:paraId="547B5353" w14:textId="3F37AABC">
      <w:pPr>
        <w:pStyle w:val="Standard"/>
      </w:pPr>
      <w:r w:rsidRPr="00230D15">
        <w:t xml:space="preserve">The proposed decision of </w:t>
      </w:r>
      <w:proofErr w:type="gramStart"/>
      <w:r w:rsidRPr="00230D15" w:rsidR="00230D15">
        <w:t>President</w:t>
      </w:r>
      <w:r w:rsidR="00230D15">
        <w:t xml:space="preserve"> </w:t>
      </w:r>
      <w:r w:rsidRPr="00912B4E" w:rsidR="009A7947">
        <w:t xml:space="preserve"> </w:t>
      </w:r>
      <w:r w:rsidRPr="00695A1F" w:rsidR="00912B4E">
        <w:t>John</w:t>
      </w:r>
      <w:proofErr w:type="gramEnd"/>
      <w:r w:rsidRPr="00695A1F" w:rsidR="00912B4E">
        <w:t xml:space="preserve"> </w:t>
      </w:r>
      <w:r w:rsidRPr="00912B4E" w:rsidR="00230D15">
        <w:t>Reynolds</w:t>
      </w:r>
      <w:r>
        <w:t xml:space="preserve"> in this matter was mailed to the parties in accordance with Section 311 of the Public Utilities Code and comments were allowed under Rule 14.3 of the Commission’s Rules of Practice and Procedure.  Comments were filed </w:t>
      </w:r>
      <w:r w:rsidR="00103B8C">
        <w:t>on March 2, 2026</w:t>
      </w:r>
      <w:r w:rsidR="005101AA">
        <w:t>,</w:t>
      </w:r>
      <w:r w:rsidR="00103B8C">
        <w:t xml:space="preserve"> by </w:t>
      </w:r>
      <w:proofErr w:type="spellStart"/>
      <w:r w:rsidR="00D76499">
        <w:t>CalCCA</w:t>
      </w:r>
      <w:proofErr w:type="spellEnd"/>
      <w:r w:rsidR="00D76499">
        <w:t xml:space="preserve">, EDF, </w:t>
      </w:r>
      <w:r w:rsidR="00E97413">
        <w:t xml:space="preserve">SCE, SDG&amp;E, </w:t>
      </w:r>
      <w:r w:rsidR="00624EF1">
        <w:t xml:space="preserve">TURN, and </w:t>
      </w:r>
      <w:r w:rsidR="000E6DBB">
        <w:t>t</w:t>
      </w:r>
      <w:r w:rsidR="00E97413">
        <w:t>he EJ Parties</w:t>
      </w:r>
      <w:r w:rsidR="00624EF1">
        <w:t>. R</w:t>
      </w:r>
      <w:r>
        <w:t xml:space="preserve">eply comments were filed on </w:t>
      </w:r>
      <w:r w:rsidR="00571D3D">
        <w:t xml:space="preserve">March 9, 2026, </w:t>
      </w:r>
      <w:r>
        <w:t xml:space="preserve">by </w:t>
      </w:r>
      <w:proofErr w:type="spellStart"/>
      <w:r w:rsidR="0046010F">
        <w:t>CalCCA</w:t>
      </w:r>
      <w:proofErr w:type="spellEnd"/>
      <w:r w:rsidR="0046010F">
        <w:t>, the EJ Parties, PG&amp;E, SDG&amp;E, and TURN.</w:t>
      </w:r>
      <w:r w:rsidRPr="00C878D5" w:rsidR="0046010F">
        <w:t xml:space="preserve"> </w:t>
      </w:r>
    </w:p>
    <w:p w:rsidR="00624EF1" w:rsidP="009D5F82" w:rsidRDefault="00CC083F" w14:paraId="25554469" w14:textId="0A323CA6">
      <w:pPr>
        <w:pStyle w:val="Standard"/>
      </w:pPr>
      <w:r>
        <w:t xml:space="preserve">All the parties who filed </w:t>
      </w:r>
      <w:r w:rsidR="00D76262">
        <w:t xml:space="preserve">opening </w:t>
      </w:r>
      <w:r>
        <w:t xml:space="preserve">comments </w:t>
      </w:r>
      <w:r w:rsidR="00523412">
        <w:t xml:space="preserve">on the PD support it </w:t>
      </w:r>
      <w:r w:rsidR="008A756E">
        <w:t xml:space="preserve">except for </w:t>
      </w:r>
      <w:proofErr w:type="spellStart"/>
      <w:r w:rsidR="008A756E">
        <w:t>CalCCA</w:t>
      </w:r>
      <w:proofErr w:type="spellEnd"/>
      <w:r w:rsidR="008A756E">
        <w:t xml:space="preserve"> and EDF.</w:t>
      </w:r>
      <w:r w:rsidR="00D76262">
        <w:t xml:space="preserve"> </w:t>
      </w:r>
      <w:r w:rsidR="00B154C6">
        <w:t>SCE</w:t>
      </w:r>
      <w:r w:rsidR="00546CD7">
        <w:t xml:space="preserve"> “</w:t>
      </w:r>
      <w:r w:rsidRPr="00546CD7" w:rsidR="00546CD7">
        <w:t>supports the Commission’s efforts to pause the April</w:t>
      </w:r>
      <w:r w:rsidR="00546CD7">
        <w:t xml:space="preserve"> </w:t>
      </w:r>
      <w:r w:rsidRPr="00546CD7" w:rsidR="00546CD7">
        <w:t>distribution and move the climate credit to higher billed months</w:t>
      </w:r>
      <w:r w:rsidR="00546CD7">
        <w:t>”</w:t>
      </w:r>
      <w:r w:rsidR="00546CD7">
        <w:rPr>
          <w:rStyle w:val="FootnoteReference"/>
        </w:rPr>
        <w:footnoteReference w:id="27"/>
      </w:r>
      <w:r w:rsidR="005666AE">
        <w:t xml:space="preserve"> and states that </w:t>
      </w:r>
      <w:r w:rsidR="005B600F">
        <w:t xml:space="preserve">it can implement this change </w:t>
      </w:r>
      <w:proofErr w:type="gramStart"/>
      <w:r w:rsidR="00301A81">
        <w:t>as long as</w:t>
      </w:r>
      <w:proofErr w:type="gramEnd"/>
      <w:r w:rsidR="005B600F">
        <w:t xml:space="preserve"> the PD is adopted at the March 19, </w:t>
      </w:r>
      <w:proofErr w:type="gramStart"/>
      <w:r w:rsidR="005B600F">
        <w:t>2026</w:t>
      </w:r>
      <w:proofErr w:type="gramEnd"/>
      <w:r w:rsidR="005B600F">
        <w:t xml:space="preserve"> Commission voting meeting. SDG&amp;E concurs: “</w:t>
      </w:r>
      <w:r w:rsidRPr="009D5F82" w:rsidR="009D5F82">
        <w:t>While SDG&amp;E had previously contemplated pausing only the Fall (October) 2026</w:t>
      </w:r>
      <w:r w:rsidR="009D5F82">
        <w:t xml:space="preserve"> </w:t>
      </w:r>
      <w:r w:rsidRPr="009D5F82" w:rsidR="009D5F82">
        <w:t xml:space="preserve">residential electric </w:t>
      </w:r>
      <w:r w:rsidR="00274A5D">
        <w:t>[Climate Credit]</w:t>
      </w:r>
      <w:r w:rsidRPr="009D5F82" w:rsidR="009D5F82">
        <w:t xml:space="preserve"> distribution, it appreciates the Commission’s rationale for pausing both</w:t>
      </w:r>
      <w:r w:rsidR="009D5F82">
        <w:t xml:space="preserve"> </w:t>
      </w:r>
      <w:r w:rsidRPr="009D5F82" w:rsidR="009D5F82">
        <w:t>distributions. After further internal discussions with cross-functional teams, including billing</w:t>
      </w:r>
      <w:r w:rsidR="009D5F82">
        <w:t xml:space="preserve"> </w:t>
      </w:r>
      <w:r w:rsidRPr="009D5F82" w:rsidR="009D5F82">
        <w:t>systems and marketing, SDG&amp;E confirms that pausing both the Spring and Fall 2026 residential</w:t>
      </w:r>
      <w:r w:rsidR="009D5F82">
        <w:t xml:space="preserve"> </w:t>
      </w:r>
      <w:r w:rsidRPr="009D5F82" w:rsidR="009D5F82">
        <w:t xml:space="preserve">electric </w:t>
      </w:r>
      <w:r w:rsidR="00274A5D">
        <w:t xml:space="preserve">[credit] </w:t>
      </w:r>
      <w:r w:rsidRPr="009D5F82" w:rsidR="009D5F82">
        <w:t xml:space="preserve">distributions is operationally </w:t>
      </w:r>
      <w:proofErr w:type="gramStart"/>
      <w:r w:rsidRPr="009D5F82" w:rsidR="009D5F82">
        <w:t>feasible</w:t>
      </w:r>
      <w:r w:rsidR="00274A5D">
        <w:t>,</w:t>
      </w:r>
      <w:r w:rsidR="00AA3D5B">
        <w:t>”</w:t>
      </w:r>
      <w:proofErr w:type="gramEnd"/>
      <w:r w:rsidR="00AA3D5B">
        <w:t xml:space="preserve"> </w:t>
      </w:r>
      <w:r w:rsidR="00274A5D">
        <w:t xml:space="preserve">provided the </w:t>
      </w:r>
      <w:r w:rsidR="002946A6">
        <w:t>PD is approved by March 19</w:t>
      </w:r>
      <w:r w:rsidR="00301A81">
        <w:t>, 2026</w:t>
      </w:r>
      <w:r w:rsidR="002946A6">
        <w:t>.</w:t>
      </w:r>
      <w:r w:rsidR="00AA3D5B">
        <w:rPr>
          <w:rStyle w:val="FootnoteReference"/>
        </w:rPr>
        <w:footnoteReference w:id="28"/>
      </w:r>
      <w:r w:rsidR="00F155CC">
        <w:t xml:space="preserve"> </w:t>
      </w:r>
    </w:p>
    <w:p w:rsidR="000A4AC7" w:rsidP="00AA1E2B" w:rsidRDefault="00027EC4" w14:paraId="3FE3F393" w14:textId="77777777">
      <w:pPr>
        <w:pStyle w:val="Standard"/>
      </w:pPr>
      <w:r>
        <w:t xml:space="preserve">TURN </w:t>
      </w:r>
      <w:r w:rsidR="00DD779B">
        <w:t xml:space="preserve">supports </w:t>
      </w:r>
      <w:r w:rsidR="00704D45">
        <w:t xml:space="preserve">“the Commission’s use of the available tools to maximize affordability” and views the PD </w:t>
      </w:r>
      <w:r w:rsidR="000D00D9">
        <w:t>as a required element to achieving that end.</w:t>
      </w:r>
      <w:r w:rsidR="000D00D9">
        <w:rPr>
          <w:rStyle w:val="FootnoteReference"/>
        </w:rPr>
        <w:footnoteReference w:id="29"/>
      </w:r>
      <w:r w:rsidR="000D00D9">
        <w:t xml:space="preserve"> </w:t>
      </w:r>
      <w:r w:rsidR="000D00D9">
        <w:lastRenderedPageBreak/>
        <w:t xml:space="preserve">While </w:t>
      </w:r>
      <w:r w:rsidRPr="00A85A6C" w:rsidR="00A85A6C">
        <w:t xml:space="preserve">TURN </w:t>
      </w:r>
      <w:r w:rsidR="00371A96">
        <w:t>“</w:t>
      </w:r>
      <w:r w:rsidR="0066175E">
        <w:t>acknowledges</w:t>
      </w:r>
      <w:r w:rsidRPr="00A85A6C" w:rsidR="00A85A6C">
        <w:t xml:space="preserve"> concerns regarding the rapid turnaround</w:t>
      </w:r>
      <w:r w:rsidR="00371A96">
        <w:t>,”</w:t>
      </w:r>
      <w:r w:rsidRPr="00A85A6C" w:rsidR="00A85A6C">
        <w:t xml:space="preserve"> </w:t>
      </w:r>
      <w:r w:rsidR="00FF4DA2">
        <w:t>it still believes the pause is feasible and beneficial to customers.</w:t>
      </w:r>
      <w:r w:rsidR="00A85A6C">
        <w:rPr>
          <w:rStyle w:val="FootnoteReference"/>
        </w:rPr>
        <w:footnoteReference w:id="30"/>
      </w:r>
      <w:r w:rsidR="005B6D8B">
        <w:t xml:space="preserve"> Additionally, TURN</w:t>
      </w:r>
      <w:r w:rsidR="00AC6B41">
        <w:t xml:space="preserve"> provides detail </w:t>
      </w:r>
      <w:r w:rsidR="00D44AC7">
        <w:t xml:space="preserve">from data requests to the </w:t>
      </w:r>
      <w:r w:rsidR="00F818E5">
        <w:t xml:space="preserve">large </w:t>
      </w:r>
      <w:r w:rsidR="00D44AC7">
        <w:t>utilities showing that</w:t>
      </w:r>
      <w:r w:rsidR="00AC6B41">
        <w:t xml:space="preserve"> </w:t>
      </w:r>
      <w:r w:rsidR="001E2167">
        <w:t>average bills peak in summer</w:t>
      </w:r>
      <w:r w:rsidR="00BD2BED">
        <w:t xml:space="preserve"> and </w:t>
      </w:r>
      <w:r w:rsidR="00FB1163">
        <w:t xml:space="preserve">that “neither April nor May can be considered ‘high-billed </w:t>
      </w:r>
      <w:r w:rsidR="002B659B">
        <w:t>months’” in almost any of the utilities’</w:t>
      </w:r>
      <w:r w:rsidR="00AB1F00">
        <w:t xml:space="preserve"> baseline territories</w:t>
      </w:r>
      <w:r w:rsidR="00BD2BED">
        <w:t>.</w:t>
      </w:r>
      <w:r w:rsidR="00BD2BED">
        <w:rPr>
          <w:rStyle w:val="FootnoteReference"/>
        </w:rPr>
        <w:footnoteReference w:id="31"/>
      </w:r>
      <w:r w:rsidR="001E2167">
        <w:t xml:space="preserve"> </w:t>
      </w:r>
      <w:r w:rsidR="000A4AC7">
        <w:t xml:space="preserve">In fact, TURN says that moving the credit to </w:t>
      </w:r>
      <w:r w:rsidRPr="006338CF" w:rsidR="000A4AC7">
        <w:rPr>
          <w:i/>
          <w:iCs/>
        </w:rPr>
        <w:t xml:space="preserve">any </w:t>
      </w:r>
      <w:r w:rsidR="000A4AC7">
        <w:rPr>
          <w:i/>
          <w:iCs/>
        </w:rPr>
        <w:t xml:space="preserve">time </w:t>
      </w:r>
      <w:r w:rsidR="000A4AC7">
        <w:t>of year other than the spring would benefit customer affordability.</w:t>
      </w:r>
      <w:r w:rsidR="000A4AC7">
        <w:rPr>
          <w:rStyle w:val="FootnoteReference"/>
        </w:rPr>
        <w:footnoteReference w:id="32"/>
      </w:r>
      <w:r w:rsidRPr="00371666" w:rsidR="000A4AC7">
        <w:t xml:space="preserve"> </w:t>
      </w:r>
    </w:p>
    <w:p w:rsidR="00BC1227" w:rsidP="009D5F82" w:rsidRDefault="00371666" w14:paraId="2C57C2C9" w14:textId="4FFC2026">
      <w:pPr>
        <w:pStyle w:val="Standard"/>
      </w:pPr>
      <w:r>
        <w:t>The EJ Parties agree that the PD “correctly identifies that April is not a high-billed month.”</w:t>
      </w:r>
      <w:r>
        <w:rPr>
          <w:rStyle w:val="FootnoteReference"/>
        </w:rPr>
        <w:footnoteReference w:id="33"/>
      </w:r>
      <w:r>
        <w:t xml:space="preserve"> </w:t>
      </w:r>
      <w:r w:rsidR="00B948D3">
        <w:t xml:space="preserve">The EJ Parties </w:t>
      </w:r>
      <w:r w:rsidR="00AC101A">
        <w:t>support the PD</w:t>
      </w:r>
      <w:r w:rsidR="00B556CB">
        <w:t xml:space="preserve"> </w:t>
      </w:r>
      <w:r w:rsidR="0078071B">
        <w:t>“</w:t>
      </w:r>
      <w:r w:rsidRPr="007525A2" w:rsidR="007525A2">
        <w:t>because it is narrowly tailored to provide an opportunity to address the urgent need of residents in environmental justice communities for bill relief this year</w:t>
      </w:r>
      <w:r w:rsidR="007525A2">
        <w:t>”</w:t>
      </w:r>
      <w:r w:rsidR="007525A2">
        <w:rPr>
          <w:rStyle w:val="FootnoteReference"/>
        </w:rPr>
        <w:footnoteReference w:id="34"/>
      </w:r>
      <w:r w:rsidR="007525A2">
        <w:t xml:space="preserve"> </w:t>
      </w:r>
      <w:r w:rsidR="00B556CB">
        <w:t>and view it as a “required first step” in complying with the mandate to provide the credit in high-billed months</w:t>
      </w:r>
      <w:r w:rsidR="00D955B8">
        <w:t xml:space="preserve">, noting that the spring 2026 </w:t>
      </w:r>
      <w:r w:rsidR="00960C9A">
        <w:t xml:space="preserve">residential electric </w:t>
      </w:r>
      <w:r w:rsidR="00D955B8">
        <w:t xml:space="preserve">credit would be the first </w:t>
      </w:r>
      <w:r w:rsidR="00967EFE">
        <w:t>since the passage of AB 1207</w:t>
      </w:r>
      <w:r w:rsidR="003F07A3">
        <w:t xml:space="preserve"> and that </w:t>
      </w:r>
      <w:r w:rsidR="00C369DE">
        <w:t>“the legislature provided no such runway</w:t>
      </w:r>
      <w:r w:rsidR="00D85CB5">
        <w:t xml:space="preserve">” for compliance </w:t>
      </w:r>
      <w:r w:rsidR="000E72FD">
        <w:t xml:space="preserve">here </w:t>
      </w:r>
      <w:r w:rsidR="00D85CB5">
        <w:t>as it did for the deadline regarding outreach plan updates</w:t>
      </w:r>
      <w:r w:rsidR="00B556CB">
        <w:t>.</w:t>
      </w:r>
      <w:r w:rsidR="00B556CB">
        <w:rPr>
          <w:rStyle w:val="FootnoteReference"/>
        </w:rPr>
        <w:footnoteReference w:id="35"/>
      </w:r>
      <w:r w:rsidR="000E72FD">
        <w:t xml:space="preserve"> </w:t>
      </w:r>
      <w:r w:rsidR="004B4E6B">
        <w:t>SDG&amp;E agrees that the pause is necessary to comply with statute.</w:t>
      </w:r>
      <w:r w:rsidR="004B4E6B">
        <w:rPr>
          <w:rStyle w:val="FootnoteReference"/>
        </w:rPr>
        <w:footnoteReference w:id="36"/>
      </w:r>
    </w:p>
    <w:p w:rsidR="00B948D3" w:rsidP="009D5F82" w:rsidRDefault="000E72FD" w14:paraId="482F789C" w14:textId="394B7D75">
      <w:pPr>
        <w:pStyle w:val="Standard"/>
      </w:pPr>
      <w:r>
        <w:t>However, the EJ Parties state that the PD err</w:t>
      </w:r>
      <w:r w:rsidR="001A674B">
        <w:t>ed</w:t>
      </w:r>
      <w:r>
        <w:t xml:space="preserve"> </w:t>
      </w:r>
      <w:r w:rsidR="009B125A">
        <w:t xml:space="preserve">by </w:t>
      </w:r>
      <w:r w:rsidR="00A57EAF">
        <w:t>characterizing changes to</w:t>
      </w:r>
      <w:r w:rsidR="00B004F8">
        <w:t xml:space="preserve"> eligibility or credit amounts in 2026 </w:t>
      </w:r>
      <w:r w:rsidR="00A57EAF">
        <w:t>as in</w:t>
      </w:r>
      <w:r w:rsidR="00922CED">
        <w:t xml:space="preserve">feasible, and </w:t>
      </w:r>
      <w:r w:rsidR="004F745C">
        <w:t xml:space="preserve">urge us to consider </w:t>
      </w:r>
      <w:r w:rsidR="004F745C">
        <w:lastRenderedPageBreak/>
        <w:t xml:space="preserve">changes </w:t>
      </w:r>
      <w:r w:rsidR="00A2203E">
        <w:t xml:space="preserve">such as providing 2026 credits only to </w:t>
      </w:r>
      <w:r w:rsidR="008F72DF">
        <w:t>customers enrolled in the California Alternative Rates for Energy (CARE) and Family Electric Rate Assistance (FERA) low income discount programs</w:t>
      </w:r>
      <w:r w:rsidR="0025540B">
        <w:t xml:space="preserve"> who</w:t>
      </w:r>
      <w:r w:rsidR="008F72DF">
        <w:t xml:space="preserve"> are also located in hot climate zones.</w:t>
      </w:r>
      <w:r w:rsidR="001A674B">
        <w:rPr>
          <w:rStyle w:val="FootnoteReference"/>
        </w:rPr>
        <w:footnoteReference w:id="37"/>
      </w:r>
      <w:r w:rsidR="00BC1227">
        <w:t xml:space="preserve"> This recommendation is </w:t>
      </w:r>
      <w:r w:rsidR="007525A2">
        <w:t>outside</w:t>
      </w:r>
      <w:r w:rsidR="00BC1227">
        <w:t xml:space="preserve"> the scope of </w:t>
      </w:r>
      <w:r w:rsidR="001A674B">
        <w:t>Issue 1</w:t>
      </w:r>
      <w:r w:rsidR="00A57EAF">
        <w:t xml:space="preserve"> </w:t>
      </w:r>
      <w:r w:rsidR="0036211A">
        <w:t>and</w:t>
      </w:r>
      <w:r w:rsidR="00A57EAF">
        <w:t xml:space="preserve"> this decision</w:t>
      </w:r>
      <w:r w:rsidR="001A674B">
        <w:t>.</w:t>
      </w:r>
    </w:p>
    <w:p w:rsidR="003353FA" w:rsidP="009D5F82" w:rsidRDefault="00FC5792" w14:paraId="67690D0D" w14:textId="49C18626">
      <w:pPr>
        <w:pStyle w:val="Standard"/>
      </w:pPr>
      <w:proofErr w:type="spellStart"/>
      <w:r>
        <w:t>CalCCA</w:t>
      </w:r>
      <w:proofErr w:type="spellEnd"/>
      <w:r w:rsidR="008A5BB8">
        <w:t xml:space="preserve"> and EDF oppose the PD</w:t>
      </w:r>
      <w:r w:rsidR="00435CF9">
        <w:t xml:space="preserve">, </w:t>
      </w:r>
      <w:r w:rsidR="003868E1">
        <w:t xml:space="preserve">seeing </w:t>
      </w:r>
      <w:r w:rsidR="004E3A04">
        <w:t xml:space="preserve">the </w:t>
      </w:r>
      <w:r w:rsidR="003868E1">
        <w:t>risk of unintended consequences and harm to customers who may not see their highest bills in summer</w:t>
      </w:r>
      <w:r w:rsidR="005914B7">
        <w:t xml:space="preserve"> and who otherwise would receive their Climate Credit sooner</w:t>
      </w:r>
      <w:r w:rsidR="00F047C8">
        <w:t xml:space="preserve">. </w:t>
      </w:r>
      <w:proofErr w:type="spellStart"/>
      <w:r w:rsidR="0036211A">
        <w:t>CalCCA</w:t>
      </w:r>
      <w:proofErr w:type="spellEnd"/>
      <w:r w:rsidR="0036211A">
        <w:t xml:space="preserve"> </w:t>
      </w:r>
      <w:r w:rsidR="00E80830">
        <w:t xml:space="preserve">criticizes </w:t>
      </w:r>
      <w:r w:rsidR="0098152C">
        <w:t>the PD on procedural</w:t>
      </w:r>
      <w:r w:rsidR="00AC5422">
        <w:t xml:space="preserve"> grounds</w:t>
      </w:r>
      <w:r w:rsidR="006D3397">
        <w:t xml:space="preserve">, </w:t>
      </w:r>
      <w:r w:rsidR="00377EB6">
        <w:t xml:space="preserve">calling its issuance without </w:t>
      </w:r>
      <w:r w:rsidR="002F0D94">
        <w:t xml:space="preserve">notice or </w:t>
      </w:r>
      <w:r w:rsidR="00377EB6">
        <w:t xml:space="preserve">an opportunity to comment “procedurally </w:t>
      </w:r>
      <w:r w:rsidR="00D46544">
        <w:t>deficient</w:t>
      </w:r>
      <w:r w:rsidR="002C2EE5">
        <w:t>”</w:t>
      </w:r>
      <w:r w:rsidR="003B5AEE">
        <w:rPr>
          <w:rStyle w:val="FootnoteReference"/>
        </w:rPr>
        <w:footnoteReference w:id="38"/>
      </w:r>
      <w:r w:rsidR="002C2EE5">
        <w:t xml:space="preserve"> and condemning the </w:t>
      </w:r>
      <w:r w:rsidR="00CA3448">
        <w:t>“lack of any record regarding the reasonableness of such a pause.”</w:t>
      </w:r>
      <w:r w:rsidR="002D2EA1">
        <w:rPr>
          <w:rStyle w:val="FootnoteReference"/>
        </w:rPr>
        <w:footnoteReference w:id="39"/>
      </w:r>
      <w:r w:rsidR="00CA3448">
        <w:t xml:space="preserve"> </w:t>
      </w:r>
      <w:proofErr w:type="spellStart"/>
      <w:r w:rsidR="004C7140">
        <w:t>CalCCA</w:t>
      </w:r>
      <w:proofErr w:type="spellEnd"/>
      <w:r w:rsidR="004C7140">
        <w:t xml:space="preserve"> asserts </w:t>
      </w:r>
      <w:r w:rsidR="003353FA">
        <w:t>that t</w:t>
      </w:r>
      <w:r w:rsidR="00E77529">
        <w:t xml:space="preserve">he </w:t>
      </w:r>
      <w:r w:rsidR="00FF54FB">
        <w:t>PD was issued rapidly</w:t>
      </w:r>
      <w:r w:rsidR="00134F46">
        <w:t xml:space="preserve"> </w:t>
      </w:r>
      <w:r w:rsidR="00BC36F6">
        <w:t>and full</w:t>
      </w:r>
      <w:r w:rsidR="00A94AF1">
        <w:t xml:space="preserve"> analysis of </w:t>
      </w:r>
      <w:r w:rsidR="00020DB3">
        <w:t>the issues has not yet been completed</w:t>
      </w:r>
      <w:r w:rsidR="004C7140">
        <w:t xml:space="preserve">. </w:t>
      </w:r>
    </w:p>
    <w:p w:rsidR="00D46544" w:rsidP="009D5F82" w:rsidRDefault="004C7140" w14:paraId="7FA0E63C" w14:textId="18B2595E">
      <w:pPr>
        <w:pStyle w:val="Standard"/>
      </w:pPr>
      <w:r>
        <w:t>A</w:t>
      </w:r>
      <w:r w:rsidRPr="004C7140">
        <w:t xml:space="preserve">s </w:t>
      </w:r>
      <w:r w:rsidR="002B03E8">
        <w:t>contemplated</w:t>
      </w:r>
      <w:r w:rsidRPr="004C7140">
        <w:t xml:space="preserve"> at the PHC and in comments, this proceeding is phased to address specific near</w:t>
      </w:r>
      <w:r w:rsidR="003353FA">
        <w:t>-</w:t>
      </w:r>
      <w:r w:rsidRPr="004C7140">
        <w:t xml:space="preserve">term issues intended to address immediate affordability concerns and statutory deadlines while record development and further analysis </w:t>
      </w:r>
      <w:proofErr w:type="gramStart"/>
      <w:r w:rsidRPr="004C7140">
        <w:t>continues on</w:t>
      </w:r>
      <w:proofErr w:type="gramEnd"/>
      <w:r w:rsidRPr="004C7140">
        <w:t xml:space="preserve"> a broader set of issues.</w:t>
      </w:r>
      <w:r w:rsidR="00723177">
        <w:t xml:space="preserve"> </w:t>
      </w:r>
      <w:r w:rsidR="00A36BB4">
        <w:t xml:space="preserve">Not all parties share </w:t>
      </w:r>
      <w:proofErr w:type="spellStart"/>
      <w:r w:rsidR="00A36BB4">
        <w:t>CalCCA’s</w:t>
      </w:r>
      <w:proofErr w:type="spellEnd"/>
      <w:r w:rsidR="00A36BB4">
        <w:t xml:space="preserve"> view: the</w:t>
      </w:r>
      <w:r w:rsidR="002B0DE9">
        <w:t xml:space="preserve"> EJ Parties believe that</w:t>
      </w:r>
      <w:r w:rsidR="00723177">
        <w:t xml:space="preserve"> </w:t>
      </w:r>
      <w:r w:rsidR="001228CD">
        <w:t>“</w:t>
      </w:r>
      <w:r w:rsidRPr="00EE42E3" w:rsidR="001228CD">
        <w:t>pausing distribution has precedent and was sufficiently discussed in the proceeding for all parties, including the IOUs, to have anticipated a PD such as the Pause PD</w:t>
      </w:r>
      <w:r w:rsidR="001228CD">
        <w:t>.”</w:t>
      </w:r>
      <w:r w:rsidR="001228CD">
        <w:rPr>
          <w:rStyle w:val="FootnoteReference"/>
        </w:rPr>
        <w:footnoteReference w:id="40"/>
      </w:r>
      <w:r w:rsidRPr="002B0DE9" w:rsidR="002B0DE9">
        <w:t xml:space="preserve"> </w:t>
      </w:r>
      <w:proofErr w:type="spellStart"/>
      <w:r w:rsidR="002B0DE9">
        <w:t>CalCCA</w:t>
      </w:r>
      <w:proofErr w:type="spellEnd"/>
      <w:r w:rsidR="00943CBC">
        <w:t xml:space="preserve"> and EDF </w:t>
      </w:r>
      <w:r w:rsidR="00AC0C2A">
        <w:t xml:space="preserve">both </w:t>
      </w:r>
      <w:r w:rsidR="002B0DE9">
        <w:t xml:space="preserve">further </w:t>
      </w:r>
      <w:r w:rsidR="00AC0C2A">
        <w:t xml:space="preserve">make the </w:t>
      </w:r>
      <w:r w:rsidR="002B0DE9">
        <w:t xml:space="preserve">point that “the absence of opposition to an unraised proposal does not </w:t>
      </w:r>
      <w:r w:rsidR="002B0DE9">
        <w:lastRenderedPageBreak/>
        <w:t>constitute support,”</w:t>
      </w:r>
      <w:r w:rsidR="002B0DE9">
        <w:rPr>
          <w:rStyle w:val="FootnoteReference"/>
        </w:rPr>
        <w:footnoteReference w:id="41"/>
      </w:r>
      <w:r w:rsidR="00D74806">
        <w:t xml:space="preserve"> which is well taken</w:t>
      </w:r>
      <w:r w:rsidR="00AC0C2A">
        <w:t>; however</w:t>
      </w:r>
      <w:r w:rsidR="00460830">
        <w:t>,</w:t>
      </w:r>
      <w:r w:rsidR="00AC0C2A">
        <w:t xml:space="preserve"> EDF and</w:t>
      </w:r>
      <w:r w:rsidR="002B0DE9">
        <w:t xml:space="preserve"> </w:t>
      </w:r>
      <w:proofErr w:type="spellStart"/>
      <w:r w:rsidR="002B0DE9">
        <w:t>CalCCA</w:t>
      </w:r>
      <w:proofErr w:type="spellEnd"/>
      <w:r w:rsidR="002B0DE9">
        <w:t xml:space="preserve"> </w:t>
      </w:r>
      <w:r w:rsidR="00460830">
        <w:t>are</w:t>
      </w:r>
      <w:r w:rsidR="002B0DE9">
        <w:t xml:space="preserve"> incorrect in stating that we lack </w:t>
      </w:r>
      <w:r w:rsidR="002F2C29">
        <w:t>suffic</w:t>
      </w:r>
      <w:r w:rsidR="002B03E8">
        <w:t>i</w:t>
      </w:r>
      <w:r w:rsidR="002F2C29">
        <w:t>ent</w:t>
      </w:r>
      <w:r w:rsidR="002B0DE9">
        <w:t xml:space="preserve"> record.</w:t>
      </w:r>
    </w:p>
    <w:p w:rsidR="00A1009B" w:rsidP="004F62DD" w:rsidRDefault="00A70E97" w14:paraId="12C74D03" w14:textId="2220E79C">
      <w:pPr>
        <w:pStyle w:val="Standard"/>
      </w:pPr>
      <w:proofErr w:type="spellStart"/>
      <w:r>
        <w:t>CalCCA</w:t>
      </w:r>
      <w:proofErr w:type="spellEnd"/>
      <w:r>
        <w:t xml:space="preserve"> focuses on the possibility of harm to customers whose bills peak in April or who simply have already planned for their April credit. </w:t>
      </w:r>
      <w:r w:rsidR="00FF5746">
        <w:t>O</w:t>
      </w:r>
      <w:r w:rsidR="00CA6915">
        <w:t>utweighing that concept is a clear point of fact</w:t>
      </w:r>
      <w:r w:rsidR="00AA748F">
        <w:t>,</w:t>
      </w:r>
      <w:r w:rsidR="00CA6915">
        <w:t xml:space="preserve"> and </w:t>
      </w:r>
      <w:r w:rsidR="00AA748F">
        <w:t xml:space="preserve">clear </w:t>
      </w:r>
      <w:r w:rsidR="003A1820">
        <w:t>record. First, t</w:t>
      </w:r>
      <w:r w:rsidR="00713C35">
        <w:t>he Climate Credit</w:t>
      </w:r>
      <w:r w:rsidR="007C691F">
        <w:t xml:space="preserve"> by original design</w:t>
      </w:r>
      <w:r w:rsidR="00683DBA">
        <w:t xml:space="preserve"> </w:t>
      </w:r>
      <w:r w:rsidR="0007276C">
        <w:t xml:space="preserve">was </w:t>
      </w:r>
      <w:r w:rsidR="00713C35">
        <w:t>provided</w:t>
      </w:r>
      <w:r w:rsidR="006E26EB">
        <w:t xml:space="preserve"> in low</w:t>
      </w:r>
      <w:r w:rsidR="00F63DA5">
        <w:t>er</w:t>
      </w:r>
      <w:r w:rsidR="006E26EB">
        <w:t>-usage</w:t>
      </w:r>
      <w:r w:rsidR="00F63DA5">
        <w:t>, lower-bill</w:t>
      </w:r>
      <w:r w:rsidR="00713C35">
        <w:t>ed</w:t>
      </w:r>
      <w:r w:rsidR="006E26EB">
        <w:t xml:space="preserve"> </w:t>
      </w:r>
      <w:r w:rsidR="00683DBA">
        <w:t>to preserve the price signal in rates</w:t>
      </w:r>
      <w:r w:rsidR="005A245A">
        <w:t xml:space="preserve">. </w:t>
      </w:r>
      <w:proofErr w:type="spellStart"/>
      <w:r w:rsidR="00D9333B">
        <w:t>CalCCA</w:t>
      </w:r>
      <w:proofErr w:type="spellEnd"/>
      <w:r w:rsidR="00D9333B">
        <w:t xml:space="preserve"> </w:t>
      </w:r>
      <w:r w:rsidR="0075629C">
        <w:t>minimizes the fact</w:t>
      </w:r>
      <w:r w:rsidR="00FE5441">
        <w:t xml:space="preserve"> </w:t>
      </w:r>
      <w:r w:rsidR="00D9333B">
        <w:t xml:space="preserve">that electricity usage </w:t>
      </w:r>
      <w:r w:rsidR="00FE5441">
        <w:t xml:space="preserve">for most Californians </w:t>
      </w:r>
      <w:r w:rsidR="00D9333B">
        <w:t>tends to be lower in shoulder seasons and claims that “some customers actually experience ‘high-billed’ months in April (</w:t>
      </w:r>
      <w:r w:rsidRPr="008D1C48" w:rsidR="00D9333B">
        <w:rPr>
          <w:i/>
          <w:iCs/>
        </w:rPr>
        <w:t xml:space="preserve">i.e. </w:t>
      </w:r>
      <w:r w:rsidR="00D9333B">
        <w:t>winter peaking customers).”</w:t>
      </w:r>
      <w:r w:rsidR="00D9333B">
        <w:rPr>
          <w:rStyle w:val="FootnoteReference"/>
        </w:rPr>
        <w:footnoteReference w:id="42"/>
      </w:r>
      <w:r w:rsidR="00D9333B">
        <w:t xml:space="preserve"> While this specific claim is unsupported and calling April a winter month is inaccurate</w:t>
      </w:r>
      <w:r w:rsidR="00C32D78">
        <w:t>,</w:t>
      </w:r>
      <w:r w:rsidR="00D9333B">
        <w:t xml:space="preserve"> we </w:t>
      </w:r>
      <w:r w:rsidR="00A4543A">
        <w:t>fully realize that</w:t>
      </w:r>
      <w:r w:rsidR="00D9333B">
        <w:t xml:space="preserve"> there likely </w:t>
      </w:r>
      <w:r w:rsidRPr="00C40B3B" w:rsidR="00D9333B">
        <w:t>are</w:t>
      </w:r>
      <w:r w:rsidR="00D9333B">
        <w:t xml:space="preserve"> customers whose bills are </w:t>
      </w:r>
      <w:r w:rsidRPr="00C40B3B" w:rsidR="00D9333B">
        <w:t>not</w:t>
      </w:r>
      <w:r w:rsidR="00D9333B">
        <w:t xml:space="preserve"> highest in the summer. </w:t>
      </w:r>
      <w:r w:rsidR="004F62DD">
        <w:t>But</w:t>
      </w:r>
      <w:r w:rsidR="00A1009B">
        <w:t xml:space="preserve"> t</w:t>
      </w:r>
      <w:r w:rsidR="007C691F">
        <w:t xml:space="preserve">he record is clear on one point: electricity usage and bills on average statewide are higher in the summer and winter than in the spring and fall. </w:t>
      </w:r>
    </w:p>
    <w:p w:rsidR="00035F26" w:rsidP="004F62DD" w:rsidRDefault="00CF581D" w14:paraId="0F2A4BBE" w14:textId="14A94524">
      <w:pPr>
        <w:pStyle w:val="Standard"/>
      </w:pPr>
      <w:r>
        <w:t>For these reasons, we</w:t>
      </w:r>
      <w:r w:rsidR="00243BF2">
        <w:t xml:space="preserve"> must </w:t>
      </w:r>
      <w:r w:rsidR="00180429">
        <w:t xml:space="preserve">remain focused on the probable greater good. Because the status quo </w:t>
      </w:r>
      <w:r w:rsidR="008808B9">
        <w:t>provides credits at</w:t>
      </w:r>
      <w:r w:rsidR="003018AC">
        <w:t xml:space="preserve"> a lower-billed time for more customers,</w:t>
      </w:r>
      <w:r w:rsidR="0032725C">
        <w:t xml:space="preserve"> we </w:t>
      </w:r>
      <w:r w:rsidR="001B2B65">
        <w:t>can safely conclude that</w:t>
      </w:r>
      <w:r w:rsidR="00937E12">
        <w:t xml:space="preserve"> allowing the possibility for the </w:t>
      </w:r>
      <w:r w:rsidR="00243BF2">
        <w:t xml:space="preserve">spring 2026 </w:t>
      </w:r>
      <w:proofErr w:type="gramStart"/>
      <w:r w:rsidR="00937E12">
        <w:t>credit to</w:t>
      </w:r>
      <w:proofErr w:type="gramEnd"/>
      <w:r w:rsidR="00937E12">
        <w:t xml:space="preserve"> instead be provided in summer </w:t>
      </w:r>
      <w:r w:rsidR="00243BF2">
        <w:t xml:space="preserve">2026 </w:t>
      </w:r>
      <w:r w:rsidR="001B2B65">
        <w:t xml:space="preserve">will benefit </w:t>
      </w:r>
      <w:r w:rsidR="000F0D81">
        <w:t xml:space="preserve">more customers’ affordability than </w:t>
      </w:r>
      <w:r w:rsidR="00516D29">
        <w:t>taking no action</w:t>
      </w:r>
      <w:r w:rsidR="00A450E2">
        <w:t xml:space="preserve"> now</w:t>
      </w:r>
      <w:r w:rsidR="00516D29">
        <w:t>.</w:t>
      </w:r>
      <w:r w:rsidR="004164C4">
        <w:t xml:space="preserve"> </w:t>
      </w:r>
      <w:r w:rsidR="008808B9">
        <w:t>A</w:t>
      </w:r>
      <w:r w:rsidR="00F32A6C">
        <w:t>s SDG&amp;E puts it: “</w:t>
      </w:r>
      <w:r w:rsidRPr="004F62DD" w:rsidR="00F32A6C">
        <w:t>The Commission’s task is to identify</w:t>
      </w:r>
      <w:r w:rsidR="00F32A6C">
        <w:t xml:space="preserve"> </w:t>
      </w:r>
      <w:r w:rsidRPr="004F62DD" w:rsidR="00F32A6C">
        <w:t>months that provide the overall affordability impact statewide or within each IOU’s service</w:t>
      </w:r>
      <w:r w:rsidR="00F32A6C">
        <w:t xml:space="preserve"> </w:t>
      </w:r>
      <w:r w:rsidRPr="004F62DD" w:rsidR="00F32A6C">
        <w:t>territory—not to preserve legacy timing for an April distribution that was intentionally aligned</w:t>
      </w:r>
      <w:r w:rsidR="00F32A6C">
        <w:t xml:space="preserve"> </w:t>
      </w:r>
      <w:r w:rsidRPr="004F62DD" w:rsidR="00F32A6C">
        <w:t>with lower-bill periods under prior policy.</w:t>
      </w:r>
      <w:r w:rsidR="00F32A6C">
        <w:t>”</w:t>
      </w:r>
      <w:r w:rsidR="00F32A6C">
        <w:rPr>
          <w:rStyle w:val="FootnoteReference"/>
        </w:rPr>
        <w:footnoteReference w:id="43"/>
      </w:r>
    </w:p>
    <w:p w:rsidR="00234E24" w:rsidP="009D5F82" w:rsidRDefault="00035F26" w14:paraId="03BCFA81" w14:textId="56CF7B45">
      <w:pPr>
        <w:pStyle w:val="Standard"/>
      </w:pPr>
      <w:r>
        <w:lastRenderedPageBreak/>
        <w:t xml:space="preserve">We have revised the decision to better reflect </w:t>
      </w:r>
      <w:r w:rsidR="00243BF2">
        <w:t>the above</w:t>
      </w:r>
      <w:r>
        <w:t xml:space="preserve"> points of fact and record. I</w:t>
      </w:r>
      <w:r w:rsidR="00817776">
        <w:t xml:space="preserve">n view of </w:t>
      </w:r>
      <w:r w:rsidR="00711A59">
        <w:t xml:space="preserve">these </w:t>
      </w:r>
      <w:proofErr w:type="gramStart"/>
      <w:r w:rsidR="00711A59">
        <w:t>points</w:t>
      </w:r>
      <w:r w:rsidR="00817776">
        <w:t>, and</w:t>
      </w:r>
      <w:proofErr w:type="gramEnd"/>
      <w:r w:rsidR="00817776">
        <w:t xml:space="preserve"> considering</w:t>
      </w:r>
      <w:r w:rsidR="004918C2">
        <w:t xml:space="preserve"> the statutory </w:t>
      </w:r>
      <w:r w:rsidR="002339BC">
        <w:t>requirement</w:t>
      </w:r>
      <w:r w:rsidR="00922B4A">
        <w:t xml:space="preserve"> for the credit to be provided in high-billed months</w:t>
      </w:r>
      <w:r w:rsidR="002339BC">
        <w:t xml:space="preserve">, </w:t>
      </w:r>
      <w:r w:rsidR="00CA1ACE">
        <w:t>we are confident in the necessary use of our discretion here.</w:t>
      </w:r>
      <w:r w:rsidR="007432B0">
        <w:t xml:space="preserve"> </w:t>
      </w:r>
      <w:r w:rsidR="00296491">
        <w:t xml:space="preserve">We appreciate </w:t>
      </w:r>
      <w:proofErr w:type="spellStart"/>
      <w:r w:rsidR="00CD3BD6">
        <w:t>CalCCA</w:t>
      </w:r>
      <w:proofErr w:type="spellEnd"/>
      <w:r w:rsidR="00CD3BD6">
        <w:t xml:space="preserve"> and EDF’s comments </w:t>
      </w:r>
      <w:r w:rsidR="00296491">
        <w:t>urging</w:t>
      </w:r>
      <w:r w:rsidR="00C03CF1">
        <w:t xml:space="preserve"> </w:t>
      </w:r>
      <w:r w:rsidR="00CD3BD6">
        <w:t xml:space="preserve">caution </w:t>
      </w:r>
      <w:r w:rsidR="00296491">
        <w:t xml:space="preserve">as we consider customer impacts, </w:t>
      </w:r>
      <w:r w:rsidR="00143410">
        <w:t xml:space="preserve">as well as </w:t>
      </w:r>
      <w:r w:rsidR="00A07E9B">
        <w:t>their commitment to the</w:t>
      </w:r>
      <w:r w:rsidR="00A2500B">
        <w:t xml:space="preserve"> forthcoming detailed analysis of these issues in this proceeding.</w:t>
      </w:r>
      <w:r w:rsidR="00013098">
        <w:t xml:space="preserve"> </w:t>
      </w:r>
    </w:p>
    <w:p w:rsidR="00E019A1" w:rsidP="009D5F82" w:rsidRDefault="00E019A1" w14:paraId="68EAC789" w14:textId="66A107A1">
      <w:pPr>
        <w:pStyle w:val="Standard"/>
      </w:pPr>
      <w:r>
        <w:t>Multiple partie</w:t>
      </w:r>
      <w:r w:rsidR="00746AEB">
        <w:t xml:space="preserve">s asked for revisions clarifying what outreach and communication should be done regarding the pause. </w:t>
      </w:r>
      <w:r w:rsidR="004D3286">
        <w:t xml:space="preserve">SCE and SDG&amp;E requested the discretion to provide website, call-in center, media and other informational updates </w:t>
      </w:r>
      <w:r w:rsidR="009145A1">
        <w:t>to ensure</w:t>
      </w:r>
      <w:r w:rsidR="00DA3DD1">
        <w:t xml:space="preserve"> </w:t>
      </w:r>
      <w:r w:rsidR="004F572C">
        <w:t>customers understand they will still recei</w:t>
      </w:r>
      <w:r w:rsidR="009145A1">
        <w:t>ve</w:t>
      </w:r>
      <w:r w:rsidR="004F572C">
        <w:t xml:space="preserve"> their credit later this year. We </w:t>
      </w:r>
      <w:r w:rsidR="00C277B4">
        <w:t>revised the decision to provide direction regarding communications about the pause.</w:t>
      </w:r>
    </w:p>
    <w:p w:rsidR="007F5CE0" w:rsidP="009D5F82" w:rsidRDefault="007F5CE0" w14:paraId="77DE6357" w14:textId="2ABE6175">
      <w:pPr>
        <w:pStyle w:val="Standard"/>
      </w:pPr>
      <w:r>
        <w:t xml:space="preserve">Finally, </w:t>
      </w:r>
      <w:r w:rsidR="00177968">
        <w:t>other</w:t>
      </w:r>
      <w:r>
        <w:t xml:space="preserve"> </w:t>
      </w:r>
      <w:r w:rsidR="00596B6C">
        <w:t xml:space="preserve">minor </w:t>
      </w:r>
      <w:r>
        <w:t>corrections and additions were made</w:t>
      </w:r>
      <w:r w:rsidR="00D40B9D">
        <w:t xml:space="preserve"> in response to comments.</w:t>
      </w:r>
      <w:r w:rsidR="004C7D60">
        <w:t xml:space="preserve"> </w:t>
      </w:r>
      <w:r w:rsidR="000F132A">
        <w:t xml:space="preserve">SCE asks to update its tariffs regarding the timing of the provision of the credit; we revised the decision to provide this direction. </w:t>
      </w:r>
      <w:r w:rsidR="001132F4">
        <w:t>SDG&amp;E requested clarification</w:t>
      </w:r>
      <w:r w:rsidR="000D6A10">
        <w:t>s to reinforce our intent that the 2026 credits will still be distributed in 2026</w:t>
      </w:r>
      <w:r w:rsidR="00F93B94">
        <w:t>,</w:t>
      </w:r>
      <w:r w:rsidR="00F5415C">
        <w:rPr>
          <w:rStyle w:val="FootnoteReference"/>
        </w:rPr>
        <w:footnoteReference w:id="44"/>
      </w:r>
      <w:r w:rsidR="00F93B94">
        <w:t xml:space="preserve"> and we made multiple revisions to make this clear</w:t>
      </w:r>
      <w:r w:rsidR="000F132A">
        <w:t>er</w:t>
      </w:r>
      <w:r w:rsidR="00F93B94">
        <w:t xml:space="preserve">. </w:t>
      </w:r>
      <w:r w:rsidR="004C7D60">
        <w:t xml:space="preserve">EDF highlighted the omission </w:t>
      </w:r>
      <w:r w:rsidR="00177968">
        <w:t xml:space="preserve">in the Procedural Background </w:t>
      </w:r>
      <w:r w:rsidR="004C7D60">
        <w:t>of EDF’s status a</w:t>
      </w:r>
      <w:r w:rsidR="00D40B9D">
        <w:t xml:space="preserve">nd participation as a party; </w:t>
      </w:r>
      <w:r w:rsidR="002F21E9">
        <w:t>that section has been corrected</w:t>
      </w:r>
      <w:r w:rsidR="00177968">
        <w:t xml:space="preserve">. </w:t>
      </w:r>
      <w:proofErr w:type="spellStart"/>
      <w:r w:rsidR="00177968">
        <w:t>CalCCA</w:t>
      </w:r>
      <w:proofErr w:type="spellEnd"/>
      <w:r w:rsidR="00177968">
        <w:t xml:space="preserve"> </w:t>
      </w:r>
      <w:r w:rsidR="00B34145">
        <w:t xml:space="preserve">identified language that could </w:t>
      </w:r>
      <w:r w:rsidR="008F42FB">
        <w:t>incorrectly imply</w:t>
      </w:r>
      <w:r w:rsidR="00B34145">
        <w:t xml:space="preserve"> that the Climate Credit is a </w:t>
      </w:r>
      <w:r w:rsidR="00FF455E">
        <w:t>benefit from the utilit</w:t>
      </w:r>
      <w:r w:rsidR="005C2128">
        <w:t>ies</w:t>
      </w:r>
      <w:r w:rsidR="00DA1EE8">
        <w:t>.</w:t>
      </w:r>
      <w:r w:rsidR="00DA1EE8">
        <w:rPr>
          <w:rStyle w:val="FootnoteReference"/>
        </w:rPr>
        <w:footnoteReference w:id="45"/>
      </w:r>
      <w:r w:rsidR="009E36E9">
        <w:t xml:space="preserve"> </w:t>
      </w:r>
      <w:r w:rsidR="00DD2B67">
        <w:t>T</w:t>
      </w:r>
      <w:r w:rsidR="009E36E9">
        <w:t>his was a fair point</w:t>
      </w:r>
      <w:r w:rsidR="00F93B94">
        <w:t>, particularly</w:t>
      </w:r>
      <w:r w:rsidR="00762E27">
        <w:t xml:space="preserve"> given</w:t>
      </w:r>
      <w:r w:rsidR="009E36E9">
        <w:t xml:space="preserve"> </w:t>
      </w:r>
      <w:r w:rsidR="00762E27">
        <w:t xml:space="preserve">the </w:t>
      </w:r>
      <w:r w:rsidR="00362E23">
        <w:t xml:space="preserve">various requirements since the </w:t>
      </w:r>
      <w:r w:rsidR="004D0D38">
        <w:t xml:space="preserve">inception of the Climate Credit </w:t>
      </w:r>
      <w:r w:rsidR="00762E27">
        <w:t xml:space="preserve">that </w:t>
      </w:r>
      <w:r w:rsidR="003442F3">
        <w:t>reiterated</w:t>
      </w:r>
      <w:r w:rsidR="004D0D38">
        <w:t xml:space="preserve"> </w:t>
      </w:r>
      <w:r w:rsidR="002E029B">
        <w:t xml:space="preserve">the need for competitive neutrality in its </w:t>
      </w:r>
      <w:r w:rsidR="002E029B">
        <w:lastRenderedPageBreak/>
        <w:t>administration.</w:t>
      </w:r>
      <w:r w:rsidR="002E029B">
        <w:rPr>
          <w:rStyle w:val="FootnoteReference"/>
        </w:rPr>
        <w:footnoteReference w:id="46"/>
      </w:r>
      <w:r w:rsidR="003442F3">
        <w:t xml:space="preserve"> W</w:t>
      </w:r>
      <w:r w:rsidR="009E36E9">
        <w:t xml:space="preserve">e revised </w:t>
      </w:r>
      <w:r w:rsidR="00DA1EE8">
        <w:t xml:space="preserve">the </w:t>
      </w:r>
      <w:r w:rsidR="003442F3">
        <w:t>decision</w:t>
      </w:r>
      <w:r w:rsidR="00DA1EE8">
        <w:t xml:space="preserve"> to </w:t>
      </w:r>
      <w:r w:rsidR="000272D5">
        <w:t>better reflect</w:t>
      </w:r>
      <w:r w:rsidR="00DA1EE8">
        <w:t xml:space="preserve"> that the Climate Credit is </w:t>
      </w:r>
      <w:r w:rsidR="000272D5">
        <w:t xml:space="preserve">distributed </w:t>
      </w:r>
      <w:r w:rsidRPr="00695A1F" w:rsidR="00DD2B67">
        <w:rPr>
          <w:i/>
          <w:iCs/>
        </w:rPr>
        <w:t>by</w:t>
      </w:r>
      <w:r w:rsidR="00DD2B67">
        <w:t xml:space="preserve"> utilities</w:t>
      </w:r>
      <w:r w:rsidR="00C41ADF">
        <w:t>,</w:t>
      </w:r>
      <w:r w:rsidR="00DD2B67">
        <w:t xml:space="preserve"> but the money is not </w:t>
      </w:r>
      <w:r w:rsidRPr="00695A1F" w:rsidR="00DD2B67">
        <w:rPr>
          <w:i/>
          <w:iCs/>
        </w:rPr>
        <w:t>from</w:t>
      </w:r>
      <w:r w:rsidR="00DD2B67">
        <w:t xml:space="preserve"> the utilities.</w:t>
      </w:r>
    </w:p>
    <w:p w:rsidR="005939A5" w:rsidP="005939A5" w:rsidRDefault="005939A5" w14:paraId="1A3871AB" w14:textId="77777777">
      <w:pPr>
        <w:pStyle w:val="Heading1"/>
      </w:pPr>
      <w:bookmarkStart w:name="_Toc8123724" w:id="29"/>
      <w:bookmarkStart w:name="_Toc220504690" w:id="30"/>
      <w:bookmarkStart w:name="_Toc225244045" w:id="31"/>
      <w:r>
        <w:t>Assignment of Proceeding</w:t>
      </w:r>
      <w:bookmarkEnd w:id="29"/>
      <w:bookmarkEnd w:id="30"/>
      <w:bookmarkEnd w:id="31"/>
    </w:p>
    <w:p w:rsidR="005939A5" w:rsidP="006E6574" w:rsidRDefault="00EC5923" w14:paraId="026D70C9" w14:textId="1EBAF36B">
      <w:pPr>
        <w:pStyle w:val="Standard"/>
      </w:pPr>
      <w:r>
        <w:t xml:space="preserve">President </w:t>
      </w:r>
      <w:r w:rsidR="00B059D2">
        <w:t xml:space="preserve">John </w:t>
      </w:r>
      <w:r>
        <w:t>Reynolds</w:t>
      </w:r>
      <w:r w:rsidR="005939A5">
        <w:t xml:space="preserve"> is the assigned Commissioner and </w:t>
      </w:r>
      <w:r>
        <w:t>Maria Sotero</w:t>
      </w:r>
      <w:r w:rsidR="005939A5">
        <w:t xml:space="preserve"> is the assigned Administrative Law Judge in this proceeding.</w:t>
      </w:r>
    </w:p>
    <w:p w:rsidR="005939A5" w:rsidP="005939A5" w:rsidRDefault="005939A5" w14:paraId="3B8C8352" w14:textId="77777777">
      <w:pPr>
        <w:pStyle w:val="Dummy"/>
      </w:pPr>
      <w:bookmarkStart w:name="_Toc8123725" w:id="32"/>
      <w:bookmarkStart w:name="_Toc220504691" w:id="33"/>
      <w:bookmarkStart w:name="_Toc225244046" w:id="34"/>
      <w:r>
        <w:t>Findings of Fact</w:t>
      </w:r>
      <w:bookmarkEnd w:id="32"/>
      <w:bookmarkEnd w:id="33"/>
      <w:bookmarkEnd w:id="34"/>
    </w:p>
    <w:p w:rsidR="00D74272" w:rsidP="00D74272" w:rsidRDefault="00D74272" w14:paraId="10E11399" w14:textId="77777777">
      <w:pPr>
        <w:pStyle w:val="FoF"/>
      </w:pPr>
      <w:r>
        <w:t>The residential electric Climate Credit is currently provided in the spring and fall annually.</w:t>
      </w:r>
      <w:r w:rsidRPr="000F5583">
        <w:t xml:space="preserve"> </w:t>
      </w:r>
    </w:p>
    <w:p w:rsidR="000F5583" w:rsidP="000F5583" w:rsidRDefault="000F5583" w14:paraId="2D4363F6" w14:textId="5DEB1005">
      <w:pPr>
        <w:pStyle w:val="FoF"/>
      </w:pPr>
      <w:r>
        <w:t>Current timing of the residential electric Climate Credit was intentionally aligned with lower-usage, lower-bill times of year.</w:t>
      </w:r>
    </w:p>
    <w:p w:rsidRPr="001E2A62" w:rsidR="00BA1D16" w:rsidP="000F5583" w:rsidRDefault="00AD3CDF" w14:paraId="07FB5BC5" w14:textId="2B883A3B">
      <w:pPr>
        <w:pStyle w:val="FoF"/>
      </w:pPr>
      <w:r>
        <w:t>O</w:t>
      </w:r>
      <w:r w:rsidR="00DF5ACE">
        <w:t>n</w:t>
      </w:r>
      <w:r w:rsidR="00BA1D16">
        <w:t xml:space="preserve"> av</w:t>
      </w:r>
      <w:r w:rsidR="00737FE8">
        <w:t xml:space="preserve">erage statewide, </w:t>
      </w:r>
      <w:r w:rsidR="0012356F">
        <w:t>energy</w:t>
      </w:r>
      <w:r w:rsidR="00737FE8">
        <w:t xml:space="preserve"> usage and bills are lower in</w:t>
      </w:r>
      <w:r w:rsidR="00B86BD5">
        <w:t xml:space="preserve"> the </w:t>
      </w:r>
      <w:r w:rsidR="0012356F">
        <w:t>shoulder seasons of spring and fall</w:t>
      </w:r>
      <w:r w:rsidR="00B86BD5">
        <w:t xml:space="preserve"> than in the summer</w:t>
      </w:r>
      <w:r w:rsidR="0012356F">
        <w:t xml:space="preserve"> and winter</w:t>
      </w:r>
      <w:r w:rsidR="00B86BD5">
        <w:t>.</w:t>
      </w:r>
    </w:p>
    <w:p w:rsidR="008E6AE6" w:rsidP="00CF1EDF" w:rsidRDefault="007D5FFE" w14:paraId="7045EA9B" w14:textId="2E2901E8">
      <w:pPr>
        <w:pStyle w:val="FoF"/>
      </w:pPr>
      <w:r>
        <w:t xml:space="preserve">Public Utilities Codes section 748.5(a)(3) as amended </w:t>
      </w:r>
      <w:r w:rsidR="00D74272">
        <w:t>in 2025</w:t>
      </w:r>
      <w:r w:rsidR="000F5583">
        <w:t xml:space="preserve"> directs the distribution of</w:t>
      </w:r>
      <w:r w:rsidRPr="001475AC" w:rsidR="000F5583">
        <w:t xml:space="preserve"> the Climate Credit </w:t>
      </w:r>
      <w:r w:rsidR="000F5583">
        <w:t xml:space="preserve">in high-billed months </w:t>
      </w:r>
      <w:r w:rsidR="00B378ED">
        <w:t xml:space="preserve">annually </w:t>
      </w:r>
      <w:r w:rsidR="000F5583">
        <w:t xml:space="preserve">to maximize </w:t>
      </w:r>
      <w:r w:rsidRPr="001475AC" w:rsidR="000F5583">
        <w:t>affordability</w:t>
      </w:r>
      <w:r w:rsidR="000F5583">
        <w:t>.</w:t>
      </w:r>
    </w:p>
    <w:p w:rsidRPr="00645207" w:rsidR="00F8209C" w:rsidP="00F8209C" w:rsidRDefault="00F8209C" w14:paraId="4D640346" w14:textId="44D82E89">
      <w:pPr>
        <w:pStyle w:val="FoF"/>
      </w:pPr>
      <w:r>
        <w:t>Pausing the 2026 electric residential Climate Credit distribution will allow for the possibility of providing the credit in high-billed months</w:t>
      </w:r>
      <w:r w:rsidR="000E297E">
        <w:t xml:space="preserve"> in 2026</w:t>
      </w:r>
      <w:r>
        <w:t>.</w:t>
      </w:r>
    </w:p>
    <w:p w:rsidR="005939A5" w:rsidP="005939A5" w:rsidRDefault="005939A5" w14:paraId="45462EE0" w14:textId="136B382B">
      <w:pPr>
        <w:pStyle w:val="Dummy"/>
      </w:pPr>
      <w:bookmarkStart w:name="_Toc8123726" w:id="35"/>
      <w:bookmarkStart w:name="_Toc220504692" w:id="36"/>
      <w:bookmarkStart w:name="_Toc225244047" w:id="37"/>
      <w:r>
        <w:t>Conclusions of Law</w:t>
      </w:r>
      <w:bookmarkEnd w:id="35"/>
      <w:bookmarkEnd w:id="36"/>
      <w:bookmarkEnd w:id="37"/>
    </w:p>
    <w:p w:rsidRPr="008837FB" w:rsidR="00521896" w:rsidP="00521896" w:rsidRDefault="00521896" w14:paraId="08CA1887" w14:textId="77777777">
      <w:pPr>
        <w:pStyle w:val="CoL"/>
      </w:pPr>
      <w:bookmarkStart w:name="_Toc220504693" w:id="38"/>
      <w:r w:rsidRPr="00CB2794">
        <w:rPr>
          <w:rFonts w:cs="Arial"/>
          <w:szCs w:val="26"/>
        </w:rPr>
        <w:t xml:space="preserve">The large electric utilities’ </w:t>
      </w:r>
      <w:r>
        <w:rPr>
          <w:rFonts w:cs="Arial"/>
          <w:szCs w:val="26"/>
        </w:rPr>
        <w:t xml:space="preserve">distribution of the </w:t>
      </w:r>
      <w:r w:rsidRPr="00CB2794">
        <w:rPr>
          <w:rFonts w:cs="Arial"/>
          <w:szCs w:val="26"/>
        </w:rPr>
        <w:t xml:space="preserve">2026 residential Climate Credit should be paused. </w:t>
      </w:r>
    </w:p>
    <w:p w:rsidRPr="001E2A62" w:rsidR="008837FB" w:rsidP="00521896" w:rsidRDefault="008837FB" w14:paraId="51F6B244" w14:textId="7027FFE7">
      <w:pPr>
        <w:pStyle w:val="CoL"/>
      </w:pPr>
      <w:r>
        <w:rPr>
          <w:rFonts w:cs="Arial"/>
          <w:szCs w:val="26"/>
        </w:rPr>
        <w:t xml:space="preserve">To support customer understanding of </w:t>
      </w:r>
      <w:r w:rsidR="003027BF">
        <w:rPr>
          <w:rFonts w:cs="Arial"/>
          <w:szCs w:val="26"/>
        </w:rPr>
        <w:t>Climate Credit timing</w:t>
      </w:r>
      <w:r>
        <w:rPr>
          <w:rFonts w:cs="Arial"/>
          <w:szCs w:val="26"/>
        </w:rPr>
        <w:t xml:space="preserve">, </w:t>
      </w:r>
      <w:r w:rsidR="003027BF">
        <w:rPr>
          <w:rFonts w:cs="Arial"/>
          <w:szCs w:val="26"/>
        </w:rPr>
        <w:t>the large electric</w:t>
      </w:r>
      <w:r>
        <w:rPr>
          <w:rFonts w:cs="Arial"/>
          <w:szCs w:val="26"/>
        </w:rPr>
        <w:t xml:space="preserve"> utilities </w:t>
      </w:r>
      <w:r w:rsidR="003027BF">
        <w:rPr>
          <w:rFonts w:cs="Arial"/>
          <w:szCs w:val="26"/>
        </w:rPr>
        <w:t>should</w:t>
      </w:r>
      <w:r>
        <w:rPr>
          <w:rFonts w:cs="Arial"/>
          <w:szCs w:val="26"/>
        </w:rPr>
        <w:t xml:space="preserve"> provide messaging on their websites, via customer service call-in scripts, and other electronic means as necessary</w:t>
      </w:r>
      <w:r w:rsidR="00C44658">
        <w:rPr>
          <w:rFonts w:cs="Arial"/>
          <w:szCs w:val="26"/>
        </w:rPr>
        <w:t xml:space="preserve">, to communicate that customers will still receive their </w:t>
      </w:r>
      <w:r w:rsidR="0082451F">
        <w:rPr>
          <w:rFonts w:cs="Arial"/>
          <w:szCs w:val="26"/>
        </w:rPr>
        <w:t>electric Climate C</w:t>
      </w:r>
      <w:r w:rsidR="00C44658">
        <w:rPr>
          <w:rFonts w:cs="Arial"/>
          <w:szCs w:val="26"/>
        </w:rPr>
        <w:t xml:space="preserve">redit in 2026 and that the State is taking action to reduce electricity bills when they are highest. </w:t>
      </w:r>
    </w:p>
    <w:p w:rsidR="00BB0243" w:rsidP="000A6E05" w:rsidRDefault="005939A5" w14:paraId="57D79DB1" w14:textId="77777777">
      <w:pPr>
        <w:pStyle w:val="Mainex"/>
      </w:pPr>
      <w:bookmarkStart w:name="_Toc225244048" w:id="39"/>
      <w:r>
        <w:lastRenderedPageBreak/>
        <w:t>O</w:t>
      </w:r>
      <w:r w:rsidR="00722850">
        <w:t>RDER</w:t>
      </w:r>
      <w:bookmarkEnd w:id="38"/>
      <w:bookmarkEnd w:id="39"/>
    </w:p>
    <w:p w:rsidR="00BB0243" w:rsidP="000A6E05" w:rsidRDefault="00BB0243" w14:paraId="05C974AF" w14:textId="77777777">
      <w:pPr>
        <w:keepNext/>
      </w:pPr>
      <w:r w:rsidRPr="00BB0243">
        <w:rPr>
          <w:b/>
        </w:rPr>
        <w:t>IT IS ORDERED</w:t>
      </w:r>
      <w:r>
        <w:t xml:space="preserve"> that:</w:t>
      </w:r>
    </w:p>
    <w:p w:rsidR="007873E8" w:rsidP="003F5C6C" w:rsidRDefault="007873E8" w14:paraId="4FB60F25" w14:textId="16EE8069">
      <w:pPr>
        <w:pStyle w:val="OP"/>
      </w:pPr>
      <w:r w:rsidRPr="003F5C6C">
        <w:t xml:space="preserve">Pacific Gas and Electric Company, Southern California Edison Company, and San Diego Gas &amp; Electric Company shall pause distribution of the 2026 residential </w:t>
      </w:r>
      <w:r w:rsidRPr="003F5C6C" w:rsidR="00D74272">
        <w:t xml:space="preserve">electric </w:t>
      </w:r>
      <w:r w:rsidRPr="003F5C6C">
        <w:t xml:space="preserve">Climate Credit until the Commission determines when in 2026 these credits should be distributed. </w:t>
      </w:r>
    </w:p>
    <w:p w:rsidR="001F06B8" w:rsidP="003F5C6C" w:rsidRDefault="001F06B8" w14:paraId="3C032FE2" w14:textId="69D118C6">
      <w:pPr>
        <w:pStyle w:val="OP"/>
      </w:pPr>
      <w:r w:rsidRPr="003F5C6C">
        <w:t>Pacific Gas and Electric Company, Southern California Edison Company, and San Diego Gas &amp; Electric Company</w:t>
      </w:r>
      <w:r w:rsidR="008C4044">
        <w:t xml:space="preserve"> </w:t>
      </w:r>
      <w:r w:rsidRPr="003F5C6C">
        <w:t>shall</w:t>
      </w:r>
      <w:r w:rsidR="008C4044">
        <w:t>, as necessary,</w:t>
      </w:r>
      <w:r w:rsidRPr="003F5C6C" w:rsidR="008C4044">
        <w:t xml:space="preserve"> </w:t>
      </w:r>
      <w:r>
        <w:t xml:space="preserve">file Tier 1 Advice Letters </w:t>
      </w:r>
      <w:r w:rsidR="00CE4CD3">
        <w:t xml:space="preserve">within 15 days of the date of this decision </w:t>
      </w:r>
      <w:r w:rsidR="00CE4CD3">
        <w:rPr>
          <w:rFonts w:cs="Arial"/>
          <w:szCs w:val="26"/>
        </w:rPr>
        <w:t>to update applicable tariffs to conform with Ordering Paragraph 1.</w:t>
      </w:r>
      <w:r w:rsidR="00CE4CD3">
        <w:t xml:space="preserve"> </w:t>
      </w:r>
    </w:p>
    <w:p w:rsidRPr="003F5C6C" w:rsidR="007F3FB9" w:rsidP="003F5C6C" w:rsidRDefault="00EF4269" w14:paraId="135E5B5F" w14:textId="28978654">
      <w:pPr>
        <w:pStyle w:val="OP"/>
      </w:pPr>
      <w:r>
        <w:t>Pacific Gas and Electric Company, Southern California Edison Company, and San Diego Gas &amp; Electric Company shall</w:t>
      </w:r>
      <w:r w:rsidRPr="6D6EDDAD">
        <w:rPr>
          <w:rFonts w:cs="Arial"/>
        </w:rPr>
        <w:t xml:space="preserve"> </w:t>
      </w:r>
      <w:r>
        <w:rPr>
          <w:rFonts w:cs="Arial"/>
        </w:rPr>
        <w:t>update Climate Credit</w:t>
      </w:r>
      <w:r w:rsidRPr="6D6EDDAD">
        <w:rPr>
          <w:rFonts w:cs="Arial"/>
        </w:rPr>
        <w:t xml:space="preserve"> messaging on their websites, customer service call-in scripts, and</w:t>
      </w:r>
      <w:r>
        <w:rPr>
          <w:rFonts w:cs="Arial"/>
        </w:rPr>
        <w:t xml:space="preserve">/or </w:t>
      </w:r>
      <w:r w:rsidRPr="6D6EDDAD">
        <w:rPr>
          <w:rFonts w:cs="Arial"/>
        </w:rPr>
        <w:t xml:space="preserve">other electronic </w:t>
      </w:r>
      <w:r w:rsidR="00E149A4">
        <w:rPr>
          <w:rFonts w:cs="Arial"/>
        </w:rPr>
        <w:t>means</w:t>
      </w:r>
      <w:r w:rsidRPr="6D6EDDAD">
        <w:rPr>
          <w:rFonts w:cs="Arial"/>
        </w:rPr>
        <w:t xml:space="preserve"> as necessary, explaining that customers will still receive their </w:t>
      </w:r>
      <w:r w:rsidR="00C7438A">
        <w:rPr>
          <w:rFonts w:cs="Arial"/>
        </w:rPr>
        <w:t xml:space="preserve">electric </w:t>
      </w:r>
      <w:r w:rsidRPr="6D6EDDAD">
        <w:rPr>
          <w:rFonts w:cs="Arial"/>
        </w:rPr>
        <w:t>Climate Credit</w:t>
      </w:r>
      <w:r w:rsidR="000B14BB">
        <w:rPr>
          <w:rFonts w:cs="Arial"/>
        </w:rPr>
        <w:t xml:space="preserve"> later</w:t>
      </w:r>
      <w:r w:rsidRPr="6D6EDDAD">
        <w:rPr>
          <w:rFonts w:cs="Arial"/>
        </w:rPr>
        <w:t xml:space="preserve"> this year and that the State is taking action to reduce electric</w:t>
      </w:r>
      <w:r w:rsidR="0082451F">
        <w:rPr>
          <w:rFonts w:cs="Arial"/>
        </w:rPr>
        <w:t>ity</w:t>
      </w:r>
      <w:r w:rsidRPr="6D6EDDAD">
        <w:rPr>
          <w:rFonts w:cs="Arial"/>
        </w:rPr>
        <w:t xml:space="preserve"> bills when they are highest.</w:t>
      </w:r>
      <w:r>
        <w:rPr>
          <w:rFonts w:cs="Arial"/>
        </w:rPr>
        <w:t xml:space="preserve"> </w:t>
      </w:r>
      <w:r w:rsidR="00412142">
        <w:rPr>
          <w:rFonts w:cs="Arial"/>
        </w:rPr>
        <w:t>As previously directed, t</w:t>
      </w:r>
      <w:r>
        <w:rPr>
          <w:rFonts w:cs="Arial"/>
        </w:rPr>
        <w:t xml:space="preserve">he utilities shall </w:t>
      </w:r>
      <w:r w:rsidR="00412142">
        <w:rPr>
          <w:rFonts w:cs="Arial"/>
        </w:rPr>
        <w:t xml:space="preserve">continue to </w:t>
      </w:r>
      <w:r w:rsidR="00471BC4">
        <w:rPr>
          <w:rFonts w:cs="Arial"/>
        </w:rPr>
        <w:t>collaborate</w:t>
      </w:r>
      <w:r>
        <w:rPr>
          <w:rFonts w:cs="Arial"/>
        </w:rPr>
        <w:t xml:space="preserve"> informally with Energy Division on details of implementing this messaging.</w:t>
      </w:r>
      <w:r w:rsidR="00857B4C">
        <w:rPr>
          <w:rFonts w:cs="Arial"/>
        </w:rPr>
        <w:t xml:space="preserve"> </w:t>
      </w:r>
      <w:r w:rsidRPr="007F3FB9" w:rsidR="007F3FB9">
        <w:t>All rulings by the assigned Commissioner and the assigned Administrative Law Judge are affirmed.</w:t>
      </w:r>
      <w:r w:rsidR="005668C3">
        <w:t xml:space="preserve"> All motions not ruled on are denied.</w:t>
      </w:r>
    </w:p>
    <w:p w:rsidRPr="003F5C6C" w:rsidR="00F6397D" w:rsidP="003F5C6C" w:rsidRDefault="00E23CBB" w14:paraId="0FCF614E" w14:textId="42F2FFB8">
      <w:pPr>
        <w:pStyle w:val="OP"/>
      </w:pPr>
      <w:r w:rsidRPr="003F5C6C">
        <w:t>Rulemaking</w:t>
      </w:r>
      <w:r w:rsidRPr="003F5C6C" w:rsidR="00B9064A">
        <w:t xml:space="preserve"> 25-07-013 remains open</w:t>
      </w:r>
      <w:r w:rsidRPr="003F5C6C">
        <w:t>.</w:t>
      </w:r>
    </w:p>
    <w:p w:rsidR="00740BE1" w:rsidP="00740BE1" w:rsidRDefault="003062C2" w14:paraId="5BA895CC" w14:textId="77777777">
      <w:pPr>
        <w:pStyle w:val="OP"/>
        <w:numPr>
          <w:ilvl w:val="0"/>
          <w:numId w:val="0"/>
        </w:numPr>
        <w:spacing w:after="120" w:line="240" w:lineRule="auto"/>
        <w:ind w:left="540"/>
      </w:pPr>
      <w:r w:rsidRPr="0076429B">
        <w:t>This order is effective today.</w:t>
      </w:r>
    </w:p>
    <w:p w:rsidR="003062C2" w:rsidP="00740BE1" w:rsidRDefault="003062C2" w14:paraId="690882E7" w14:textId="27FE239A">
      <w:pPr>
        <w:pStyle w:val="OP"/>
        <w:numPr>
          <w:ilvl w:val="0"/>
          <w:numId w:val="0"/>
        </w:numPr>
        <w:spacing w:after="120" w:line="240" w:lineRule="auto"/>
        <w:ind w:left="540"/>
      </w:pPr>
      <w:r w:rsidRPr="0076429B">
        <w:t xml:space="preserve">Dated March 19, 2026, </w:t>
      </w:r>
      <w:proofErr w:type="gramStart"/>
      <w:r w:rsidRPr="0076429B">
        <w:t>at</w:t>
      </w:r>
      <w:proofErr w:type="gramEnd"/>
      <w:r w:rsidRPr="0076429B">
        <w:t xml:space="preserve"> Sacramento, California.</w:t>
      </w:r>
    </w:p>
    <w:p w:rsidRPr="00C07994" w:rsidR="003062C2" w:rsidP="003062C2" w:rsidRDefault="002920ED" w14:paraId="45145B99" w14:textId="2A81C255">
      <w:pPr>
        <w:adjustRightInd w:val="0"/>
        <w:spacing w:line="240" w:lineRule="auto"/>
        <w:ind w:left="5040"/>
        <w:jc w:val="both"/>
        <w:rPr>
          <w:sz w:val="24"/>
          <w:szCs w:val="24"/>
        </w:rPr>
      </w:pPr>
      <w:r w:rsidRPr="00C07994">
        <w:rPr>
          <w:sz w:val="24"/>
          <w:szCs w:val="24"/>
        </w:rPr>
        <w:t>JOHN</w:t>
      </w:r>
      <w:r w:rsidRPr="00C07994" w:rsidR="003062C2">
        <w:rPr>
          <w:sz w:val="24"/>
          <w:szCs w:val="24"/>
        </w:rPr>
        <w:t xml:space="preserve"> REYNOLDS</w:t>
      </w:r>
    </w:p>
    <w:p w:rsidRPr="00C07994" w:rsidR="003062C2" w:rsidP="003062C2" w:rsidRDefault="003062C2" w14:paraId="390ADBF7" w14:textId="77777777">
      <w:pPr>
        <w:adjustRightInd w:val="0"/>
        <w:spacing w:line="240" w:lineRule="auto"/>
        <w:ind w:left="5040"/>
        <w:jc w:val="both"/>
        <w:rPr>
          <w:sz w:val="24"/>
          <w:szCs w:val="24"/>
        </w:rPr>
      </w:pPr>
      <w:r w:rsidRPr="00C07994">
        <w:rPr>
          <w:sz w:val="24"/>
          <w:szCs w:val="24"/>
        </w:rPr>
        <w:t xml:space="preserve">            President</w:t>
      </w:r>
    </w:p>
    <w:p w:rsidRPr="00C07994" w:rsidR="003062C2" w:rsidP="003062C2" w:rsidRDefault="003062C2" w14:paraId="70A57555" w14:textId="77777777">
      <w:pPr>
        <w:adjustRightInd w:val="0"/>
        <w:spacing w:line="240" w:lineRule="auto"/>
        <w:ind w:left="5040"/>
        <w:jc w:val="both"/>
        <w:rPr>
          <w:sz w:val="24"/>
          <w:szCs w:val="24"/>
        </w:rPr>
      </w:pPr>
      <w:r w:rsidRPr="00C07994">
        <w:rPr>
          <w:sz w:val="24"/>
          <w:szCs w:val="24"/>
        </w:rPr>
        <w:t>DARCIE L. HOUCK</w:t>
      </w:r>
    </w:p>
    <w:p w:rsidRPr="00C07994" w:rsidR="003062C2" w:rsidP="003062C2" w:rsidRDefault="002920ED" w14:paraId="16933F95" w14:textId="3F1C8FD0">
      <w:pPr>
        <w:adjustRightInd w:val="0"/>
        <w:spacing w:line="240" w:lineRule="auto"/>
        <w:ind w:left="5040"/>
        <w:jc w:val="both"/>
        <w:rPr>
          <w:sz w:val="24"/>
          <w:szCs w:val="24"/>
        </w:rPr>
      </w:pPr>
      <w:r w:rsidRPr="00C07994">
        <w:rPr>
          <w:sz w:val="24"/>
          <w:szCs w:val="24"/>
        </w:rPr>
        <w:t>KAREN DOUGLAS</w:t>
      </w:r>
    </w:p>
    <w:p w:rsidRPr="00C07994" w:rsidR="003062C2" w:rsidP="003062C2" w:rsidRDefault="003062C2" w14:paraId="29FAFACA" w14:textId="77777777">
      <w:pPr>
        <w:adjustRightInd w:val="0"/>
        <w:spacing w:line="240" w:lineRule="auto"/>
        <w:ind w:left="5040"/>
        <w:jc w:val="both"/>
        <w:rPr>
          <w:sz w:val="24"/>
          <w:szCs w:val="24"/>
        </w:rPr>
      </w:pPr>
      <w:r w:rsidRPr="00C07994">
        <w:rPr>
          <w:sz w:val="24"/>
          <w:szCs w:val="24"/>
        </w:rPr>
        <w:t>MATTHEW BAKER</w:t>
      </w:r>
    </w:p>
    <w:p w:rsidRPr="00C07994" w:rsidR="003062C2" w:rsidP="003062C2" w:rsidRDefault="002920ED" w14:paraId="1C73F20C" w14:textId="4675045A">
      <w:pPr>
        <w:adjustRightInd w:val="0"/>
        <w:spacing w:line="240" w:lineRule="auto"/>
        <w:ind w:left="5040"/>
        <w:jc w:val="both"/>
        <w:rPr>
          <w:sz w:val="24"/>
          <w:szCs w:val="24"/>
        </w:rPr>
      </w:pPr>
      <w:r w:rsidRPr="00C07994">
        <w:rPr>
          <w:sz w:val="24"/>
          <w:szCs w:val="24"/>
        </w:rPr>
        <w:t>CHRISTINE</w:t>
      </w:r>
      <w:r w:rsidRPr="00C07994" w:rsidR="003062C2">
        <w:rPr>
          <w:sz w:val="24"/>
          <w:szCs w:val="24"/>
        </w:rPr>
        <w:t xml:space="preserve"> </w:t>
      </w:r>
      <w:r w:rsidRPr="00C07994">
        <w:rPr>
          <w:sz w:val="24"/>
          <w:szCs w:val="24"/>
        </w:rPr>
        <w:t>HARADA</w:t>
      </w:r>
    </w:p>
    <w:p w:rsidRPr="00C07994" w:rsidR="003062C2" w:rsidP="003062C2" w:rsidRDefault="003062C2" w14:paraId="271987F5" w14:textId="77777777">
      <w:pPr>
        <w:adjustRightInd w:val="0"/>
        <w:spacing w:line="240" w:lineRule="auto"/>
        <w:ind w:left="5040"/>
        <w:jc w:val="both"/>
        <w:rPr>
          <w:sz w:val="24"/>
          <w:szCs w:val="24"/>
        </w:rPr>
      </w:pPr>
      <w:r w:rsidRPr="00C07994">
        <w:rPr>
          <w:sz w:val="24"/>
          <w:szCs w:val="24"/>
        </w:rPr>
        <w:t xml:space="preserve">           Commissioners</w:t>
      </w:r>
    </w:p>
    <w:sectPr w:rsidRPr="00C07994" w:rsidR="003062C2" w:rsidSect="00231770">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76F6" w14:textId="77777777" w:rsidR="00722A02" w:rsidRDefault="00722A02" w:rsidP="0098138E">
      <w:pPr>
        <w:spacing w:line="240" w:lineRule="auto"/>
      </w:pPr>
      <w:r>
        <w:separator/>
      </w:r>
    </w:p>
  </w:endnote>
  <w:endnote w:type="continuationSeparator" w:id="0">
    <w:p w14:paraId="5D014EB7" w14:textId="77777777" w:rsidR="00722A02" w:rsidRDefault="00722A0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645B" w14:textId="3D86B469" w:rsidR="00AF2503" w:rsidRDefault="003E3CB3" w:rsidP="00695A1F">
    <w:pPr>
      <w:pStyle w:val="Footer"/>
      <w:ind w:firstLine="0"/>
    </w:pPr>
    <w:r w:rsidRPr="003E3CB3">
      <w:rPr>
        <w:sz w:val="16"/>
        <w:szCs w:val="16"/>
      </w:rPr>
      <w:t>603306591</w:t>
    </w:r>
    <w:r w:rsidR="00793425">
      <w:tab/>
      <w:t xml:space="preserve">- </w:t>
    </w:r>
    <w:sdt>
      <w:sdtPr>
        <w:id w:val="574176793"/>
        <w:docPartObj>
          <w:docPartGallery w:val="Page Numbers (Bottom of Page)"/>
          <w:docPartUnique/>
        </w:docPartObj>
      </w:sdtPr>
      <w:sdtEndPr>
        <w:rPr>
          <w:noProof/>
        </w:rPr>
      </w:sdtEndPr>
      <w:sdtContent>
        <w:r w:rsidR="00793425">
          <w:t xml:space="preserve"> </w:t>
        </w:r>
        <w:r w:rsidR="00793425">
          <w:fldChar w:fldCharType="begin"/>
        </w:r>
        <w:r w:rsidR="00793425">
          <w:instrText xml:space="preserve"> PAGE   \* MERGEFORMAT </w:instrText>
        </w:r>
        <w:r w:rsidR="00793425">
          <w:fldChar w:fldCharType="separate"/>
        </w:r>
        <w:r w:rsidR="00793425">
          <w:rPr>
            <w:noProof/>
          </w:rPr>
          <w:t>2</w:t>
        </w:r>
        <w:r w:rsidR="00793425">
          <w:rPr>
            <w:noProof/>
          </w:rPr>
          <w:fldChar w:fldCharType="end"/>
        </w:r>
        <w:r w:rsidR="00793425">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ACB5" w14:textId="3F8F39AF" w:rsidR="00231770" w:rsidRPr="009637C0" w:rsidRDefault="00231770" w:rsidP="00231770">
    <w:pPr>
      <w:ind w:left="4680" w:hanging="630"/>
    </w:pPr>
    <w:r>
      <w:t xml:space="preserve">- </w:t>
    </w:r>
    <w:sdt>
      <w:sdtPr>
        <w:id w:val="-1129468883"/>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1</w:t>
        </w:r>
        <w:r>
          <w:rPr>
            <w:noProof/>
          </w:rPr>
          <w:fldChar w:fldCharType="end"/>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991F" w14:textId="6232B003" w:rsidR="00793425" w:rsidRDefault="00000000" w:rsidP="00793425">
    <w:pPr>
      <w:pStyle w:val="Footer"/>
      <w:numPr>
        <w:ilvl w:val="0"/>
        <w:numId w:val="21"/>
      </w:numPr>
    </w:pPr>
    <w:sdt>
      <w:sdtPr>
        <w:id w:val="-2134858858"/>
        <w:docPartObj>
          <w:docPartGallery w:val="Page Numbers (Bottom of Page)"/>
          <w:docPartUnique/>
        </w:docPartObj>
      </w:sdtPr>
      <w:sdtEndPr>
        <w:rPr>
          <w:noProof/>
        </w:rPr>
      </w:sdtEndPr>
      <w:sdtContent>
        <w:r w:rsidR="00793425">
          <w:t xml:space="preserve"> </w:t>
        </w:r>
        <w:r w:rsidR="00793425">
          <w:fldChar w:fldCharType="begin"/>
        </w:r>
        <w:r w:rsidR="00793425">
          <w:instrText xml:space="preserve"> PAGE   \* MERGEFORMAT </w:instrText>
        </w:r>
        <w:r w:rsidR="00793425">
          <w:fldChar w:fldCharType="separate"/>
        </w:r>
        <w:r w:rsidR="00793425">
          <w:rPr>
            <w:noProof/>
          </w:rPr>
          <w:t>2</w:t>
        </w:r>
        <w:r w:rsidR="00793425">
          <w:rPr>
            <w:noProof/>
          </w:rPr>
          <w:fldChar w:fldCharType="end"/>
        </w:r>
      </w:sdtContent>
    </w:sdt>
    <w:r w:rsidR="00793425">
      <w:rPr>
        <w:noProof/>
      </w:rPr>
      <w:t xml:space="preserve"> -</w:t>
    </w:r>
  </w:p>
  <w:p w14:paraId="3ECCFA6A" w14:textId="77777777" w:rsidR="00231770" w:rsidRDefault="00231770" w:rsidP="00695A1F">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C35D" w14:textId="77777777" w:rsidR="00722A02" w:rsidRDefault="00722A02" w:rsidP="00DF58E7">
      <w:pPr>
        <w:spacing w:line="240" w:lineRule="auto"/>
        <w:ind w:firstLine="0"/>
      </w:pPr>
      <w:r>
        <w:separator/>
      </w:r>
    </w:p>
  </w:footnote>
  <w:footnote w:type="continuationSeparator" w:id="0">
    <w:p w14:paraId="1AB32903" w14:textId="77777777" w:rsidR="00722A02" w:rsidRDefault="00722A02" w:rsidP="00DF58E7">
      <w:pPr>
        <w:spacing w:line="240" w:lineRule="auto"/>
        <w:ind w:firstLine="0"/>
      </w:pPr>
      <w:r>
        <w:continuationSeparator/>
      </w:r>
    </w:p>
  </w:footnote>
  <w:footnote w:type="continuationNotice" w:id="1">
    <w:p w14:paraId="3604A545" w14:textId="77777777" w:rsidR="00722A02" w:rsidRPr="00DF58E7" w:rsidRDefault="00722A02"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D2A80E4" w14:textId="77777777" w:rsidR="00BF77CE" w:rsidRDefault="00BF77CE" w:rsidP="00BF77CE">
      <w:pPr>
        <w:pStyle w:val="FootnoteText"/>
      </w:pPr>
      <w:r>
        <w:rPr>
          <w:rStyle w:val="FootnoteReference"/>
        </w:rPr>
        <w:footnoteRef/>
      </w:r>
      <w:r>
        <w:t xml:space="preserve"> D.13-12-003 at 13.</w:t>
      </w:r>
    </w:p>
  </w:footnote>
  <w:footnote w:id="3">
    <w:p w14:paraId="45E589BF" w14:textId="0B4E8578" w:rsidR="004F5BBB" w:rsidRDefault="004F5BBB">
      <w:pPr>
        <w:pStyle w:val="FootnoteText"/>
      </w:pPr>
      <w:r>
        <w:rPr>
          <w:rStyle w:val="FootnoteReference"/>
        </w:rPr>
        <w:footnoteRef/>
      </w:r>
      <w:r>
        <w:t xml:space="preserve"> </w:t>
      </w:r>
      <w:r w:rsidR="00346A3B">
        <w:t>D.1</w:t>
      </w:r>
      <w:r w:rsidR="001070D5">
        <w:t>2</w:t>
      </w:r>
      <w:r w:rsidR="00346A3B">
        <w:t>-12-033</w:t>
      </w:r>
      <w:r w:rsidR="0056428C">
        <w:t xml:space="preserve"> at </w:t>
      </w:r>
      <w:r w:rsidR="0077161B">
        <w:t>4</w:t>
      </w:r>
      <w:r w:rsidR="00081A53">
        <w:t xml:space="preserve">, </w:t>
      </w:r>
      <w:r w:rsidR="00346A3B">
        <w:t xml:space="preserve">25, </w:t>
      </w:r>
      <w:r w:rsidR="00081A53">
        <w:t>and Conclusion of Law</w:t>
      </w:r>
      <w:r w:rsidR="0056428C">
        <w:t xml:space="preserve"> 8</w:t>
      </w:r>
      <w:r w:rsidR="00081A53">
        <w:t>.</w:t>
      </w:r>
    </w:p>
  </w:footnote>
  <w:footnote w:id="4">
    <w:p w14:paraId="5ADA4785" w14:textId="45049C4B" w:rsidR="00D74272" w:rsidRDefault="00D74272" w:rsidP="00D74272">
      <w:pPr>
        <w:pStyle w:val="FootnoteText"/>
      </w:pPr>
      <w:r>
        <w:rPr>
          <w:rStyle w:val="FootnoteReference"/>
        </w:rPr>
        <w:footnoteRef/>
      </w:r>
      <w:r>
        <w:t xml:space="preserve"> </w:t>
      </w:r>
      <w:r w:rsidRPr="004E2DC2">
        <w:rPr>
          <w:i/>
          <w:iCs/>
        </w:rPr>
        <w:t>CPUC Response to Executive Order N-24-5</w:t>
      </w:r>
      <w:r>
        <w:t xml:space="preserve">, available at </w:t>
      </w:r>
      <w:hyperlink r:id="rId1" w:history="1">
        <w:r w:rsidRPr="00534A93">
          <w:rPr>
            <w:rStyle w:val="Hyperlink"/>
          </w:rPr>
          <w:t>https://www.cpuc.ca.gov/-/media/cpuc-website/industries-and-topics/reports/cpuc-response-to-executive-order-n-5-24.pdf</w:t>
        </w:r>
      </w:hyperlink>
      <w:r>
        <w:t>.</w:t>
      </w:r>
    </w:p>
  </w:footnote>
  <w:footnote w:id="5">
    <w:p w14:paraId="02F69016" w14:textId="72E9760D" w:rsidR="00D74272" w:rsidRDefault="00D74272" w:rsidP="00D74272">
      <w:pPr>
        <w:pStyle w:val="FootnoteText"/>
      </w:pPr>
      <w:r>
        <w:rPr>
          <w:rStyle w:val="FootnoteReference"/>
        </w:rPr>
        <w:footnoteRef/>
      </w:r>
      <w:r>
        <w:t xml:space="preserve"> Pub. Util. Code Section 748.5(a)(3).</w:t>
      </w:r>
    </w:p>
  </w:footnote>
  <w:footnote w:id="6">
    <w:p w14:paraId="31AE588F" w14:textId="77777777" w:rsidR="00D74272" w:rsidRDefault="00D74272" w:rsidP="00D74272">
      <w:pPr>
        <w:pStyle w:val="FootnoteText"/>
      </w:pPr>
      <w:r>
        <w:rPr>
          <w:rStyle w:val="FootnoteReference"/>
        </w:rPr>
        <w:footnoteRef/>
      </w:r>
      <w:r>
        <w:t xml:space="preserve"> The Scoping Memo was additionally served to the service lists of R.11-03-012 and R.20-05-002.</w:t>
      </w:r>
    </w:p>
  </w:footnote>
  <w:footnote w:id="7">
    <w:p w14:paraId="08882724" w14:textId="77777777" w:rsidR="00D74272" w:rsidRDefault="00D74272" w:rsidP="00D74272">
      <w:pPr>
        <w:pStyle w:val="FootnoteText"/>
      </w:pPr>
      <w:r>
        <w:rPr>
          <w:rStyle w:val="FootnoteReference"/>
        </w:rPr>
        <w:footnoteRef/>
      </w:r>
      <w:r>
        <w:t xml:space="preserve"> Scoping Memo at 9.</w:t>
      </w:r>
    </w:p>
  </w:footnote>
  <w:footnote w:id="8">
    <w:p w14:paraId="0CD173DD" w14:textId="77777777" w:rsidR="008B5DAE" w:rsidRDefault="008B5DAE" w:rsidP="008B5DAE">
      <w:pPr>
        <w:pStyle w:val="FootnoteText"/>
      </w:pPr>
      <w:r>
        <w:rPr>
          <w:rStyle w:val="FootnoteReference"/>
        </w:rPr>
        <w:footnoteRef/>
      </w:r>
      <w:r>
        <w:t xml:space="preserve"> Scoping Memo at 9.</w:t>
      </w:r>
    </w:p>
  </w:footnote>
  <w:footnote w:id="9">
    <w:p w14:paraId="73C699D1" w14:textId="77777777" w:rsidR="00D74272" w:rsidRDefault="00D74272" w:rsidP="00D74272">
      <w:pPr>
        <w:pStyle w:val="FootnoteText"/>
      </w:pPr>
      <w:r>
        <w:rPr>
          <w:rStyle w:val="FootnoteReference"/>
        </w:rPr>
        <w:footnoteRef/>
      </w:r>
      <w:r>
        <w:t xml:space="preserve"> D.13-12-003, Ordering Paragraph (OP) 1d, and </w:t>
      </w:r>
      <w:r w:rsidRPr="00675986">
        <w:t>D.21-08-026</w:t>
      </w:r>
      <w:r>
        <w:t xml:space="preserve"> OP 8.</w:t>
      </w:r>
    </w:p>
  </w:footnote>
  <w:footnote w:id="10">
    <w:p w14:paraId="2507DEAA" w14:textId="77777777" w:rsidR="00D74272" w:rsidRDefault="00D74272" w:rsidP="00D74272">
      <w:pPr>
        <w:pStyle w:val="FootnoteText"/>
      </w:pPr>
      <w:r>
        <w:rPr>
          <w:rStyle w:val="FootnoteReference"/>
        </w:rPr>
        <w:footnoteRef/>
      </w:r>
      <w:r>
        <w:t xml:space="preserve"> The large electric utilities’ Climate Credit amounts are approved in their respective Energy Resource Recovery Account application proceedings.</w:t>
      </w:r>
    </w:p>
  </w:footnote>
  <w:footnote w:id="11">
    <w:p w14:paraId="08E7ABC0" w14:textId="0B61C655" w:rsidR="008B2559" w:rsidRDefault="008B2559">
      <w:pPr>
        <w:pStyle w:val="FootnoteText"/>
      </w:pPr>
      <w:r>
        <w:rPr>
          <w:rStyle w:val="FootnoteReference"/>
        </w:rPr>
        <w:footnoteRef/>
      </w:r>
      <w:r>
        <w:t xml:space="preserve"> </w:t>
      </w:r>
      <w:r w:rsidR="00530924">
        <w:t xml:space="preserve">Liberty Utilities did not have an approved 2026 Climate Credit amount as of the issuance of this </w:t>
      </w:r>
      <w:r w:rsidR="00BC6593">
        <w:t>proposed decision</w:t>
      </w:r>
      <w:r w:rsidR="00922EE2">
        <w:t>, therefore as of that time, Liberty is authorized only to distribute the amount approved for 2025</w:t>
      </w:r>
      <w:r w:rsidR="00530924">
        <w:t>. Its</w:t>
      </w:r>
      <w:r w:rsidR="00922EE2">
        <w:t xml:space="preserve"> 2026</w:t>
      </w:r>
      <w:r w:rsidR="00530924">
        <w:t xml:space="preserve"> </w:t>
      </w:r>
      <w:r w:rsidR="00554796">
        <w:t xml:space="preserve">proposed amount is pending within its 2026 ECAC. </w:t>
      </w:r>
    </w:p>
  </w:footnote>
  <w:footnote w:id="12">
    <w:p w14:paraId="635341E0" w14:textId="77777777" w:rsidR="00883842" w:rsidRDefault="00883842" w:rsidP="00883842">
      <w:pPr>
        <w:pStyle w:val="FootnoteText"/>
      </w:pPr>
      <w:r>
        <w:rPr>
          <w:rStyle w:val="FootnoteReference"/>
        </w:rPr>
        <w:footnoteRef/>
      </w:r>
      <w:r>
        <w:t xml:space="preserve"> Reporter’s Transcript (RT) of November 21, 2026 PHC, page 71: lines 17-19; TURN Post-PHC Statement at 1; SBUA Post-PHC Statement at 2; EJ Parties’ Post-PHC Statement at 1.</w:t>
      </w:r>
    </w:p>
  </w:footnote>
  <w:footnote w:id="13">
    <w:p w14:paraId="56D86BB5" w14:textId="01160284" w:rsidR="008F4F8F" w:rsidRDefault="008F4F8F">
      <w:pPr>
        <w:pStyle w:val="FootnoteText"/>
      </w:pPr>
      <w:r>
        <w:rPr>
          <w:rStyle w:val="FootnoteReference"/>
        </w:rPr>
        <w:footnoteRef/>
      </w:r>
      <w:r>
        <w:t xml:space="preserve"> RT </w:t>
      </w:r>
      <w:r w:rsidR="007F5CE0">
        <w:t>64: 4-9.</w:t>
      </w:r>
    </w:p>
  </w:footnote>
  <w:footnote w:id="14">
    <w:p w14:paraId="13018172" w14:textId="5DDE6F7D" w:rsidR="00D90E82" w:rsidRDefault="00D90E82" w:rsidP="00D90E82">
      <w:pPr>
        <w:pStyle w:val="FootnoteText"/>
      </w:pPr>
      <w:r>
        <w:rPr>
          <w:rStyle w:val="FootnoteReference"/>
        </w:rPr>
        <w:footnoteRef/>
      </w:r>
      <w:r>
        <w:t xml:space="preserve"> SDG&amp;E Post-PHC Statement at </w:t>
      </w:r>
      <w:r w:rsidR="005F3786">
        <w:t>1-2</w:t>
      </w:r>
      <w:r>
        <w:t xml:space="preserve">; EJ Parties’ Post-PHC Statement at 3. </w:t>
      </w:r>
    </w:p>
  </w:footnote>
  <w:footnote w:id="15">
    <w:p w14:paraId="163D5ABB" w14:textId="2BA28B7F" w:rsidR="00DD4C6D" w:rsidRDefault="00DD4C6D">
      <w:pPr>
        <w:pStyle w:val="FootnoteText"/>
      </w:pPr>
      <w:r>
        <w:rPr>
          <w:rStyle w:val="FootnoteReference"/>
        </w:rPr>
        <w:footnoteRef/>
      </w:r>
      <w:r>
        <w:t xml:space="preserve"> </w:t>
      </w:r>
      <w:r w:rsidR="00FC41D9">
        <w:t xml:space="preserve">NRDC OIR </w:t>
      </w:r>
      <w:r w:rsidR="00D259B5">
        <w:t xml:space="preserve">Reply </w:t>
      </w:r>
      <w:r w:rsidR="00FC41D9">
        <w:t xml:space="preserve">Comments at 2; </w:t>
      </w:r>
      <w:r w:rsidR="00A61A6A">
        <w:t xml:space="preserve">CUE OIR Comments at 3; </w:t>
      </w:r>
      <w:r w:rsidR="00D70B4F">
        <w:t>EDF OIR Comments at 3</w:t>
      </w:r>
      <w:r w:rsidR="001447C9">
        <w:t>;</w:t>
      </w:r>
      <w:r w:rsidR="005A31E5">
        <w:t xml:space="preserve"> NRDC OIR Comments at 2;</w:t>
      </w:r>
      <w:r w:rsidR="00C1726A">
        <w:t xml:space="preserve"> PG&amp;E OIR Comments at 7; </w:t>
      </w:r>
      <w:r w:rsidR="00023484">
        <w:t>SCG OIR Comments at 4;</w:t>
      </w:r>
      <w:r w:rsidR="00E33856">
        <w:t xml:space="preserve"> SDG&amp;E OIR Comments at 4;</w:t>
      </w:r>
      <w:r w:rsidR="008E08D1">
        <w:t xml:space="preserve"> TURN OIR Comments at 3;</w:t>
      </w:r>
      <w:r w:rsidR="00C95AAF">
        <w:t xml:space="preserve"> SDG&amp;E</w:t>
      </w:r>
      <w:r w:rsidR="00AD63F2">
        <w:t xml:space="preserve"> Post-PHC Statement at 1-2</w:t>
      </w:r>
      <w:r w:rsidR="005F3786">
        <w:t xml:space="preserve">; </w:t>
      </w:r>
      <w:r w:rsidR="00CC5A42">
        <w:t xml:space="preserve">SMJU Post-PHC Comments at </w:t>
      </w:r>
      <w:r w:rsidR="00BF6099">
        <w:t>1-2.</w:t>
      </w:r>
    </w:p>
  </w:footnote>
  <w:footnote w:id="16">
    <w:p w14:paraId="0C1311F5" w14:textId="77777777" w:rsidR="00883842" w:rsidRDefault="00883842" w:rsidP="00883842">
      <w:pPr>
        <w:pStyle w:val="FootnoteText"/>
      </w:pPr>
      <w:r>
        <w:rPr>
          <w:rStyle w:val="FootnoteReference"/>
        </w:rPr>
        <w:footnoteRef/>
      </w:r>
      <w:r>
        <w:t xml:space="preserve"> RT 52: 9-25; SCE Post-PHC Statement at 1-2; PG&amp;E Post-PHC Statement at 2; SDG&amp;E Post-PHC Statement at 1-2.</w:t>
      </w:r>
    </w:p>
  </w:footnote>
  <w:footnote w:id="17">
    <w:p w14:paraId="52A4A6D7" w14:textId="77777777" w:rsidR="00883842" w:rsidRDefault="00883842" w:rsidP="00883842">
      <w:pPr>
        <w:pStyle w:val="FootnoteText"/>
      </w:pPr>
      <w:r>
        <w:rPr>
          <w:rStyle w:val="FootnoteReference"/>
        </w:rPr>
        <w:footnoteRef/>
      </w:r>
      <w:r>
        <w:t xml:space="preserve"> RT 55: 19-25.</w:t>
      </w:r>
    </w:p>
  </w:footnote>
  <w:footnote w:id="18">
    <w:p w14:paraId="11A160D9" w14:textId="77777777" w:rsidR="00883842" w:rsidRDefault="00883842" w:rsidP="00883842">
      <w:pPr>
        <w:pStyle w:val="FootnoteText"/>
      </w:pPr>
      <w:r>
        <w:rPr>
          <w:rStyle w:val="FootnoteReference"/>
        </w:rPr>
        <w:footnoteRef/>
      </w:r>
      <w:r>
        <w:t xml:space="preserve"> SCE Post-PHC Statement at 5; PG&amp;E Post-PHC Statement at 2; SDG&amp;E Post-PHC Statement at 2-3.</w:t>
      </w:r>
    </w:p>
  </w:footnote>
  <w:footnote w:id="19">
    <w:p w14:paraId="297439F1" w14:textId="77777777" w:rsidR="009B0B27" w:rsidRDefault="009B0B27" w:rsidP="009B0B27">
      <w:pPr>
        <w:pStyle w:val="FootnoteText"/>
      </w:pPr>
      <w:r>
        <w:rPr>
          <w:rStyle w:val="FootnoteReference"/>
        </w:rPr>
        <w:footnoteRef/>
      </w:r>
      <w:r>
        <w:t xml:space="preserve"> D.23-02-014, issued in response to Cal Advocates’ emergency Winter Bill relief motion.</w:t>
      </w:r>
    </w:p>
  </w:footnote>
  <w:footnote w:id="20">
    <w:p w14:paraId="6DEAED7F" w14:textId="2248F37E" w:rsidR="00B42323" w:rsidRDefault="00B42323">
      <w:pPr>
        <w:pStyle w:val="FootnoteText"/>
      </w:pPr>
      <w:r>
        <w:rPr>
          <w:rStyle w:val="FootnoteReference"/>
        </w:rPr>
        <w:footnoteRef/>
      </w:r>
      <w:r>
        <w:t xml:space="preserve"> </w:t>
      </w:r>
      <w:r w:rsidR="0079754A">
        <w:t>D.</w:t>
      </w:r>
      <w:r w:rsidR="00B61A2F">
        <w:t>25-12-028, D</w:t>
      </w:r>
      <w:r w:rsidR="00C1531A">
        <w:t xml:space="preserve">.25-12-008, and </w:t>
      </w:r>
      <w:r w:rsidR="0079754A">
        <w:t>D.25-12-027.</w:t>
      </w:r>
    </w:p>
  </w:footnote>
  <w:footnote w:id="21">
    <w:p w14:paraId="2C43F101" w14:textId="77777777" w:rsidR="00D74272" w:rsidRDefault="00D74272" w:rsidP="00D74272">
      <w:pPr>
        <w:pStyle w:val="FootnoteText"/>
      </w:pPr>
      <w:r>
        <w:rPr>
          <w:rStyle w:val="FootnoteReference"/>
        </w:rPr>
        <w:footnoteRef/>
      </w:r>
      <w:r>
        <w:t xml:space="preserve"> D.21-08-026 at 42.</w:t>
      </w:r>
    </w:p>
  </w:footnote>
  <w:footnote w:id="22">
    <w:p w14:paraId="7F1DB779" w14:textId="6EDC5555" w:rsidR="007F344B" w:rsidRDefault="007F344B" w:rsidP="007F344B">
      <w:pPr>
        <w:pStyle w:val="FootnoteText"/>
      </w:pPr>
      <w:r>
        <w:rPr>
          <w:rStyle w:val="FootnoteReference"/>
        </w:rPr>
        <w:footnoteRef/>
      </w:r>
      <w:r>
        <w:t xml:space="preserve"> SCE notes that its tariffs </w:t>
      </w:r>
      <w:r w:rsidR="00E154ED">
        <w:t>specifically</w:t>
      </w:r>
      <w:r>
        <w:t xml:space="preserve"> state the month credits are distributed, which means </w:t>
      </w:r>
      <w:r w:rsidR="00E154ED">
        <w:t>SCE</w:t>
      </w:r>
      <w:r>
        <w:t xml:space="preserve"> must update them to conform to this decision; other companies’ tariffs </w:t>
      </w:r>
      <w:r w:rsidR="00E154ED">
        <w:t>may differ</w:t>
      </w:r>
      <w:r>
        <w:t>.</w:t>
      </w:r>
    </w:p>
  </w:footnote>
  <w:footnote w:id="23">
    <w:p w14:paraId="7D876F66" w14:textId="7161736F" w:rsidR="00771792" w:rsidRDefault="00771792">
      <w:pPr>
        <w:pStyle w:val="FootnoteText"/>
      </w:pPr>
      <w:r>
        <w:rPr>
          <w:rStyle w:val="FootnoteReference"/>
        </w:rPr>
        <w:footnoteRef/>
      </w:r>
      <w:r>
        <w:t xml:space="preserve"> PG&amp;E</w:t>
      </w:r>
      <w:r w:rsidR="00AB01D6">
        <w:t xml:space="preserve"> PD Reply Comments at 1-2</w:t>
      </w:r>
      <w:r w:rsidR="008A2C0D">
        <w:t xml:space="preserve">, SDG&amp;E PD Comments at </w:t>
      </w:r>
      <w:r w:rsidR="00AC499D">
        <w:t>3.</w:t>
      </w:r>
    </w:p>
  </w:footnote>
  <w:footnote w:id="24">
    <w:p w14:paraId="09029CAD" w14:textId="11163D30" w:rsidR="00985BF7" w:rsidRDefault="00985BF7">
      <w:pPr>
        <w:pStyle w:val="FootnoteText"/>
      </w:pPr>
      <w:r>
        <w:rPr>
          <w:rStyle w:val="FootnoteReference"/>
        </w:rPr>
        <w:footnoteRef/>
      </w:r>
      <w:r>
        <w:t xml:space="preserve"> </w:t>
      </w:r>
      <w:r w:rsidR="00D839DD">
        <w:t>RT 64: 15-24.</w:t>
      </w:r>
    </w:p>
  </w:footnote>
  <w:footnote w:id="25">
    <w:p w14:paraId="2065A448" w14:textId="4717130E" w:rsidR="00A54586" w:rsidRDefault="00A54586">
      <w:pPr>
        <w:pStyle w:val="FootnoteText"/>
      </w:pPr>
      <w:r>
        <w:rPr>
          <w:rStyle w:val="FootnoteReference"/>
        </w:rPr>
        <w:footnoteRef/>
      </w:r>
      <w:r>
        <w:t xml:space="preserve"> PG&amp;E PD Reply Comments at 1-2</w:t>
      </w:r>
      <w:r w:rsidR="00024B60">
        <w:t>.</w:t>
      </w:r>
    </w:p>
  </w:footnote>
  <w:footnote w:id="26">
    <w:p w14:paraId="45818D47" w14:textId="77777777" w:rsidR="00D74272" w:rsidRDefault="00D74272" w:rsidP="00D74272">
      <w:pPr>
        <w:pStyle w:val="FootnoteText"/>
      </w:pPr>
      <w:r>
        <w:rPr>
          <w:rStyle w:val="FootnoteReference"/>
        </w:rPr>
        <w:footnoteRef/>
      </w:r>
      <w:r>
        <w:t xml:space="preserve"> D.21-08-026, OP 6.</w:t>
      </w:r>
    </w:p>
  </w:footnote>
  <w:footnote w:id="27">
    <w:p w14:paraId="4844944D" w14:textId="1032677F" w:rsidR="00546CD7" w:rsidRDefault="00546CD7">
      <w:pPr>
        <w:pStyle w:val="FootnoteText"/>
      </w:pPr>
      <w:r>
        <w:rPr>
          <w:rStyle w:val="FootnoteReference"/>
        </w:rPr>
        <w:footnoteRef/>
      </w:r>
      <w:r>
        <w:t xml:space="preserve"> SCE </w:t>
      </w:r>
      <w:r w:rsidR="00686FAF">
        <w:t>PD Comments at 1.</w:t>
      </w:r>
    </w:p>
  </w:footnote>
  <w:footnote w:id="28">
    <w:p w14:paraId="1ABD105C" w14:textId="77777777" w:rsidR="00AA3D5B" w:rsidRDefault="00AA3D5B" w:rsidP="00AA3D5B">
      <w:pPr>
        <w:pStyle w:val="FootnoteText"/>
      </w:pPr>
      <w:r>
        <w:rPr>
          <w:rStyle w:val="FootnoteReference"/>
        </w:rPr>
        <w:footnoteRef/>
      </w:r>
      <w:r>
        <w:t xml:space="preserve"> SDG&amp;E PD Comments at 2.</w:t>
      </w:r>
    </w:p>
  </w:footnote>
  <w:footnote w:id="29">
    <w:p w14:paraId="27591D63" w14:textId="26AE6874" w:rsidR="000D00D9" w:rsidRDefault="000D00D9">
      <w:pPr>
        <w:pStyle w:val="FootnoteText"/>
      </w:pPr>
      <w:r>
        <w:rPr>
          <w:rStyle w:val="FootnoteReference"/>
        </w:rPr>
        <w:footnoteRef/>
      </w:r>
      <w:r>
        <w:t xml:space="preserve"> TURN PD Comments at 1.</w:t>
      </w:r>
    </w:p>
  </w:footnote>
  <w:footnote w:id="30">
    <w:p w14:paraId="661778EA" w14:textId="0D47AA96" w:rsidR="00A85A6C" w:rsidRDefault="00A85A6C">
      <w:pPr>
        <w:pStyle w:val="FootnoteText"/>
      </w:pPr>
      <w:r>
        <w:rPr>
          <w:rStyle w:val="FootnoteReference"/>
        </w:rPr>
        <w:footnoteRef/>
      </w:r>
      <w:r>
        <w:t xml:space="preserve"> </w:t>
      </w:r>
      <w:r w:rsidR="00371666">
        <w:t>TURN PD Comments at 1</w:t>
      </w:r>
      <w:r>
        <w:t>.</w:t>
      </w:r>
    </w:p>
  </w:footnote>
  <w:footnote w:id="31">
    <w:p w14:paraId="04B62C18" w14:textId="0C5F9768" w:rsidR="00BD2BED" w:rsidRDefault="00BD2BED">
      <w:pPr>
        <w:pStyle w:val="FootnoteText"/>
      </w:pPr>
      <w:r>
        <w:rPr>
          <w:rStyle w:val="FootnoteReference"/>
        </w:rPr>
        <w:footnoteRef/>
      </w:r>
      <w:r>
        <w:t xml:space="preserve"> </w:t>
      </w:r>
      <w:r w:rsidR="00325EE2">
        <w:t>TURN PD Comments</w:t>
      </w:r>
      <w:r>
        <w:t xml:space="preserve"> at </w:t>
      </w:r>
      <w:r w:rsidR="004A5E8D">
        <w:t>3-</w:t>
      </w:r>
      <w:r>
        <w:t>4.</w:t>
      </w:r>
    </w:p>
  </w:footnote>
  <w:footnote w:id="32">
    <w:p w14:paraId="763F6492" w14:textId="77777777" w:rsidR="000A4AC7" w:rsidRDefault="000A4AC7" w:rsidP="000A4AC7">
      <w:pPr>
        <w:pStyle w:val="FootnoteText"/>
      </w:pPr>
      <w:r>
        <w:rPr>
          <w:rStyle w:val="FootnoteReference"/>
        </w:rPr>
        <w:footnoteRef/>
      </w:r>
      <w:r>
        <w:t xml:space="preserve"> TURN PD Comments at 2. </w:t>
      </w:r>
    </w:p>
  </w:footnote>
  <w:footnote w:id="33">
    <w:p w14:paraId="2A07EFE3" w14:textId="77777777" w:rsidR="00371666" w:rsidRDefault="00371666" w:rsidP="00371666">
      <w:pPr>
        <w:pStyle w:val="FootnoteText"/>
      </w:pPr>
      <w:r>
        <w:rPr>
          <w:rStyle w:val="FootnoteReference"/>
        </w:rPr>
        <w:footnoteRef/>
      </w:r>
      <w:r>
        <w:t xml:space="preserve"> EJ Parties PD Comments at 3.</w:t>
      </w:r>
    </w:p>
  </w:footnote>
  <w:footnote w:id="34">
    <w:p w14:paraId="12138369" w14:textId="749461F3" w:rsidR="007525A2" w:rsidRDefault="007525A2">
      <w:pPr>
        <w:pStyle w:val="FootnoteText"/>
      </w:pPr>
      <w:r>
        <w:rPr>
          <w:rStyle w:val="FootnoteReference"/>
        </w:rPr>
        <w:footnoteRef/>
      </w:r>
      <w:r>
        <w:t xml:space="preserve"> EJ Parties PD Comments at 1.</w:t>
      </w:r>
    </w:p>
  </w:footnote>
  <w:footnote w:id="35">
    <w:p w14:paraId="4FAB93C9" w14:textId="40478CBB" w:rsidR="00B556CB" w:rsidRDefault="00B556CB">
      <w:pPr>
        <w:pStyle w:val="FootnoteText"/>
      </w:pPr>
      <w:r>
        <w:rPr>
          <w:rStyle w:val="FootnoteReference"/>
        </w:rPr>
        <w:footnoteRef/>
      </w:r>
      <w:r>
        <w:t xml:space="preserve"> </w:t>
      </w:r>
      <w:r w:rsidR="00371666">
        <w:t>EJ Parties PD Comments</w:t>
      </w:r>
      <w:r w:rsidR="007525A2">
        <w:t xml:space="preserve"> at 2</w:t>
      </w:r>
      <w:r>
        <w:t>.</w:t>
      </w:r>
    </w:p>
  </w:footnote>
  <w:footnote w:id="36">
    <w:p w14:paraId="01195F7E" w14:textId="73221EA5" w:rsidR="004B4E6B" w:rsidRDefault="004B4E6B">
      <w:pPr>
        <w:pStyle w:val="FootnoteText"/>
      </w:pPr>
      <w:r>
        <w:rPr>
          <w:rStyle w:val="FootnoteReference"/>
        </w:rPr>
        <w:footnoteRef/>
      </w:r>
      <w:r>
        <w:t xml:space="preserve"> SDG&amp;E PD Comments at 2.</w:t>
      </w:r>
    </w:p>
  </w:footnote>
  <w:footnote w:id="37">
    <w:p w14:paraId="0840759E" w14:textId="7F5337D2" w:rsidR="001A674B" w:rsidRDefault="001A674B">
      <w:pPr>
        <w:pStyle w:val="FootnoteText"/>
      </w:pPr>
      <w:r>
        <w:rPr>
          <w:rStyle w:val="FootnoteReference"/>
        </w:rPr>
        <w:footnoteRef/>
      </w:r>
      <w:r>
        <w:t xml:space="preserve"> </w:t>
      </w:r>
      <w:r w:rsidR="00371666">
        <w:t>EJ Parties PD Comments</w:t>
      </w:r>
      <w:r>
        <w:t xml:space="preserve"> at 3.</w:t>
      </w:r>
    </w:p>
  </w:footnote>
  <w:footnote w:id="38">
    <w:p w14:paraId="2F37D522" w14:textId="16DCBEB5" w:rsidR="003B5AEE" w:rsidRDefault="003B5AEE">
      <w:pPr>
        <w:pStyle w:val="FootnoteText"/>
      </w:pPr>
      <w:r>
        <w:rPr>
          <w:rStyle w:val="FootnoteReference"/>
        </w:rPr>
        <w:footnoteRef/>
      </w:r>
      <w:r>
        <w:t xml:space="preserve"> </w:t>
      </w:r>
      <w:r w:rsidR="00CA3448">
        <w:t>CalCCA PD Comments at 2.</w:t>
      </w:r>
    </w:p>
  </w:footnote>
  <w:footnote w:id="39">
    <w:p w14:paraId="4F1C503C" w14:textId="367BC8E8" w:rsidR="002D2EA1" w:rsidRDefault="002D2EA1">
      <w:pPr>
        <w:pStyle w:val="FootnoteText"/>
      </w:pPr>
      <w:r>
        <w:rPr>
          <w:rStyle w:val="FootnoteReference"/>
        </w:rPr>
        <w:footnoteRef/>
      </w:r>
      <w:r>
        <w:t xml:space="preserve"> </w:t>
      </w:r>
      <w:r w:rsidR="00371666">
        <w:t>CalCCA PD Comments at 2</w:t>
      </w:r>
      <w:r>
        <w:t>.</w:t>
      </w:r>
    </w:p>
  </w:footnote>
  <w:footnote w:id="40">
    <w:p w14:paraId="62D12461" w14:textId="16FC548C" w:rsidR="001228CD" w:rsidRDefault="001228CD" w:rsidP="001228CD">
      <w:pPr>
        <w:pStyle w:val="FootnoteText"/>
      </w:pPr>
      <w:r>
        <w:rPr>
          <w:rStyle w:val="FootnoteReference"/>
        </w:rPr>
        <w:footnoteRef/>
      </w:r>
      <w:r>
        <w:t xml:space="preserve"> </w:t>
      </w:r>
      <w:r w:rsidR="00C32D78">
        <w:t>EJ Parties PD Comments at 1.</w:t>
      </w:r>
    </w:p>
  </w:footnote>
  <w:footnote w:id="41">
    <w:p w14:paraId="61E9B2AD" w14:textId="14043647" w:rsidR="002B0DE9" w:rsidRDefault="002B0DE9" w:rsidP="002B0DE9">
      <w:pPr>
        <w:pStyle w:val="FootnoteText"/>
      </w:pPr>
      <w:r>
        <w:rPr>
          <w:rStyle w:val="FootnoteReference"/>
        </w:rPr>
        <w:footnoteRef/>
      </w:r>
      <w:r>
        <w:t xml:space="preserve"> </w:t>
      </w:r>
      <w:r w:rsidR="00460830">
        <w:t>CalCCA PD Comments at 3, EDF PD Comments at 4.</w:t>
      </w:r>
    </w:p>
  </w:footnote>
  <w:footnote w:id="42">
    <w:p w14:paraId="6B7ABA68" w14:textId="77777777" w:rsidR="00D9333B" w:rsidRDefault="00D9333B" w:rsidP="00D9333B">
      <w:pPr>
        <w:pStyle w:val="FootnoteText"/>
      </w:pPr>
      <w:r>
        <w:rPr>
          <w:rStyle w:val="FootnoteReference"/>
        </w:rPr>
        <w:footnoteRef/>
      </w:r>
      <w:r>
        <w:t xml:space="preserve"> CalCCA PD Comments at 5.</w:t>
      </w:r>
    </w:p>
  </w:footnote>
  <w:footnote w:id="43">
    <w:p w14:paraId="3F60E3CF" w14:textId="77777777" w:rsidR="00F32A6C" w:rsidRDefault="00F32A6C" w:rsidP="00F32A6C">
      <w:pPr>
        <w:pStyle w:val="FootnoteText"/>
      </w:pPr>
      <w:r>
        <w:rPr>
          <w:rStyle w:val="FootnoteReference"/>
        </w:rPr>
        <w:footnoteRef/>
      </w:r>
      <w:r>
        <w:t xml:space="preserve"> SDG&amp;E PD Reply Comments at 4.</w:t>
      </w:r>
    </w:p>
  </w:footnote>
  <w:footnote w:id="44">
    <w:p w14:paraId="223BA6CE" w14:textId="408F1F4B" w:rsidR="00F5415C" w:rsidRDefault="00F5415C">
      <w:pPr>
        <w:pStyle w:val="FootnoteText"/>
      </w:pPr>
      <w:r>
        <w:rPr>
          <w:rStyle w:val="FootnoteReference"/>
        </w:rPr>
        <w:footnoteRef/>
      </w:r>
      <w:r>
        <w:t xml:space="preserve"> SDG&amp;E PD Comments at 4-5.</w:t>
      </w:r>
    </w:p>
  </w:footnote>
  <w:footnote w:id="45">
    <w:p w14:paraId="6ADB80B4" w14:textId="3CD2FDFE" w:rsidR="00DA1EE8" w:rsidRDefault="00DA1EE8">
      <w:pPr>
        <w:pStyle w:val="FootnoteText"/>
      </w:pPr>
      <w:r>
        <w:rPr>
          <w:rStyle w:val="FootnoteReference"/>
        </w:rPr>
        <w:footnoteRef/>
      </w:r>
      <w:r>
        <w:t xml:space="preserve"> </w:t>
      </w:r>
      <w:r w:rsidR="005557BD">
        <w:t>CalCCA PD Comments at 7.</w:t>
      </w:r>
    </w:p>
  </w:footnote>
  <w:footnote w:id="46">
    <w:p w14:paraId="2EC4A918" w14:textId="077FFEF0" w:rsidR="002E029B" w:rsidRDefault="002E029B">
      <w:pPr>
        <w:pStyle w:val="FootnoteText"/>
      </w:pPr>
      <w:r>
        <w:rPr>
          <w:rStyle w:val="FootnoteReference"/>
        </w:rPr>
        <w:footnoteRef/>
      </w:r>
      <w:r>
        <w:t xml:space="preserve"> </w:t>
      </w:r>
      <w:r w:rsidR="00D64FA5">
        <w:t xml:space="preserve">Such as, </w:t>
      </w:r>
      <w:r w:rsidR="00C461FF">
        <w:t>D.12-12-033</w:t>
      </w:r>
      <w:r w:rsidR="001314D9">
        <w:t>,</w:t>
      </w:r>
      <w:r w:rsidR="00C461FF">
        <w:t xml:space="preserve"> OP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9F59" w14:textId="77777777" w:rsidR="00B4444E" w:rsidRPr="00966815" w:rsidRDefault="00B4444E" w:rsidP="00B4444E">
    <w:pPr>
      <w:pStyle w:val="Header"/>
      <w:tabs>
        <w:tab w:val="clear" w:pos="4680"/>
      </w:tabs>
      <w:ind w:firstLine="0"/>
      <w:rPr>
        <w:b/>
      </w:rPr>
    </w:pPr>
    <w:r w:rsidRPr="00966815">
      <w:t>R.25-07-</w:t>
    </w:r>
    <w:proofErr w:type="gramStart"/>
    <w:r w:rsidRPr="00966815">
      <w:t xml:space="preserve">013  </w:t>
    </w:r>
    <w:r w:rsidRPr="00B4444E">
      <w:t>ALJ</w:t>
    </w:r>
    <w:proofErr w:type="gramEnd"/>
    <w:r w:rsidRPr="00B4444E">
      <w:t>/MS9/</w:t>
    </w:r>
    <w:proofErr w:type="spellStart"/>
    <w:r w:rsidRPr="00B4444E">
      <w:t>jds</w:t>
    </w:r>
    <w:proofErr w:type="spellEnd"/>
  </w:p>
  <w:p w14:paraId="0F75EEC1" w14:textId="77777777" w:rsidR="00793425" w:rsidRPr="00B4444E" w:rsidRDefault="00793425" w:rsidP="00B4444E">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E7C8" w14:textId="77777777" w:rsidR="00AF2503" w:rsidRDefault="00AF2503" w:rsidP="00695A1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23F8" w14:textId="1C52132E" w:rsidR="00793425" w:rsidRPr="00966815" w:rsidRDefault="00793425" w:rsidP="00793425">
    <w:pPr>
      <w:pStyle w:val="Header"/>
      <w:tabs>
        <w:tab w:val="clear" w:pos="4680"/>
      </w:tabs>
      <w:ind w:firstLine="0"/>
      <w:rPr>
        <w:b/>
      </w:rPr>
    </w:pPr>
    <w:r w:rsidRPr="00966815">
      <w:t>R.25-07-</w:t>
    </w:r>
    <w:proofErr w:type="gramStart"/>
    <w:r w:rsidRPr="00966815">
      <w:t xml:space="preserve">013  </w:t>
    </w:r>
    <w:r w:rsidR="00B4444E" w:rsidRPr="00B4444E">
      <w:t>ALJ</w:t>
    </w:r>
    <w:proofErr w:type="gramEnd"/>
    <w:r w:rsidR="00B4444E" w:rsidRPr="00B4444E">
      <w:t>/MS9/</w:t>
    </w:r>
    <w:proofErr w:type="spellStart"/>
    <w:r w:rsidR="00B4444E" w:rsidRPr="00B4444E">
      <w:t>jds</w:t>
    </w:r>
    <w:proofErr w:type="spellEnd"/>
  </w:p>
  <w:p w14:paraId="2B00A2C2" w14:textId="2560DD86" w:rsidR="00A10D33" w:rsidRPr="00793425" w:rsidRDefault="00A10D33" w:rsidP="00793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61034"/>
    <w:multiLevelType w:val="hybridMultilevel"/>
    <w:tmpl w:val="4E0C9FA8"/>
    <w:lvl w:ilvl="0" w:tplc="B2387CB2">
      <w:numFmt w:val="bullet"/>
      <w:lvlText w:val="-"/>
      <w:lvlJc w:val="left"/>
      <w:pPr>
        <w:ind w:left="5040" w:hanging="360"/>
      </w:pPr>
      <w:rPr>
        <w:rFonts w:ascii="Book Antiqua" w:eastAsiaTheme="minorHAnsi" w:hAnsi="Book Antiqua" w:cstheme="minorBidi"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8B72BEB"/>
    <w:multiLevelType w:val="hybridMultilevel"/>
    <w:tmpl w:val="2B48F45E"/>
    <w:lvl w:ilvl="0" w:tplc="8B8849BC">
      <w:numFmt w:val="bullet"/>
      <w:lvlText w:val="-"/>
      <w:lvlJc w:val="left"/>
      <w:pPr>
        <w:ind w:left="4680" w:hanging="360"/>
      </w:pPr>
      <w:rPr>
        <w:rFonts w:ascii="Book Antiqua" w:eastAsiaTheme="minorHAnsi" w:hAnsi="Book Antiqua"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AC728E1"/>
    <w:multiLevelType w:val="hybridMultilevel"/>
    <w:tmpl w:val="A620C89A"/>
    <w:lvl w:ilvl="0" w:tplc="ABC4FDB4">
      <w:start w:val="18"/>
      <w:numFmt w:val="bullet"/>
      <w:lvlText w:val="-"/>
      <w:lvlJc w:val="left"/>
      <w:pPr>
        <w:ind w:left="4932" w:hanging="360"/>
      </w:pPr>
      <w:rPr>
        <w:rFonts w:ascii="Book Antiqua" w:eastAsiaTheme="minorHAnsi" w:hAnsi="Book Antiqua" w:cstheme="minorBidi" w:hint="default"/>
      </w:rPr>
    </w:lvl>
    <w:lvl w:ilvl="1" w:tplc="04090003" w:tentative="1">
      <w:start w:val="1"/>
      <w:numFmt w:val="bullet"/>
      <w:lvlText w:val="o"/>
      <w:lvlJc w:val="left"/>
      <w:pPr>
        <w:ind w:left="5652" w:hanging="360"/>
      </w:pPr>
      <w:rPr>
        <w:rFonts w:ascii="Courier New" w:hAnsi="Courier New" w:cs="Courier New" w:hint="default"/>
      </w:rPr>
    </w:lvl>
    <w:lvl w:ilvl="2" w:tplc="04090005" w:tentative="1">
      <w:start w:val="1"/>
      <w:numFmt w:val="bullet"/>
      <w:lvlText w:val=""/>
      <w:lvlJc w:val="left"/>
      <w:pPr>
        <w:ind w:left="6372" w:hanging="360"/>
      </w:pPr>
      <w:rPr>
        <w:rFonts w:ascii="Wingdings" w:hAnsi="Wingdings" w:hint="default"/>
      </w:rPr>
    </w:lvl>
    <w:lvl w:ilvl="3" w:tplc="04090001" w:tentative="1">
      <w:start w:val="1"/>
      <w:numFmt w:val="bullet"/>
      <w:lvlText w:val=""/>
      <w:lvlJc w:val="left"/>
      <w:pPr>
        <w:ind w:left="7092" w:hanging="360"/>
      </w:pPr>
      <w:rPr>
        <w:rFonts w:ascii="Symbol" w:hAnsi="Symbol" w:hint="default"/>
      </w:rPr>
    </w:lvl>
    <w:lvl w:ilvl="4" w:tplc="04090003" w:tentative="1">
      <w:start w:val="1"/>
      <w:numFmt w:val="bullet"/>
      <w:lvlText w:val="o"/>
      <w:lvlJc w:val="left"/>
      <w:pPr>
        <w:ind w:left="7812" w:hanging="360"/>
      </w:pPr>
      <w:rPr>
        <w:rFonts w:ascii="Courier New" w:hAnsi="Courier New" w:cs="Courier New" w:hint="default"/>
      </w:rPr>
    </w:lvl>
    <w:lvl w:ilvl="5" w:tplc="04090005" w:tentative="1">
      <w:start w:val="1"/>
      <w:numFmt w:val="bullet"/>
      <w:lvlText w:val=""/>
      <w:lvlJc w:val="left"/>
      <w:pPr>
        <w:ind w:left="8532" w:hanging="360"/>
      </w:pPr>
      <w:rPr>
        <w:rFonts w:ascii="Wingdings" w:hAnsi="Wingdings" w:hint="default"/>
      </w:rPr>
    </w:lvl>
    <w:lvl w:ilvl="6" w:tplc="04090001" w:tentative="1">
      <w:start w:val="1"/>
      <w:numFmt w:val="bullet"/>
      <w:lvlText w:val=""/>
      <w:lvlJc w:val="left"/>
      <w:pPr>
        <w:ind w:left="9252" w:hanging="360"/>
      </w:pPr>
      <w:rPr>
        <w:rFonts w:ascii="Symbol" w:hAnsi="Symbol" w:hint="default"/>
      </w:rPr>
    </w:lvl>
    <w:lvl w:ilvl="7" w:tplc="04090003" w:tentative="1">
      <w:start w:val="1"/>
      <w:numFmt w:val="bullet"/>
      <w:lvlText w:val="o"/>
      <w:lvlJc w:val="left"/>
      <w:pPr>
        <w:ind w:left="9972" w:hanging="360"/>
      </w:pPr>
      <w:rPr>
        <w:rFonts w:ascii="Courier New" w:hAnsi="Courier New" w:cs="Courier New" w:hint="default"/>
      </w:rPr>
    </w:lvl>
    <w:lvl w:ilvl="8" w:tplc="04090005" w:tentative="1">
      <w:start w:val="1"/>
      <w:numFmt w:val="bullet"/>
      <w:lvlText w:val=""/>
      <w:lvlJc w:val="left"/>
      <w:pPr>
        <w:ind w:left="10692" w:hanging="360"/>
      </w:pPr>
      <w:rPr>
        <w:rFonts w:ascii="Wingdings" w:hAnsi="Wingdings" w:hint="default"/>
      </w:rPr>
    </w:lvl>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CC3601"/>
    <w:multiLevelType w:val="hybridMultilevel"/>
    <w:tmpl w:val="1304E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A0AFE"/>
    <w:multiLevelType w:val="multilevel"/>
    <w:tmpl w:val="18F4A5AC"/>
    <w:numStyleLink w:val="FoFCoLOP"/>
  </w:abstractNum>
  <w:num w:numId="1" w16cid:durableId="1354526949">
    <w:abstractNumId w:val="13"/>
  </w:num>
  <w:num w:numId="2" w16cid:durableId="140774137">
    <w:abstractNumId w:val="2"/>
  </w:num>
  <w:num w:numId="3" w16cid:durableId="1898543446">
    <w:abstractNumId w:val="12"/>
  </w:num>
  <w:num w:numId="4" w16cid:durableId="701521005">
    <w:abstractNumId w:val="3"/>
  </w:num>
  <w:num w:numId="5" w16cid:durableId="2017029027">
    <w:abstractNumId w:val="18"/>
  </w:num>
  <w:num w:numId="6" w16cid:durableId="973756952">
    <w:abstractNumId w:val="10"/>
  </w:num>
  <w:num w:numId="7" w16cid:durableId="827667741">
    <w:abstractNumId w:val="6"/>
  </w:num>
  <w:num w:numId="8" w16cid:durableId="1760327020">
    <w:abstractNumId w:val="16"/>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1630427711">
    <w:abstractNumId w:val="17"/>
  </w:num>
  <w:num w:numId="19" w16cid:durableId="448014613">
    <w:abstractNumId w:val="11"/>
  </w:num>
  <w:num w:numId="20" w16cid:durableId="1842087364">
    <w:abstractNumId w:val="1"/>
  </w:num>
  <w:num w:numId="21" w16cid:durableId="82975689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434"/>
    <w:rsid w:val="00000F6A"/>
    <w:rsid w:val="00007582"/>
    <w:rsid w:val="00010698"/>
    <w:rsid w:val="00011367"/>
    <w:rsid w:val="000115E8"/>
    <w:rsid w:val="00011D31"/>
    <w:rsid w:val="000121BF"/>
    <w:rsid w:val="00013098"/>
    <w:rsid w:val="00017828"/>
    <w:rsid w:val="000206C5"/>
    <w:rsid w:val="00020DB3"/>
    <w:rsid w:val="00023484"/>
    <w:rsid w:val="00024B60"/>
    <w:rsid w:val="000272D5"/>
    <w:rsid w:val="0002766D"/>
    <w:rsid w:val="00027DC1"/>
    <w:rsid w:val="00027EC4"/>
    <w:rsid w:val="00032B5E"/>
    <w:rsid w:val="00033403"/>
    <w:rsid w:val="00035F26"/>
    <w:rsid w:val="00040D04"/>
    <w:rsid w:val="00046F2A"/>
    <w:rsid w:val="000505A0"/>
    <w:rsid w:val="00050885"/>
    <w:rsid w:val="0005240F"/>
    <w:rsid w:val="00054251"/>
    <w:rsid w:val="00055DFD"/>
    <w:rsid w:val="0007115A"/>
    <w:rsid w:val="0007276C"/>
    <w:rsid w:val="0007439C"/>
    <w:rsid w:val="00076657"/>
    <w:rsid w:val="00077599"/>
    <w:rsid w:val="00077B12"/>
    <w:rsid w:val="0008015E"/>
    <w:rsid w:val="0008039D"/>
    <w:rsid w:val="000807F7"/>
    <w:rsid w:val="00081A53"/>
    <w:rsid w:val="0008239B"/>
    <w:rsid w:val="00084471"/>
    <w:rsid w:val="00085817"/>
    <w:rsid w:val="00086936"/>
    <w:rsid w:val="00086B70"/>
    <w:rsid w:val="000930E9"/>
    <w:rsid w:val="00095A6D"/>
    <w:rsid w:val="00096EBD"/>
    <w:rsid w:val="000973C8"/>
    <w:rsid w:val="000A2AA9"/>
    <w:rsid w:val="000A345C"/>
    <w:rsid w:val="000A4AC7"/>
    <w:rsid w:val="000A5046"/>
    <w:rsid w:val="000A56F2"/>
    <w:rsid w:val="000A6E05"/>
    <w:rsid w:val="000B12FA"/>
    <w:rsid w:val="000B14BB"/>
    <w:rsid w:val="000B20FC"/>
    <w:rsid w:val="000B4EC0"/>
    <w:rsid w:val="000B5FC2"/>
    <w:rsid w:val="000C08BF"/>
    <w:rsid w:val="000C3B9A"/>
    <w:rsid w:val="000C558B"/>
    <w:rsid w:val="000D00D9"/>
    <w:rsid w:val="000D253E"/>
    <w:rsid w:val="000D25A8"/>
    <w:rsid w:val="000D41B0"/>
    <w:rsid w:val="000D6A10"/>
    <w:rsid w:val="000E040F"/>
    <w:rsid w:val="000E270A"/>
    <w:rsid w:val="000E297E"/>
    <w:rsid w:val="000E4C53"/>
    <w:rsid w:val="000E6B7D"/>
    <w:rsid w:val="000E6DBB"/>
    <w:rsid w:val="000E72FD"/>
    <w:rsid w:val="000E7B91"/>
    <w:rsid w:val="000F0D81"/>
    <w:rsid w:val="000F132A"/>
    <w:rsid w:val="000F4039"/>
    <w:rsid w:val="000F48C6"/>
    <w:rsid w:val="000F5583"/>
    <w:rsid w:val="000F7005"/>
    <w:rsid w:val="000F788D"/>
    <w:rsid w:val="00101049"/>
    <w:rsid w:val="001013AE"/>
    <w:rsid w:val="001017BD"/>
    <w:rsid w:val="00103B8C"/>
    <w:rsid w:val="00103E76"/>
    <w:rsid w:val="00104D6F"/>
    <w:rsid w:val="00106DBF"/>
    <w:rsid w:val="001070D5"/>
    <w:rsid w:val="001074AD"/>
    <w:rsid w:val="00107813"/>
    <w:rsid w:val="00111A00"/>
    <w:rsid w:val="001132F4"/>
    <w:rsid w:val="001148D8"/>
    <w:rsid w:val="00115123"/>
    <w:rsid w:val="00121089"/>
    <w:rsid w:val="001228CD"/>
    <w:rsid w:val="001234D0"/>
    <w:rsid w:val="0012356F"/>
    <w:rsid w:val="001247AE"/>
    <w:rsid w:val="00124E87"/>
    <w:rsid w:val="001260B1"/>
    <w:rsid w:val="001314D9"/>
    <w:rsid w:val="0013353C"/>
    <w:rsid w:val="0013373E"/>
    <w:rsid w:val="00134986"/>
    <w:rsid w:val="00134F46"/>
    <w:rsid w:val="00141EBA"/>
    <w:rsid w:val="001422BD"/>
    <w:rsid w:val="00143410"/>
    <w:rsid w:val="001446C2"/>
    <w:rsid w:val="001447C9"/>
    <w:rsid w:val="00144A6E"/>
    <w:rsid w:val="00146952"/>
    <w:rsid w:val="001475AC"/>
    <w:rsid w:val="001521E2"/>
    <w:rsid w:val="00153C7D"/>
    <w:rsid w:val="001540B7"/>
    <w:rsid w:val="00154649"/>
    <w:rsid w:val="00154B34"/>
    <w:rsid w:val="00155D4D"/>
    <w:rsid w:val="00156C85"/>
    <w:rsid w:val="00160DFB"/>
    <w:rsid w:val="00162778"/>
    <w:rsid w:val="0016330C"/>
    <w:rsid w:val="00164ECD"/>
    <w:rsid w:val="0017416D"/>
    <w:rsid w:val="00175DCD"/>
    <w:rsid w:val="00177458"/>
    <w:rsid w:val="00177968"/>
    <w:rsid w:val="00180429"/>
    <w:rsid w:val="00182D20"/>
    <w:rsid w:val="00184A8F"/>
    <w:rsid w:val="00185147"/>
    <w:rsid w:val="00187F25"/>
    <w:rsid w:val="00187F6B"/>
    <w:rsid w:val="00187FF2"/>
    <w:rsid w:val="00193815"/>
    <w:rsid w:val="00194BD1"/>
    <w:rsid w:val="00195773"/>
    <w:rsid w:val="001A227B"/>
    <w:rsid w:val="001A4807"/>
    <w:rsid w:val="001A4EC2"/>
    <w:rsid w:val="001A5ED3"/>
    <w:rsid w:val="001A674B"/>
    <w:rsid w:val="001B2B65"/>
    <w:rsid w:val="001C1D91"/>
    <w:rsid w:val="001C297E"/>
    <w:rsid w:val="001C363F"/>
    <w:rsid w:val="001C4656"/>
    <w:rsid w:val="001D012D"/>
    <w:rsid w:val="001D11DD"/>
    <w:rsid w:val="001D1CF4"/>
    <w:rsid w:val="001D63CA"/>
    <w:rsid w:val="001D75E0"/>
    <w:rsid w:val="001D7970"/>
    <w:rsid w:val="001E0E40"/>
    <w:rsid w:val="001E2167"/>
    <w:rsid w:val="001E2A62"/>
    <w:rsid w:val="001E59AD"/>
    <w:rsid w:val="001E629F"/>
    <w:rsid w:val="001E6C39"/>
    <w:rsid w:val="001E75C2"/>
    <w:rsid w:val="001E7E13"/>
    <w:rsid w:val="001F020C"/>
    <w:rsid w:val="001F06B8"/>
    <w:rsid w:val="001F2819"/>
    <w:rsid w:val="001F2D66"/>
    <w:rsid w:val="001F42C1"/>
    <w:rsid w:val="0020130E"/>
    <w:rsid w:val="0020225C"/>
    <w:rsid w:val="002043EC"/>
    <w:rsid w:val="00206D41"/>
    <w:rsid w:val="00216187"/>
    <w:rsid w:val="00216A7D"/>
    <w:rsid w:val="00220629"/>
    <w:rsid w:val="00223283"/>
    <w:rsid w:val="002234A8"/>
    <w:rsid w:val="00224416"/>
    <w:rsid w:val="002256A9"/>
    <w:rsid w:val="00230D15"/>
    <w:rsid w:val="00230F00"/>
    <w:rsid w:val="00231770"/>
    <w:rsid w:val="002320D1"/>
    <w:rsid w:val="002339BC"/>
    <w:rsid w:val="00234E24"/>
    <w:rsid w:val="002357AA"/>
    <w:rsid w:val="00237300"/>
    <w:rsid w:val="00240A70"/>
    <w:rsid w:val="002418A1"/>
    <w:rsid w:val="00243BF2"/>
    <w:rsid w:val="00243DC0"/>
    <w:rsid w:val="00243FC6"/>
    <w:rsid w:val="00244F75"/>
    <w:rsid w:val="00246CA4"/>
    <w:rsid w:val="00247477"/>
    <w:rsid w:val="0025088D"/>
    <w:rsid w:val="002521F5"/>
    <w:rsid w:val="00254C9A"/>
    <w:rsid w:val="00254CD9"/>
    <w:rsid w:val="0025540B"/>
    <w:rsid w:val="0026100C"/>
    <w:rsid w:val="0026502E"/>
    <w:rsid w:val="00265215"/>
    <w:rsid w:val="002663BE"/>
    <w:rsid w:val="00267D4A"/>
    <w:rsid w:val="00270440"/>
    <w:rsid w:val="00270905"/>
    <w:rsid w:val="0027297F"/>
    <w:rsid w:val="0027298A"/>
    <w:rsid w:val="002746EC"/>
    <w:rsid w:val="00274A5D"/>
    <w:rsid w:val="002760C4"/>
    <w:rsid w:val="00276971"/>
    <w:rsid w:val="00280503"/>
    <w:rsid w:val="00282494"/>
    <w:rsid w:val="002831A8"/>
    <w:rsid w:val="00284D8D"/>
    <w:rsid w:val="002854B0"/>
    <w:rsid w:val="00285DE4"/>
    <w:rsid w:val="00287BC5"/>
    <w:rsid w:val="002920ED"/>
    <w:rsid w:val="00293DEE"/>
    <w:rsid w:val="0029435D"/>
    <w:rsid w:val="002946A6"/>
    <w:rsid w:val="00296491"/>
    <w:rsid w:val="002A0B5D"/>
    <w:rsid w:val="002A3558"/>
    <w:rsid w:val="002A370D"/>
    <w:rsid w:val="002A3A42"/>
    <w:rsid w:val="002A3E58"/>
    <w:rsid w:val="002A4E91"/>
    <w:rsid w:val="002A57E5"/>
    <w:rsid w:val="002A5FF6"/>
    <w:rsid w:val="002A7160"/>
    <w:rsid w:val="002B03E8"/>
    <w:rsid w:val="002B077C"/>
    <w:rsid w:val="002B0DE9"/>
    <w:rsid w:val="002B2FC8"/>
    <w:rsid w:val="002B4DB6"/>
    <w:rsid w:val="002B5FAE"/>
    <w:rsid w:val="002B659B"/>
    <w:rsid w:val="002B6E13"/>
    <w:rsid w:val="002B79CB"/>
    <w:rsid w:val="002C2EE5"/>
    <w:rsid w:val="002C3E65"/>
    <w:rsid w:val="002C4BA8"/>
    <w:rsid w:val="002C551F"/>
    <w:rsid w:val="002C6E54"/>
    <w:rsid w:val="002C7FE9"/>
    <w:rsid w:val="002D0DC5"/>
    <w:rsid w:val="002D2EA1"/>
    <w:rsid w:val="002D3B18"/>
    <w:rsid w:val="002D4EFD"/>
    <w:rsid w:val="002D6050"/>
    <w:rsid w:val="002E029B"/>
    <w:rsid w:val="002E1746"/>
    <w:rsid w:val="002E25DD"/>
    <w:rsid w:val="002E3A5D"/>
    <w:rsid w:val="002E41F1"/>
    <w:rsid w:val="002E48BC"/>
    <w:rsid w:val="002E4FD5"/>
    <w:rsid w:val="002E5CBF"/>
    <w:rsid w:val="002E6E5D"/>
    <w:rsid w:val="002E747F"/>
    <w:rsid w:val="002F043D"/>
    <w:rsid w:val="002F08BE"/>
    <w:rsid w:val="002F0D94"/>
    <w:rsid w:val="002F185A"/>
    <w:rsid w:val="002F21E9"/>
    <w:rsid w:val="002F2C29"/>
    <w:rsid w:val="002F2DF0"/>
    <w:rsid w:val="002F4415"/>
    <w:rsid w:val="002F589B"/>
    <w:rsid w:val="003006FA"/>
    <w:rsid w:val="00300BD1"/>
    <w:rsid w:val="003010EB"/>
    <w:rsid w:val="003010F3"/>
    <w:rsid w:val="003018AC"/>
    <w:rsid w:val="003018F6"/>
    <w:rsid w:val="00301A81"/>
    <w:rsid w:val="003027A0"/>
    <w:rsid w:val="003027BF"/>
    <w:rsid w:val="003062C2"/>
    <w:rsid w:val="003071DF"/>
    <w:rsid w:val="00314800"/>
    <w:rsid w:val="00315200"/>
    <w:rsid w:val="00315A97"/>
    <w:rsid w:val="00315EDE"/>
    <w:rsid w:val="00316071"/>
    <w:rsid w:val="00317369"/>
    <w:rsid w:val="00320C9D"/>
    <w:rsid w:val="00321CE9"/>
    <w:rsid w:val="00323ECA"/>
    <w:rsid w:val="00325EE2"/>
    <w:rsid w:val="0032725C"/>
    <w:rsid w:val="003335CB"/>
    <w:rsid w:val="003353FA"/>
    <w:rsid w:val="003408E9"/>
    <w:rsid w:val="00340DB6"/>
    <w:rsid w:val="00341DDD"/>
    <w:rsid w:val="00343C72"/>
    <w:rsid w:val="00343E5C"/>
    <w:rsid w:val="003442F3"/>
    <w:rsid w:val="00344C43"/>
    <w:rsid w:val="00344FB8"/>
    <w:rsid w:val="00346A3B"/>
    <w:rsid w:val="00351D5E"/>
    <w:rsid w:val="003540E7"/>
    <w:rsid w:val="00355673"/>
    <w:rsid w:val="0036017B"/>
    <w:rsid w:val="00360262"/>
    <w:rsid w:val="0036211A"/>
    <w:rsid w:val="00362755"/>
    <w:rsid w:val="00362E23"/>
    <w:rsid w:val="00363511"/>
    <w:rsid w:val="00365777"/>
    <w:rsid w:val="00371666"/>
    <w:rsid w:val="00371A96"/>
    <w:rsid w:val="00371DBC"/>
    <w:rsid w:val="00373927"/>
    <w:rsid w:val="00373B93"/>
    <w:rsid w:val="00376EC7"/>
    <w:rsid w:val="00377EB6"/>
    <w:rsid w:val="00380CD1"/>
    <w:rsid w:val="0038472E"/>
    <w:rsid w:val="003848D4"/>
    <w:rsid w:val="003868E1"/>
    <w:rsid w:val="00386A8E"/>
    <w:rsid w:val="003939E3"/>
    <w:rsid w:val="00396159"/>
    <w:rsid w:val="0039620D"/>
    <w:rsid w:val="003966EB"/>
    <w:rsid w:val="003A02CA"/>
    <w:rsid w:val="003A1820"/>
    <w:rsid w:val="003A1BC2"/>
    <w:rsid w:val="003A25E5"/>
    <w:rsid w:val="003A377B"/>
    <w:rsid w:val="003A38F0"/>
    <w:rsid w:val="003A42FB"/>
    <w:rsid w:val="003B176A"/>
    <w:rsid w:val="003B1EAE"/>
    <w:rsid w:val="003B217C"/>
    <w:rsid w:val="003B2556"/>
    <w:rsid w:val="003B25E2"/>
    <w:rsid w:val="003B5AEE"/>
    <w:rsid w:val="003C0440"/>
    <w:rsid w:val="003C0B87"/>
    <w:rsid w:val="003C2B7E"/>
    <w:rsid w:val="003C3863"/>
    <w:rsid w:val="003C3895"/>
    <w:rsid w:val="003C4853"/>
    <w:rsid w:val="003C697E"/>
    <w:rsid w:val="003D7DD4"/>
    <w:rsid w:val="003E1A6E"/>
    <w:rsid w:val="003E3CB3"/>
    <w:rsid w:val="003E535E"/>
    <w:rsid w:val="003E6386"/>
    <w:rsid w:val="003F069A"/>
    <w:rsid w:val="003F07A3"/>
    <w:rsid w:val="003F183B"/>
    <w:rsid w:val="003F2F40"/>
    <w:rsid w:val="003F3D77"/>
    <w:rsid w:val="003F4329"/>
    <w:rsid w:val="003F5C6C"/>
    <w:rsid w:val="004017CA"/>
    <w:rsid w:val="004033C6"/>
    <w:rsid w:val="00403842"/>
    <w:rsid w:val="004066A5"/>
    <w:rsid w:val="00407431"/>
    <w:rsid w:val="00411FEE"/>
    <w:rsid w:val="00412142"/>
    <w:rsid w:val="00412534"/>
    <w:rsid w:val="00412C83"/>
    <w:rsid w:val="00412CA4"/>
    <w:rsid w:val="00413B0A"/>
    <w:rsid w:val="004164C4"/>
    <w:rsid w:val="0041706C"/>
    <w:rsid w:val="00421CAD"/>
    <w:rsid w:val="004231D2"/>
    <w:rsid w:val="0042385E"/>
    <w:rsid w:val="00426014"/>
    <w:rsid w:val="00427F42"/>
    <w:rsid w:val="00430CA3"/>
    <w:rsid w:val="00435CF9"/>
    <w:rsid w:val="00437752"/>
    <w:rsid w:val="004403FB"/>
    <w:rsid w:val="004445FA"/>
    <w:rsid w:val="00445A15"/>
    <w:rsid w:val="0044617E"/>
    <w:rsid w:val="00447025"/>
    <w:rsid w:val="004479AB"/>
    <w:rsid w:val="004502A6"/>
    <w:rsid w:val="004523F0"/>
    <w:rsid w:val="00454E0B"/>
    <w:rsid w:val="00456159"/>
    <w:rsid w:val="0046010F"/>
    <w:rsid w:val="0046078B"/>
    <w:rsid w:val="00460830"/>
    <w:rsid w:val="00460B7D"/>
    <w:rsid w:val="0046182F"/>
    <w:rsid w:val="00461A4C"/>
    <w:rsid w:val="004622E4"/>
    <w:rsid w:val="0046336C"/>
    <w:rsid w:val="00463A6F"/>
    <w:rsid w:val="004662C5"/>
    <w:rsid w:val="00466B1C"/>
    <w:rsid w:val="00466CEB"/>
    <w:rsid w:val="004706DB"/>
    <w:rsid w:val="00471057"/>
    <w:rsid w:val="00471407"/>
    <w:rsid w:val="00471BC4"/>
    <w:rsid w:val="00472CBC"/>
    <w:rsid w:val="00474241"/>
    <w:rsid w:val="00480921"/>
    <w:rsid w:val="00480CB0"/>
    <w:rsid w:val="0048167D"/>
    <w:rsid w:val="00483603"/>
    <w:rsid w:val="0048454D"/>
    <w:rsid w:val="00490573"/>
    <w:rsid w:val="004918C2"/>
    <w:rsid w:val="00492AD5"/>
    <w:rsid w:val="00495FAF"/>
    <w:rsid w:val="004962CD"/>
    <w:rsid w:val="0049661E"/>
    <w:rsid w:val="004A1EAD"/>
    <w:rsid w:val="004A3C54"/>
    <w:rsid w:val="004A47BE"/>
    <w:rsid w:val="004A48F4"/>
    <w:rsid w:val="004A51BF"/>
    <w:rsid w:val="004A5E8D"/>
    <w:rsid w:val="004B0707"/>
    <w:rsid w:val="004B1ABF"/>
    <w:rsid w:val="004B247D"/>
    <w:rsid w:val="004B34EA"/>
    <w:rsid w:val="004B4E6B"/>
    <w:rsid w:val="004B5494"/>
    <w:rsid w:val="004B7D73"/>
    <w:rsid w:val="004C4E99"/>
    <w:rsid w:val="004C7140"/>
    <w:rsid w:val="004C7A2B"/>
    <w:rsid w:val="004C7D3A"/>
    <w:rsid w:val="004C7D60"/>
    <w:rsid w:val="004D0D38"/>
    <w:rsid w:val="004D3286"/>
    <w:rsid w:val="004D3BD9"/>
    <w:rsid w:val="004D5D0D"/>
    <w:rsid w:val="004D73B7"/>
    <w:rsid w:val="004E1D2F"/>
    <w:rsid w:val="004E2DC2"/>
    <w:rsid w:val="004E2FB5"/>
    <w:rsid w:val="004E380F"/>
    <w:rsid w:val="004E3A04"/>
    <w:rsid w:val="004E42A4"/>
    <w:rsid w:val="004F02D8"/>
    <w:rsid w:val="004F3E7B"/>
    <w:rsid w:val="004F553D"/>
    <w:rsid w:val="004F572C"/>
    <w:rsid w:val="004F5BBB"/>
    <w:rsid w:val="004F62DD"/>
    <w:rsid w:val="004F745C"/>
    <w:rsid w:val="0050028B"/>
    <w:rsid w:val="0050111D"/>
    <w:rsid w:val="005018A8"/>
    <w:rsid w:val="0050263A"/>
    <w:rsid w:val="00503A51"/>
    <w:rsid w:val="005041CF"/>
    <w:rsid w:val="00504F96"/>
    <w:rsid w:val="00505A39"/>
    <w:rsid w:val="00507587"/>
    <w:rsid w:val="005101AA"/>
    <w:rsid w:val="00511469"/>
    <w:rsid w:val="0051566E"/>
    <w:rsid w:val="00515D57"/>
    <w:rsid w:val="00516D29"/>
    <w:rsid w:val="00521896"/>
    <w:rsid w:val="00523412"/>
    <w:rsid w:val="005240BF"/>
    <w:rsid w:val="005251E9"/>
    <w:rsid w:val="00527993"/>
    <w:rsid w:val="00527BC1"/>
    <w:rsid w:val="00530924"/>
    <w:rsid w:val="005319FA"/>
    <w:rsid w:val="005325DE"/>
    <w:rsid w:val="00532818"/>
    <w:rsid w:val="00533B8C"/>
    <w:rsid w:val="00534B61"/>
    <w:rsid w:val="0053772A"/>
    <w:rsid w:val="00537821"/>
    <w:rsid w:val="00537BC4"/>
    <w:rsid w:val="00542F9B"/>
    <w:rsid w:val="00543204"/>
    <w:rsid w:val="00546CD7"/>
    <w:rsid w:val="00547EF2"/>
    <w:rsid w:val="00550E64"/>
    <w:rsid w:val="00551088"/>
    <w:rsid w:val="00554796"/>
    <w:rsid w:val="005557BD"/>
    <w:rsid w:val="00560B1E"/>
    <w:rsid w:val="00562664"/>
    <w:rsid w:val="0056428C"/>
    <w:rsid w:val="005666AE"/>
    <w:rsid w:val="005668C3"/>
    <w:rsid w:val="00567FC9"/>
    <w:rsid w:val="00571D3D"/>
    <w:rsid w:val="005730D5"/>
    <w:rsid w:val="005736D5"/>
    <w:rsid w:val="00575017"/>
    <w:rsid w:val="00577335"/>
    <w:rsid w:val="00581847"/>
    <w:rsid w:val="005822D3"/>
    <w:rsid w:val="00582AF4"/>
    <w:rsid w:val="00583E7D"/>
    <w:rsid w:val="00584C25"/>
    <w:rsid w:val="00585390"/>
    <w:rsid w:val="005907A5"/>
    <w:rsid w:val="005914B7"/>
    <w:rsid w:val="0059202B"/>
    <w:rsid w:val="005935A9"/>
    <w:rsid w:val="005939A5"/>
    <w:rsid w:val="00594609"/>
    <w:rsid w:val="00596B6C"/>
    <w:rsid w:val="00597DA7"/>
    <w:rsid w:val="005A148C"/>
    <w:rsid w:val="005A245A"/>
    <w:rsid w:val="005A31E5"/>
    <w:rsid w:val="005A65E5"/>
    <w:rsid w:val="005A6A2E"/>
    <w:rsid w:val="005A6C5B"/>
    <w:rsid w:val="005A7662"/>
    <w:rsid w:val="005B06A0"/>
    <w:rsid w:val="005B0F22"/>
    <w:rsid w:val="005B1634"/>
    <w:rsid w:val="005B50F7"/>
    <w:rsid w:val="005B600F"/>
    <w:rsid w:val="005B669E"/>
    <w:rsid w:val="005B6D8B"/>
    <w:rsid w:val="005B7A25"/>
    <w:rsid w:val="005C2128"/>
    <w:rsid w:val="005C3B17"/>
    <w:rsid w:val="005C5422"/>
    <w:rsid w:val="005C58C7"/>
    <w:rsid w:val="005C58FA"/>
    <w:rsid w:val="005C7480"/>
    <w:rsid w:val="005D114E"/>
    <w:rsid w:val="005D48E0"/>
    <w:rsid w:val="005D7CF4"/>
    <w:rsid w:val="005E7370"/>
    <w:rsid w:val="005F126A"/>
    <w:rsid w:val="005F1578"/>
    <w:rsid w:val="005F15BD"/>
    <w:rsid w:val="005F1942"/>
    <w:rsid w:val="005F3786"/>
    <w:rsid w:val="005F44F1"/>
    <w:rsid w:val="005F5E96"/>
    <w:rsid w:val="005F6665"/>
    <w:rsid w:val="005F6E66"/>
    <w:rsid w:val="00600440"/>
    <w:rsid w:val="00603238"/>
    <w:rsid w:val="00604716"/>
    <w:rsid w:val="00604A39"/>
    <w:rsid w:val="00607EE9"/>
    <w:rsid w:val="006143ED"/>
    <w:rsid w:val="00614871"/>
    <w:rsid w:val="00617CC7"/>
    <w:rsid w:val="00620532"/>
    <w:rsid w:val="00620CD5"/>
    <w:rsid w:val="00624EF1"/>
    <w:rsid w:val="0062692B"/>
    <w:rsid w:val="00627E58"/>
    <w:rsid w:val="0063066B"/>
    <w:rsid w:val="00632207"/>
    <w:rsid w:val="0063491C"/>
    <w:rsid w:val="00637383"/>
    <w:rsid w:val="006412DF"/>
    <w:rsid w:val="00641A5C"/>
    <w:rsid w:val="00641D61"/>
    <w:rsid w:val="00645207"/>
    <w:rsid w:val="00645C7F"/>
    <w:rsid w:val="0064747D"/>
    <w:rsid w:val="006479F1"/>
    <w:rsid w:val="00650E3F"/>
    <w:rsid w:val="006527A6"/>
    <w:rsid w:val="00656539"/>
    <w:rsid w:val="0066175E"/>
    <w:rsid w:val="00661AFE"/>
    <w:rsid w:val="00665318"/>
    <w:rsid w:val="0066727A"/>
    <w:rsid w:val="006752F0"/>
    <w:rsid w:val="00675986"/>
    <w:rsid w:val="0068051C"/>
    <w:rsid w:val="00680570"/>
    <w:rsid w:val="00680F19"/>
    <w:rsid w:val="00682D38"/>
    <w:rsid w:val="00683B2C"/>
    <w:rsid w:val="00683DBA"/>
    <w:rsid w:val="00684DC9"/>
    <w:rsid w:val="00686FAF"/>
    <w:rsid w:val="00690EEA"/>
    <w:rsid w:val="0069109C"/>
    <w:rsid w:val="00691464"/>
    <w:rsid w:val="00691D19"/>
    <w:rsid w:val="006924CD"/>
    <w:rsid w:val="00692C3A"/>
    <w:rsid w:val="00694AA5"/>
    <w:rsid w:val="00695499"/>
    <w:rsid w:val="00695A1F"/>
    <w:rsid w:val="00695AC6"/>
    <w:rsid w:val="006A26F2"/>
    <w:rsid w:val="006A35BE"/>
    <w:rsid w:val="006B0DCD"/>
    <w:rsid w:val="006B18CD"/>
    <w:rsid w:val="006B2144"/>
    <w:rsid w:val="006B3C7A"/>
    <w:rsid w:val="006B5493"/>
    <w:rsid w:val="006B6582"/>
    <w:rsid w:val="006B6701"/>
    <w:rsid w:val="006B79CF"/>
    <w:rsid w:val="006C1447"/>
    <w:rsid w:val="006C1F10"/>
    <w:rsid w:val="006C6664"/>
    <w:rsid w:val="006D2120"/>
    <w:rsid w:val="006D3397"/>
    <w:rsid w:val="006D65BF"/>
    <w:rsid w:val="006D7547"/>
    <w:rsid w:val="006E1843"/>
    <w:rsid w:val="006E26EB"/>
    <w:rsid w:val="006E3840"/>
    <w:rsid w:val="006E5E28"/>
    <w:rsid w:val="006E6574"/>
    <w:rsid w:val="006E6843"/>
    <w:rsid w:val="006F24C4"/>
    <w:rsid w:val="006F591C"/>
    <w:rsid w:val="006F5A83"/>
    <w:rsid w:val="006F6788"/>
    <w:rsid w:val="006F724D"/>
    <w:rsid w:val="006F7A23"/>
    <w:rsid w:val="00700AE0"/>
    <w:rsid w:val="00700F69"/>
    <w:rsid w:val="00704D45"/>
    <w:rsid w:val="007060F9"/>
    <w:rsid w:val="00711207"/>
    <w:rsid w:val="00711A59"/>
    <w:rsid w:val="00713C35"/>
    <w:rsid w:val="007140C6"/>
    <w:rsid w:val="00714C30"/>
    <w:rsid w:val="00714CF2"/>
    <w:rsid w:val="007156B9"/>
    <w:rsid w:val="007172C0"/>
    <w:rsid w:val="0071753E"/>
    <w:rsid w:val="00717969"/>
    <w:rsid w:val="00720817"/>
    <w:rsid w:val="00722349"/>
    <w:rsid w:val="00722850"/>
    <w:rsid w:val="00722A02"/>
    <w:rsid w:val="00723177"/>
    <w:rsid w:val="00727CAD"/>
    <w:rsid w:val="00732A37"/>
    <w:rsid w:val="0073353F"/>
    <w:rsid w:val="00735A91"/>
    <w:rsid w:val="00735E15"/>
    <w:rsid w:val="00736C1C"/>
    <w:rsid w:val="00737FE8"/>
    <w:rsid w:val="00740BE1"/>
    <w:rsid w:val="00740F7C"/>
    <w:rsid w:val="00742E45"/>
    <w:rsid w:val="007432B0"/>
    <w:rsid w:val="007447AF"/>
    <w:rsid w:val="0074697E"/>
    <w:rsid w:val="00746AEB"/>
    <w:rsid w:val="00746E90"/>
    <w:rsid w:val="00750816"/>
    <w:rsid w:val="007514DD"/>
    <w:rsid w:val="007525A2"/>
    <w:rsid w:val="0075629C"/>
    <w:rsid w:val="00757F0C"/>
    <w:rsid w:val="007617C6"/>
    <w:rsid w:val="00762E27"/>
    <w:rsid w:val="007657C1"/>
    <w:rsid w:val="0077011A"/>
    <w:rsid w:val="0077161B"/>
    <w:rsid w:val="00771792"/>
    <w:rsid w:val="00771EEF"/>
    <w:rsid w:val="007730F2"/>
    <w:rsid w:val="00774F29"/>
    <w:rsid w:val="007768AD"/>
    <w:rsid w:val="0077755F"/>
    <w:rsid w:val="00777F53"/>
    <w:rsid w:val="0078071B"/>
    <w:rsid w:val="007873E8"/>
    <w:rsid w:val="00791DE6"/>
    <w:rsid w:val="00792FA3"/>
    <w:rsid w:val="007931B0"/>
    <w:rsid w:val="00793425"/>
    <w:rsid w:val="007945AA"/>
    <w:rsid w:val="007963E8"/>
    <w:rsid w:val="0079754A"/>
    <w:rsid w:val="007A24D0"/>
    <w:rsid w:val="007A27DD"/>
    <w:rsid w:val="007A406D"/>
    <w:rsid w:val="007A42F5"/>
    <w:rsid w:val="007A453F"/>
    <w:rsid w:val="007A52E5"/>
    <w:rsid w:val="007A62B0"/>
    <w:rsid w:val="007B2EC6"/>
    <w:rsid w:val="007B4691"/>
    <w:rsid w:val="007B543B"/>
    <w:rsid w:val="007C0A29"/>
    <w:rsid w:val="007C1115"/>
    <w:rsid w:val="007C2887"/>
    <w:rsid w:val="007C3A48"/>
    <w:rsid w:val="007C5291"/>
    <w:rsid w:val="007C5A0C"/>
    <w:rsid w:val="007C691F"/>
    <w:rsid w:val="007D135A"/>
    <w:rsid w:val="007D2982"/>
    <w:rsid w:val="007D5FFE"/>
    <w:rsid w:val="007D6A57"/>
    <w:rsid w:val="007D76B7"/>
    <w:rsid w:val="007D7CB6"/>
    <w:rsid w:val="007E0C70"/>
    <w:rsid w:val="007E0FEE"/>
    <w:rsid w:val="007E40DD"/>
    <w:rsid w:val="007E6E40"/>
    <w:rsid w:val="007F2017"/>
    <w:rsid w:val="007F344B"/>
    <w:rsid w:val="007F3FB9"/>
    <w:rsid w:val="007F57A7"/>
    <w:rsid w:val="007F5CE0"/>
    <w:rsid w:val="008000E8"/>
    <w:rsid w:val="008017C6"/>
    <w:rsid w:val="0080220C"/>
    <w:rsid w:val="0080390E"/>
    <w:rsid w:val="00803BF7"/>
    <w:rsid w:val="0080403A"/>
    <w:rsid w:val="00812397"/>
    <w:rsid w:val="008129A6"/>
    <w:rsid w:val="008159CF"/>
    <w:rsid w:val="00816E05"/>
    <w:rsid w:val="00817776"/>
    <w:rsid w:val="00822F6C"/>
    <w:rsid w:val="0082451F"/>
    <w:rsid w:val="0082468D"/>
    <w:rsid w:val="00824BC3"/>
    <w:rsid w:val="008308D6"/>
    <w:rsid w:val="00832596"/>
    <w:rsid w:val="008339BB"/>
    <w:rsid w:val="00834087"/>
    <w:rsid w:val="00840E4A"/>
    <w:rsid w:val="0084422E"/>
    <w:rsid w:val="00851636"/>
    <w:rsid w:val="008546BA"/>
    <w:rsid w:val="00854702"/>
    <w:rsid w:val="0085689C"/>
    <w:rsid w:val="00857B4C"/>
    <w:rsid w:val="008605F1"/>
    <w:rsid w:val="00861314"/>
    <w:rsid w:val="00863CDE"/>
    <w:rsid w:val="0086419A"/>
    <w:rsid w:val="008645FA"/>
    <w:rsid w:val="0087023B"/>
    <w:rsid w:val="0087034D"/>
    <w:rsid w:val="0087069B"/>
    <w:rsid w:val="00875D72"/>
    <w:rsid w:val="008808B9"/>
    <w:rsid w:val="008837FB"/>
    <w:rsid w:val="00883842"/>
    <w:rsid w:val="00885E93"/>
    <w:rsid w:val="0089302C"/>
    <w:rsid w:val="0089345B"/>
    <w:rsid w:val="00893D19"/>
    <w:rsid w:val="00894494"/>
    <w:rsid w:val="008949AA"/>
    <w:rsid w:val="00896803"/>
    <w:rsid w:val="008A08BF"/>
    <w:rsid w:val="008A179F"/>
    <w:rsid w:val="008A2C0D"/>
    <w:rsid w:val="008A5649"/>
    <w:rsid w:val="008A5BB8"/>
    <w:rsid w:val="008A63BF"/>
    <w:rsid w:val="008A756E"/>
    <w:rsid w:val="008B0864"/>
    <w:rsid w:val="008B175A"/>
    <w:rsid w:val="008B2559"/>
    <w:rsid w:val="008B4035"/>
    <w:rsid w:val="008B4805"/>
    <w:rsid w:val="008B59EC"/>
    <w:rsid w:val="008B5DAE"/>
    <w:rsid w:val="008B63A9"/>
    <w:rsid w:val="008C1082"/>
    <w:rsid w:val="008C1846"/>
    <w:rsid w:val="008C3CB7"/>
    <w:rsid w:val="008C4044"/>
    <w:rsid w:val="008C54D8"/>
    <w:rsid w:val="008C56D8"/>
    <w:rsid w:val="008C609A"/>
    <w:rsid w:val="008C61E7"/>
    <w:rsid w:val="008C7413"/>
    <w:rsid w:val="008C7655"/>
    <w:rsid w:val="008D16B7"/>
    <w:rsid w:val="008D1965"/>
    <w:rsid w:val="008D2AF6"/>
    <w:rsid w:val="008D4C07"/>
    <w:rsid w:val="008D7150"/>
    <w:rsid w:val="008E08D1"/>
    <w:rsid w:val="008E341D"/>
    <w:rsid w:val="008E4C7C"/>
    <w:rsid w:val="008E6AE6"/>
    <w:rsid w:val="008F0116"/>
    <w:rsid w:val="008F0368"/>
    <w:rsid w:val="008F143D"/>
    <w:rsid w:val="008F155F"/>
    <w:rsid w:val="008F42FB"/>
    <w:rsid w:val="008F4B4C"/>
    <w:rsid w:val="008F4F8F"/>
    <w:rsid w:val="008F608D"/>
    <w:rsid w:val="008F680D"/>
    <w:rsid w:val="008F6F21"/>
    <w:rsid w:val="008F72DF"/>
    <w:rsid w:val="00901BB9"/>
    <w:rsid w:val="00903E39"/>
    <w:rsid w:val="00903FF2"/>
    <w:rsid w:val="009074FB"/>
    <w:rsid w:val="009105BA"/>
    <w:rsid w:val="00911B6F"/>
    <w:rsid w:val="00912B4E"/>
    <w:rsid w:val="00912D49"/>
    <w:rsid w:val="00913B33"/>
    <w:rsid w:val="00913FAE"/>
    <w:rsid w:val="009145A1"/>
    <w:rsid w:val="0091623A"/>
    <w:rsid w:val="00922808"/>
    <w:rsid w:val="00922B4A"/>
    <w:rsid w:val="00922CED"/>
    <w:rsid w:val="00922EE2"/>
    <w:rsid w:val="00924DAB"/>
    <w:rsid w:val="009255C9"/>
    <w:rsid w:val="009265DE"/>
    <w:rsid w:val="009275B2"/>
    <w:rsid w:val="00932842"/>
    <w:rsid w:val="00932865"/>
    <w:rsid w:val="00937E12"/>
    <w:rsid w:val="0094035C"/>
    <w:rsid w:val="00940906"/>
    <w:rsid w:val="00943CBC"/>
    <w:rsid w:val="00944D35"/>
    <w:rsid w:val="00946E38"/>
    <w:rsid w:val="00955230"/>
    <w:rsid w:val="00955E7E"/>
    <w:rsid w:val="00955F76"/>
    <w:rsid w:val="00956F67"/>
    <w:rsid w:val="00960C9A"/>
    <w:rsid w:val="009616A6"/>
    <w:rsid w:val="00961F6F"/>
    <w:rsid w:val="00962596"/>
    <w:rsid w:val="009637C0"/>
    <w:rsid w:val="00966815"/>
    <w:rsid w:val="00967160"/>
    <w:rsid w:val="00967339"/>
    <w:rsid w:val="009675FF"/>
    <w:rsid w:val="009678CB"/>
    <w:rsid w:val="00967EFE"/>
    <w:rsid w:val="00974464"/>
    <w:rsid w:val="009759CD"/>
    <w:rsid w:val="0098009B"/>
    <w:rsid w:val="00980E4C"/>
    <w:rsid w:val="0098138E"/>
    <w:rsid w:val="0098152C"/>
    <w:rsid w:val="009815B7"/>
    <w:rsid w:val="00981C07"/>
    <w:rsid w:val="00984E91"/>
    <w:rsid w:val="00985BF7"/>
    <w:rsid w:val="0098655A"/>
    <w:rsid w:val="0099002E"/>
    <w:rsid w:val="00990F77"/>
    <w:rsid w:val="00991B4D"/>
    <w:rsid w:val="0099294D"/>
    <w:rsid w:val="00993CCC"/>
    <w:rsid w:val="009940AE"/>
    <w:rsid w:val="0099675C"/>
    <w:rsid w:val="009A1244"/>
    <w:rsid w:val="009A413B"/>
    <w:rsid w:val="009A65C9"/>
    <w:rsid w:val="009A6E36"/>
    <w:rsid w:val="009A7947"/>
    <w:rsid w:val="009B0379"/>
    <w:rsid w:val="009B0B27"/>
    <w:rsid w:val="009B125A"/>
    <w:rsid w:val="009B249D"/>
    <w:rsid w:val="009B4C58"/>
    <w:rsid w:val="009B71BC"/>
    <w:rsid w:val="009C141E"/>
    <w:rsid w:val="009C3A48"/>
    <w:rsid w:val="009C3E04"/>
    <w:rsid w:val="009D11DA"/>
    <w:rsid w:val="009D37A3"/>
    <w:rsid w:val="009D5F82"/>
    <w:rsid w:val="009D7D09"/>
    <w:rsid w:val="009E0222"/>
    <w:rsid w:val="009E04FB"/>
    <w:rsid w:val="009E06B0"/>
    <w:rsid w:val="009E0F62"/>
    <w:rsid w:val="009E25DF"/>
    <w:rsid w:val="009E36E9"/>
    <w:rsid w:val="009E6052"/>
    <w:rsid w:val="009E7C68"/>
    <w:rsid w:val="009E7C7F"/>
    <w:rsid w:val="009F1E71"/>
    <w:rsid w:val="009F386F"/>
    <w:rsid w:val="009F5CCC"/>
    <w:rsid w:val="009F5DD0"/>
    <w:rsid w:val="00A01C9A"/>
    <w:rsid w:val="00A038D8"/>
    <w:rsid w:val="00A05E5D"/>
    <w:rsid w:val="00A07E9B"/>
    <w:rsid w:val="00A07F46"/>
    <w:rsid w:val="00A1009B"/>
    <w:rsid w:val="00A1012F"/>
    <w:rsid w:val="00A10D33"/>
    <w:rsid w:val="00A10F3C"/>
    <w:rsid w:val="00A12912"/>
    <w:rsid w:val="00A12AFA"/>
    <w:rsid w:val="00A16601"/>
    <w:rsid w:val="00A166C6"/>
    <w:rsid w:val="00A17CE0"/>
    <w:rsid w:val="00A21B93"/>
    <w:rsid w:val="00A2203E"/>
    <w:rsid w:val="00A235F9"/>
    <w:rsid w:val="00A23D48"/>
    <w:rsid w:val="00A2500B"/>
    <w:rsid w:val="00A302A0"/>
    <w:rsid w:val="00A34D9F"/>
    <w:rsid w:val="00A3555D"/>
    <w:rsid w:val="00A36BB4"/>
    <w:rsid w:val="00A42306"/>
    <w:rsid w:val="00A4250B"/>
    <w:rsid w:val="00A44B29"/>
    <w:rsid w:val="00A44E8D"/>
    <w:rsid w:val="00A450E2"/>
    <w:rsid w:val="00A4543A"/>
    <w:rsid w:val="00A4576C"/>
    <w:rsid w:val="00A46B0F"/>
    <w:rsid w:val="00A46EA8"/>
    <w:rsid w:val="00A4716E"/>
    <w:rsid w:val="00A50E13"/>
    <w:rsid w:val="00A54586"/>
    <w:rsid w:val="00A55ACD"/>
    <w:rsid w:val="00A57689"/>
    <w:rsid w:val="00A57788"/>
    <w:rsid w:val="00A57828"/>
    <w:rsid w:val="00A57EAF"/>
    <w:rsid w:val="00A6113D"/>
    <w:rsid w:val="00A61443"/>
    <w:rsid w:val="00A61A6A"/>
    <w:rsid w:val="00A63B39"/>
    <w:rsid w:val="00A65193"/>
    <w:rsid w:val="00A70E97"/>
    <w:rsid w:val="00A711B8"/>
    <w:rsid w:val="00A7177C"/>
    <w:rsid w:val="00A71F56"/>
    <w:rsid w:val="00A72330"/>
    <w:rsid w:val="00A754BE"/>
    <w:rsid w:val="00A75778"/>
    <w:rsid w:val="00A854EE"/>
    <w:rsid w:val="00A85A6C"/>
    <w:rsid w:val="00A85D27"/>
    <w:rsid w:val="00A8651B"/>
    <w:rsid w:val="00A902D2"/>
    <w:rsid w:val="00A91420"/>
    <w:rsid w:val="00A94AF1"/>
    <w:rsid w:val="00A96BF1"/>
    <w:rsid w:val="00AA1E2B"/>
    <w:rsid w:val="00AA3D5B"/>
    <w:rsid w:val="00AA748F"/>
    <w:rsid w:val="00AB01D6"/>
    <w:rsid w:val="00AB1F00"/>
    <w:rsid w:val="00AB1FF1"/>
    <w:rsid w:val="00AB585D"/>
    <w:rsid w:val="00AB7875"/>
    <w:rsid w:val="00AC0C2A"/>
    <w:rsid w:val="00AC0CD8"/>
    <w:rsid w:val="00AC101A"/>
    <w:rsid w:val="00AC3B65"/>
    <w:rsid w:val="00AC499D"/>
    <w:rsid w:val="00AC5063"/>
    <w:rsid w:val="00AC5422"/>
    <w:rsid w:val="00AC5A53"/>
    <w:rsid w:val="00AC68EE"/>
    <w:rsid w:val="00AC6B41"/>
    <w:rsid w:val="00AC7B27"/>
    <w:rsid w:val="00AD104A"/>
    <w:rsid w:val="00AD2934"/>
    <w:rsid w:val="00AD3CDF"/>
    <w:rsid w:val="00AD48C9"/>
    <w:rsid w:val="00AD559E"/>
    <w:rsid w:val="00AD63F2"/>
    <w:rsid w:val="00AE0B3A"/>
    <w:rsid w:val="00AE0DBE"/>
    <w:rsid w:val="00AE0E3B"/>
    <w:rsid w:val="00AE1228"/>
    <w:rsid w:val="00AE172D"/>
    <w:rsid w:val="00AE1D0A"/>
    <w:rsid w:val="00AE26CD"/>
    <w:rsid w:val="00AE2E0F"/>
    <w:rsid w:val="00AE4A6A"/>
    <w:rsid w:val="00AE5F52"/>
    <w:rsid w:val="00AE7180"/>
    <w:rsid w:val="00AF0210"/>
    <w:rsid w:val="00AF2503"/>
    <w:rsid w:val="00AF370D"/>
    <w:rsid w:val="00AF5E9C"/>
    <w:rsid w:val="00B004F8"/>
    <w:rsid w:val="00B0162D"/>
    <w:rsid w:val="00B01F7E"/>
    <w:rsid w:val="00B059D2"/>
    <w:rsid w:val="00B066F7"/>
    <w:rsid w:val="00B154C6"/>
    <w:rsid w:val="00B16301"/>
    <w:rsid w:val="00B16C2A"/>
    <w:rsid w:val="00B17633"/>
    <w:rsid w:val="00B201E1"/>
    <w:rsid w:val="00B2092F"/>
    <w:rsid w:val="00B2110B"/>
    <w:rsid w:val="00B21240"/>
    <w:rsid w:val="00B22C99"/>
    <w:rsid w:val="00B23CD3"/>
    <w:rsid w:val="00B2712D"/>
    <w:rsid w:val="00B276A3"/>
    <w:rsid w:val="00B3087D"/>
    <w:rsid w:val="00B31610"/>
    <w:rsid w:val="00B33517"/>
    <w:rsid w:val="00B34145"/>
    <w:rsid w:val="00B34794"/>
    <w:rsid w:val="00B378ED"/>
    <w:rsid w:val="00B42323"/>
    <w:rsid w:val="00B4444E"/>
    <w:rsid w:val="00B45143"/>
    <w:rsid w:val="00B53C6D"/>
    <w:rsid w:val="00B542F6"/>
    <w:rsid w:val="00B556CB"/>
    <w:rsid w:val="00B56434"/>
    <w:rsid w:val="00B571A9"/>
    <w:rsid w:val="00B60421"/>
    <w:rsid w:val="00B60616"/>
    <w:rsid w:val="00B61A2F"/>
    <w:rsid w:val="00B61FB1"/>
    <w:rsid w:val="00B67254"/>
    <w:rsid w:val="00B712DD"/>
    <w:rsid w:val="00B73B14"/>
    <w:rsid w:val="00B76C53"/>
    <w:rsid w:val="00B77244"/>
    <w:rsid w:val="00B77318"/>
    <w:rsid w:val="00B77AAD"/>
    <w:rsid w:val="00B801B6"/>
    <w:rsid w:val="00B81EB6"/>
    <w:rsid w:val="00B834FE"/>
    <w:rsid w:val="00B84E85"/>
    <w:rsid w:val="00B857BE"/>
    <w:rsid w:val="00B85E6F"/>
    <w:rsid w:val="00B86BD5"/>
    <w:rsid w:val="00B86C7A"/>
    <w:rsid w:val="00B87DEE"/>
    <w:rsid w:val="00B9064A"/>
    <w:rsid w:val="00B908AF"/>
    <w:rsid w:val="00B90FC7"/>
    <w:rsid w:val="00B921C3"/>
    <w:rsid w:val="00B9259C"/>
    <w:rsid w:val="00B93656"/>
    <w:rsid w:val="00B93B37"/>
    <w:rsid w:val="00B942B9"/>
    <w:rsid w:val="00B948D3"/>
    <w:rsid w:val="00B94DDF"/>
    <w:rsid w:val="00B95146"/>
    <w:rsid w:val="00B9518D"/>
    <w:rsid w:val="00B9639B"/>
    <w:rsid w:val="00B96577"/>
    <w:rsid w:val="00B96AFF"/>
    <w:rsid w:val="00BA046D"/>
    <w:rsid w:val="00BA1D16"/>
    <w:rsid w:val="00BA4DA1"/>
    <w:rsid w:val="00BA6046"/>
    <w:rsid w:val="00BA72E5"/>
    <w:rsid w:val="00BB0243"/>
    <w:rsid w:val="00BB56AF"/>
    <w:rsid w:val="00BC1227"/>
    <w:rsid w:val="00BC36F6"/>
    <w:rsid w:val="00BC6593"/>
    <w:rsid w:val="00BD092F"/>
    <w:rsid w:val="00BD2BED"/>
    <w:rsid w:val="00BD4D15"/>
    <w:rsid w:val="00BD6C1D"/>
    <w:rsid w:val="00BD6D3B"/>
    <w:rsid w:val="00BE0330"/>
    <w:rsid w:val="00BE1992"/>
    <w:rsid w:val="00BE2070"/>
    <w:rsid w:val="00BE2073"/>
    <w:rsid w:val="00BE385D"/>
    <w:rsid w:val="00BF5B99"/>
    <w:rsid w:val="00BF6099"/>
    <w:rsid w:val="00BF77CE"/>
    <w:rsid w:val="00BF7DFF"/>
    <w:rsid w:val="00C01C46"/>
    <w:rsid w:val="00C03CF1"/>
    <w:rsid w:val="00C07268"/>
    <w:rsid w:val="00C07994"/>
    <w:rsid w:val="00C10B5F"/>
    <w:rsid w:val="00C11646"/>
    <w:rsid w:val="00C1189B"/>
    <w:rsid w:val="00C1412B"/>
    <w:rsid w:val="00C1531A"/>
    <w:rsid w:val="00C153B9"/>
    <w:rsid w:val="00C16C58"/>
    <w:rsid w:val="00C16E51"/>
    <w:rsid w:val="00C1726A"/>
    <w:rsid w:val="00C236C1"/>
    <w:rsid w:val="00C277B4"/>
    <w:rsid w:val="00C30DD1"/>
    <w:rsid w:val="00C32D78"/>
    <w:rsid w:val="00C35E57"/>
    <w:rsid w:val="00C365B1"/>
    <w:rsid w:val="00C369DE"/>
    <w:rsid w:val="00C36E11"/>
    <w:rsid w:val="00C371BF"/>
    <w:rsid w:val="00C40B3B"/>
    <w:rsid w:val="00C417FE"/>
    <w:rsid w:val="00C41ADF"/>
    <w:rsid w:val="00C4259B"/>
    <w:rsid w:val="00C44658"/>
    <w:rsid w:val="00C4470B"/>
    <w:rsid w:val="00C461FF"/>
    <w:rsid w:val="00C472FE"/>
    <w:rsid w:val="00C523A6"/>
    <w:rsid w:val="00C55E60"/>
    <w:rsid w:val="00C63D80"/>
    <w:rsid w:val="00C64A0A"/>
    <w:rsid w:val="00C65378"/>
    <w:rsid w:val="00C679F6"/>
    <w:rsid w:val="00C72150"/>
    <w:rsid w:val="00C7438A"/>
    <w:rsid w:val="00C76330"/>
    <w:rsid w:val="00C7737F"/>
    <w:rsid w:val="00C8028A"/>
    <w:rsid w:val="00C82B5E"/>
    <w:rsid w:val="00C878D5"/>
    <w:rsid w:val="00C9033B"/>
    <w:rsid w:val="00C903D9"/>
    <w:rsid w:val="00C913A1"/>
    <w:rsid w:val="00C95AAF"/>
    <w:rsid w:val="00C97DE0"/>
    <w:rsid w:val="00CA1ACE"/>
    <w:rsid w:val="00CA3448"/>
    <w:rsid w:val="00CA4626"/>
    <w:rsid w:val="00CA6915"/>
    <w:rsid w:val="00CB0E32"/>
    <w:rsid w:val="00CB2794"/>
    <w:rsid w:val="00CB3CD0"/>
    <w:rsid w:val="00CB49E4"/>
    <w:rsid w:val="00CB5B5E"/>
    <w:rsid w:val="00CB640B"/>
    <w:rsid w:val="00CB7708"/>
    <w:rsid w:val="00CC083F"/>
    <w:rsid w:val="00CC5A42"/>
    <w:rsid w:val="00CC6A99"/>
    <w:rsid w:val="00CC74CC"/>
    <w:rsid w:val="00CC7B41"/>
    <w:rsid w:val="00CD3BD6"/>
    <w:rsid w:val="00CD4A5A"/>
    <w:rsid w:val="00CE13D2"/>
    <w:rsid w:val="00CE2844"/>
    <w:rsid w:val="00CE4CD3"/>
    <w:rsid w:val="00CF168D"/>
    <w:rsid w:val="00CF18CC"/>
    <w:rsid w:val="00CF191A"/>
    <w:rsid w:val="00CF1EDF"/>
    <w:rsid w:val="00CF2EC4"/>
    <w:rsid w:val="00CF38BB"/>
    <w:rsid w:val="00CF3D5F"/>
    <w:rsid w:val="00CF4889"/>
    <w:rsid w:val="00CF56F7"/>
    <w:rsid w:val="00CF581D"/>
    <w:rsid w:val="00CF7BAA"/>
    <w:rsid w:val="00D00156"/>
    <w:rsid w:val="00D00253"/>
    <w:rsid w:val="00D00AA3"/>
    <w:rsid w:val="00D03E7D"/>
    <w:rsid w:val="00D04439"/>
    <w:rsid w:val="00D0504E"/>
    <w:rsid w:val="00D07F73"/>
    <w:rsid w:val="00D10B12"/>
    <w:rsid w:val="00D138D0"/>
    <w:rsid w:val="00D13BF9"/>
    <w:rsid w:val="00D14844"/>
    <w:rsid w:val="00D14B03"/>
    <w:rsid w:val="00D2041C"/>
    <w:rsid w:val="00D20E12"/>
    <w:rsid w:val="00D22969"/>
    <w:rsid w:val="00D235BB"/>
    <w:rsid w:val="00D23CA1"/>
    <w:rsid w:val="00D24E55"/>
    <w:rsid w:val="00D25753"/>
    <w:rsid w:val="00D259B5"/>
    <w:rsid w:val="00D25ADE"/>
    <w:rsid w:val="00D3634B"/>
    <w:rsid w:val="00D40B9D"/>
    <w:rsid w:val="00D43297"/>
    <w:rsid w:val="00D44963"/>
    <w:rsid w:val="00D44AC7"/>
    <w:rsid w:val="00D44DB6"/>
    <w:rsid w:val="00D46544"/>
    <w:rsid w:val="00D46981"/>
    <w:rsid w:val="00D50119"/>
    <w:rsid w:val="00D61341"/>
    <w:rsid w:val="00D61D76"/>
    <w:rsid w:val="00D64FA5"/>
    <w:rsid w:val="00D70828"/>
    <w:rsid w:val="00D70843"/>
    <w:rsid w:val="00D70B4F"/>
    <w:rsid w:val="00D74272"/>
    <w:rsid w:val="00D74806"/>
    <w:rsid w:val="00D76262"/>
    <w:rsid w:val="00D76499"/>
    <w:rsid w:val="00D76553"/>
    <w:rsid w:val="00D80C61"/>
    <w:rsid w:val="00D81961"/>
    <w:rsid w:val="00D82A43"/>
    <w:rsid w:val="00D83176"/>
    <w:rsid w:val="00D839DD"/>
    <w:rsid w:val="00D85CB5"/>
    <w:rsid w:val="00D877BF"/>
    <w:rsid w:val="00D90E82"/>
    <w:rsid w:val="00D9333B"/>
    <w:rsid w:val="00D955B8"/>
    <w:rsid w:val="00D964B8"/>
    <w:rsid w:val="00DA1EE8"/>
    <w:rsid w:val="00DA3DD1"/>
    <w:rsid w:val="00DA5CA9"/>
    <w:rsid w:val="00DA741C"/>
    <w:rsid w:val="00DA7B5D"/>
    <w:rsid w:val="00DB01B0"/>
    <w:rsid w:val="00DB0CD6"/>
    <w:rsid w:val="00DB7BE2"/>
    <w:rsid w:val="00DC2D2D"/>
    <w:rsid w:val="00DC5DB0"/>
    <w:rsid w:val="00DD0AC4"/>
    <w:rsid w:val="00DD1436"/>
    <w:rsid w:val="00DD1822"/>
    <w:rsid w:val="00DD2B67"/>
    <w:rsid w:val="00DD4C6D"/>
    <w:rsid w:val="00DD5FF4"/>
    <w:rsid w:val="00DD779B"/>
    <w:rsid w:val="00DE0890"/>
    <w:rsid w:val="00DE749F"/>
    <w:rsid w:val="00DF02C3"/>
    <w:rsid w:val="00DF120A"/>
    <w:rsid w:val="00DF58E7"/>
    <w:rsid w:val="00DF5ACE"/>
    <w:rsid w:val="00DF612E"/>
    <w:rsid w:val="00DF7445"/>
    <w:rsid w:val="00E002CC"/>
    <w:rsid w:val="00E019A1"/>
    <w:rsid w:val="00E0334B"/>
    <w:rsid w:val="00E03727"/>
    <w:rsid w:val="00E046A9"/>
    <w:rsid w:val="00E066BD"/>
    <w:rsid w:val="00E06A88"/>
    <w:rsid w:val="00E11876"/>
    <w:rsid w:val="00E120F4"/>
    <w:rsid w:val="00E13347"/>
    <w:rsid w:val="00E137B0"/>
    <w:rsid w:val="00E149A4"/>
    <w:rsid w:val="00E14E93"/>
    <w:rsid w:val="00E154ED"/>
    <w:rsid w:val="00E17C27"/>
    <w:rsid w:val="00E17E3E"/>
    <w:rsid w:val="00E20C68"/>
    <w:rsid w:val="00E22816"/>
    <w:rsid w:val="00E231AB"/>
    <w:rsid w:val="00E23CBB"/>
    <w:rsid w:val="00E24EC6"/>
    <w:rsid w:val="00E31CFF"/>
    <w:rsid w:val="00E33856"/>
    <w:rsid w:val="00E37B59"/>
    <w:rsid w:val="00E40848"/>
    <w:rsid w:val="00E415F4"/>
    <w:rsid w:val="00E4182A"/>
    <w:rsid w:val="00E4247E"/>
    <w:rsid w:val="00E464ED"/>
    <w:rsid w:val="00E4762A"/>
    <w:rsid w:val="00E47FF5"/>
    <w:rsid w:val="00E5260F"/>
    <w:rsid w:val="00E530F5"/>
    <w:rsid w:val="00E53438"/>
    <w:rsid w:val="00E60939"/>
    <w:rsid w:val="00E612FF"/>
    <w:rsid w:val="00E6330A"/>
    <w:rsid w:val="00E6463E"/>
    <w:rsid w:val="00E706C5"/>
    <w:rsid w:val="00E70E7F"/>
    <w:rsid w:val="00E7212D"/>
    <w:rsid w:val="00E725FC"/>
    <w:rsid w:val="00E73F35"/>
    <w:rsid w:val="00E74B16"/>
    <w:rsid w:val="00E755D5"/>
    <w:rsid w:val="00E7642D"/>
    <w:rsid w:val="00E77529"/>
    <w:rsid w:val="00E80830"/>
    <w:rsid w:val="00E81160"/>
    <w:rsid w:val="00E81C26"/>
    <w:rsid w:val="00E84586"/>
    <w:rsid w:val="00E84678"/>
    <w:rsid w:val="00E85E05"/>
    <w:rsid w:val="00E87D42"/>
    <w:rsid w:val="00E914DA"/>
    <w:rsid w:val="00E93536"/>
    <w:rsid w:val="00E937DF"/>
    <w:rsid w:val="00E9422A"/>
    <w:rsid w:val="00E94BE3"/>
    <w:rsid w:val="00E94BE9"/>
    <w:rsid w:val="00E97413"/>
    <w:rsid w:val="00EA0E5A"/>
    <w:rsid w:val="00EA1A75"/>
    <w:rsid w:val="00EA1E6D"/>
    <w:rsid w:val="00EA36C6"/>
    <w:rsid w:val="00EA6898"/>
    <w:rsid w:val="00EB5009"/>
    <w:rsid w:val="00EB5EAF"/>
    <w:rsid w:val="00EB61BC"/>
    <w:rsid w:val="00EB6711"/>
    <w:rsid w:val="00EC0785"/>
    <w:rsid w:val="00EC1028"/>
    <w:rsid w:val="00EC30F9"/>
    <w:rsid w:val="00EC5347"/>
    <w:rsid w:val="00EC5923"/>
    <w:rsid w:val="00EC632E"/>
    <w:rsid w:val="00ED198E"/>
    <w:rsid w:val="00ED43DB"/>
    <w:rsid w:val="00ED5725"/>
    <w:rsid w:val="00ED7031"/>
    <w:rsid w:val="00ED763A"/>
    <w:rsid w:val="00EE1A07"/>
    <w:rsid w:val="00EE1E91"/>
    <w:rsid w:val="00EE1FE5"/>
    <w:rsid w:val="00EE3060"/>
    <w:rsid w:val="00EE42E3"/>
    <w:rsid w:val="00EE4315"/>
    <w:rsid w:val="00EE5FA5"/>
    <w:rsid w:val="00EE7E74"/>
    <w:rsid w:val="00EF3ACB"/>
    <w:rsid w:val="00EF4269"/>
    <w:rsid w:val="00EF646B"/>
    <w:rsid w:val="00EF6925"/>
    <w:rsid w:val="00EF7067"/>
    <w:rsid w:val="00F047C8"/>
    <w:rsid w:val="00F04F6B"/>
    <w:rsid w:val="00F05740"/>
    <w:rsid w:val="00F0755A"/>
    <w:rsid w:val="00F12118"/>
    <w:rsid w:val="00F13DED"/>
    <w:rsid w:val="00F155CC"/>
    <w:rsid w:val="00F174EF"/>
    <w:rsid w:val="00F20767"/>
    <w:rsid w:val="00F22632"/>
    <w:rsid w:val="00F25C9A"/>
    <w:rsid w:val="00F26ED3"/>
    <w:rsid w:val="00F27962"/>
    <w:rsid w:val="00F279CD"/>
    <w:rsid w:val="00F3150E"/>
    <w:rsid w:val="00F320C2"/>
    <w:rsid w:val="00F3218F"/>
    <w:rsid w:val="00F32A6C"/>
    <w:rsid w:val="00F3396F"/>
    <w:rsid w:val="00F3424B"/>
    <w:rsid w:val="00F458F6"/>
    <w:rsid w:val="00F51195"/>
    <w:rsid w:val="00F52539"/>
    <w:rsid w:val="00F5332F"/>
    <w:rsid w:val="00F53838"/>
    <w:rsid w:val="00F5415C"/>
    <w:rsid w:val="00F565DE"/>
    <w:rsid w:val="00F6001D"/>
    <w:rsid w:val="00F60981"/>
    <w:rsid w:val="00F62B7A"/>
    <w:rsid w:val="00F62B8D"/>
    <w:rsid w:val="00F6397D"/>
    <w:rsid w:val="00F63DA5"/>
    <w:rsid w:val="00F7293E"/>
    <w:rsid w:val="00F73FB8"/>
    <w:rsid w:val="00F742FE"/>
    <w:rsid w:val="00F7433D"/>
    <w:rsid w:val="00F76650"/>
    <w:rsid w:val="00F76A06"/>
    <w:rsid w:val="00F7720B"/>
    <w:rsid w:val="00F77218"/>
    <w:rsid w:val="00F8023C"/>
    <w:rsid w:val="00F818E5"/>
    <w:rsid w:val="00F8209C"/>
    <w:rsid w:val="00F83FA8"/>
    <w:rsid w:val="00F86290"/>
    <w:rsid w:val="00F87213"/>
    <w:rsid w:val="00F904CB"/>
    <w:rsid w:val="00F9187B"/>
    <w:rsid w:val="00F92385"/>
    <w:rsid w:val="00F93B2A"/>
    <w:rsid w:val="00F93B94"/>
    <w:rsid w:val="00F96CE0"/>
    <w:rsid w:val="00FA1B4F"/>
    <w:rsid w:val="00FA6A9E"/>
    <w:rsid w:val="00FA7CF2"/>
    <w:rsid w:val="00FB049F"/>
    <w:rsid w:val="00FB0ECE"/>
    <w:rsid w:val="00FB1163"/>
    <w:rsid w:val="00FB4313"/>
    <w:rsid w:val="00FB46DB"/>
    <w:rsid w:val="00FB6483"/>
    <w:rsid w:val="00FB6FE5"/>
    <w:rsid w:val="00FB7A48"/>
    <w:rsid w:val="00FB7E78"/>
    <w:rsid w:val="00FC393F"/>
    <w:rsid w:val="00FC402E"/>
    <w:rsid w:val="00FC41D9"/>
    <w:rsid w:val="00FC4605"/>
    <w:rsid w:val="00FC47F9"/>
    <w:rsid w:val="00FC5792"/>
    <w:rsid w:val="00FC738F"/>
    <w:rsid w:val="00FC77BF"/>
    <w:rsid w:val="00FD039E"/>
    <w:rsid w:val="00FD090C"/>
    <w:rsid w:val="00FD42FE"/>
    <w:rsid w:val="00FD54B0"/>
    <w:rsid w:val="00FD79DB"/>
    <w:rsid w:val="00FD7A8D"/>
    <w:rsid w:val="00FE2351"/>
    <w:rsid w:val="00FE2C1E"/>
    <w:rsid w:val="00FE337D"/>
    <w:rsid w:val="00FE4BCB"/>
    <w:rsid w:val="00FE5441"/>
    <w:rsid w:val="00FE5580"/>
    <w:rsid w:val="00FE5A0B"/>
    <w:rsid w:val="00FE6948"/>
    <w:rsid w:val="00FE6B11"/>
    <w:rsid w:val="00FF110C"/>
    <w:rsid w:val="00FF1273"/>
    <w:rsid w:val="00FF1B04"/>
    <w:rsid w:val="00FF3C6D"/>
    <w:rsid w:val="00FF455E"/>
    <w:rsid w:val="00FF4DA2"/>
    <w:rsid w:val="00FF54FB"/>
    <w:rsid w:val="00FF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EEAA"/>
  <w15:chartTrackingRefBased/>
  <w15:docId w15:val="{580FF9AD-FDFB-4722-AC97-321597E94C6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8308D6"/>
    <w:rPr>
      <w:sz w:val="16"/>
      <w:szCs w:val="16"/>
    </w:rPr>
  </w:style>
  <w:style w:type="paragraph" w:styleId="CommentText">
    <w:name w:val="annotation text"/>
    <w:basedOn w:val="Normal"/>
    <w:link w:val="CommentTextChar"/>
    <w:uiPriority w:val="99"/>
    <w:unhideWhenUsed/>
    <w:rsid w:val="008308D6"/>
    <w:pPr>
      <w:spacing w:line="240" w:lineRule="auto"/>
    </w:pPr>
    <w:rPr>
      <w:sz w:val="20"/>
      <w:szCs w:val="20"/>
    </w:rPr>
  </w:style>
  <w:style w:type="character" w:customStyle="1" w:styleId="CommentTextChar">
    <w:name w:val="Comment Text Char"/>
    <w:basedOn w:val="DefaultParagraphFont"/>
    <w:link w:val="CommentText"/>
    <w:uiPriority w:val="99"/>
    <w:rsid w:val="008308D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308D6"/>
    <w:rPr>
      <w:b/>
      <w:bCs/>
    </w:rPr>
  </w:style>
  <w:style w:type="character" w:customStyle="1" w:styleId="CommentSubjectChar">
    <w:name w:val="Comment Subject Char"/>
    <w:basedOn w:val="CommentTextChar"/>
    <w:link w:val="CommentSubject"/>
    <w:uiPriority w:val="99"/>
    <w:semiHidden/>
    <w:rsid w:val="008308D6"/>
    <w:rPr>
      <w:rFonts w:ascii="Book Antiqua" w:hAnsi="Book Antiqua"/>
      <w:b/>
      <w:bCs/>
      <w:sz w:val="20"/>
      <w:szCs w:val="20"/>
    </w:rPr>
  </w:style>
  <w:style w:type="character" w:styleId="UnresolvedMention">
    <w:name w:val="Unresolved Mention"/>
    <w:basedOn w:val="DefaultParagraphFont"/>
    <w:uiPriority w:val="99"/>
    <w:semiHidden/>
    <w:unhideWhenUsed/>
    <w:rsid w:val="00575017"/>
    <w:rPr>
      <w:color w:val="605E5C"/>
      <w:shd w:val="clear" w:color="auto" w:fill="E1DFDD"/>
    </w:rPr>
  </w:style>
  <w:style w:type="paragraph" w:customStyle="1" w:styleId="xstandard">
    <w:name w:val="x_standard"/>
    <w:basedOn w:val="Normal"/>
    <w:rsid w:val="00840E4A"/>
    <w:rPr>
      <w:rFonts w:cs="Calibri"/>
      <w:szCs w:val="26"/>
    </w:rPr>
  </w:style>
  <w:style w:type="paragraph" w:styleId="ListParagraph">
    <w:name w:val="List Paragraph"/>
    <w:basedOn w:val="Normal"/>
    <w:uiPriority w:val="34"/>
    <w:rsid w:val="00231770"/>
    <w:pPr>
      <w:ind w:left="720"/>
      <w:contextualSpacing/>
    </w:pPr>
  </w:style>
  <w:style w:type="paragraph" w:styleId="Revision">
    <w:name w:val="Revision"/>
    <w:hidden/>
    <w:uiPriority w:val="99"/>
    <w:semiHidden/>
    <w:rsid w:val="003F5C6C"/>
    <w:pPr>
      <w:spacing w:after="0" w:line="240" w:lineRule="auto"/>
    </w:pPr>
    <w:rPr>
      <w:rFonts w:ascii="Book Antiqua" w:hAnsi="Book Antiqua"/>
      <w:sz w:val="26"/>
    </w:rPr>
  </w:style>
  <w:style w:type="character" w:styleId="Mention">
    <w:name w:val="Mention"/>
    <w:basedOn w:val="DefaultParagraphFont"/>
    <w:uiPriority w:val="99"/>
    <w:unhideWhenUsed/>
    <w:rsid w:val="00EF4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industries-and-topics/reports/cpuc-response-to-executive-order-n-5-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4782</ap:Words>
  <ap:Characters>26494</ap:Characters>
  <ap:Application>Microsoft Office Word</ap:Application>
  <ap:DocSecurity>0</ap:DocSecurity>
  <ap:Lines>529</ap:Lines>
  <ap:Paragraphs>166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31110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2026-03-17T16:10:00Z</cp:lastPrinted>
  <dcterms:created xsi:type="dcterms:W3CDTF">2026-03-25T15:56:00Z</dcterms:created>
  <dcterms:modified xsi:type="dcterms:W3CDTF">2026-03-25T15:56:00Z</dcterms:modified>
</cp:coreProperties>
</file>