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67A4E" w:rsidR="008D0E61" w:rsidP="00F25966" w:rsidRDefault="008D0E61" w14:paraId="5DCFE59A" w14:textId="7DCD1174">
      <w:pPr>
        <w:suppressAutoHyphens/>
        <w:rPr>
          <w:b/>
          <w:bCs/>
          <w:color w:val="000000"/>
        </w:rPr>
      </w:pPr>
      <w:r>
        <w:rPr>
          <w:color w:val="000000"/>
        </w:rPr>
        <w:t>ALJ/RMD/</w:t>
      </w:r>
      <w:proofErr w:type="spellStart"/>
      <w:r>
        <w:rPr>
          <w:color w:val="000000"/>
        </w:rPr>
        <w:t>sgu</w:t>
      </w:r>
      <w:proofErr w:type="spellEnd"/>
      <w:r>
        <w:rPr>
          <w:color w:val="000000"/>
        </w:rPr>
        <w:tab/>
      </w:r>
      <w:r>
        <w:rPr>
          <w:color w:val="000000"/>
        </w:rPr>
        <w:tab/>
      </w:r>
      <w:r>
        <w:rPr>
          <w:color w:val="000000"/>
        </w:rPr>
        <w:tab/>
      </w:r>
      <w:r w:rsidR="00F25966">
        <w:rPr>
          <w:b/>
          <w:bCs/>
          <w:color w:val="000000"/>
        </w:rPr>
        <w:tab/>
      </w:r>
      <w:r w:rsidR="00F25966">
        <w:rPr>
          <w:b/>
          <w:bCs/>
          <w:color w:val="000000"/>
        </w:rPr>
        <w:tab/>
      </w:r>
      <w:r w:rsidR="00F25966">
        <w:rPr>
          <w:b/>
          <w:bCs/>
          <w:color w:val="000000"/>
        </w:rPr>
        <w:tab/>
      </w:r>
      <w:r w:rsidR="00F25966">
        <w:rPr>
          <w:b/>
          <w:bCs/>
          <w:color w:val="000000"/>
        </w:rPr>
        <w:tab/>
      </w:r>
      <w:proofErr w:type="gramStart"/>
      <w:r w:rsidR="00F25966">
        <w:rPr>
          <w:b/>
          <w:bCs/>
          <w:color w:val="000000"/>
        </w:rPr>
        <w:tab/>
        <w:t xml:space="preserve">  Date</w:t>
      </w:r>
      <w:proofErr w:type="gramEnd"/>
      <w:r w:rsidR="00F25966">
        <w:rPr>
          <w:b/>
          <w:bCs/>
          <w:color w:val="000000"/>
        </w:rPr>
        <w:t xml:space="preserve"> of Issuance 3/25/2026</w:t>
      </w:r>
    </w:p>
    <w:p w:rsidR="008D0E61" w:rsidP="00625B30" w:rsidRDefault="008D0E61" w14:paraId="18286E4D" w14:textId="77777777">
      <w:pPr>
        <w:suppressAutoHyphens/>
        <w:rPr>
          <w:color w:val="000000"/>
        </w:rPr>
      </w:pPr>
    </w:p>
    <w:p w:rsidR="008D0E61" w:rsidP="00625B30" w:rsidRDefault="008D0E61" w14:paraId="37C1B857" w14:textId="77777777">
      <w:pPr>
        <w:suppressAutoHyphens/>
        <w:rPr>
          <w:color w:val="000000"/>
        </w:rPr>
      </w:pPr>
    </w:p>
    <w:p w:rsidRPr="007F620E" w:rsidR="00625B30" w:rsidP="00625B30" w:rsidRDefault="00625B30" w14:paraId="25D36F66" w14:textId="1EA4B321">
      <w:pPr>
        <w:suppressAutoHyphens/>
        <w:rPr>
          <w:color w:val="000000"/>
        </w:rPr>
      </w:pPr>
      <w:r w:rsidRPr="007F620E">
        <w:rPr>
          <w:color w:val="000000"/>
        </w:rPr>
        <w:t xml:space="preserve">Decision </w:t>
      </w:r>
      <w:r w:rsidRPr="00F25966" w:rsidR="00F25966">
        <w:rPr>
          <w:color w:val="000000"/>
        </w:rPr>
        <w:t>26-03-040 March 19,2026</w:t>
      </w:r>
    </w:p>
    <w:p w:rsidRPr="007F620E" w:rsidR="00625B30" w:rsidP="00625B30" w:rsidRDefault="00625B30" w14:paraId="3B656E07" w14:textId="77777777">
      <w:pPr>
        <w:pStyle w:val="titlebar"/>
        <w:rPr>
          <w:rFonts w:ascii="Times New Roman" w:hAnsi="Times New Roman"/>
          <w:color w:val="000000"/>
          <w:sz w:val="24"/>
          <w:szCs w:val="24"/>
        </w:rPr>
      </w:pPr>
    </w:p>
    <w:p w:rsidRPr="007F620E" w:rsidR="00625B30" w:rsidP="00625B30" w:rsidRDefault="00625B30" w14:paraId="3D3AD171" w14:textId="77777777">
      <w:pPr>
        <w:pStyle w:val="titlebar"/>
        <w:rPr>
          <w:rFonts w:ascii="Times New Roman" w:hAnsi="Times New Roman"/>
          <w:color w:val="000000"/>
          <w:sz w:val="24"/>
          <w:szCs w:val="24"/>
        </w:rPr>
      </w:pPr>
    </w:p>
    <w:p w:rsidRPr="0057088A" w:rsidR="00625B30" w:rsidP="00625B30" w:rsidRDefault="00625B30" w14:paraId="1481C028" w14:textId="77777777">
      <w:pPr>
        <w:pStyle w:val="titlebar"/>
        <w:rPr>
          <w:rFonts w:ascii="Arial" w:hAnsi="Arial"/>
          <w:color w:val="000000"/>
          <w:sz w:val="24"/>
          <w:szCs w:val="24"/>
        </w:rPr>
      </w:pPr>
      <w:r w:rsidRPr="0057088A">
        <w:rPr>
          <w:rFonts w:ascii="Arial" w:hAnsi="Arial"/>
          <w:color w:val="000000"/>
          <w:sz w:val="24"/>
          <w:szCs w:val="24"/>
        </w:rPr>
        <w:t>BEFORE THE PUBLIC UTILITIES COMMISSION OF THE STATE OF CALIFORNIA</w:t>
      </w:r>
    </w:p>
    <w:p w:rsidRPr="007F620E" w:rsidR="00625B30" w:rsidP="00625B30" w:rsidRDefault="00625B30" w14:paraId="50B58BC8" w14:textId="77777777">
      <w:pPr>
        <w:suppressAutoHyphens/>
        <w:rPr>
          <w:color w:val="000000"/>
        </w:rPr>
      </w:pPr>
    </w:p>
    <w:tbl>
      <w:tblPr>
        <w:tblW w:w="9360" w:type="dxa"/>
        <w:tblBorders>
          <w:bottom w:val="single" w:color="auto" w:sz="4" w:space="0"/>
          <w:insideH w:val="single" w:color="auto" w:sz="4" w:space="0"/>
          <w:insideV w:val="single" w:color="auto" w:sz="4" w:space="0"/>
        </w:tblBorders>
        <w:shd w:val="clear" w:color="auto" w:fill="CCFFCC"/>
        <w:tblLayout w:type="fixed"/>
        <w:tblLook w:val="0000" w:firstRow="0" w:lastRow="0" w:firstColumn="0" w:lastColumn="0" w:noHBand="0" w:noVBand="0"/>
      </w:tblPr>
      <w:tblGrid>
        <w:gridCol w:w="5220"/>
        <w:gridCol w:w="4140"/>
      </w:tblGrid>
      <w:tr w:rsidRPr="007F620E" w:rsidR="00625B30" w:rsidTr="008D0E61" w14:paraId="3118FF93" w14:textId="77777777">
        <w:tc>
          <w:tcPr>
            <w:tcW w:w="5220" w:type="dxa"/>
          </w:tcPr>
          <w:p w:rsidR="00625B30" w:rsidP="008A19C8" w:rsidRDefault="00AE7DF0" w14:paraId="01E1A54E" w14:textId="77777777">
            <w:pPr>
              <w:rPr>
                <w:color w:val="000000"/>
              </w:rPr>
            </w:pPr>
            <w:r w:rsidRPr="00AE7DF0">
              <w:rPr>
                <w:color w:val="000000"/>
              </w:rPr>
              <w:t>Application of Pacific Gas and Electric Company for Authority to Issue Wildfire Rate Relief Bonds for Wildfire Costs and Expenses Pursuant to Article 5.8 of the California Public Utilities Code. (U39E)</w:t>
            </w:r>
          </w:p>
          <w:p w:rsidRPr="007F620E" w:rsidR="008D0E61" w:rsidP="008A19C8" w:rsidRDefault="008D0E61" w14:paraId="7192D4D4" w14:textId="26E75D27">
            <w:pPr>
              <w:rPr>
                <w:color w:val="000000"/>
              </w:rPr>
            </w:pPr>
          </w:p>
        </w:tc>
        <w:tc>
          <w:tcPr>
            <w:tcW w:w="4140" w:type="dxa"/>
            <w:tcBorders>
              <w:top w:val="nil"/>
              <w:bottom w:val="nil"/>
            </w:tcBorders>
            <w:vAlign w:val="center"/>
          </w:tcPr>
          <w:p w:rsidRPr="00850E6F" w:rsidR="00625B30" w:rsidP="0036244B" w:rsidRDefault="00625B30" w14:paraId="28FBCB65" w14:textId="503A79DC">
            <w:pPr>
              <w:tabs>
                <w:tab w:val="left" w:pos="1440"/>
                <w:tab w:val="left" w:pos="3600"/>
              </w:tabs>
              <w:jc w:val="center"/>
              <w:rPr>
                <w:color w:val="000000"/>
              </w:rPr>
            </w:pPr>
            <w:r w:rsidRPr="00850E6F">
              <w:rPr>
                <w:color w:val="000000"/>
              </w:rPr>
              <w:t xml:space="preserve">Application </w:t>
            </w:r>
            <w:r w:rsidR="00042267">
              <w:rPr>
                <w:color w:val="000000"/>
              </w:rPr>
              <w:t>2</w:t>
            </w:r>
            <w:r w:rsidR="00646E16">
              <w:rPr>
                <w:color w:val="000000"/>
              </w:rPr>
              <w:t>4</w:t>
            </w:r>
            <w:r w:rsidR="00042267">
              <w:rPr>
                <w:color w:val="000000"/>
              </w:rPr>
              <w:t>-</w:t>
            </w:r>
            <w:r w:rsidR="00646E16">
              <w:rPr>
                <w:color w:val="000000"/>
              </w:rPr>
              <w:t>06</w:t>
            </w:r>
            <w:r w:rsidR="00042267">
              <w:rPr>
                <w:color w:val="000000"/>
              </w:rPr>
              <w:t>-0</w:t>
            </w:r>
            <w:r w:rsidR="00646E16">
              <w:rPr>
                <w:color w:val="000000"/>
              </w:rPr>
              <w:t>1</w:t>
            </w:r>
            <w:r w:rsidR="00042267">
              <w:rPr>
                <w:color w:val="000000"/>
              </w:rPr>
              <w:t>3</w:t>
            </w:r>
          </w:p>
          <w:p w:rsidRPr="007F620E" w:rsidR="00625B30" w:rsidP="0036244B" w:rsidRDefault="00625B30" w14:paraId="5EB69743" w14:textId="07590F67">
            <w:pPr>
              <w:tabs>
                <w:tab w:val="left" w:pos="1440"/>
                <w:tab w:val="left" w:pos="3600"/>
              </w:tabs>
              <w:jc w:val="center"/>
              <w:rPr>
                <w:color w:val="000000"/>
              </w:rPr>
            </w:pPr>
            <w:r w:rsidRPr="00850E6F">
              <w:rPr>
                <w:color w:val="000000"/>
              </w:rPr>
              <w:t>(</w:t>
            </w:r>
            <w:bookmarkStart w:name="OLE_LINK1" w:id="0"/>
            <w:bookmarkStart w:name="OLE_LINK2" w:id="1"/>
            <w:r w:rsidRPr="00850E6F">
              <w:rPr>
                <w:color w:val="000000"/>
              </w:rPr>
              <w:t xml:space="preserve">Filed </w:t>
            </w:r>
            <w:bookmarkEnd w:id="0"/>
            <w:bookmarkEnd w:id="1"/>
            <w:r w:rsidRPr="00646E16" w:rsidR="00646E16">
              <w:rPr>
                <w:color w:val="000000"/>
              </w:rPr>
              <w:t>June 20, 2024</w:t>
            </w:r>
            <w:r w:rsidRPr="00850E6F">
              <w:rPr>
                <w:color w:val="000000"/>
              </w:rPr>
              <w:t>)</w:t>
            </w:r>
          </w:p>
          <w:p w:rsidRPr="007F620E" w:rsidR="00625B30" w:rsidP="0036244B" w:rsidRDefault="00625B30" w14:paraId="1DD5E0AD" w14:textId="77777777">
            <w:pPr>
              <w:jc w:val="center"/>
              <w:rPr>
                <w:color w:val="000000"/>
              </w:rPr>
            </w:pPr>
          </w:p>
        </w:tc>
      </w:tr>
    </w:tbl>
    <w:p w:rsidRPr="007F620E" w:rsidR="00625B30" w:rsidP="00625B30" w:rsidRDefault="00625B30" w14:paraId="2711831F" w14:textId="77777777">
      <w:pPr>
        <w:jc w:val="center"/>
        <w:rPr>
          <w:b/>
          <w:color w:val="000000"/>
        </w:rPr>
      </w:pPr>
    </w:p>
    <w:p w:rsidR="00026498" w:rsidP="00981C3E" w:rsidRDefault="00625B30" w14:paraId="3002FF9F" w14:textId="65C87DBB">
      <w:pPr>
        <w:jc w:val="center"/>
        <w:rPr>
          <w:b/>
        </w:rPr>
      </w:pPr>
      <w:r w:rsidRPr="00691528">
        <w:rPr>
          <w:b/>
        </w:rPr>
        <w:t xml:space="preserve">DECISION </w:t>
      </w:r>
      <w:r w:rsidR="006709E3">
        <w:rPr>
          <w:b/>
        </w:rPr>
        <w:t xml:space="preserve">GRANTING COMPENSATION TO THE UTILITY REFORM NETWORK </w:t>
      </w:r>
    </w:p>
    <w:p w:rsidRPr="00691528" w:rsidR="00625B30" w:rsidP="00334463" w:rsidRDefault="00334463" w14:paraId="7E768DC4" w14:textId="195AD678">
      <w:pPr>
        <w:jc w:val="center"/>
        <w:rPr>
          <w:b/>
          <w:shd w:val="clear" w:color="auto" w:fill="CCFFCC"/>
        </w:rPr>
      </w:pPr>
      <w:r>
        <w:rPr>
          <w:b/>
        </w:rPr>
        <w:t>FOR SUBSTANTIAL CONTRIBUTION TO DECISION (D.) 25-0</w:t>
      </w:r>
      <w:r w:rsidR="00B73469">
        <w:rPr>
          <w:b/>
        </w:rPr>
        <w:t>8</w:t>
      </w:r>
      <w:r>
        <w:rPr>
          <w:b/>
        </w:rPr>
        <w:t>-007</w:t>
      </w:r>
    </w:p>
    <w:p w:rsidRPr="00691528" w:rsidR="00625B30" w:rsidP="00625B30" w:rsidRDefault="00625B30" w14:paraId="252998C8" w14:textId="77777777">
      <w:pPr>
        <w:jc w:val="center"/>
        <w:rPr>
          <w:b/>
          <w:shd w:val="clear" w:color="auto" w:fill="CCFFCC"/>
        </w:rPr>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3963"/>
        <w:gridCol w:w="5397"/>
      </w:tblGrid>
      <w:tr w:rsidRPr="007F620E" w:rsidR="00625B30" w:rsidTr="00334463" w14:paraId="0E272B2D" w14:textId="77777777">
        <w:tc>
          <w:tcPr>
            <w:tcW w:w="3963" w:type="dxa"/>
          </w:tcPr>
          <w:p w:rsidRPr="00691528" w:rsidR="00625B30" w:rsidP="0036244B" w:rsidRDefault="00625B30" w14:paraId="55BFC873" w14:textId="77777777">
            <w:pPr>
              <w:tabs>
                <w:tab w:val="left" w:pos="1620"/>
                <w:tab w:val="right" w:pos="4500"/>
              </w:tabs>
              <w:rPr>
                <w:color w:val="000000"/>
              </w:rPr>
            </w:pPr>
            <w:r w:rsidRPr="007F620E">
              <w:rPr>
                <w:b/>
                <w:color w:val="000000"/>
              </w:rPr>
              <w:t>Intervenor:</w:t>
            </w:r>
            <w:r>
              <w:rPr>
                <w:b/>
                <w:color w:val="000000"/>
              </w:rPr>
              <w:t xml:space="preserve"> </w:t>
            </w:r>
            <w:r>
              <w:rPr>
                <w:bCs/>
                <w:color w:val="000000"/>
              </w:rPr>
              <w:t>The Utility Reform Network (TURN)</w:t>
            </w:r>
          </w:p>
        </w:tc>
        <w:tc>
          <w:tcPr>
            <w:tcW w:w="5397" w:type="dxa"/>
          </w:tcPr>
          <w:p w:rsidRPr="007F620E" w:rsidR="00625B30" w:rsidP="0036244B" w:rsidRDefault="00625B30" w14:paraId="3979BBD2" w14:textId="7BB8A6A2">
            <w:pPr>
              <w:tabs>
                <w:tab w:val="left" w:pos="1872"/>
                <w:tab w:val="right" w:pos="3672"/>
              </w:tabs>
              <w:rPr>
                <w:b/>
                <w:color w:val="000000"/>
              </w:rPr>
            </w:pPr>
            <w:r w:rsidRPr="007F620E">
              <w:rPr>
                <w:b/>
                <w:color w:val="000000"/>
              </w:rPr>
              <w:t xml:space="preserve">For </w:t>
            </w:r>
            <w:r w:rsidRPr="00334463">
              <w:rPr>
                <w:b/>
                <w:color w:val="000000"/>
              </w:rPr>
              <w:t xml:space="preserve">contribution to </w:t>
            </w:r>
            <w:r w:rsidRPr="00334463" w:rsidR="00FE673A">
              <w:rPr>
                <w:b/>
                <w:color w:val="000000"/>
              </w:rPr>
              <w:t>D.25-0</w:t>
            </w:r>
            <w:r w:rsidRPr="00334463" w:rsidR="001F67FF">
              <w:rPr>
                <w:b/>
                <w:color w:val="000000"/>
              </w:rPr>
              <w:t>8</w:t>
            </w:r>
            <w:r w:rsidRPr="00334463" w:rsidR="00FE673A">
              <w:rPr>
                <w:b/>
                <w:color w:val="000000"/>
              </w:rPr>
              <w:t>-00</w:t>
            </w:r>
            <w:r w:rsidRPr="00334463" w:rsidR="001F67FF">
              <w:rPr>
                <w:b/>
                <w:color w:val="000000"/>
              </w:rPr>
              <w:t>7</w:t>
            </w:r>
          </w:p>
        </w:tc>
      </w:tr>
      <w:tr w:rsidRPr="007F620E" w:rsidR="00625B30" w:rsidTr="00334463" w14:paraId="3BAE7DD6" w14:textId="77777777">
        <w:tc>
          <w:tcPr>
            <w:tcW w:w="3963" w:type="dxa"/>
          </w:tcPr>
          <w:p w:rsidRPr="002A4432" w:rsidR="00625B30" w:rsidP="0036244B" w:rsidRDefault="00625B30" w14:paraId="0FB0268E" w14:textId="3F7BA3D0">
            <w:pPr>
              <w:tabs>
                <w:tab w:val="left" w:pos="1620"/>
                <w:tab w:val="right" w:pos="4500"/>
              </w:tabs>
              <w:rPr>
                <w:b/>
                <w:color w:val="000000"/>
              </w:rPr>
            </w:pPr>
            <w:r w:rsidRPr="007F620E">
              <w:rPr>
                <w:b/>
                <w:color w:val="000000"/>
              </w:rPr>
              <w:t>Claimed</w:t>
            </w:r>
            <w:r w:rsidRPr="00A03087">
              <w:rPr>
                <w:b/>
                <w:color w:val="000000"/>
              </w:rPr>
              <w:t xml:space="preserve">:  </w:t>
            </w:r>
            <w:r w:rsidRPr="00334463" w:rsidR="006F5D5D">
              <w:rPr>
                <w:bCs/>
                <w:color w:val="000000"/>
              </w:rPr>
              <w:t>$</w:t>
            </w:r>
            <w:r w:rsidRPr="00334463" w:rsidR="00767319">
              <w:rPr>
                <w:bCs/>
              </w:rPr>
              <w:t>10</w:t>
            </w:r>
            <w:r w:rsidRPr="00334463" w:rsidR="00386474">
              <w:rPr>
                <w:bCs/>
              </w:rPr>
              <w:t>9,698</w:t>
            </w:r>
            <w:r w:rsidRPr="00334463" w:rsidR="00767319">
              <w:rPr>
                <w:bCs/>
              </w:rPr>
              <w:t>.13</w:t>
            </w:r>
          </w:p>
        </w:tc>
        <w:tc>
          <w:tcPr>
            <w:tcW w:w="5397" w:type="dxa"/>
            <w:tcBorders>
              <w:bottom w:val="single" w:color="auto" w:sz="4" w:space="0"/>
            </w:tcBorders>
          </w:tcPr>
          <w:p w:rsidRPr="007F620E" w:rsidR="00625B30" w:rsidP="0036244B" w:rsidRDefault="00625B30" w14:paraId="73C3DAD1" w14:textId="01780B5C">
            <w:pPr>
              <w:tabs>
                <w:tab w:val="left" w:pos="1872"/>
                <w:tab w:val="right" w:pos="3672"/>
              </w:tabs>
              <w:rPr>
                <w:b/>
                <w:color w:val="000000"/>
                <w:u w:val="single"/>
              </w:rPr>
            </w:pPr>
            <w:r w:rsidRPr="007F620E">
              <w:rPr>
                <w:b/>
                <w:color w:val="000000"/>
              </w:rPr>
              <w:t>Awarded:</w:t>
            </w:r>
            <w:r w:rsidRPr="00051B61">
              <w:rPr>
                <w:bCs/>
                <w:color w:val="000000"/>
              </w:rPr>
              <w:t xml:space="preserve">  $</w:t>
            </w:r>
            <w:r w:rsidRPr="00051B61" w:rsidR="00C32044">
              <w:rPr>
                <w:bCs/>
                <w:color w:val="000000"/>
              </w:rPr>
              <w:t>109,698.13</w:t>
            </w:r>
          </w:p>
        </w:tc>
      </w:tr>
      <w:tr w:rsidRPr="007F620E" w:rsidR="00625B30" w:rsidTr="00334463" w14:paraId="243EB11B" w14:textId="77777777">
        <w:tc>
          <w:tcPr>
            <w:tcW w:w="3963" w:type="dxa"/>
          </w:tcPr>
          <w:p w:rsidRPr="00691528" w:rsidR="00625B30" w:rsidP="0036244B" w:rsidRDefault="00625B30" w14:paraId="301E429A" w14:textId="64FB0EEE">
            <w:pPr>
              <w:tabs>
                <w:tab w:val="left" w:pos="3060"/>
                <w:tab w:val="right" w:pos="4500"/>
              </w:tabs>
              <w:rPr>
                <w:color w:val="000000"/>
                <w:u w:val="single"/>
              </w:rPr>
            </w:pPr>
            <w:r w:rsidRPr="007F620E">
              <w:rPr>
                <w:b/>
                <w:color w:val="000000"/>
              </w:rPr>
              <w:t xml:space="preserve">Assigned Commissioner: </w:t>
            </w:r>
            <w:r w:rsidRPr="00334463" w:rsidR="00646E16">
              <w:rPr>
                <w:bCs/>
                <w:color w:val="000000"/>
              </w:rPr>
              <w:t>Matthew Baker</w:t>
            </w:r>
          </w:p>
        </w:tc>
        <w:tc>
          <w:tcPr>
            <w:tcW w:w="5397" w:type="dxa"/>
          </w:tcPr>
          <w:p w:rsidRPr="00691528" w:rsidR="00625B30" w:rsidP="0036244B" w:rsidRDefault="00625B30" w14:paraId="13EDC8D8" w14:textId="12ED388F">
            <w:pPr>
              <w:tabs>
                <w:tab w:val="left" w:pos="1872"/>
                <w:tab w:val="right" w:pos="3672"/>
              </w:tabs>
              <w:rPr>
                <w:color w:val="000000"/>
                <w:u w:val="single"/>
              </w:rPr>
            </w:pPr>
            <w:r w:rsidRPr="007F620E">
              <w:rPr>
                <w:b/>
                <w:color w:val="000000"/>
              </w:rPr>
              <w:t xml:space="preserve">Assigned ALJ: </w:t>
            </w:r>
            <w:r w:rsidRPr="00334463" w:rsidR="00646E16">
              <w:rPr>
                <w:bCs/>
                <w:color w:val="000000"/>
              </w:rPr>
              <w:t>Regina DeAngelis</w:t>
            </w:r>
          </w:p>
        </w:tc>
      </w:tr>
    </w:tbl>
    <w:p w:rsidR="00EF69DC" w:rsidRDefault="00EF69DC" w14:paraId="39A15CD0" w14:textId="77777777"/>
    <w:p w:rsidR="00625B30" w:rsidP="00981C3E" w:rsidRDefault="00625B30" w14:paraId="2B9B63D7" w14:textId="3FC3207F">
      <w:pPr>
        <w:keepNext/>
        <w:jc w:val="center"/>
        <w:rPr>
          <w:b/>
          <w:color w:val="000000"/>
        </w:rPr>
      </w:pPr>
      <w:r w:rsidRPr="007F620E">
        <w:rPr>
          <w:b/>
          <w:color w:val="000000"/>
        </w:rPr>
        <w:t>PART I</w:t>
      </w:r>
      <w:proofErr w:type="gramStart"/>
      <w:r w:rsidRPr="007F620E">
        <w:rPr>
          <w:b/>
          <w:color w:val="000000"/>
        </w:rPr>
        <w:t>:</w:t>
      </w:r>
      <w:r>
        <w:rPr>
          <w:b/>
          <w:color w:val="000000"/>
        </w:rPr>
        <w:t xml:space="preserve">  </w:t>
      </w:r>
      <w:r w:rsidRPr="007F620E">
        <w:rPr>
          <w:b/>
          <w:color w:val="000000"/>
        </w:rPr>
        <w:t>PROCEDURAL</w:t>
      </w:r>
      <w:proofErr w:type="gramEnd"/>
      <w:r w:rsidRPr="007F620E">
        <w:rPr>
          <w:b/>
          <w:color w:val="000000"/>
        </w:rPr>
        <w:t xml:space="preserve"> ISSUES</w:t>
      </w:r>
    </w:p>
    <w:p w:rsidRPr="00625B30" w:rsidR="00625B30" w:rsidP="00625B30" w:rsidRDefault="00625B30" w14:paraId="4FA04D13" w14:textId="77777777">
      <w:pPr>
        <w:keepNext/>
        <w:jc w:val="center"/>
        <w:rPr>
          <w:i/>
          <w:color w:val="000000"/>
          <w:u w:val="single"/>
        </w:rPr>
      </w:pPr>
    </w:p>
    <w:tbl>
      <w:tblPr>
        <w:tblpPr w:leftFromText="187" w:rightFromText="187" w:vertAnchor="text" w:tblpY="1"/>
        <w:tblOverlap w:val="never"/>
        <w:tblW w:w="9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708"/>
        <w:gridCol w:w="5647"/>
      </w:tblGrid>
      <w:tr w:rsidRPr="007F620E" w:rsidR="00625B30" w:rsidTr="008D0E61" w14:paraId="23E65303" w14:textId="77777777">
        <w:tc>
          <w:tcPr>
            <w:tcW w:w="3708" w:type="dxa"/>
          </w:tcPr>
          <w:p w:rsidRPr="007F620E" w:rsidR="00625B30" w:rsidP="00ED55FC" w:rsidRDefault="00625B30" w14:paraId="7EF356D2" w14:textId="77777777">
            <w:pPr>
              <w:rPr>
                <w:b/>
                <w:color w:val="000000"/>
              </w:rPr>
            </w:pPr>
            <w:r w:rsidRPr="007F620E">
              <w:rPr>
                <w:b/>
                <w:color w:val="000000"/>
              </w:rPr>
              <w:t xml:space="preserve">A.  Brief description of Decision: </w:t>
            </w:r>
          </w:p>
        </w:tc>
        <w:tc>
          <w:tcPr>
            <w:tcW w:w="5647" w:type="dxa"/>
          </w:tcPr>
          <w:p w:rsidRPr="007F620E" w:rsidR="00625B30" w:rsidP="00ED55FC" w:rsidRDefault="00320D40" w14:paraId="0ED531DB" w14:textId="391DB712">
            <w:pPr>
              <w:rPr>
                <w:color w:val="000000"/>
              </w:rPr>
            </w:pPr>
            <w:r w:rsidRPr="00320D40">
              <w:rPr>
                <w:bCs/>
                <w:color w:val="000000"/>
              </w:rPr>
              <w:t>In D.25-08-007, the Commission denied Pacific Gas and Electric Company’s request to issue bonds and securitize up to $2.356 billion, finding that it fails to meet the public interest standard required by Pub. Util. Code § 850.1(a)(1)(A).</w:t>
            </w:r>
          </w:p>
        </w:tc>
      </w:tr>
    </w:tbl>
    <w:p w:rsidR="00625B30" w:rsidRDefault="00625B30" w14:paraId="3074DED3" w14:textId="77777777"/>
    <w:p w:rsidRPr="007F620E" w:rsidR="00625B30" w:rsidP="00A3121D" w:rsidRDefault="00625B30" w14:paraId="6916740E" w14:textId="77777777">
      <w:pPr>
        <w:keepNext/>
        <w:numPr>
          <w:ilvl w:val="0"/>
          <w:numId w:val="1"/>
        </w:numPr>
        <w:spacing w:after="240"/>
        <w:rPr>
          <w:b/>
          <w:color w:val="000000"/>
        </w:rPr>
      </w:pPr>
      <w:r w:rsidRPr="007F620E">
        <w:rPr>
          <w:b/>
          <w:color w:val="000000"/>
        </w:rPr>
        <w:t>Intervenor must satisfy intervenor compensation requirements set forth in Pub. Util. Code §§ 1801-1812</w:t>
      </w:r>
      <w:r>
        <w:rPr>
          <w:rStyle w:val="FootnoteReference"/>
          <w:rFonts w:eastAsiaTheme="majorEastAsia"/>
          <w:b/>
          <w:color w:val="000000"/>
        </w:rPr>
        <w:footnoteReference w:id="1"/>
      </w:r>
      <w:r w:rsidRPr="007F620E">
        <w:rPr>
          <w:b/>
          <w:color w:val="000000"/>
        </w:rPr>
        <w:t>:</w:t>
      </w:r>
    </w:p>
    <w:tbl>
      <w:tblPr>
        <w:tblpPr w:leftFromText="187" w:rightFromText="187" w:vertAnchor="text" w:tblpY="1"/>
        <w:tblOverlap w:val="neve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4817"/>
        <w:gridCol w:w="2267"/>
        <w:gridCol w:w="2276"/>
      </w:tblGrid>
      <w:tr w:rsidRPr="007F620E" w:rsidR="00625B30" w:rsidTr="00ED55FC" w14:paraId="399A957E" w14:textId="77777777">
        <w:trPr>
          <w:tblHeader/>
        </w:trPr>
        <w:tc>
          <w:tcPr>
            <w:tcW w:w="4817" w:type="dxa"/>
            <w:tcBorders>
              <w:bottom w:val="single" w:color="auto" w:sz="4" w:space="0"/>
            </w:tcBorders>
          </w:tcPr>
          <w:p w:rsidRPr="007F620E" w:rsidR="00625B30" w:rsidP="00ED55FC" w:rsidRDefault="00625B30" w14:paraId="1D6F2E4E" w14:textId="77777777">
            <w:pPr>
              <w:tabs>
                <w:tab w:val="left" w:pos="360"/>
              </w:tabs>
              <w:jc w:val="center"/>
              <w:rPr>
                <w:color w:val="000000"/>
              </w:rPr>
            </w:pPr>
          </w:p>
        </w:tc>
        <w:tc>
          <w:tcPr>
            <w:tcW w:w="2267" w:type="dxa"/>
            <w:tcBorders>
              <w:bottom w:val="single" w:color="auto" w:sz="4" w:space="0"/>
            </w:tcBorders>
          </w:tcPr>
          <w:p w:rsidRPr="007F620E" w:rsidR="00625B30" w:rsidP="00ED55FC" w:rsidRDefault="00625B30" w14:paraId="4D502B6B" w14:textId="77777777">
            <w:pPr>
              <w:tabs>
                <w:tab w:val="left" w:pos="360"/>
              </w:tabs>
              <w:jc w:val="center"/>
              <w:rPr>
                <w:b/>
                <w:color w:val="000000"/>
              </w:rPr>
            </w:pPr>
            <w:r w:rsidRPr="007F620E">
              <w:rPr>
                <w:b/>
                <w:color w:val="000000"/>
              </w:rPr>
              <w:t>Intervenor</w:t>
            </w:r>
          </w:p>
        </w:tc>
        <w:tc>
          <w:tcPr>
            <w:tcW w:w="2276" w:type="dxa"/>
            <w:tcBorders>
              <w:bottom w:val="single" w:color="auto" w:sz="4" w:space="0"/>
            </w:tcBorders>
          </w:tcPr>
          <w:p w:rsidRPr="007F620E" w:rsidR="00625B30" w:rsidP="00ED55FC" w:rsidRDefault="00625B30" w14:paraId="179E93D8" w14:textId="77777777">
            <w:pPr>
              <w:tabs>
                <w:tab w:val="left" w:pos="360"/>
              </w:tabs>
              <w:jc w:val="center"/>
              <w:rPr>
                <w:b/>
                <w:color w:val="000000"/>
              </w:rPr>
            </w:pPr>
            <w:r w:rsidRPr="007F620E">
              <w:rPr>
                <w:b/>
                <w:color w:val="000000"/>
              </w:rPr>
              <w:t xml:space="preserve">CPUC </w:t>
            </w:r>
            <w:r>
              <w:rPr>
                <w:b/>
                <w:color w:val="000000"/>
              </w:rPr>
              <w:t>Verification</w:t>
            </w:r>
          </w:p>
        </w:tc>
      </w:tr>
      <w:tr w:rsidRPr="007F620E" w:rsidR="00625B30" w:rsidTr="00ED55FC" w14:paraId="30C1C53A" w14:textId="77777777">
        <w:tc>
          <w:tcPr>
            <w:tcW w:w="9360"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7F620E" w:rsidR="00625B30" w:rsidP="00ED55FC" w:rsidRDefault="00625B30" w14:paraId="7A65DC4F" w14:textId="77777777">
            <w:pPr>
              <w:keepNext/>
              <w:tabs>
                <w:tab w:val="left" w:pos="360"/>
              </w:tabs>
              <w:jc w:val="center"/>
              <w:rPr>
                <w:b/>
              </w:rPr>
            </w:pPr>
            <w:r w:rsidRPr="007F620E">
              <w:rPr>
                <w:b/>
              </w:rPr>
              <w:t>Timely filing of notice of intent to claim compensation (NOI) (§ 1804(a)):</w:t>
            </w:r>
          </w:p>
        </w:tc>
      </w:tr>
      <w:tr w:rsidRPr="007F620E" w:rsidR="00625B30" w:rsidTr="00334463" w14:paraId="29C972CE" w14:textId="77777777">
        <w:tc>
          <w:tcPr>
            <w:tcW w:w="4817" w:type="dxa"/>
            <w:tcBorders>
              <w:top w:val="single" w:color="auto" w:sz="4" w:space="0"/>
            </w:tcBorders>
          </w:tcPr>
          <w:p w:rsidRPr="007F620E" w:rsidR="00625B30" w:rsidP="00ED55FC" w:rsidRDefault="00625B30" w14:paraId="14B80595" w14:textId="77777777">
            <w:pPr>
              <w:keepNext/>
              <w:tabs>
                <w:tab w:val="left" w:pos="360"/>
              </w:tabs>
              <w:ind w:left="360" w:hanging="360"/>
              <w:rPr>
                <w:color w:val="000000"/>
              </w:rPr>
            </w:pPr>
            <w:r w:rsidRPr="007F620E">
              <w:rPr>
                <w:color w:val="000000"/>
              </w:rPr>
              <w:t>1.</w:t>
            </w:r>
            <w:r>
              <w:rPr>
                <w:color w:val="000000"/>
              </w:rPr>
              <w:tab/>
            </w:r>
            <w:r w:rsidRPr="007F620E">
              <w:rPr>
                <w:color w:val="000000"/>
              </w:rPr>
              <w:t>Date of Prehearing Conference:</w:t>
            </w:r>
          </w:p>
        </w:tc>
        <w:tc>
          <w:tcPr>
            <w:tcW w:w="2267" w:type="dxa"/>
            <w:tcBorders>
              <w:top w:val="single" w:color="auto" w:sz="4" w:space="0"/>
            </w:tcBorders>
          </w:tcPr>
          <w:p w:rsidRPr="007F620E" w:rsidR="00625B30" w:rsidP="00ED55FC" w:rsidRDefault="00EA146E" w14:paraId="72BAF1DA" w14:textId="4032BB4D">
            <w:pPr>
              <w:keepNext/>
              <w:keepLines/>
              <w:tabs>
                <w:tab w:val="left" w:pos="360"/>
              </w:tabs>
              <w:ind w:left="360" w:hanging="360"/>
              <w:rPr>
                <w:color w:val="000000"/>
              </w:rPr>
            </w:pPr>
            <w:r>
              <w:rPr>
                <w:color w:val="000000"/>
              </w:rPr>
              <w:t>8/6/2024</w:t>
            </w:r>
          </w:p>
        </w:tc>
        <w:tc>
          <w:tcPr>
            <w:tcW w:w="2276" w:type="dxa"/>
            <w:tcBorders>
              <w:top w:val="single" w:color="auto" w:sz="4" w:space="0"/>
            </w:tcBorders>
          </w:tcPr>
          <w:p w:rsidRPr="007F620E" w:rsidR="00625B30" w:rsidP="00ED55FC" w:rsidRDefault="00ED0551" w14:paraId="08DD3867" w14:textId="1708DD85">
            <w:pPr>
              <w:keepNext/>
              <w:tabs>
                <w:tab w:val="left" w:pos="360"/>
              </w:tabs>
              <w:jc w:val="both"/>
              <w:rPr>
                <w:color w:val="000000"/>
              </w:rPr>
            </w:pPr>
            <w:r>
              <w:rPr>
                <w:color w:val="000000"/>
              </w:rPr>
              <w:t>Verified</w:t>
            </w:r>
          </w:p>
        </w:tc>
      </w:tr>
      <w:tr w:rsidRPr="007F620E" w:rsidR="00625B30" w:rsidTr="00334463" w14:paraId="4988EACE" w14:textId="77777777">
        <w:tc>
          <w:tcPr>
            <w:tcW w:w="4817" w:type="dxa"/>
          </w:tcPr>
          <w:p w:rsidRPr="007F620E" w:rsidR="00625B30" w:rsidP="00ED55FC" w:rsidRDefault="00625B30" w14:paraId="304602D5" w14:textId="77777777">
            <w:pPr>
              <w:tabs>
                <w:tab w:val="left" w:pos="360"/>
              </w:tabs>
              <w:ind w:left="360" w:hanging="360"/>
              <w:rPr>
                <w:color w:val="000000"/>
              </w:rPr>
            </w:pPr>
            <w:r w:rsidRPr="007F620E">
              <w:rPr>
                <w:color w:val="000000"/>
              </w:rPr>
              <w:t>2.</w:t>
            </w:r>
            <w:r>
              <w:rPr>
                <w:color w:val="000000"/>
              </w:rPr>
              <w:tab/>
            </w:r>
            <w:r w:rsidRPr="007F620E">
              <w:rPr>
                <w:color w:val="000000"/>
              </w:rPr>
              <w:t>Other specified date for NOI:</w:t>
            </w:r>
          </w:p>
        </w:tc>
        <w:tc>
          <w:tcPr>
            <w:tcW w:w="2267" w:type="dxa"/>
          </w:tcPr>
          <w:p w:rsidRPr="007F620E" w:rsidR="00625B30" w:rsidP="00ED55FC" w:rsidRDefault="005660A6" w14:paraId="08E76F7D" w14:textId="4F81164A">
            <w:pPr>
              <w:keepNext/>
              <w:keepLines/>
              <w:tabs>
                <w:tab w:val="left" w:pos="360"/>
              </w:tabs>
              <w:ind w:left="360" w:hanging="360"/>
              <w:rPr>
                <w:color w:val="000000"/>
              </w:rPr>
            </w:pPr>
            <w:r>
              <w:rPr>
                <w:color w:val="000000"/>
              </w:rPr>
              <w:t>N/A</w:t>
            </w:r>
          </w:p>
        </w:tc>
        <w:tc>
          <w:tcPr>
            <w:tcW w:w="2276" w:type="dxa"/>
          </w:tcPr>
          <w:p w:rsidRPr="007F620E" w:rsidR="00625B30" w:rsidP="00ED55FC" w:rsidRDefault="00625B30" w14:paraId="31ACB42D" w14:textId="77777777">
            <w:pPr>
              <w:tabs>
                <w:tab w:val="left" w:pos="360"/>
              </w:tabs>
              <w:jc w:val="both"/>
              <w:rPr>
                <w:color w:val="000000"/>
              </w:rPr>
            </w:pPr>
          </w:p>
        </w:tc>
      </w:tr>
      <w:tr w:rsidRPr="007F620E" w:rsidR="00625B30" w:rsidTr="00334463" w14:paraId="62DE5447" w14:textId="77777777">
        <w:tc>
          <w:tcPr>
            <w:tcW w:w="4817" w:type="dxa"/>
          </w:tcPr>
          <w:p w:rsidRPr="007F620E" w:rsidR="00625B30" w:rsidP="00ED55FC" w:rsidRDefault="00625B30" w14:paraId="24A4AD1D" w14:textId="77777777">
            <w:pPr>
              <w:tabs>
                <w:tab w:val="left" w:pos="360"/>
              </w:tabs>
              <w:ind w:left="360" w:hanging="360"/>
              <w:rPr>
                <w:color w:val="000000"/>
              </w:rPr>
            </w:pPr>
            <w:r w:rsidRPr="007F620E">
              <w:rPr>
                <w:color w:val="000000"/>
              </w:rPr>
              <w:t>3.</w:t>
            </w:r>
            <w:r>
              <w:rPr>
                <w:color w:val="000000"/>
              </w:rPr>
              <w:tab/>
            </w:r>
            <w:r w:rsidRPr="007F620E">
              <w:rPr>
                <w:color w:val="000000"/>
              </w:rPr>
              <w:t>Date NOI filed:</w:t>
            </w:r>
          </w:p>
        </w:tc>
        <w:tc>
          <w:tcPr>
            <w:tcW w:w="2267" w:type="dxa"/>
            <w:tcBorders>
              <w:bottom w:val="single" w:color="auto" w:sz="4" w:space="0"/>
            </w:tcBorders>
          </w:tcPr>
          <w:p w:rsidRPr="007F620E" w:rsidR="00625B30" w:rsidP="00ED55FC" w:rsidRDefault="00EA146E" w14:paraId="5C9207ED" w14:textId="77D9A404">
            <w:pPr>
              <w:keepNext/>
              <w:keepLines/>
              <w:tabs>
                <w:tab w:val="left" w:pos="360"/>
              </w:tabs>
              <w:ind w:left="360" w:hanging="360"/>
              <w:rPr>
                <w:color w:val="000000"/>
              </w:rPr>
            </w:pPr>
            <w:r>
              <w:rPr>
                <w:color w:val="000000"/>
              </w:rPr>
              <w:t>9/5/2024</w:t>
            </w:r>
          </w:p>
        </w:tc>
        <w:tc>
          <w:tcPr>
            <w:tcW w:w="2276" w:type="dxa"/>
            <w:tcBorders>
              <w:bottom w:val="single" w:color="auto" w:sz="4" w:space="0"/>
            </w:tcBorders>
          </w:tcPr>
          <w:p w:rsidRPr="007F620E" w:rsidR="00625B30" w:rsidP="00ED55FC" w:rsidRDefault="00765256" w14:paraId="6946F97E" w14:textId="154E4A38">
            <w:pPr>
              <w:tabs>
                <w:tab w:val="left" w:pos="360"/>
              </w:tabs>
              <w:jc w:val="both"/>
              <w:rPr>
                <w:color w:val="000000"/>
              </w:rPr>
            </w:pPr>
            <w:r>
              <w:rPr>
                <w:color w:val="000000"/>
              </w:rPr>
              <w:t>Verified</w:t>
            </w:r>
          </w:p>
        </w:tc>
      </w:tr>
      <w:tr w:rsidRPr="007F620E" w:rsidR="00625B30" w:rsidTr="00ED55FC" w14:paraId="69CAF72E" w14:textId="77777777">
        <w:tc>
          <w:tcPr>
            <w:tcW w:w="7084" w:type="dxa"/>
            <w:gridSpan w:val="2"/>
            <w:tcBorders>
              <w:bottom w:val="single" w:color="auto" w:sz="4" w:space="0"/>
            </w:tcBorders>
          </w:tcPr>
          <w:p w:rsidRPr="007F620E" w:rsidR="00625B30" w:rsidP="00ED55FC" w:rsidRDefault="00625B30" w14:paraId="06540B27" w14:textId="77777777">
            <w:pPr>
              <w:tabs>
                <w:tab w:val="left" w:pos="360"/>
              </w:tabs>
              <w:ind w:left="360" w:hanging="360"/>
              <w:rPr>
                <w:color w:val="000000"/>
              </w:rPr>
            </w:pPr>
            <w:r w:rsidRPr="007F620E">
              <w:rPr>
                <w:color w:val="000000"/>
              </w:rPr>
              <w:t>4.</w:t>
            </w:r>
            <w:r>
              <w:rPr>
                <w:color w:val="000000"/>
              </w:rPr>
              <w:tab/>
            </w:r>
            <w:r w:rsidRPr="007F620E">
              <w:rPr>
                <w:color w:val="000000"/>
              </w:rPr>
              <w:t>Was the NOI timely filed?</w:t>
            </w:r>
          </w:p>
        </w:tc>
        <w:tc>
          <w:tcPr>
            <w:tcW w:w="2276" w:type="dxa"/>
            <w:tcBorders>
              <w:bottom w:val="single" w:color="auto" w:sz="4" w:space="0"/>
            </w:tcBorders>
          </w:tcPr>
          <w:p w:rsidRPr="007F620E" w:rsidR="00625B30" w:rsidP="00ED55FC" w:rsidRDefault="00765256" w14:paraId="613C8519" w14:textId="77CDE84A">
            <w:pPr>
              <w:tabs>
                <w:tab w:val="left" w:pos="360"/>
              </w:tabs>
              <w:rPr>
                <w:color w:val="000000"/>
              </w:rPr>
            </w:pPr>
            <w:r>
              <w:rPr>
                <w:color w:val="000000"/>
              </w:rPr>
              <w:t>Yes</w:t>
            </w:r>
          </w:p>
        </w:tc>
      </w:tr>
      <w:tr w:rsidRPr="007F620E" w:rsidR="00625B30" w:rsidTr="00ED55FC" w14:paraId="132BA11A" w14:textId="77777777">
        <w:tc>
          <w:tcPr>
            <w:tcW w:w="9360" w:type="dxa"/>
            <w:gridSpan w:val="3"/>
            <w:tcBorders>
              <w:top w:val="single" w:color="auto" w:sz="4" w:space="0"/>
              <w:left w:val="single" w:color="auto" w:sz="4" w:space="0"/>
              <w:bottom w:val="single" w:color="auto" w:sz="4" w:space="0"/>
              <w:right w:val="single" w:color="auto" w:sz="4" w:space="0"/>
            </w:tcBorders>
            <w:shd w:val="clear" w:color="auto" w:fill="E6E6E6"/>
          </w:tcPr>
          <w:p w:rsidR="00625B30" w:rsidP="00ED55FC" w:rsidRDefault="00625B30" w14:paraId="2A799D84" w14:textId="77777777">
            <w:pPr>
              <w:keepNext/>
              <w:keepLines/>
              <w:tabs>
                <w:tab w:val="left" w:pos="360"/>
              </w:tabs>
              <w:jc w:val="center"/>
              <w:rPr>
                <w:b/>
                <w:color w:val="000000"/>
              </w:rPr>
            </w:pPr>
            <w:r w:rsidRPr="007F620E">
              <w:rPr>
                <w:b/>
                <w:color w:val="000000"/>
              </w:rPr>
              <w:lastRenderedPageBreak/>
              <w:t>Showing of eligible customer status (§ 1802(b)</w:t>
            </w:r>
            <w:r>
              <w:rPr>
                <w:b/>
                <w:color w:val="000000"/>
              </w:rPr>
              <w:t>)</w:t>
            </w:r>
          </w:p>
          <w:p w:rsidRPr="007F620E" w:rsidR="00625B30" w:rsidP="00ED55FC" w:rsidRDefault="00625B30" w14:paraId="169CA9D2" w14:textId="77777777">
            <w:pPr>
              <w:keepNext/>
              <w:keepLines/>
              <w:tabs>
                <w:tab w:val="left" w:pos="360"/>
              </w:tabs>
              <w:jc w:val="center"/>
              <w:rPr>
                <w:b/>
                <w:color w:val="000000"/>
              </w:rPr>
            </w:pPr>
            <w:r w:rsidRPr="007F620E">
              <w:rPr>
                <w:b/>
                <w:color w:val="000000"/>
              </w:rPr>
              <w:t xml:space="preserve"> or eligible local government entity </w:t>
            </w:r>
            <w:r>
              <w:rPr>
                <w:b/>
                <w:color w:val="000000"/>
              </w:rPr>
              <w:t xml:space="preserve">status </w:t>
            </w:r>
            <w:r w:rsidRPr="007F620E">
              <w:rPr>
                <w:b/>
                <w:color w:val="000000"/>
              </w:rPr>
              <w:t>(§§ 1802(d), 1802.4):</w:t>
            </w:r>
          </w:p>
        </w:tc>
      </w:tr>
      <w:tr w:rsidRPr="007F620E" w:rsidR="00625B30" w:rsidTr="00334463" w14:paraId="4D9BC127" w14:textId="77777777">
        <w:tc>
          <w:tcPr>
            <w:tcW w:w="4817" w:type="dxa"/>
            <w:tcBorders>
              <w:top w:val="single" w:color="auto" w:sz="4" w:space="0"/>
            </w:tcBorders>
          </w:tcPr>
          <w:p w:rsidRPr="007F620E" w:rsidR="00625B30" w:rsidP="00ED55FC" w:rsidRDefault="00625B30" w14:paraId="0BD024AF" w14:textId="77777777">
            <w:pPr>
              <w:keepNext/>
              <w:keepLines/>
              <w:ind w:left="360" w:hanging="360"/>
              <w:rPr>
                <w:color w:val="000000"/>
              </w:rPr>
            </w:pPr>
            <w:r w:rsidRPr="007F620E">
              <w:rPr>
                <w:color w:val="000000"/>
              </w:rPr>
              <w:t>5.</w:t>
            </w:r>
            <w:r>
              <w:rPr>
                <w:color w:val="000000"/>
              </w:rPr>
              <w:tab/>
            </w:r>
            <w:r w:rsidRPr="007F620E">
              <w:rPr>
                <w:color w:val="000000"/>
              </w:rPr>
              <w:t>Based on ALJ ruling issued in proceeding   number:</w:t>
            </w:r>
          </w:p>
        </w:tc>
        <w:tc>
          <w:tcPr>
            <w:tcW w:w="2267" w:type="dxa"/>
            <w:tcBorders>
              <w:top w:val="single" w:color="auto" w:sz="4" w:space="0"/>
            </w:tcBorders>
          </w:tcPr>
          <w:p w:rsidRPr="005660A6" w:rsidR="005660A6" w:rsidP="005660A6" w:rsidRDefault="005660A6" w14:paraId="6B4AE975" w14:textId="06A66B9D">
            <w:pPr>
              <w:rPr>
                <w:color w:val="000000"/>
              </w:rPr>
            </w:pPr>
            <w:r w:rsidRPr="005660A6">
              <w:rPr>
                <w:color w:val="000000"/>
              </w:rPr>
              <w:t>A.</w:t>
            </w:r>
            <w:r w:rsidR="00EA146E">
              <w:rPr>
                <w:color w:val="000000"/>
              </w:rPr>
              <w:t>23-06-008</w:t>
            </w:r>
          </w:p>
          <w:p w:rsidRPr="007F620E" w:rsidR="00625B30" w:rsidP="00ED55FC" w:rsidRDefault="00625B30" w14:paraId="4B1C16EE" w14:textId="70955EBB">
            <w:pPr>
              <w:keepNext/>
              <w:keepLines/>
              <w:tabs>
                <w:tab w:val="left" w:pos="360"/>
              </w:tabs>
              <w:ind w:left="360" w:hanging="360"/>
              <w:rPr>
                <w:color w:val="000000"/>
              </w:rPr>
            </w:pPr>
          </w:p>
        </w:tc>
        <w:tc>
          <w:tcPr>
            <w:tcW w:w="2276" w:type="dxa"/>
            <w:tcBorders>
              <w:top w:val="single" w:color="auto" w:sz="4" w:space="0"/>
            </w:tcBorders>
          </w:tcPr>
          <w:p w:rsidRPr="007F620E" w:rsidR="00625B30" w:rsidP="00ED55FC" w:rsidRDefault="00893E8B" w14:paraId="0FA87BA2" w14:textId="0984FA65">
            <w:pPr>
              <w:keepNext/>
              <w:keepLines/>
              <w:tabs>
                <w:tab w:val="left" w:pos="360"/>
              </w:tabs>
              <w:rPr>
                <w:color w:val="000000"/>
              </w:rPr>
            </w:pPr>
            <w:r>
              <w:rPr>
                <w:color w:val="000000"/>
              </w:rPr>
              <w:t>Verified</w:t>
            </w:r>
          </w:p>
        </w:tc>
      </w:tr>
      <w:tr w:rsidRPr="007F620E" w:rsidR="00625B30" w:rsidTr="00334463" w14:paraId="0DD8BF7E" w14:textId="77777777">
        <w:tc>
          <w:tcPr>
            <w:tcW w:w="4817" w:type="dxa"/>
          </w:tcPr>
          <w:p w:rsidRPr="007F620E" w:rsidR="00625B30" w:rsidP="00ED55FC" w:rsidRDefault="00625B30" w14:paraId="6B4DE40F" w14:textId="77777777">
            <w:pPr>
              <w:tabs>
                <w:tab w:val="left" w:pos="360"/>
              </w:tabs>
              <w:ind w:left="360" w:hanging="360"/>
              <w:rPr>
                <w:color w:val="000000"/>
              </w:rPr>
            </w:pPr>
            <w:r w:rsidRPr="007F620E">
              <w:rPr>
                <w:color w:val="000000"/>
              </w:rPr>
              <w:t>6.</w:t>
            </w:r>
            <w:r>
              <w:rPr>
                <w:color w:val="000000"/>
              </w:rPr>
              <w:tab/>
            </w:r>
            <w:r w:rsidRPr="007F620E">
              <w:rPr>
                <w:color w:val="000000"/>
              </w:rPr>
              <w:t>Date of ALJ ruling:</w:t>
            </w:r>
          </w:p>
        </w:tc>
        <w:tc>
          <w:tcPr>
            <w:tcW w:w="2267" w:type="dxa"/>
          </w:tcPr>
          <w:p w:rsidRPr="007F620E" w:rsidR="00625B30" w:rsidP="00ED55FC" w:rsidRDefault="005660A6" w14:paraId="26330D0F" w14:textId="3B864856">
            <w:pPr>
              <w:tabs>
                <w:tab w:val="left" w:pos="360"/>
              </w:tabs>
              <w:ind w:left="360" w:hanging="360"/>
              <w:rPr>
                <w:color w:val="000000"/>
              </w:rPr>
            </w:pPr>
            <w:r>
              <w:rPr>
                <w:color w:val="000000"/>
              </w:rPr>
              <w:t>3/20/2024</w:t>
            </w:r>
          </w:p>
        </w:tc>
        <w:tc>
          <w:tcPr>
            <w:tcW w:w="2276" w:type="dxa"/>
          </w:tcPr>
          <w:p w:rsidRPr="007F620E" w:rsidR="00625B30" w:rsidP="00ED55FC" w:rsidRDefault="00893E8B" w14:paraId="0F88CACC" w14:textId="314747C8">
            <w:pPr>
              <w:tabs>
                <w:tab w:val="left" w:pos="360"/>
              </w:tabs>
              <w:rPr>
                <w:color w:val="000000"/>
              </w:rPr>
            </w:pPr>
            <w:r>
              <w:rPr>
                <w:color w:val="000000"/>
              </w:rPr>
              <w:t>Verified</w:t>
            </w:r>
          </w:p>
        </w:tc>
      </w:tr>
      <w:tr w:rsidRPr="007F620E" w:rsidR="00625B30" w:rsidTr="00334463" w14:paraId="29CED8DF" w14:textId="77777777">
        <w:tc>
          <w:tcPr>
            <w:tcW w:w="4817" w:type="dxa"/>
          </w:tcPr>
          <w:p w:rsidRPr="007F620E" w:rsidR="00625B30" w:rsidP="00ED55FC" w:rsidRDefault="00625B30" w14:paraId="4F36EDE9" w14:textId="77777777">
            <w:pPr>
              <w:tabs>
                <w:tab w:val="left" w:pos="360"/>
              </w:tabs>
              <w:ind w:left="360" w:hanging="360"/>
              <w:rPr>
                <w:color w:val="000000"/>
              </w:rPr>
            </w:pPr>
            <w:r w:rsidRPr="007F620E">
              <w:rPr>
                <w:color w:val="000000"/>
              </w:rPr>
              <w:t>7.</w:t>
            </w:r>
            <w:r>
              <w:rPr>
                <w:color w:val="000000"/>
              </w:rPr>
              <w:tab/>
            </w:r>
            <w:r w:rsidRPr="007F620E">
              <w:rPr>
                <w:color w:val="000000"/>
              </w:rPr>
              <w:t>Based on another CPUC determination (specify):</w:t>
            </w:r>
          </w:p>
        </w:tc>
        <w:tc>
          <w:tcPr>
            <w:tcW w:w="2267" w:type="dxa"/>
            <w:tcBorders>
              <w:bottom w:val="single" w:color="auto" w:sz="4" w:space="0"/>
            </w:tcBorders>
          </w:tcPr>
          <w:p w:rsidRPr="007F620E" w:rsidR="00625B30" w:rsidP="00ED55FC" w:rsidRDefault="00625B30" w14:paraId="0951D2C6" w14:textId="77777777">
            <w:pPr>
              <w:tabs>
                <w:tab w:val="left" w:pos="360"/>
              </w:tabs>
              <w:ind w:left="360" w:hanging="360"/>
              <w:rPr>
                <w:color w:val="000000"/>
              </w:rPr>
            </w:pPr>
          </w:p>
        </w:tc>
        <w:tc>
          <w:tcPr>
            <w:tcW w:w="2276" w:type="dxa"/>
            <w:tcBorders>
              <w:bottom w:val="single" w:color="auto" w:sz="4" w:space="0"/>
            </w:tcBorders>
          </w:tcPr>
          <w:p w:rsidRPr="007F620E" w:rsidR="00625B30" w:rsidP="00ED55FC" w:rsidRDefault="00625B30" w14:paraId="230FA237" w14:textId="77777777">
            <w:pPr>
              <w:tabs>
                <w:tab w:val="left" w:pos="360"/>
              </w:tabs>
              <w:rPr>
                <w:color w:val="000000"/>
              </w:rPr>
            </w:pPr>
          </w:p>
        </w:tc>
      </w:tr>
      <w:tr w:rsidRPr="007F620E" w:rsidR="00625B30" w:rsidTr="00ED55FC" w14:paraId="31F5B12F" w14:textId="77777777">
        <w:tc>
          <w:tcPr>
            <w:tcW w:w="7084" w:type="dxa"/>
            <w:gridSpan w:val="2"/>
            <w:tcBorders>
              <w:bottom w:val="single" w:color="auto" w:sz="4" w:space="0"/>
            </w:tcBorders>
          </w:tcPr>
          <w:p w:rsidRPr="007F620E" w:rsidR="00625B30" w:rsidP="00ED55FC" w:rsidRDefault="00625B30" w14:paraId="7F62A206" w14:textId="77777777">
            <w:pPr>
              <w:tabs>
                <w:tab w:val="left" w:pos="360"/>
              </w:tabs>
              <w:ind w:left="360" w:hanging="360"/>
              <w:rPr>
                <w:color w:val="000000"/>
              </w:rPr>
            </w:pPr>
            <w:r w:rsidRPr="007F620E">
              <w:rPr>
                <w:color w:val="000000"/>
              </w:rPr>
              <w:t>8.</w:t>
            </w:r>
            <w:r>
              <w:rPr>
                <w:color w:val="000000"/>
              </w:rPr>
              <w:tab/>
            </w:r>
            <w:r w:rsidRPr="007F620E">
              <w:rPr>
                <w:color w:val="000000"/>
              </w:rPr>
              <w:t xml:space="preserve">Has the Intervenor demonstrated </w:t>
            </w:r>
            <w:r w:rsidRPr="00ED6B6B">
              <w:t>customer</w:t>
            </w:r>
            <w:r w:rsidRPr="007F620E">
              <w:rPr>
                <w:color w:val="000000"/>
              </w:rPr>
              <w:t xml:space="preserve"> </w:t>
            </w:r>
            <w:r>
              <w:rPr>
                <w:color w:val="000000"/>
              </w:rPr>
              <w:t>status or eligible government entity status</w:t>
            </w:r>
            <w:r w:rsidRPr="007F620E">
              <w:rPr>
                <w:color w:val="000000"/>
              </w:rPr>
              <w:t>?</w:t>
            </w:r>
          </w:p>
        </w:tc>
        <w:tc>
          <w:tcPr>
            <w:tcW w:w="2276" w:type="dxa"/>
            <w:tcBorders>
              <w:bottom w:val="single" w:color="auto" w:sz="4" w:space="0"/>
            </w:tcBorders>
          </w:tcPr>
          <w:p w:rsidRPr="007F620E" w:rsidR="00625B30" w:rsidP="00ED55FC" w:rsidRDefault="00893E8B" w14:paraId="05EEB72B" w14:textId="5112E5F7">
            <w:pPr>
              <w:tabs>
                <w:tab w:val="left" w:pos="360"/>
              </w:tabs>
              <w:rPr>
                <w:color w:val="000000"/>
              </w:rPr>
            </w:pPr>
            <w:r>
              <w:rPr>
                <w:color w:val="000000"/>
              </w:rPr>
              <w:t>Yes</w:t>
            </w:r>
          </w:p>
        </w:tc>
      </w:tr>
      <w:tr w:rsidRPr="007F620E" w:rsidR="00625B30" w:rsidTr="00ED55FC" w14:paraId="0D3F0494" w14:textId="77777777">
        <w:tc>
          <w:tcPr>
            <w:tcW w:w="9360" w:type="dxa"/>
            <w:gridSpan w:val="3"/>
            <w:tcBorders>
              <w:top w:val="single" w:color="auto" w:sz="4" w:space="0"/>
              <w:left w:val="single" w:color="auto" w:sz="4" w:space="0"/>
              <w:bottom w:val="single" w:color="auto" w:sz="4" w:space="0"/>
              <w:right w:val="single" w:color="auto" w:sz="4" w:space="0"/>
            </w:tcBorders>
            <w:shd w:val="clear" w:color="auto" w:fill="E6E6E6"/>
          </w:tcPr>
          <w:p w:rsidRPr="007F620E" w:rsidR="00625B30" w:rsidP="00ED55FC" w:rsidRDefault="00625B30" w14:paraId="399B1345" w14:textId="77777777">
            <w:pPr>
              <w:keepNext/>
              <w:tabs>
                <w:tab w:val="left" w:pos="360"/>
              </w:tabs>
              <w:jc w:val="center"/>
              <w:rPr>
                <w:color w:val="000000"/>
              </w:rPr>
            </w:pPr>
            <w:r w:rsidRPr="007F620E">
              <w:rPr>
                <w:b/>
                <w:color w:val="000000"/>
              </w:rPr>
              <w:t>Showing of “significant financial hardship” (§1802(</w:t>
            </w:r>
            <w:r>
              <w:rPr>
                <w:b/>
                <w:color w:val="000000"/>
              </w:rPr>
              <w:t>h</w:t>
            </w:r>
            <w:r w:rsidRPr="007F620E">
              <w:rPr>
                <w:b/>
                <w:color w:val="000000"/>
              </w:rPr>
              <w:t>) or §1803.1(b))</w:t>
            </w:r>
            <w:r>
              <w:rPr>
                <w:b/>
                <w:color w:val="000000"/>
              </w:rPr>
              <w:t>:</w:t>
            </w:r>
          </w:p>
        </w:tc>
      </w:tr>
      <w:tr w:rsidRPr="007F620E" w:rsidR="00625B30" w:rsidTr="00334463" w14:paraId="565C1DE7" w14:textId="77777777">
        <w:tc>
          <w:tcPr>
            <w:tcW w:w="4817" w:type="dxa"/>
            <w:tcBorders>
              <w:top w:val="single" w:color="auto" w:sz="4" w:space="0"/>
            </w:tcBorders>
          </w:tcPr>
          <w:p w:rsidRPr="007F620E" w:rsidR="00625B30" w:rsidP="00ED55FC" w:rsidRDefault="00625B30" w14:paraId="459F5252" w14:textId="77777777">
            <w:pPr>
              <w:tabs>
                <w:tab w:val="left" w:pos="315"/>
              </w:tabs>
              <w:ind w:left="360" w:hanging="360"/>
              <w:rPr>
                <w:color w:val="000000"/>
              </w:rPr>
            </w:pPr>
            <w:r w:rsidRPr="007F620E">
              <w:rPr>
                <w:color w:val="000000"/>
              </w:rPr>
              <w:t>9.</w:t>
            </w:r>
            <w:r>
              <w:rPr>
                <w:color w:val="000000"/>
              </w:rPr>
              <w:tab/>
            </w:r>
            <w:r w:rsidRPr="007F620E">
              <w:rPr>
                <w:color w:val="000000"/>
              </w:rPr>
              <w:t>Based on ALJ ruling issued in proceeding number:</w:t>
            </w:r>
          </w:p>
        </w:tc>
        <w:tc>
          <w:tcPr>
            <w:tcW w:w="2267" w:type="dxa"/>
            <w:tcBorders>
              <w:top w:val="single" w:color="auto" w:sz="4" w:space="0"/>
            </w:tcBorders>
          </w:tcPr>
          <w:p w:rsidRPr="005660A6" w:rsidR="005660A6" w:rsidP="005660A6" w:rsidRDefault="005660A6" w14:paraId="171245BB" w14:textId="77777777">
            <w:pPr>
              <w:rPr>
                <w:color w:val="000000"/>
              </w:rPr>
            </w:pPr>
            <w:r w:rsidRPr="005660A6">
              <w:rPr>
                <w:color w:val="000000"/>
              </w:rPr>
              <w:t>A.23-06-008</w:t>
            </w:r>
          </w:p>
          <w:p w:rsidRPr="007F620E" w:rsidR="00625B30" w:rsidP="00ED55FC" w:rsidRDefault="00625B30" w14:paraId="0C25E23E" w14:textId="69C07340">
            <w:pPr>
              <w:tabs>
                <w:tab w:val="left" w:pos="360"/>
              </w:tabs>
              <w:ind w:left="360" w:hanging="360"/>
              <w:rPr>
                <w:color w:val="000000"/>
              </w:rPr>
            </w:pPr>
          </w:p>
        </w:tc>
        <w:tc>
          <w:tcPr>
            <w:tcW w:w="2276" w:type="dxa"/>
            <w:tcBorders>
              <w:top w:val="single" w:color="auto" w:sz="4" w:space="0"/>
            </w:tcBorders>
          </w:tcPr>
          <w:p w:rsidRPr="007F620E" w:rsidR="00625B30" w:rsidP="00ED55FC" w:rsidRDefault="00893E8B" w14:paraId="24651ED2" w14:textId="709A2DC1">
            <w:pPr>
              <w:tabs>
                <w:tab w:val="left" w:pos="360"/>
              </w:tabs>
              <w:rPr>
                <w:color w:val="000000"/>
              </w:rPr>
            </w:pPr>
            <w:r>
              <w:rPr>
                <w:color w:val="000000"/>
              </w:rPr>
              <w:t>Verified</w:t>
            </w:r>
          </w:p>
        </w:tc>
      </w:tr>
      <w:tr w:rsidRPr="007F620E" w:rsidR="00625B30" w:rsidTr="00334463" w14:paraId="58ECF57D" w14:textId="77777777">
        <w:tc>
          <w:tcPr>
            <w:tcW w:w="4817" w:type="dxa"/>
          </w:tcPr>
          <w:p w:rsidRPr="007F620E" w:rsidR="00625B30" w:rsidP="00ED55FC" w:rsidRDefault="00625B30" w14:paraId="26F408ED" w14:textId="77777777">
            <w:pPr>
              <w:ind w:left="360" w:hanging="360"/>
              <w:rPr>
                <w:color w:val="000000"/>
              </w:rPr>
            </w:pPr>
            <w:r w:rsidRPr="007F620E">
              <w:rPr>
                <w:color w:val="000000"/>
              </w:rPr>
              <w:t>10.</w:t>
            </w:r>
            <w:r>
              <w:rPr>
                <w:color w:val="000000"/>
              </w:rPr>
              <w:tab/>
            </w:r>
            <w:r w:rsidRPr="007F620E">
              <w:rPr>
                <w:color w:val="000000"/>
              </w:rPr>
              <w:t>Date of ALJ ruling:</w:t>
            </w:r>
          </w:p>
        </w:tc>
        <w:tc>
          <w:tcPr>
            <w:tcW w:w="2267" w:type="dxa"/>
          </w:tcPr>
          <w:p w:rsidRPr="007F620E" w:rsidR="00625B30" w:rsidP="00ED55FC" w:rsidRDefault="005660A6" w14:paraId="7B07360C" w14:textId="196EF83E">
            <w:pPr>
              <w:tabs>
                <w:tab w:val="left" w:pos="360"/>
              </w:tabs>
              <w:ind w:left="360" w:hanging="360"/>
              <w:rPr>
                <w:color w:val="000000"/>
              </w:rPr>
            </w:pPr>
            <w:r>
              <w:rPr>
                <w:color w:val="000000"/>
              </w:rPr>
              <w:t>3/20/2024</w:t>
            </w:r>
          </w:p>
        </w:tc>
        <w:tc>
          <w:tcPr>
            <w:tcW w:w="2276" w:type="dxa"/>
          </w:tcPr>
          <w:p w:rsidRPr="007F620E" w:rsidR="00625B30" w:rsidP="00ED55FC" w:rsidRDefault="00893E8B" w14:paraId="5EB17546" w14:textId="6FD9E461">
            <w:pPr>
              <w:tabs>
                <w:tab w:val="left" w:pos="360"/>
              </w:tabs>
              <w:rPr>
                <w:color w:val="000000"/>
              </w:rPr>
            </w:pPr>
            <w:r>
              <w:rPr>
                <w:color w:val="000000"/>
              </w:rPr>
              <w:t>Verified</w:t>
            </w:r>
          </w:p>
        </w:tc>
      </w:tr>
      <w:tr w:rsidRPr="007F620E" w:rsidR="00625B30" w:rsidTr="00334463" w14:paraId="40DCBBF0" w14:textId="77777777">
        <w:tc>
          <w:tcPr>
            <w:tcW w:w="4817" w:type="dxa"/>
          </w:tcPr>
          <w:p w:rsidRPr="007F620E" w:rsidR="00625B30" w:rsidP="00ED55FC" w:rsidRDefault="00625B30" w14:paraId="1592AE4E" w14:textId="77777777">
            <w:pPr>
              <w:ind w:left="360" w:hanging="360"/>
              <w:rPr>
                <w:color w:val="000000"/>
              </w:rPr>
            </w:pPr>
            <w:r w:rsidRPr="007F620E">
              <w:rPr>
                <w:color w:val="000000"/>
              </w:rPr>
              <w:t>11.</w:t>
            </w:r>
            <w:r>
              <w:rPr>
                <w:color w:val="000000"/>
              </w:rPr>
              <w:tab/>
            </w:r>
            <w:r w:rsidRPr="007F620E">
              <w:rPr>
                <w:color w:val="000000"/>
              </w:rPr>
              <w:t>Based on another CPUC determination (specify):</w:t>
            </w:r>
          </w:p>
        </w:tc>
        <w:tc>
          <w:tcPr>
            <w:tcW w:w="2267" w:type="dxa"/>
          </w:tcPr>
          <w:p w:rsidRPr="007F620E" w:rsidR="00625B30" w:rsidP="00ED55FC" w:rsidRDefault="00625B30" w14:paraId="37359D69" w14:textId="77777777">
            <w:pPr>
              <w:tabs>
                <w:tab w:val="left" w:pos="360"/>
              </w:tabs>
              <w:ind w:left="360" w:hanging="360"/>
              <w:rPr>
                <w:color w:val="000000"/>
              </w:rPr>
            </w:pPr>
          </w:p>
        </w:tc>
        <w:tc>
          <w:tcPr>
            <w:tcW w:w="2276" w:type="dxa"/>
          </w:tcPr>
          <w:p w:rsidRPr="007F620E" w:rsidR="00625B30" w:rsidP="00ED55FC" w:rsidRDefault="00625B30" w14:paraId="1EE48C07" w14:textId="77777777">
            <w:pPr>
              <w:tabs>
                <w:tab w:val="left" w:pos="360"/>
              </w:tabs>
              <w:rPr>
                <w:color w:val="000000"/>
              </w:rPr>
            </w:pPr>
          </w:p>
        </w:tc>
      </w:tr>
      <w:tr w:rsidRPr="007F620E" w:rsidR="00625B30" w:rsidTr="00ED55FC" w14:paraId="457CA627" w14:textId="77777777">
        <w:tc>
          <w:tcPr>
            <w:tcW w:w="7084" w:type="dxa"/>
            <w:gridSpan w:val="2"/>
            <w:tcBorders>
              <w:bottom w:val="single" w:color="auto" w:sz="4" w:space="0"/>
            </w:tcBorders>
          </w:tcPr>
          <w:p w:rsidRPr="003439D4" w:rsidR="00625B30" w:rsidP="00ED55FC" w:rsidRDefault="00625B30" w14:paraId="6F22C665" w14:textId="77777777">
            <w:pPr>
              <w:tabs>
                <w:tab w:val="left" w:pos="360"/>
              </w:tabs>
              <w:ind w:left="360" w:hanging="360"/>
              <w:rPr>
                <w:color w:val="000000"/>
              </w:rPr>
            </w:pPr>
            <w:r w:rsidRPr="003439D4">
              <w:rPr>
                <w:color w:val="000000"/>
              </w:rPr>
              <w:t>12.</w:t>
            </w:r>
            <w:r w:rsidRPr="003439D4">
              <w:rPr>
                <w:color w:val="000000"/>
              </w:rPr>
              <w:tab/>
              <w:t>Has the Intervenor demonstrated significant financial hardship?</w:t>
            </w:r>
          </w:p>
        </w:tc>
        <w:tc>
          <w:tcPr>
            <w:tcW w:w="2276" w:type="dxa"/>
            <w:tcBorders>
              <w:bottom w:val="single" w:color="auto" w:sz="4" w:space="0"/>
            </w:tcBorders>
          </w:tcPr>
          <w:p w:rsidRPr="007F620E" w:rsidR="00625B30" w:rsidP="00ED55FC" w:rsidRDefault="00893E8B" w14:paraId="2421F339" w14:textId="5D743DC1">
            <w:pPr>
              <w:tabs>
                <w:tab w:val="left" w:pos="360"/>
              </w:tabs>
              <w:rPr>
                <w:color w:val="000000"/>
              </w:rPr>
            </w:pPr>
            <w:r>
              <w:rPr>
                <w:color w:val="000000"/>
              </w:rPr>
              <w:t>Yes</w:t>
            </w:r>
          </w:p>
        </w:tc>
      </w:tr>
      <w:tr w:rsidRPr="007F620E" w:rsidR="00625B30" w:rsidTr="00ED55FC" w14:paraId="2503D1AC" w14:textId="77777777">
        <w:tc>
          <w:tcPr>
            <w:tcW w:w="9360" w:type="dxa"/>
            <w:gridSpan w:val="3"/>
            <w:tcBorders>
              <w:top w:val="single" w:color="auto" w:sz="4" w:space="0"/>
              <w:left w:val="single" w:color="auto" w:sz="4" w:space="0"/>
              <w:bottom w:val="single" w:color="auto" w:sz="4" w:space="0"/>
              <w:right w:val="single" w:color="auto" w:sz="4" w:space="0"/>
            </w:tcBorders>
            <w:shd w:val="clear" w:color="auto" w:fill="E6E6E6"/>
          </w:tcPr>
          <w:p w:rsidRPr="003439D4" w:rsidR="00625B30" w:rsidP="00ED55FC" w:rsidRDefault="00625B30" w14:paraId="59FEF4D7" w14:textId="77777777">
            <w:pPr>
              <w:keepNext/>
              <w:tabs>
                <w:tab w:val="left" w:pos="360"/>
              </w:tabs>
              <w:jc w:val="center"/>
              <w:rPr>
                <w:color w:val="000000"/>
              </w:rPr>
            </w:pPr>
            <w:r w:rsidRPr="003439D4">
              <w:rPr>
                <w:b/>
                <w:color w:val="000000"/>
              </w:rPr>
              <w:t>Timely request for compensation (§ 1804(c)):</w:t>
            </w:r>
          </w:p>
        </w:tc>
      </w:tr>
      <w:tr w:rsidRPr="007F620E" w:rsidR="00625B30" w:rsidTr="00334463" w14:paraId="52477DCC" w14:textId="77777777">
        <w:tc>
          <w:tcPr>
            <w:tcW w:w="4817" w:type="dxa"/>
            <w:tcBorders>
              <w:top w:val="single" w:color="auto" w:sz="4" w:space="0"/>
            </w:tcBorders>
          </w:tcPr>
          <w:p w:rsidRPr="003439D4" w:rsidR="00625B30" w:rsidP="00ED55FC" w:rsidRDefault="00625B30" w14:paraId="1E8F66BD" w14:textId="77777777">
            <w:pPr>
              <w:keepNext/>
              <w:tabs>
                <w:tab w:val="left" w:pos="612"/>
              </w:tabs>
              <w:ind w:left="360" w:hanging="360"/>
              <w:rPr>
                <w:color w:val="000000"/>
              </w:rPr>
            </w:pPr>
            <w:r w:rsidRPr="003439D4">
              <w:rPr>
                <w:color w:val="000000"/>
              </w:rPr>
              <w:t>13.</w:t>
            </w:r>
            <w:r w:rsidRPr="003439D4">
              <w:rPr>
                <w:color w:val="000000"/>
              </w:rPr>
              <w:tab/>
              <w:t>Identify Final Decision:</w:t>
            </w:r>
          </w:p>
        </w:tc>
        <w:tc>
          <w:tcPr>
            <w:tcW w:w="2267" w:type="dxa"/>
            <w:tcBorders>
              <w:top w:val="single" w:color="auto" w:sz="4" w:space="0"/>
            </w:tcBorders>
          </w:tcPr>
          <w:p w:rsidRPr="003439D4" w:rsidR="00625B30" w:rsidP="00ED55FC" w:rsidRDefault="00EA146E" w14:paraId="7E651D6C" w14:textId="66132435">
            <w:pPr>
              <w:tabs>
                <w:tab w:val="left" w:pos="360"/>
              </w:tabs>
              <w:rPr>
                <w:color w:val="000000"/>
              </w:rPr>
            </w:pPr>
            <w:r w:rsidRPr="00FE673A">
              <w:rPr>
                <w:bCs/>
                <w:color w:val="000000"/>
              </w:rPr>
              <w:t>D.25-0</w:t>
            </w:r>
            <w:r>
              <w:rPr>
                <w:bCs/>
                <w:color w:val="000000"/>
              </w:rPr>
              <w:t>8</w:t>
            </w:r>
            <w:r w:rsidRPr="00FE673A">
              <w:rPr>
                <w:bCs/>
                <w:color w:val="000000"/>
              </w:rPr>
              <w:t>-00</w:t>
            </w:r>
            <w:r>
              <w:rPr>
                <w:bCs/>
                <w:color w:val="000000"/>
              </w:rPr>
              <w:t>7</w:t>
            </w:r>
          </w:p>
        </w:tc>
        <w:tc>
          <w:tcPr>
            <w:tcW w:w="2276" w:type="dxa"/>
            <w:tcBorders>
              <w:top w:val="single" w:color="auto" w:sz="4" w:space="0"/>
            </w:tcBorders>
          </w:tcPr>
          <w:p w:rsidRPr="007F620E" w:rsidR="00625B30" w:rsidP="00ED55FC" w:rsidRDefault="003A28D6" w14:paraId="0826C45B" w14:textId="2BF7A5EE">
            <w:pPr>
              <w:tabs>
                <w:tab w:val="left" w:pos="360"/>
              </w:tabs>
              <w:rPr>
                <w:color w:val="000000"/>
              </w:rPr>
            </w:pPr>
            <w:r>
              <w:rPr>
                <w:color w:val="000000"/>
              </w:rPr>
              <w:t>Verified</w:t>
            </w:r>
          </w:p>
        </w:tc>
      </w:tr>
      <w:tr w:rsidRPr="007F620E" w:rsidR="00625B30" w:rsidTr="00334463" w14:paraId="1C4A82D2" w14:textId="77777777">
        <w:tc>
          <w:tcPr>
            <w:tcW w:w="4817" w:type="dxa"/>
          </w:tcPr>
          <w:p w:rsidRPr="003439D4" w:rsidR="00625B30" w:rsidP="00ED55FC" w:rsidRDefault="00625B30" w14:paraId="1BB1D16E" w14:textId="77777777">
            <w:pPr>
              <w:tabs>
                <w:tab w:val="left" w:pos="612"/>
              </w:tabs>
              <w:ind w:left="360" w:hanging="360"/>
              <w:rPr>
                <w:color w:val="000000"/>
              </w:rPr>
            </w:pPr>
            <w:r w:rsidRPr="003439D4">
              <w:rPr>
                <w:color w:val="000000"/>
              </w:rPr>
              <w:t>14.</w:t>
            </w:r>
            <w:r w:rsidRPr="003439D4">
              <w:rPr>
                <w:color w:val="000000"/>
              </w:rPr>
              <w:tab/>
              <w:t xml:space="preserve">Date of issuance of Final Order or Decision:    </w:t>
            </w:r>
          </w:p>
        </w:tc>
        <w:tc>
          <w:tcPr>
            <w:tcW w:w="2267" w:type="dxa"/>
          </w:tcPr>
          <w:p w:rsidRPr="003439D4" w:rsidR="00625B30" w:rsidP="00ED55FC" w:rsidRDefault="00EA146E" w14:paraId="0FBC2608" w14:textId="30ADA8DC">
            <w:pPr>
              <w:tabs>
                <w:tab w:val="left" w:pos="360"/>
              </w:tabs>
              <w:rPr>
                <w:color w:val="000000"/>
              </w:rPr>
            </w:pPr>
            <w:r>
              <w:rPr>
                <w:color w:val="000000"/>
              </w:rPr>
              <w:t>8/18</w:t>
            </w:r>
            <w:r w:rsidRPr="00EC18CA" w:rsidR="00EC18CA">
              <w:rPr>
                <w:color w:val="000000"/>
              </w:rPr>
              <w:t>/2025</w:t>
            </w:r>
          </w:p>
        </w:tc>
        <w:tc>
          <w:tcPr>
            <w:tcW w:w="2276" w:type="dxa"/>
          </w:tcPr>
          <w:p w:rsidRPr="007F620E" w:rsidR="00625B30" w:rsidP="00ED55FC" w:rsidRDefault="003A28D6" w14:paraId="400BB5CE" w14:textId="39E6C093">
            <w:pPr>
              <w:tabs>
                <w:tab w:val="left" w:pos="360"/>
              </w:tabs>
              <w:rPr>
                <w:color w:val="000000"/>
              </w:rPr>
            </w:pPr>
            <w:r>
              <w:rPr>
                <w:color w:val="000000"/>
              </w:rPr>
              <w:t>Verified</w:t>
            </w:r>
          </w:p>
        </w:tc>
      </w:tr>
      <w:tr w:rsidRPr="007F620E" w:rsidR="00625B30" w:rsidTr="00334463" w14:paraId="1CDFC2D4" w14:textId="77777777">
        <w:tc>
          <w:tcPr>
            <w:tcW w:w="4817" w:type="dxa"/>
          </w:tcPr>
          <w:p w:rsidRPr="003439D4" w:rsidR="00625B30" w:rsidP="00ED55FC" w:rsidRDefault="00625B30" w14:paraId="718963BD" w14:textId="77777777">
            <w:pPr>
              <w:tabs>
                <w:tab w:val="left" w:pos="612"/>
              </w:tabs>
              <w:ind w:left="360" w:hanging="360"/>
              <w:rPr>
                <w:color w:val="000000"/>
              </w:rPr>
            </w:pPr>
            <w:r w:rsidRPr="003439D4">
              <w:rPr>
                <w:color w:val="000000"/>
              </w:rPr>
              <w:t>15.</w:t>
            </w:r>
            <w:r w:rsidRPr="003439D4">
              <w:rPr>
                <w:color w:val="000000"/>
              </w:rPr>
              <w:tab/>
              <w:t>File date of compensation request:</w:t>
            </w:r>
          </w:p>
        </w:tc>
        <w:tc>
          <w:tcPr>
            <w:tcW w:w="2267" w:type="dxa"/>
          </w:tcPr>
          <w:p w:rsidRPr="003439D4" w:rsidR="00625B30" w:rsidP="00ED55FC" w:rsidRDefault="00EA146E" w14:paraId="3EC4455E" w14:textId="7B2ED4C9">
            <w:pPr>
              <w:tabs>
                <w:tab w:val="left" w:pos="360"/>
              </w:tabs>
              <w:rPr>
                <w:color w:val="000000"/>
              </w:rPr>
            </w:pPr>
            <w:r>
              <w:rPr>
                <w:color w:val="000000"/>
              </w:rPr>
              <w:t>10/16</w:t>
            </w:r>
            <w:r w:rsidR="00EC18CA">
              <w:rPr>
                <w:color w:val="000000"/>
              </w:rPr>
              <w:t>/2025</w:t>
            </w:r>
          </w:p>
        </w:tc>
        <w:tc>
          <w:tcPr>
            <w:tcW w:w="2276" w:type="dxa"/>
          </w:tcPr>
          <w:p w:rsidRPr="007F620E" w:rsidR="00625B30" w:rsidP="00ED55FC" w:rsidRDefault="003A28D6" w14:paraId="0AA5FCCC" w14:textId="151EB4F9">
            <w:pPr>
              <w:tabs>
                <w:tab w:val="left" w:pos="360"/>
              </w:tabs>
              <w:rPr>
                <w:color w:val="000000"/>
              </w:rPr>
            </w:pPr>
            <w:r>
              <w:rPr>
                <w:color w:val="000000"/>
              </w:rPr>
              <w:t>Verified</w:t>
            </w:r>
          </w:p>
        </w:tc>
      </w:tr>
      <w:tr w:rsidRPr="007F620E" w:rsidR="00625B30" w:rsidTr="00ED55FC" w14:paraId="7F31CB95" w14:textId="77777777">
        <w:tc>
          <w:tcPr>
            <w:tcW w:w="7084" w:type="dxa"/>
            <w:gridSpan w:val="2"/>
          </w:tcPr>
          <w:p w:rsidRPr="007F620E" w:rsidR="00625B30" w:rsidP="00ED55FC" w:rsidRDefault="00625B30" w14:paraId="4F41F2A4" w14:textId="77777777">
            <w:pPr>
              <w:tabs>
                <w:tab w:val="left" w:pos="360"/>
              </w:tabs>
              <w:ind w:left="360" w:hanging="360"/>
              <w:rPr>
                <w:color w:val="000000"/>
              </w:rPr>
            </w:pPr>
            <w:r w:rsidRPr="007F620E">
              <w:rPr>
                <w:color w:val="000000"/>
              </w:rPr>
              <w:t>16</w:t>
            </w:r>
            <w:r>
              <w:rPr>
                <w:color w:val="000000"/>
              </w:rPr>
              <w:t>.</w:t>
            </w:r>
            <w:r>
              <w:rPr>
                <w:color w:val="000000"/>
              </w:rPr>
              <w:tab/>
            </w:r>
            <w:r w:rsidRPr="007F620E">
              <w:rPr>
                <w:color w:val="000000"/>
              </w:rPr>
              <w:t>Was the request for compensation timely?</w:t>
            </w:r>
          </w:p>
        </w:tc>
        <w:tc>
          <w:tcPr>
            <w:tcW w:w="2276" w:type="dxa"/>
          </w:tcPr>
          <w:p w:rsidRPr="007F620E" w:rsidR="00625B30" w:rsidP="00ED55FC" w:rsidRDefault="003A28D6" w14:paraId="30065D30" w14:textId="55DA3418">
            <w:pPr>
              <w:tabs>
                <w:tab w:val="left" w:pos="360"/>
              </w:tabs>
              <w:rPr>
                <w:color w:val="000000"/>
              </w:rPr>
            </w:pPr>
            <w:r>
              <w:rPr>
                <w:color w:val="000000"/>
              </w:rPr>
              <w:t>Yes</w:t>
            </w:r>
          </w:p>
        </w:tc>
      </w:tr>
    </w:tbl>
    <w:p w:rsidR="00625B30" w:rsidP="00981C3E" w:rsidRDefault="00625B30" w14:paraId="29FAD63A" w14:textId="77777777"/>
    <w:p w:rsidR="00AC018A" w:rsidP="00A3121D" w:rsidRDefault="00625B30" w14:paraId="216BF148" w14:textId="27FFA2E3">
      <w:pPr>
        <w:keepNext/>
        <w:keepLines/>
        <w:adjustRightInd w:val="0"/>
        <w:snapToGrid w:val="0"/>
        <w:spacing w:before="240" w:line="360" w:lineRule="auto"/>
        <w:contextualSpacing/>
        <w:jc w:val="center"/>
        <w:rPr>
          <w:b/>
          <w:color w:val="000000"/>
        </w:rPr>
      </w:pPr>
      <w:r w:rsidRPr="007F620E">
        <w:rPr>
          <w:b/>
          <w:color w:val="000000"/>
        </w:rPr>
        <w:t>PART II</w:t>
      </w:r>
      <w:proofErr w:type="gramStart"/>
      <w:r w:rsidRPr="007F620E">
        <w:rPr>
          <w:b/>
          <w:color w:val="000000"/>
        </w:rPr>
        <w:t>:</w:t>
      </w:r>
      <w:r>
        <w:rPr>
          <w:b/>
          <w:color w:val="000000"/>
        </w:rPr>
        <w:t xml:space="preserve">  </w:t>
      </w:r>
      <w:r w:rsidRPr="007F620E">
        <w:rPr>
          <w:b/>
          <w:color w:val="000000"/>
        </w:rPr>
        <w:t>SUBSTANTIAL</w:t>
      </w:r>
      <w:proofErr w:type="gramEnd"/>
      <w:r w:rsidRPr="007F620E">
        <w:rPr>
          <w:b/>
          <w:color w:val="000000"/>
        </w:rPr>
        <w:t xml:space="preserve"> CONTRIBUTION</w:t>
      </w:r>
    </w:p>
    <w:p w:rsidR="00FB5810" w:rsidP="00A3121D" w:rsidRDefault="00625B30" w14:paraId="55AB20A7" w14:textId="5AD72694">
      <w:pPr>
        <w:keepNext/>
        <w:keepLines/>
        <w:numPr>
          <w:ilvl w:val="0"/>
          <w:numId w:val="2"/>
        </w:numPr>
        <w:adjustRightInd w:val="0"/>
        <w:snapToGrid w:val="0"/>
        <w:spacing w:before="240" w:after="240"/>
        <w:contextualSpacing/>
        <w:rPr>
          <w:b/>
          <w:color w:val="000000"/>
        </w:rPr>
      </w:pPr>
      <w:r w:rsidRPr="007F620E">
        <w:rPr>
          <w:b/>
          <w:color w:val="000000"/>
        </w:rPr>
        <w:t>Did the Intervenor substantially contribute to the final decision (</w:t>
      </w:r>
      <w:r w:rsidRPr="007F620E">
        <w:rPr>
          <w:b/>
          <w:i/>
          <w:color w:val="000000"/>
        </w:rPr>
        <w:t>see</w:t>
      </w:r>
      <w:r w:rsidRPr="007F620E">
        <w:rPr>
          <w:b/>
          <w:color w:val="000000"/>
        </w:rPr>
        <w:t xml:space="preserve"> § 1802(</w:t>
      </w:r>
      <w:r>
        <w:rPr>
          <w:b/>
          <w:color w:val="000000"/>
        </w:rPr>
        <w:t>j</w:t>
      </w:r>
      <w:r w:rsidRPr="007F620E">
        <w:rPr>
          <w:b/>
          <w:color w:val="000000"/>
        </w:rPr>
        <w:t xml:space="preserve">), </w:t>
      </w:r>
      <w:r w:rsidRPr="007F620E">
        <w:rPr>
          <w:b/>
          <w:color w:val="000000"/>
        </w:rPr>
        <w:br/>
        <w:t xml:space="preserve">§ 1803(a), </w:t>
      </w:r>
      <w:r>
        <w:rPr>
          <w:b/>
          <w:color w:val="000000"/>
        </w:rPr>
        <w:t xml:space="preserve">1803.1(a) </w:t>
      </w:r>
      <w:r w:rsidRPr="007F620E">
        <w:rPr>
          <w:b/>
          <w:color w:val="000000"/>
        </w:rPr>
        <w:t>and D.98-04-059)</w:t>
      </w:r>
      <w:r>
        <w:rPr>
          <w:b/>
          <w:color w:val="000000"/>
        </w:rPr>
        <w:t>:</w:t>
      </w:r>
      <w:r w:rsidRPr="007F620E">
        <w:rPr>
          <w:b/>
          <w:color w:val="000000"/>
        </w:rPr>
        <w:t xml:space="preserve">  </w:t>
      </w:r>
    </w:p>
    <w:p w:rsidRPr="00FB5810" w:rsidR="00C97A03" w:rsidP="00A3121D" w:rsidRDefault="00C97A03" w14:paraId="1F71286D" w14:textId="77777777">
      <w:pPr>
        <w:keepNext/>
        <w:keepLines/>
        <w:adjustRightInd w:val="0"/>
        <w:snapToGrid w:val="0"/>
        <w:spacing w:after="240"/>
        <w:ind w:left="360"/>
        <w:contextualSpacing/>
        <w:rPr>
          <w:b/>
          <w:color w:val="000000"/>
        </w:rPr>
      </w:pPr>
    </w:p>
    <w:tbl>
      <w:tblPr>
        <w:tblW w:w="9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675"/>
        <w:gridCol w:w="2970"/>
        <w:gridCol w:w="1710"/>
      </w:tblGrid>
      <w:tr w:rsidRPr="003349DE" w:rsidR="00FB5810" w:rsidTr="008D0E61" w14:paraId="07FA65D8" w14:textId="77777777">
        <w:tc>
          <w:tcPr>
            <w:tcW w:w="4675" w:type="dxa"/>
            <w:tcBorders>
              <w:bottom w:val="single" w:color="auto" w:sz="4" w:space="0"/>
            </w:tcBorders>
            <w:shd w:val="pct12" w:color="auto" w:fill="auto"/>
          </w:tcPr>
          <w:p w:rsidRPr="003349DE" w:rsidR="00FB5810" w:rsidP="00FB5810" w:rsidRDefault="00FB5810" w14:paraId="486D5253" w14:textId="77777777">
            <w:pPr>
              <w:spacing w:before="120"/>
              <w:jc w:val="center"/>
              <w:rPr>
                <w:b/>
                <w:color w:val="000000"/>
              </w:rPr>
            </w:pPr>
            <w:r w:rsidRPr="003349DE">
              <w:rPr>
                <w:b/>
                <w:color w:val="000000"/>
              </w:rPr>
              <w:t>Intervenor’s Claimed Contribution(s)</w:t>
            </w:r>
          </w:p>
        </w:tc>
        <w:tc>
          <w:tcPr>
            <w:tcW w:w="2970" w:type="dxa"/>
            <w:tcBorders>
              <w:bottom w:val="single" w:color="auto" w:sz="4" w:space="0"/>
            </w:tcBorders>
            <w:shd w:val="pct12" w:color="auto" w:fill="auto"/>
          </w:tcPr>
          <w:p w:rsidRPr="003349DE" w:rsidR="00FB5810" w:rsidP="00FB5810" w:rsidRDefault="00FB5810" w14:paraId="24FC2155" w14:textId="77777777">
            <w:pPr>
              <w:spacing w:before="120"/>
              <w:jc w:val="center"/>
              <w:rPr>
                <w:b/>
                <w:color w:val="000000"/>
              </w:rPr>
            </w:pPr>
            <w:r w:rsidRPr="003349DE">
              <w:rPr>
                <w:b/>
                <w:color w:val="000000"/>
              </w:rPr>
              <w:t>Specific References to Intervenor’s Claimed Contribution(s)</w:t>
            </w:r>
          </w:p>
        </w:tc>
        <w:tc>
          <w:tcPr>
            <w:tcW w:w="1710" w:type="dxa"/>
            <w:shd w:val="pct12" w:color="auto" w:fill="auto"/>
          </w:tcPr>
          <w:p w:rsidRPr="003349DE" w:rsidR="00FB5810" w:rsidP="00FB5810" w:rsidRDefault="00FB5810" w14:paraId="779771EC" w14:textId="77777777">
            <w:pPr>
              <w:spacing w:before="120"/>
              <w:jc w:val="center"/>
              <w:rPr>
                <w:b/>
                <w:color w:val="000000"/>
              </w:rPr>
            </w:pPr>
            <w:r w:rsidRPr="003349DE">
              <w:rPr>
                <w:b/>
                <w:color w:val="000000"/>
              </w:rPr>
              <w:t>CPUC Discussion</w:t>
            </w:r>
          </w:p>
        </w:tc>
      </w:tr>
      <w:tr w:rsidRPr="003349DE" w:rsidR="00FB5810" w:rsidTr="008D0E61" w14:paraId="4EAFE7D1" w14:textId="77777777">
        <w:tc>
          <w:tcPr>
            <w:tcW w:w="4675" w:type="dxa"/>
          </w:tcPr>
          <w:p w:rsidRPr="005F696A" w:rsidR="00FB5810" w:rsidP="00FB5810" w:rsidRDefault="002C1111" w14:paraId="2D54CE89" w14:textId="4BAADDA4">
            <w:pPr>
              <w:spacing w:before="120"/>
              <w:rPr>
                <w:b/>
                <w:bCs/>
                <w:color w:val="000000"/>
                <w:u w:val="single"/>
              </w:rPr>
            </w:pPr>
            <w:r>
              <w:rPr>
                <w:b/>
                <w:bCs/>
                <w:color w:val="000000"/>
                <w:u w:val="single"/>
              </w:rPr>
              <w:t>1</w:t>
            </w:r>
            <w:r w:rsidRPr="005F696A" w:rsidR="00FB5810">
              <w:rPr>
                <w:b/>
                <w:bCs/>
                <w:color w:val="000000"/>
                <w:u w:val="single"/>
              </w:rPr>
              <w:t xml:space="preserve">. </w:t>
            </w:r>
            <w:r w:rsidRPr="008F7111" w:rsidR="008F7111">
              <w:rPr>
                <w:b/>
                <w:bCs/>
                <w:color w:val="000000"/>
                <w:u w:val="single"/>
              </w:rPr>
              <w:t>Securitization of Previously Recovered Costs</w:t>
            </w:r>
          </w:p>
          <w:p w:rsidR="00FB5810" w:rsidP="00FB5810" w:rsidRDefault="00FB5810" w14:paraId="29842D32" w14:textId="77777777">
            <w:pPr>
              <w:spacing w:before="120"/>
              <w:rPr>
                <w:color w:val="000000"/>
              </w:rPr>
            </w:pPr>
          </w:p>
          <w:p w:rsidR="0011189B" w:rsidP="00C15FBB" w:rsidRDefault="00423845" w14:paraId="02F33601" w14:textId="39D5212F">
            <w:pPr>
              <w:spacing w:before="120"/>
              <w:rPr>
                <w:color w:val="000000"/>
              </w:rPr>
            </w:pPr>
            <w:r w:rsidRPr="00423845">
              <w:rPr>
                <w:color w:val="000000"/>
              </w:rPr>
              <w:t>TURN argued that most of the $2.356 billion PG&amp;E sought to securitize had already been collected through rates authorized in D.23-11-</w:t>
            </w:r>
            <w:r w:rsidRPr="00423845">
              <w:rPr>
                <w:color w:val="000000"/>
              </w:rPr>
              <w:lastRenderedPageBreak/>
              <w:t>069</w:t>
            </w:r>
            <w:r>
              <w:rPr>
                <w:color w:val="000000"/>
              </w:rPr>
              <w:t xml:space="preserve"> and further argued that</w:t>
            </w:r>
            <w:r w:rsidRPr="00423845">
              <w:rPr>
                <w:color w:val="000000"/>
              </w:rPr>
              <w:t xml:space="preserve"> PG&amp;E’s proposal would refinance previously recovered costs, resulting in prohibited double recovery and providing no new benefit to ratepayers.</w:t>
            </w:r>
            <w:r w:rsidR="00D72920">
              <w:rPr>
                <w:color w:val="000000"/>
              </w:rPr>
              <w:t xml:space="preserve">  Furthermore, it could result in </w:t>
            </w:r>
            <w:r w:rsidR="00381161">
              <w:rPr>
                <w:color w:val="000000"/>
              </w:rPr>
              <w:t xml:space="preserve">a dangerous precedent that allows </w:t>
            </w:r>
            <w:r w:rsidR="00365F49">
              <w:rPr>
                <w:color w:val="000000"/>
              </w:rPr>
              <w:t xml:space="preserve">utilities to reach back indefinitely </w:t>
            </w:r>
            <w:r w:rsidR="006E4198">
              <w:rPr>
                <w:color w:val="000000"/>
              </w:rPr>
              <w:t>to securitize costs already recovered.</w:t>
            </w:r>
            <w:r w:rsidR="00365F49">
              <w:rPr>
                <w:color w:val="000000"/>
              </w:rPr>
              <w:t xml:space="preserve"> </w:t>
            </w:r>
          </w:p>
          <w:p w:rsidR="001135A6" w:rsidP="00FB5810" w:rsidRDefault="001135A6" w14:paraId="6EC73495" w14:textId="77777777">
            <w:pPr>
              <w:spacing w:before="120"/>
              <w:rPr>
                <w:color w:val="000000"/>
              </w:rPr>
            </w:pPr>
          </w:p>
          <w:p w:rsidR="00FB5810" w:rsidP="00FB5810" w:rsidRDefault="00135350" w14:paraId="3B736124" w14:textId="77777777">
            <w:pPr>
              <w:spacing w:before="120"/>
              <w:rPr>
                <w:color w:val="000000"/>
              </w:rPr>
            </w:pPr>
            <w:r w:rsidRPr="00135350">
              <w:rPr>
                <w:color w:val="000000"/>
              </w:rPr>
              <w:t>The Commission found that the expenses PG&amp;E sought to securitize had been previously authorized and collected in rates through D.23-11-069 and concluded that securitizing already-recovered costs “does not serve the public interest.”</w:t>
            </w:r>
          </w:p>
          <w:p w:rsidR="00213F70" w:rsidP="00FB5810" w:rsidRDefault="00213F70" w14:paraId="5F8F4B2E" w14:textId="77777777">
            <w:pPr>
              <w:spacing w:before="120"/>
              <w:rPr>
                <w:color w:val="000000"/>
              </w:rPr>
            </w:pPr>
          </w:p>
          <w:p w:rsidR="00EA1B05" w:rsidP="00FB5810" w:rsidRDefault="00EA1B05" w14:paraId="0B9D5F9F" w14:textId="77777777">
            <w:pPr>
              <w:spacing w:before="120"/>
              <w:rPr>
                <w:color w:val="000000"/>
              </w:rPr>
            </w:pPr>
          </w:p>
          <w:p w:rsidR="00EA1B05" w:rsidP="00FB5810" w:rsidRDefault="00EA1B05" w14:paraId="11683FB9" w14:textId="77777777">
            <w:pPr>
              <w:spacing w:before="120"/>
              <w:rPr>
                <w:color w:val="000000"/>
              </w:rPr>
            </w:pPr>
          </w:p>
          <w:p w:rsidRPr="003349DE" w:rsidR="00213F70" w:rsidP="00FB5810" w:rsidRDefault="00213F70" w14:paraId="06B2E117" w14:textId="14146683">
            <w:pPr>
              <w:spacing w:before="120"/>
              <w:rPr>
                <w:color w:val="000000"/>
              </w:rPr>
            </w:pPr>
          </w:p>
        </w:tc>
        <w:tc>
          <w:tcPr>
            <w:tcW w:w="2970" w:type="dxa"/>
          </w:tcPr>
          <w:p w:rsidRPr="00C32044" w:rsidR="00FB5810" w:rsidP="00FB5810" w:rsidRDefault="00FB5810" w14:paraId="1771DCD7" w14:textId="77777777">
            <w:pPr>
              <w:spacing w:before="120"/>
            </w:pPr>
          </w:p>
          <w:p w:rsidRPr="00C32044" w:rsidR="00135350" w:rsidP="00FB5810" w:rsidRDefault="00135350" w14:paraId="070FF1F0" w14:textId="77777777">
            <w:pPr>
              <w:spacing w:before="120"/>
            </w:pPr>
          </w:p>
          <w:p w:rsidRPr="00C32044" w:rsidR="00135350" w:rsidP="00FB5810" w:rsidRDefault="00135350" w14:paraId="53207767" w14:textId="77777777">
            <w:pPr>
              <w:spacing w:before="120"/>
            </w:pPr>
          </w:p>
          <w:p w:rsidRPr="00C32044" w:rsidR="00135350" w:rsidP="00135350" w:rsidRDefault="00135350" w14:paraId="3B394E78" w14:textId="53132874">
            <w:pPr>
              <w:pStyle w:val="ListParagraph"/>
              <w:numPr>
                <w:ilvl w:val="0"/>
                <w:numId w:val="11"/>
              </w:numPr>
              <w:spacing w:before="120"/>
              <w:contextualSpacing w:val="0"/>
            </w:pPr>
            <w:r w:rsidRPr="00C32044">
              <w:rPr>
                <w:bCs/>
                <w:color w:val="000000"/>
              </w:rPr>
              <w:lastRenderedPageBreak/>
              <w:t>TURN Opening Brief (Dec 4, 2024) pp. 2</w:t>
            </w:r>
            <w:r w:rsidRPr="00C32044" w:rsidR="00213F70">
              <w:rPr>
                <w:bCs/>
                <w:color w:val="000000"/>
              </w:rPr>
              <w:t>-</w:t>
            </w:r>
            <w:r w:rsidRPr="00C32044">
              <w:rPr>
                <w:bCs/>
                <w:color w:val="000000"/>
              </w:rPr>
              <w:t>3.</w:t>
            </w:r>
          </w:p>
          <w:p w:rsidRPr="00C32044" w:rsidR="00135350" w:rsidP="00135350" w:rsidRDefault="00135350" w14:paraId="2C91E983" w14:textId="77777777">
            <w:pPr>
              <w:pStyle w:val="ListParagraph"/>
              <w:spacing w:before="120"/>
              <w:contextualSpacing w:val="0"/>
            </w:pPr>
          </w:p>
          <w:p w:rsidRPr="00C32044" w:rsidR="008539F7" w:rsidP="00135350" w:rsidRDefault="00135350" w14:paraId="6AEA1B2F" w14:textId="2C338901">
            <w:pPr>
              <w:pStyle w:val="ListParagraph"/>
              <w:numPr>
                <w:ilvl w:val="0"/>
                <w:numId w:val="11"/>
              </w:numPr>
              <w:spacing w:before="120"/>
            </w:pPr>
            <w:r w:rsidRPr="00C32044">
              <w:t>TURN Reply Brief (Dec 18, 2024) pp. 1</w:t>
            </w:r>
            <w:r w:rsidRPr="00C32044" w:rsidR="00213F70">
              <w:t>-</w:t>
            </w:r>
            <w:r w:rsidRPr="00C32044">
              <w:t>2.</w:t>
            </w:r>
          </w:p>
          <w:p w:rsidRPr="00C32044" w:rsidR="00FB5810" w:rsidP="00135350" w:rsidRDefault="00FB5810" w14:paraId="563077AE" w14:textId="77777777">
            <w:pPr>
              <w:spacing w:before="120"/>
            </w:pPr>
          </w:p>
          <w:p w:rsidRPr="00C32044" w:rsidR="00FB5810" w:rsidP="00FB5810" w:rsidRDefault="00FB5810" w14:paraId="1C6C32B1" w14:textId="77777777">
            <w:pPr>
              <w:spacing w:before="120"/>
              <w:ind w:left="360"/>
            </w:pPr>
          </w:p>
          <w:p w:rsidRPr="00C32044" w:rsidR="00FB5810" w:rsidP="00FB5810" w:rsidRDefault="00FB5810" w14:paraId="7DE17A07" w14:textId="77777777">
            <w:pPr>
              <w:spacing w:before="120"/>
            </w:pPr>
          </w:p>
          <w:p w:rsidRPr="00C32044" w:rsidR="00FB5810" w:rsidP="00FB5810" w:rsidRDefault="00FB5810" w14:paraId="4E13548E" w14:textId="77777777">
            <w:pPr>
              <w:spacing w:before="120"/>
            </w:pPr>
          </w:p>
          <w:p w:rsidRPr="00C32044" w:rsidR="008539F7" w:rsidP="00FB5810" w:rsidRDefault="008539F7" w14:paraId="6E39F454" w14:textId="77777777">
            <w:pPr>
              <w:spacing w:before="120"/>
            </w:pPr>
          </w:p>
          <w:p w:rsidRPr="00C32044" w:rsidR="00B26D33" w:rsidP="00B26D33" w:rsidRDefault="00B26D33" w14:paraId="29F42F56" w14:textId="2BBBB181">
            <w:pPr>
              <w:pStyle w:val="ListParagraph"/>
              <w:numPr>
                <w:ilvl w:val="0"/>
                <w:numId w:val="11"/>
              </w:numPr>
              <w:spacing w:before="120"/>
              <w:contextualSpacing w:val="0"/>
            </w:pPr>
            <w:r w:rsidRPr="00C32044">
              <w:rPr>
                <w:bCs/>
                <w:color w:val="000000"/>
              </w:rPr>
              <w:t>D.25-08-007</w:t>
            </w:r>
            <w:r w:rsidRPr="00C32044">
              <w:t>, pp. 23-24.</w:t>
            </w:r>
          </w:p>
          <w:p w:rsidRPr="00C32044" w:rsidR="00FB5810" w:rsidP="00135350" w:rsidRDefault="00FB5810" w14:paraId="01E24515" w14:textId="77777777">
            <w:pPr>
              <w:spacing w:before="120"/>
              <w:rPr>
                <w:color w:val="000000"/>
              </w:rPr>
            </w:pPr>
          </w:p>
        </w:tc>
        <w:tc>
          <w:tcPr>
            <w:tcW w:w="1710" w:type="dxa"/>
          </w:tcPr>
          <w:p w:rsidRPr="003349DE" w:rsidR="00FB5810" w:rsidP="00FB5810" w:rsidRDefault="00CF7319" w14:paraId="6080F7D1" w14:textId="0B2790EF">
            <w:pPr>
              <w:spacing w:before="120"/>
              <w:rPr>
                <w:color w:val="000000"/>
              </w:rPr>
            </w:pPr>
            <w:r>
              <w:rPr>
                <w:color w:val="000000"/>
              </w:rPr>
              <w:lastRenderedPageBreak/>
              <w:t>Verified</w:t>
            </w:r>
          </w:p>
        </w:tc>
      </w:tr>
      <w:tr w:rsidRPr="003349DE" w:rsidR="00FB5810" w:rsidTr="008D0E61" w14:paraId="2EA2C723" w14:textId="77777777">
        <w:tc>
          <w:tcPr>
            <w:tcW w:w="4675" w:type="dxa"/>
          </w:tcPr>
          <w:p w:rsidRPr="005F696A" w:rsidR="00FB5810" w:rsidP="00FB5810" w:rsidRDefault="00BC18A8" w14:paraId="4D5D1411" w14:textId="78E2C448">
            <w:pPr>
              <w:spacing w:before="120"/>
              <w:rPr>
                <w:b/>
                <w:bCs/>
                <w:color w:val="000000"/>
                <w:u w:val="single"/>
              </w:rPr>
            </w:pPr>
            <w:r>
              <w:rPr>
                <w:b/>
                <w:bCs/>
                <w:color w:val="000000"/>
                <w:u w:val="single"/>
              </w:rPr>
              <w:t>2</w:t>
            </w:r>
            <w:r w:rsidRPr="005F696A" w:rsidR="00FB5810">
              <w:rPr>
                <w:b/>
                <w:bCs/>
                <w:color w:val="000000"/>
                <w:u w:val="single"/>
              </w:rPr>
              <w:t xml:space="preserve">. </w:t>
            </w:r>
            <w:r w:rsidR="00EA1B05">
              <w:rPr>
                <w:b/>
                <w:bCs/>
                <w:color w:val="000000"/>
                <w:u w:val="single"/>
              </w:rPr>
              <w:t xml:space="preserve">Public Interest and Financial Benefit to </w:t>
            </w:r>
            <w:r w:rsidRPr="00213F70" w:rsidR="00213F70">
              <w:rPr>
                <w:b/>
                <w:bCs/>
                <w:color w:val="000000"/>
                <w:u w:val="single"/>
              </w:rPr>
              <w:t>Ratepayers</w:t>
            </w:r>
          </w:p>
          <w:p w:rsidR="001135A6" w:rsidP="00FB5810" w:rsidRDefault="00C963DA" w14:paraId="19377555" w14:textId="4FB829C9">
            <w:pPr>
              <w:spacing w:before="120"/>
            </w:pPr>
            <w:r w:rsidRPr="00C963DA">
              <w:t>PG&amp;E asserted that its proposal would provide customers with approximately $110 million in positive net</w:t>
            </w:r>
            <w:r>
              <w:t xml:space="preserve"> </w:t>
            </w:r>
            <w:r w:rsidRPr="00C963DA">
              <w:t>present</w:t>
            </w:r>
            <w:r>
              <w:t xml:space="preserve"> </w:t>
            </w:r>
            <w:r w:rsidRPr="00C963DA">
              <w:t>value benefits to ratepayers.</w:t>
            </w:r>
          </w:p>
          <w:p w:rsidR="0094310E" w:rsidP="00FB5810" w:rsidRDefault="0094310E" w14:paraId="1CBCBADD" w14:textId="77777777">
            <w:pPr>
              <w:spacing w:before="120"/>
            </w:pPr>
          </w:p>
          <w:p w:rsidR="00C963DA" w:rsidP="00FB5810" w:rsidRDefault="00C963DA" w14:paraId="2CC18ABF" w14:textId="77A89ECF">
            <w:pPr>
              <w:spacing w:before="120"/>
            </w:pPr>
            <w:r w:rsidRPr="00C963DA">
              <w:t xml:space="preserve">TURN argued that PG&amp;E’s analysis was unreliable because </w:t>
            </w:r>
            <w:r w:rsidRPr="00213F70" w:rsidR="00213F70">
              <w:t xml:space="preserve">it was based on uncertain financial assumptions, including interest rate forecasts and discount rates that were not sufficiently reliable to demonstrate a long-term benefit to ratepayers. </w:t>
            </w:r>
            <w:r w:rsidR="00E50E44">
              <w:t>D</w:t>
            </w:r>
            <w:r w:rsidRPr="00213F70" w:rsidR="00213F70">
              <w:t>epending on the discount rate used, ratepayers could pay up to $142 million more than they would under ordinary ratemaking and could result in a negative net present value for ratepayers.</w:t>
            </w:r>
            <w:r w:rsidR="00E50E44">
              <w:t xml:space="preserve"> TURN further argued that </w:t>
            </w:r>
            <w:r w:rsidR="00B27DB6">
              <w:t xml:space="preserve">ratepayers would likely pay a </w:t>
            </w:r>
            <w:r w:rsidR="006B3047">
              <w:t xml:space="preserve">higher interest rate for the bond than </w:t>
            </w:r>
            <w:r w:rsidR="0010659E">
              <w:t xml:space="preserve">the rate refunded by PG&amp;E, </w:t>
            </w:r>
            <w:r w:rsidR="00545648">
              <w:t xml:space="preserve">and that </w:t>
            </w:r>
            <w:r w:rsidR="009D55EA">
              <w:t xml:space="preserve">the proposed transaction </w:t>
            </w:r>
            <w:r w:rsidR="007E293F">
              <w:t>would worsen affordability</w:t>
            </w:r>
            <w:r w:rsidR="00345885">
              <w:t xml:space="preserve">.  </w:t>
            </w:r>
          </w:p>
          <w:p w:rsidR="00213F70" w:rsidP="00FB5810" w:rsidRDefault="00213F70" w14:paraId="38D8D281" w14:textId="77777777">
            <w:pPr>
              <w:spacing w:before="120"/>
            </w:pPr>
          </w:p>
          <w:p w:rsidR="00FB5810" w:rsidP="00FB5810" w:rsidRDefault="00213F70" w14:paraId="68188FD3" w14:textId="4EBB43FA">
            <w:pPr>
              <w:spacing w:before="120"/>
              <w:rPr>
                <w:color w:val="000000"/>
              </w:rPr>
            </w:pPr>
            <w:r w:rsidRPr="00213F70">
              <w:rPr>
                <w:color w:val="000000"/>
              </w:rPr>
              <w:lastRenderedPageBreak/>
              <w:t>The Commission found TURN’s evidence convincing that PG&amp;E’s proposal could result in a negative net</w:t>
            </w:r>
            <w:r>
              <w:rPr>
                <w:color w:val="000000"/>
              </w:rPr>
              <w:t xml:space="preserve"> </w:t>
            </w:r>
            <w:r w:rsidRPr="00213F70">
              <w:rPr>
                <w:color w:val="000000"/>
              </w:rPr>
              <w:t>present</w:t>
            </w:r>
            <w:r>
              <w:rPr>
                <w:color w:val="000000"/>
              </w:rPr>
              <w:t xml:space="preserve"> </w:t>
            </w:r>
            <w:r w:rsidRPr="00213F70">
              <w:rPr>
                <w:color w:val="000000"/>
              </w:rPr>
              <w:t>value and that its analysis relied on speculative financial assumptions</w:t>
            </w:r>
            <w:r>
              <w:rPr>
                <w:color w:val="000000"/>
              </w:rPr>
              <w:t xml:space="preserve"> </w:t>
            </w:r>
            <w:r w:rsidRPr="00213F70">
              <w:rPr>
                <w:color w:val="000000"/>
              </w:rPr>
              <w:t xml:space="preserve">that were not sufficiently reliable to establish long-term benefits for ratepayers. </w:t>
            </w:r>
            <w:r>
              <w:rPr>
                <w:color w:val="000000"/>
              </w:rPr>
              <w:t xml:space="preserve">Moreover, the </w:t>
            </w:r>
            <w:r w:rsidRPr="00213F70">
              <w:rPr>
                <w:color w:val="000000"/>
              </w:rPr>
              <w:t>Commission concluded that PG&amp;E failed to demonstrate long-term economic benefits as required under § 850.1(a)(1)(A)(ii)(II).</w:t>
            </w:r>
          </w:p>
        </w:tc>
        <w:tc>
          <w:tcPr>
            <w:tcW w:w="2970" w:type="dxa"/>
          </w:tcPr>
          <w:p w:rsidRPr="00C32044" w:rsidR="00A60E06" w:rsidP="00FB5810" w:rsidRDefault="00A60E06" w14:paraId="4BF01CE4" w14:textId="77777777">
            <w:pPr>
              <w:spacing w:before="120"/>
            </w:pPr>
          </w:p>
          <w:p w:rsidRPr="00C32044" w:rsidR="00213F70" w:rsidP="00FB5810" w:rsidRDefault="00213F70" w14:paraId="2B7BE12F" w14:textId="77777777">
            <w:pPr>
              <w:spacing w:before="120"/>
            </w:pPr>
          </w:p>
          <w:p w:rsidRPr="00C32044" w:rsidR="00213F70" w:rsidP="00213F70" w:rsidRDefault="00213F70" w14:paraId="77043050" w14:textId="2647F689">
            <w:pPr>
              <w:pStyle w:val="ListParagraph"/>
              <w:numPr>
                <w:ilvl w:val="0"/>
                <w:numId w:val="11"/>
              </w:numPr>
              <w:spacing w:before="120"/>
              <w:contextualSpacing w:val="0"/>
            </w:pPr>
            <w:r w:rsidRPr="00C32044">
              <w:rPr>
                <w:bCs/>
                <w:color w:val="000000"/>
              </w:rPr>
              <w:t>D.25-08-007</w:t>
            </w:r>
            <w:r w:rsidRPr="00C32044">
              <w:t>, p. 11.</w:t>
            </w:r>
          </w:p>
          <w:p w:rsidRPr="00C32044" w:rsidR="00A60E06" w:rsidP="00A60E06" w:rsidRDefault="00A60E06" w14:paraId="02F6F2E0" w14:textId="77777777">
            <w:pPr>
              <w:pStyle w:val="ListParagraph"/>
              <w:spacing w:before="120"/>
              <w:contextualSpacing w:val="0"/>
            </w:pPr>
          </w:p>
          <w:p w:rsidRPr="00C32044" w:rsidR="00FB5810" w:rsidP="00FB5810" w:rsidRDefault="00FB5810" w14:paraId="609A1143" w14:textId="77777777">
            <w:pPr>
              <w:spacing w:before="120"/>
              <w:ind w:left="720"/>
            </w:pPr>
          </w:p>
          <w:p w:rsidRPr="00C32044" w:rsidR="00FB5810" w:rsidP="00FB5810" w:rsidRDefault="00FB5810" w14:paraId="11952902" w14:textId="77777777">
            <w:pPr>
              <w:spacing w:before="120"/>
            </w:pPr>
          </w:p>
          <w:p w:rsidRPr="00C32044" w:rsidR="00213F70" w:rsidP="00213F70" w:rsidRDefault="00213F70" w14:paraId="7A3FEC56" w14:textId="28C3C1C5">
            <w:pPr>
              <w:pStyle w:val="ListParagraph"/>
              <w:numPr>
                <w:ilvl w:val="0"/>
                <w:numId w:val="11"/>
              </w:numPr>
              <w:spacing w:before="120"/>
            </w:pPr>
            <w:r w:rsidRPr="00C32044">
              <w:t xml:space="preserve">D.25-08-007 </w:t>
            </w:r>
            <w:proofErr w:type="gramStart"/>
            <w:r w:rsidRPr="00C32044">
              <w:t>pp</w:t>
            </w:r>
            <w:proofErr w:type="gramEnd"/>
            <w:r w:rsidRPr="00C32044">
              <w:t>. 19-20.</w:t>
            </w:r>
          </w:p>
          <w:p w:rsidRPr="00C32044" w:rsidR="00312BD3" w:rsidP="00312BD3" w:rsidRDefault="00312BD3" w14:paraId="1D44B019" w14:textId="77777777">
            <w:pPr>
              <w:pStyle w:val="ListParagraph"/>
              <w:spacing w:before="120"/>
            </w:pPr>
          </w:p>
          <w:p w:rsidRPr="00C32044" w:rsidR="00312BD3" w:rsidP="00312BD3" w:rsidRDefault="00213F70" w14:paraId="6566B145" w14:textId="5435A134">
            <w:pPr>
              <w:pStyle w:val="ListParagraph"/>
              <w:numPr>
                <w:ilvl w:val="0"/>
                <w:numId w:val="11"/>
              </w:numPr>
              <w:spacing w:before="120"/>
            </w:pPr>
            <w:r w:rsidRPr="00C32044">
              <w:rPr>
                <w:bCs/>
                <w:color w:val="000000"/>
              </w:rPr>
              <w:t>TURN Opening Brief (Dec 4, 2024) pp. 8-10</w:t>
            </w:r>
            <w:r w:rsidRPr="00C32044" w:rsidR="00312BD3">
              <w:rPr>
                <w:bCs/>
                <w:color w:val="000000"/>
              </w:rPr>
              <w:t>.</w:t>
            </w:r>
          </w:p>
          <w:p w:rsidRPr="00C32044" w:rsidR="00312BD3" w:rsidP="00312BD3" w:rsidRDefault="00312BD3" w14:paraId="56E4B582" w14:textId="77777777"/>
          <w:p w:rsidRPr="00C32044" w:rsidR="00312BD3" w:rsidP="00213F70" w:rsidRDefault="00312BD3" w14:paraId="7446B478" w14:textId="3DC35428">
            <w:pPr>
              <w:pStyle w:val="ListParagraph"/>
              <w:numPr>
                <w:ilvl w:val="0"/>
                <w:numId w:val="11"/>
              </w:numPr>
              <w:spacing w:before="120"/>
            </w:pPr>
            <w:r w:rsidRPr="00C32044">
              <w:t>TURN Reply Brief (Dec 18, 2024) pp. 3-4.</w:t>
            </w:r>
          </w:p>
          <w:p w:rsidRPr="00C32044" w:rsidR="00FB5810" w:rsidP="00976E24" w:rsidRDefault="00FB5810" w14:paraId="0D3821FB" w14:textId="77777777">
            <w:pPr>
              <w:spacing w:before="120"/>
            </w:pPr>
          </w:p>
          <w:p w:rsidRPr="00C32044" w:rsidR="00FB5810" w:rsidP="00976E24" w:rsidRDefault="00FB5810" w14:paraId="3D7C5E98" w14:textId="77777777">
            <w:pPr>
              <w:spacing w:before="120"/>
            </w:pPr>
          </w:p>
          <w:p w:rsidRPr="00C32044" w:rsidR="00FB5810" w:rsidP="00976E24" w:rsidRDefault="00FB5810" w14:paraId="6745C0D6" w14:textId="77777777">
            <w:pPr>
              <w:spacing w:before="120"/>
            </w:pPr>
          </w:p>
          <w:p w:rsidRPr="00C32044" w:rsidR="005231B0" w:rsidP="00976E24" w:rsidRDefault="005231B0" w14:paraId="5612D237" w14:textId="77777777">
            <w:pPr>
              <w:spacing w:before="120"/>
            </w:pPr>
          </w:p>
          <w:p w:rsidRPr="00C32044" w:rsidR="005231B0" w:rsidP="00976E24" w:rsidRDefault="005231B0" w14:paraId="3A0812DC" w14:textId="77777777">
            <w:pPr>
              <w:spacing w:before="120"/>
            </w:pPr>
          </w:p>
          <w:p w:rsidRPr="00C32044" w:rsidR="00312BD3" w:rsidP="00312BD3" w:rsidRDefault="00312BD3" w14:paraId="3FEB3FEC" w14:textId="77777777">
            <w:pPr>
              <w:pStyle w:val="ListParagraph"/>
              <w:numPr>
                <w:ilvl w:val="0"/>
                <w:numId w:val="11"/>
              </w:numPr>
              <w:spacing w:before="120"/>
            </w:pPr>
            <w:r w:rsidRPr="00C32044">
              <w:t xml:space="preserve">D.25-08-007 </w:t>
            </w:r>
            <w:proofErr w:type="gramStart"/>
            <w:r w:rsidRPr="00C32044">
              <w:t>pp</w:t>
            </w:r>
            <w:proofErr w:type="gramEnd"/>
            <w:r w:rsidRPr="00C32044">
              <w:t>. 19-20.</w:t>
            </w:r>
          </w:p>
          <w:p w:rsidRPr="00C32044" w:rsidR="00312BD3" w:rsidP="00312BD3" w:rsidRDefault="00312BD3" w14:paraId="40963836" w14:textId="77777777">
            <w:pPr>
              <w:pStyle w:val="ListParagraph"/>
              <w:spacing w:before="120"/>
            </w:pPr>
          </w:p>
          <w:p w:rsidRPr="00C32044" w:rsidR="00312BD3" w:rsidP="00312BD3" w:rsidRDefault="00312BD3" w14:paraId="664D7862" w14:textId="03AAE4BF">
            <w:pPr>
              <w:pStyle w:val="ListParagraph"/>
              <w:numPr>
                <w:ilvl w:val="0"/>
                <w:numId w:val="11"/>
              </w:numPr>
              <w:spacing w:before="120"/>
            </w:pPr>
            <w:r w:rsidRPr="00C32044">
              <w:t>D.25-08-007 p. 24.</w:t>
            </w:r>
          </w:p>
          <w:p w:rsidRPr="00C32044" w:rsidR="00312BD3" w:rsidP="00312BD3" w:rsidRDefault="00312BD3" w14:paraId="1D4B2169" w14:textId="77777777">
            <w:pPr>
              <w:spacing w:before="120"/>
              <w:ind w:left="360"/>
            </w:pPr>
          </w:p>
          <w:p w:rsidRPr="00C32044" w:rsidR="00FB5810" w:rsidP="00312BD3" w:rsidRDefault="00FB5810" w14:paraId="7DF095B9" w14:textId="77777777">
            <w:pPr>
              <w:spacing w:before="120"/>
            </w:pPr>
          </w:p>
        </w:tc>
        <w:tc>
          <w:tcPr>
            <w:tcW w:w="1710" w:type="dxa"/>
          </w:tcPr>
          <w:p w:rsidRPr="003349DE" w:rsidR="00FB5810" w:rsidP="00976E24" w:rsidRDefault="00CF7319" w14:paraId="11ACD637" w14:textId="2407DFDC">
            <w:pPr>
              <w:spacing w:before="120"/>
              <w:rPr>
                <w:color w:val="000000"/>
              </w:rPr>
            </w:pPr>
            <w:r>
              <w:rPr>
                <w:color w:val="000000"/>
              </w:rPr>
              <w:lastRenderedPageBreak/>
              <w:t>Verified</w:t>
            </w:r>
          </w:p>
        </w:tc>
      </w:tr>
    </w:tbl>
    <w:p w:rsidR="00625B30" w:rsidRDefault="00625B30" w14:paraId="6DAC5D2E" w14:textId="77777777"/>
    <w:p w:rsidRPr="00625B30" w:rsidR="00625B30" w:rsidP="00A3121D" w:rsidRDefault="00625B30" w14:paraId="47A7A716" w14:textId="415CF369">
      <w:pPr>
        <w:keepNext/>
        <w:numPr>
          <w:ilvl w:val="0"/>
          <w:numId w:val="2"/>
        </w:numPr>
        <w:spacing w:after="240"/>
        <w:rPr>
          <w:b/>
          <w:color w:val="000000"/>
        </w:rPr>
      </w:pPr>
      <w:r w:rsidRPr="007F620E">
        <w:rPr>
          <w:b/>
          <w:color w:val="000000"/>
        </w:rPr>
        <w:t xml:space="preserve">Duplication of Effort (§ 1801.3(f) and § </w:t>
      </w:r>
      <w:r>
        <w:rPr>
          <w:b/>
          <w:color w:val="000000"/>
        </w:rPr>
        <w:t>1802.5):</w:t>
      </w:r>
    </w:p>
    <w:tbl>
      <w:tblPr>
        <w:tblW w:w="9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6048"/>
        <w:gridCol w:w="1710"/>
        <w:gridCol w:w="1980"/>
      </w:tblGrid>
      <w:tr w:rsidRPr="007F620E" w:rsidR="00625B30" w:rsidTr="002A2F43" w14:paraId="5289BD89" w14:textId="77777777">
        <w:tc>
          <w:tcPr>
            <w:tcW w:w="6048" w:type="dxa"/>
            <w:shd w:val="clear" w:color="auto" w:fill="D9D9D9" w:themeFill="background1" w:themeFillShade="D9"/>
          </w:tcPr>
          <w:p w:rsidRPr="007F620E" w:rsidR="00625B30" w:rsidP="00625B30" w:rsidRDefault="00625B30" w14:paraId="003FE68B" w14:textId="77777777">
            <w:pPr>
              <w:keepNext/>
              <w:keepLines/>
              <w:rPr>
                <w:color w:val="000000"/>
              </w:rPr>
            </w:pPr>
          </w:p>
        </w:tc>
        <w:tc>
          <w:tcPr>
            <w:tcW w:w="1710" w:type="dxa"/>
            <w:tcBorders>
              <w:bottom w:val="single" w:color="auto" w:sz="4" w:space="0"/>
            </w:tcBorders>
            <w:shd w:val="clear" w:color="auto" w:fill="D9D9D9" w:themeFill="background1" w:themeFillShade="D9"/>
          </w:tcPr>
          <w:p w:rsidRPr="007F620E" w:rsidR="00625B30" w:rsidP="00625B30" w:rsidRDefault="00625B30" w14:paraId="2E7C1F0A" w14:textId="77777777">
            <w:pPr>
              <w:keepNext/>
              <w:keepLines/>
              <w:jc w:val="center"/>
              <w:rPr>
                <w:b/>
                <w:color w:val="000000"/>
              </w:rPr>
            </w:pPr>
            <w:r w:rsidRPr="007F620E">
              <w:rPr>
                <w:b/>
                <w:color w:val="000000"/>
              </w:rPr>
              <w:t>Intervenor’s Assertion</w:t>
            </w:r>
          </w:p>
        </w:tc>
        <w:tc>
          <w:tcPr>
            <w:tcW w:w="1980" w:type="dxa"/>
            <w:shd w:val="clear" w:color="auto" w:fill="D9D9D9" w:themeFill="background1" w:themeFillShade="D9"/>
          </w:tcPr>
          <w:p w:rsidRPr="007F620E" w:rsidR="00625B30" w:rsidP="00625B30" w:rsidRDefault="00625B30" w14:paraId="6ABF937B" w14:textId="77777777">
            <w:pPr>
              <w:keepNext/>
              <w:keepLines/>
              <w:jc w:val="center"/>
              <w:rPr>
                <w:b/>
                <w:color w:val="000000"/>
              </w:rPr>
            </w:pPr>
            <w:r w:rsidRPr="007F620E">
              <w:rPr>
                <w:b/>
                <w:color w:val="000000"/>
              </w:rPr>
              <w:t>CPUC Discussion</w:t>
            </w:r>
          </w:p>
        </w:tc>
      </w:tr>
      <w:tr w:rsidRPr="007F620E" w:rsidR="00625B30" w:rsidTr="00AC018A" w14:paraId="0398D72D" w14:textId="77777777">
        <w:tc>
          <w:tcPr>
            <w:tcW w:w="6048" w:type="dxa"/>
          </w:tcPr>
          <w:p w:rsidRPr="007F620E" w:rsidR="00625B30" w:rsidP="00625B30" w:rsidRDefault="00625B30" w14:paraId="0939012C" w14:textId="6F3EA0E8">
            <w:pPr>
              <w:keepLines/>
              <w:ind w:left="360" w:hanging="360"/>
              <w:rPr>
                <w:b/>
                <w:color w:val="000000"/>
              </w:rPr>
            </w:pPr>
            <w:r w:rsidRPr="007F620E">
              <w:rPr>
                <w:b/>
                <w:color w:val="000000"/>
              </w:rPr>
              <w:t>a.</w:t>
            </w:r>
            <w:r w:rsidRPr="007F620E">
              <w:rPr>
                <w:b/>
                <w:color w:val="000000"/>
              </w:rPr>
              <w:tab/>
            </w:r>
            <w:r w:rsidRPr="007F620E">
              <w:rPr>
                <w:b/>
              </w:rPr>
              <w:t xml:space="preserve">Was </w:t>
            </w:r>
            <w:r w:rsidRPr="009E48E4">
              <w:rPr>
                <w:b/>
              </w:rPr>
              <w:t xml:space="preserve">the </w:t>
            </w:r>
            <w:r w:rsidRPr="009E48E4">
              <w:rPr>
                <w:b/>
                <w:color w:val="000000"/>
                <w:sz w:val="22"/>
                <w:szCs w:val="22"/>
              </w:rPr>
              <w:t>Public Advocate</w:t>
            </w:r>
            <w:r>
              <w:rPr>
                <w:b/>
                <w:color w:val="000000"/>
                <w:sz w:val="22"/>
                <w:szCs w:val="22"/>
              </w:rPr>
              <w:t>’</w:t>
            </w:r>
            <w:r w:rsidRPr="009E48E4">
              <w:rPr>
                <w:b/>
                <w:color w:val="000000"/>
                <w:sz w:val="22"/>
                <w:szCs w:val="22"/>
              </w:rPr>
              <w:t>s Office of the Public Utilities Commission</w:t>
            </w:r>
            <w:r w:rsidRPr="009E48E4">
              <w:rPr>
                <w:b/>
              </w:rPr>
              <w:t xml:space="preserve"> </w:t>
            </w:r>
            <w:r w:rsidRPr="00B55D78">
              <w:rPr>
                <w:b/>
                <w:color w:val="000000"/>
                <w:sz w:val="22"/>
                <w:szCs w:val="22"/>
              </w:rPr>
              <w:t>(Cal Advocates</w:t>
            </w:r>
            <w:r w:rsidRPr="007F620E">
              <w:rPr>
                <w:b/>
              </w:rPr>
              <w:t>) a party to the proceeding</w:t>
            </w:r>
            <w:r w:rsidRPr="007F620E">
              <w:rPr>
                <w:b/>
                <w:color w:val="000000"/>
              </w:rPr>
              <w:t>?</w:t>
            </w:r>
          </w:p>
        </w:tc>
        <w:tc>
          <w:tcPr>
            <w:tcW w:w="1710" w:type="dxa"/>
          </w:tcPr>
          <w:p w:rsidRPr="00E25078" w:rsidR="00625B30" w:rsidP="00625B30" w:rsidRDefault="00625B30" w14:paraId="6AEEA4A3" w14:textId="77777777">
            <w:pPr>
              <w:keepNext/>
              <w:keepLines/>
              <w:rPr>
                <w:color w:val="000000"/>
              </w:rPr>
            </w:pPr>
            <w:r>
              <w:rPr>
                <w:color w:val="000000"/>
              </w:rPr>
              <w:t>Yes.</w:t>
            </w:r>
          </w:p>
        </w:tc>
        <w:tc>
          <w:tcPr>
            <w:tcW w:w="1980" w:type="dxa"/>
          </w:tcPr>
          <w:p w:rsidRPr="00E25078" w:rsidR="00625B30" w:rsidP="00625B30" w:rsidRDefault="006D25C7" w14:paraId="602EEF22" w14:textId="482D24C5">
            <w:pPr>
              <w:keepNext/>
              <w:keepLines/>
              <w:rPr>
                <w:color w:val="000000"/>
              </w:rPr>
            </w:pPr>
            <w:r>
              <w:rPr>
                <w:color w:val="000000"/>
              </w:rPr>
              <w:t>Verified</w:t>
            </w:r>
          </w:p>
        </w:tc>
      </w:tr>
      <w:tr w:rsidRPr="007F620E" w:rsidR="00625B30" w:rsidTr="00AC018A" w14:paraId="14CDEB43" w14:textId="77777777">
        <w:tc>
          <w:tcPr>
            <w:tcW w:w="6048" w:type="dxa"/>
          </w:tcPr>
          <w:p w:rsidRPr="007F620E" w:rsidR="00625B30" w:rsidP="00625B30" w:rsidRDefault="00625B30" w14:paraId="19839B70" w14:textId="77777777">
            <w:pPr>
              <w:tabs>
                <w:tab w:val="left" w:pos="360"/>
              </w:tabs>
              <w:ind w:left="360" w:hanging="360"/>
              <w:rPr>
                <w:b/>
                <w:color w:val="000000"/>
              </w:rPr>
            </w:pPr>
            <w:r w:rsidRPr="007F620E">
              <w:rPr>
                <w:b/>
                <w:color w:val="000000"/>
              </w:rPr>
              <w:t>b.</w:t>
            </w:r>
            <w:r w:rsidRPr="007F620E">
              <w:rPr>
                <w:b/>
                <w:color w:val="000000"/>
              </w:rPr>
              <w:tab/>
              <w:t xml:space="preserve">Were there other parties to </w:t>
            </w:r>
            <w:proofErr w:type="gramStart"/>
            <w:r w:rsidRPr="007F620E">
              <w:rPr>
                <w:b/>
                <w:color w:val="000000"/>
              </w:rPr>
              <w:t>the proceeding</w:t>
            </w:r>
            <w:proofErr w:type="gramEnd"/>
            <w:r w:rsidRPr="007F620E">
              <w:rPr>
                <w:b/>
                <w:color w:val="000000"/>
              </w:rPr>
              <w:t xml:space="preserve"> with positions </w:t>
            </w:r>
            <w:proofErr w:type="gramStart"/>
            <w:r w:rsidRPr="007F620E">
              <w:rPr>
                <w:b/>
                <w:color w:val="000000"/>
              </w:rPr>
              <w:t>similar to</w:t>
            </w:r>
            <w:proofErr w:type="gramEnd"/>
            <w:r w:rsidRPr="007F620E">
              <w:rPr>
                <w:b/>
                <w:color w:val="000000"/>
              </w:rPr>
              <w:t xml:space="preserve"> yours? </w:t>
            </w:r>
          </w:p>
        </w:tc>
        <w:tc>
          <w:tcPr>
            <w:tcW w:w="1710" w:type="dxa"/>
          </w:tcPr>
          <w:p w:rsidRPr="00E25078" w:rsidR="00625B30" w:rsidP="00625B30" w:rsidRDefault="00F148AA" w14:paraId="68EED31A" w14:textId="7C509556">
            <w:pPr>
              <w:rPr>
                <w:color w:val="000000"/>
              </w:rPr>
            </w:pPr>
            <w:r>
              <w:rPr>
                <w:color w:val="000000"/>
              </w:rPr>
              <w:t>No.</w:t>
            </w:r>
          </w:p>
        </w:tc>
        <w:tc>
          <w:tcPr>
            <w:tcW w:w="1980" w:type="dxa"/>
          </w:tcPr>
          <w:p w:rsidRPr="00E25078" w:rsidR="00625B30" w:rsidP="00625B30" w:rsidRDefault="00D66294" w14:paraId="2D258E39" w14:textId="7C468F27">
            <w:pPr>
              <w:rPr>
                <w:color w:val="000000"/>
              </w:rPr>
            </w:pPr>
            <w:r>
              <w:rPr>
                <w:color w:val="000000"/>
              </w:rPr>
              <w:t>Noted</w:t>
            </w:r>
            <w:r w:rsidR="00544600">
              <w:rPr>
                <w:color w:val="000000"/>
              </w:rPr>
              <w:t xml:space="preserve">, Cal Advocates </w:t>
            </w:r>
            <w:r w:rsidR="00F67EBC">
              <w:rPr>
                <w:color w:val="000000"/>
              </w:rPr>
              <w:t>also opposed PG&amp;E’s securitization proposal</w:t>
            </w:r>
            <w:r w:rsidR="00E71870">
              <w:rPr>
                <w:color w:val="000000"/>
              </w:rPr>
              <w:t>.</w:t>
            </w:r>
          </w:p>
        </w:tc>
      </w:tr>
      <w:tr w:rsidRPr="007F620E" w:rsidR="00625B30" w:rsidTr="00AC018A" w14:paraId="09B667B4" w14:textId="77777777">
        <w:tc>
          <w:tcPr>
            <w:tcW w:w="7758" w:type="dxa"/>
            <w:gridSpan w:val="2"/>
          </w:tcPr>
          <w:p w:rsidRPr="00E25078" w:rsidR="00625B30" w:rsidP="00625B30" w:rsidRDefault="00625B30" w14:paraId="3AC738EA" w14:textId="77777777">
            <w:pPr>
              <w:ind w:left="360" w:hanging="360"/>
              <w:rPr>
                <w:color w:val="000000"/>
              </w:rPr>
            </w:pPr>
            <w:r w:rsidRPr="00E25078">
              <w:rPr>
                <w:b/>
                <w:color w:val="000000"/>
              </w:rPr>
              <w:t>c.</w:t>
            </w:r>
            <w:r w:rsidRPr="00E25078">
              <w:rPr>
                <w:b/>
                <w:color w:val="000000"/>
              </w:rPr>
              <w:tab/>
              <w:t>If so, provide name of other parties:</w:t>
            </w:r>
            <w:r w:rsidRPr="00E25078">
              <w:rPr>
                <w:color w:val="000000"/>
              </w:rPr>
              <w:t xml:space="preserve"> </w:t>
            </w:r>
          </w:p>
          <w:p w:rsidRPr="00E25078" w:rsidR="00625B30" w:rsidP="00F148AA" w:rsidRDefault="00625B30" w14:paraId="1A8496F9" w14:textId="77777777">
            <w:pPr>
              <w:ind w:left="360" w:hanging="360"/>
              <w:rPr>
                <w:color w:val="000000"/>
              </w:rPr>
            </w:pPr>
          </w:p>
        </w:tc>
        <w:tc>
          <w:tcPr>
            <w:tcW w:w="1980" w:type="dxa"/>
          </w:tcPr>
          <w:p w:rsidRPr="00E25078" w:rsidR="00625B30" w:rsidP="00625B30" w:rsidRDefault="00F67EBC" w14:paraId="6BA08FB8" w14:textId="7707A7B1">
            <w:pPr>
              <w:rPr>
                <w:color w:val="000000"/>
              </w:rPr>
            </w:pPr>
            <w:r>
              <w:rPr>
                <w:color w:val="000000"/>
              </w:rPr>
              <w:t>Cal Advocates</w:t>
            </w:r>
          </w:p>
        </w:tc>
      </w:tr>
      <w:tr w:rsidRPr="007F620E" w:rsidR="00625B30" w:rsidTr="00AC018A" w14:paraId="69B28CF2" w14:textId="77777777">
        <w:tc>
          <w:tcPr>
            <w:tcW w:w="7758" w:type="dxa"/>
            <w:gridSpan w:val="2"/>
          </w:tcPr>
          <w:p w:rsidRPr="00DA4419" w:rsidR="003912DD" w:rsidP="003912DD" w:rsidRDefault="00625B30" w14:paraId="7C68BBE8" w14:textId="51534CC5">
            <w:pPr>
              <w:tabs>
                <w:tab w:val="left" w:pos="360"/>
              </w:tabs>
              <w:rPr>
                <w:color w:val="000000"/>
              </w:rPr>
            </w:pPr>
            <w:r w:rsidRPr="00E25078">
              <w:rPr>
                <w:b/>
                <w:color w:val="000000"/>
              </w:rPr>
              <w:t>d.</w:t>
            </w:r>
            <w:r w:rsidRPr="00E25078">
              <w:rPr>
                <w:b/>
                <w:color w:val="000000"/>
              </w:rPr>
              <w:tab/>
              <w:t>Intervenor’s claim of non-duplication:</w:t>
            </w:r>
            <w:r w:rsidRPr="00E25078">
              <w:rPr>
                <w:color w:val="000000"/>
              </w:rPr>
              <w:t xml:space="preserve"> </w:t>
            </w:r>
            <w:r w:rsidRPr="00F148AA" w:rsidR="00F148AA">
              <w:t xml:space="preserve">TURN coordinated with Cal Advocates throughout the proceeding to avoid duplicative efforts. </w:t>
            </w:r>
            <w:r w:rsidRPr="005C2051" w:rsidR="005C2051">
              <w:t xml:space="preserve">While both parties opposed PG&amp;E’s securitization proposal, TURN presented </w:t>
            </w:r>
            <w:proofErr w:type="gramStart"/>
            <w:r w:rsidRPr="005C2051" w:rsidR="005C2051">
              <w:t>the</w:t>
            </w:r>
            <w:proofErr w:type="gramEnd"/>
            <w:r w:rsidRPr="005C2051" w:rsidR="005C2051">
              <w:t xml:space="preserve"> financial analysis showing that the proposal could result in a negative net present value for ratepayers and relied on uncertain financial assumptions that were not sufficiently reliable to demonstrate long-term benefits. The Commission relied on TURN’s analysis in finding that PG&amp;E failed to demonstrate long-term economic benefits under § 850.1(a)(1)(A)(ii)(II) and that most of the costs had already been recovered through rates approved in D.23-11-069.</w:t>
            </w:r>
          </w:p>
          <w:p w:rsidRPr="00DA4419" w:rsidR="003912DD" w:rsidP="003912DD" w:rsidRDefault="003912DD" w14:paraId="58FDBF8C" w14:textId="77777777">
            <w:pPr>
              <w:tabs>
                <w:tab w:val="left" w:pos="360"/>
              </w:tabs>
              <w:rPr>
                <w:color w:val="000000"/>
              </w:rPr>
            </w:pPr>
          </w:p>
          <w:p w:rsidRPr="00E25078" w:rsidR="00625B30" w:rsidP="00A3121D" w:rsidRDefault="003912DD" w14:paraId="6951DA0D" w14:textId="0B12C97F">
            <w:pPr>
              <w:autoSpaceDE w:val="0"/>
              <w:autoSpaceDN w:val="0"/>
              <w:adjustRightInd w:val="0"/>
              <w:rPr>
                <w:color w:val="000000"/>
              </w:rPr>
            </w:pPr>
            <w:r w:rsidRPr="00DA4419">
              <w:t>The Commission should find that TURN’s participation was efficiently coordinated with the participation of Cal Advocates</w:t>
            </w:r>
            <w:r w:rsidR="005C2051">
              <w:t xml:space="preserve"> </w:t>
            </w:r>
            <w:proofErr w:type="gramStart"/>
            <w:r w:rsidRPr="00DA4419">
              <w:t>so as to</w:t>
            </w:r>
            <w:proofErr w:type="gramEnd"/>
            <w:r w:rsidRPr="00DA4419">
              <w:t xml:space="preserve"> avoid undue duplication and to ensure that to the extent duplication occurred, it served to supplement, complement, or contribute to the showing of the other intervenor.  And consistent with such a finding, the Commission should determine that all of TURN’s work is compensable consistent with the conditions set forth in Section 1802.5. </w:t>
            </w:r>
          </w:p>
        </w:tc>
        <w:tc>
          <w:tcPr>
            <w:tcW w:w="1980" w:type="dxa"/>
          </w:tcPr>
          <w:p w:rsidRPr="00E25078" w:rsidR="00625B30" w:rsidP="0036244B" w:rsidRDefault="00CD0797" w14:paraId="0427108C" w14:textId="44C6F399">
            <w:pPr>
              <w:tabs>
                <w:tab w:val="left" w:pos="360"/>
              </w:tabs>
              <w:ind w:left="360" w:hanging="360"/>
              <w:rPr>
                <w:color w:val="000000"/>
              </w:rPr>
            </w:pPr>
            <w:r>
              <w:rPr>
                <w:color w:val="000000"/>
              </w:rPr>
              <w:t>Noted</w:t>
            </w:r>
          </w:p>
        </w:tc>
      </w:tr>
    </w:tbl>
    <w:p w:rsidR="000D7CEC" w:rsidP="000D7CEC" w:rsidRDefault="000D7CEC" w14:paraId="357273D0" w14:textId="77777777">
      <w:pPr>
        <w:keepNext/>
        <w:tabs>
          <w:tab w:val="left" w:pos="1260"/>
        </w:tabs>
        <w:rPr>
          <w:b/>
          <w:color w:val="000000"/>
        </w:rPr>
      </w:pPr>
    </w:p>
    <w:p w:rsidR="00981C3E" w:rsidP="00981C3E" w:rsidRDefault="00625B30" w14:paraId="21A0DBCD" w14:textId="77777777">
      <w:pPr>
        <w:keepNext/>
        <w:tabs>
          <w:tab w:val="left" w:pos="1260"/>
        </w:tabs>
        <w:spacing w:line="360" w:lineRule="auto"/>
        <w:ind w:left="1267" w:hanging="1267"/>
        <w:jc w:val="center"/>
        <w:rPr>
          <w:b/>
          <w:color w:val="000000"/>
        </w:rPr>
      </w:pPr>
      <w:r w:rsidRPr="007F620E">
        <w:rPr>
          <w:b/>
          <w:color w:val="000000"/>
        </w:rPr>
        <w:t>PART III</w:t>
      </w:r>
      <w:proofErr w:type="gramStart"/>
      <w:r w:rsidRPr="007F620E">
        <w:rPr>
          <w:b/>
          <w:color w:val="000000"/>
        </w:rPr>
        <w:t>:</w:t>
      </w:r>
      <w:r>
        <w:rPr>
          <w:b/>
          <w:color w:val="000000"/>
        </w:rPr>
        <w:t xml:space="preserve">  </w:t>
      </w:r>
      <w:r w:rsidRPr="007F620E">
        <w:rPr>
          <w:b/>
          <w:color w:val="000000"/>
        </w:rPr>
        <w:t>REASONABLENESS</w:t>
      </w:r>
      <w:proofErr w:type="gramEnd"/>
      <w:r w:rsidRPr="007F620E">
        <w:rPr>
          <w:b/>
          <w:color w:val="000000"/>
        </w:rPr>
        <w:t xml:space="preserve"> OF REQUESTED COMPENSATION</w:t>
      </w:r>
    </w:p>
    <w:p w:rsidRPr="00981C3E" w:rsidR="0094188D" w:rsidP="00981C3E" w:rsidRDefault="00981C3E" w14:paraId="41A839DA" w14:textId="17C99ABA">
      <w:pPr>
        <w:keepNext/>
        <w:tabs>
          <w:tab w:val="left" w:pos="1260"/>
        </w:tabs>
        <w:spacing w:line="360" w:lineRule="auto"/>
        <w:rPr>
          <w:b/>
          <w:color w:val="000000"/>
        </w:rPr>
      </w:pPr>
      <w:r w:rsidRPr="00981C3E">
        <w:rPr>
          <w:b/>
          <w:color w:val="000000"/>
        </w:rPr>
        <w:t>A.</w:t>
      </w:r>
      <w:r>
        <w:rPr>
          <w:b/>
          <w:color w:val="000000"/>
        </w:rPr>
        <w:t xml:space="preserve"> </w:t>
      </w:r>
      <w:r w:rsidRPr="00981C3E" w:rsidR="00625B30">
        <w:rPr>
          <w:b/>
          <w:color w:val="000000"/>
        </w:rPr>
        <w:t>General Claim of Reasonableness (§ 1801 and § 1806):</w:t>
      </w:r>
    </w:p>
    <w:tbl>
      <w:tblPr>
        <w:tblW w:w="9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7488"/>
        <w:gridCol w:w="2250"/>
      </w:tblGrid>
      <w:tr w:rsidRPr="003349DE" w:rsidR="00B80E2F" w:rsidTr="00902BA2" w14:paraId="328DF00F" w14:textId="77777777">
        <w:tc>
          <w:tcPr>
            <w:tcW w:w="7488" w:type="dxa"/>
            <w:tcBorders>
              <w:bottom w:val="single" w:color="auto" w:sz="4" w:space="0"/>
            </w:tcBorders>
            <w:shd w:val="clear" w:color="auto" w:fill="D9D9D9" w:themeFill="background1" w:themeFillShade="D9"/>
          </w:tcPr>
          <w:p w:rsidRPr="003349DE" w:rsidR="00B80E2F" w:rsidP="00902BA2" w:rsidRDefault="00B80E2F" w14:paraId="549819DE" w14:textId="77777777">
            <w:pPr>
              <w:rPr>
                <w:b/>
                <w:color w:val="000000"/>
              </w:rPr>
            </w:pPr>
          </w:p>
        </w:tc>
        <w:tc>
          <w:tcPr>
            <w:tcW w:w="2250" w:type="dxa"/>
            <w:shd w:val="clear" w:color="auto" w:fill="D9D9D9" w:themeFill="background1" w:themeFillShade="D9"/>
          </w:tcPr>
          <w:p w:rsidRPr="003349DE" w:rsidR="00B80E2F" w:rsidP="00902BA2" w:rsidRDefault="00B80E2F" w14:paraId="6A254326" w14:textId="77777777">
            <w:pPr>
              <w:spacing w:before="120"/>
              <w:rPr>
                <w:color w:val="000000"/>
              </w:rPr>
            </w:pPr>
            <w:r w:rsidRPr="003349DE">
              <w:rPr>
                <w:b/>
                <w:color w:val="000000"/>
              </w:rPr>
              <w:t>CPUC Discussion</w:t>
            </w:r>
          </w:p>
        </w:tc>
      </w:tr>
      <w:tr w:rsidRPr="003349DE" w:rsidR="00B80E2F" w:rsidTr="0094188D" w14:paraId="6EB05F49" w14:textId="77777777">
        <w:tc>
          <w:tcPr>
            <w:tcW w:w="7488" w:type="dxa"/>
            <w:tcBorders>
              <w:bottom w:val="single" w:color="auto" w:sz="4" w:space="0"/>
            </w:tcBorders>
          </w:tcPr>
          <w:p w:rsidRPr="003349DE" w:rsidR="00B80E2F" w:rsidP="00902BA2" w:rsidRDefault="00B80E2F" w14:paraId="0A3F2E78" w14:textId="77777777">
            <w:pPr>
              <w:rPr>
                <w:color w:val="000000"/>
              </w:rPr>
            </w:pPr>
            <w:r w:rsidRPr="003349DE">
              <w:rPr>
                <w:b/>
                <w:color w:val="000000"/>
              </w:rPr>
              <w:t>a. Intervenor’s claim of cost reasonableness:</w:t>
            </w:r>
            <w:r w:rsidRPr="003349DE">
              <w:rPr>
                <w:color w:val="000000"/>
              </w:rPr>
              <w:t xml:space="preserve"> </w:t>
            </w:r>
          </w:p>
          <w:p w:rsidR="00B80E2F" w:rsidP="00902BA2" w:rsidRDefault="00B80E2F" w14:paraId="34E65BDB" w14:textId="77777777">
            <w:pPr>
              <w:spacing w:before="120"/>
            </w:pPr>
          </w:p>
          <w:p w:rsidRPr="00173EF6" w:rsidR="00B80E2F" w:rsidP="00902BA2" w:rsidRDefault="00B80E2F" w14:paraId="045EA51F" w14:textId="77777777">
            <w:pPr>
              <w:rPr>
                <w:color w:val="000000"/>
              </w:rPr>
            </w:pPr>
            <w:r w:rsidRPr="00173EF6">
              <w:rPr>
                <w:color w:val="000000"/>
              </w:rPr>
              <w:t>TURN’s request for intervenor compensation seeks an award of</w:t>
            </w:r>
          </w:p>
          <w:p w:rsidRPr="00173EF6" w:rsidR="00B80E2F" w:rsidP="00902BA2" w:rsidRDefault="00B80E2F" w14:paraId="3DF15175" w14:textId="699B099B">
            <w:pPr>
              <w:rPr>
                <w:color w:val="000000"/>
              </w:rPr>
            </w:pPr>
            <w:r w:rsidRPr="006F5D5D">
              <w:rPr>
                <w:color w:val="000000"/>
              </w:rPr>
              <w:t>approximately $</w:t>
            </w:r>
            <w:r w:rsidR="00404668">
              <w:rPr>
                <w:color w:val="000000"/>
              </w:rPr>
              <w:t>10</w:t>
            </w:r>
            <w:r w:rsidR="00B970C9">
              <w:rPr>
                <w:color w:val="000000"/>
              </w:rPr>
              <w:t>9</w:t>
            </w:r>
            <w:r w:rsidRPr="006F5D5D">
              <w:rPr>
                <w:color w:val="000000"/>
              </w:rPr>
              <w:t>,</w:t>
            </w:r>
            <w:r w:rsidR="00461905">
              <w:rPr>
                <w:color w:val="000000"/>
              </w:rPr>
              <w:t>000</w:t>
            </w:r>
            <w:r w:rsidRPr="006F5D5D">
              <w:rPr>
                <w:color w:val="000000"/>
              </w:rPr>
              <w:t xml:space="preserve"> as</w:t>
            </w:r>
            <w:r w:rsidRPr="00A56B4A">
              <w:rPr>
                <w:color w:val="000000"/>
              </w:rPr>
              <w:t xml:space="preserve"> the reasonable</w:t>
            </w:r>
            <w:r w:rsidRPr="00173EF6">
              <w:rPr>
                <w:color w:val="000000"/>
              </w:rPr>
              <w:t xml:space="preserve"> cost of our participation in </w:t>
            </w:r>
          </w:p>
          <w:p w:rsidRPr="00173EF6" w:rsidR="00B80E2F" w:rsidP="00902BA2" w:rsidRDefault="00B80E2F" w14:paraId="6DCEBC02" w14:textId="77777777">
            <w:pPr>
              <w:rPr>
                <w:color w:val="000000"/>
              </w:rPr>
            </w:pPr>
            <w:r w:rsidRPr="00173EF6">
              <w:rPr>
                <w:color w:val="000000"/>
              </w:rPr>
              <w:t xml:space="preserve">this proceeding. </w:t>
            </w:r>
            <w:r>
              <w:rPr>
                <w:color w:val="000000"/>
              </w:rPr>
              <w:t xml:space="preserve"> </w:t>
            </w:r>
            <w:r w:rsidRPr="00173EF6">
              <w:rPr>
                <w:color w:val="000000"/>
              </w:rPr>
              <w:t>TU</w:t>
            </w:r>
            <w:r>
              <w:rPr>
                <w:color w:val="000000"/>
              </w:rPr>
              <w:t xml:space="preserve">RN submits that these costs are </w:t>
            </w:r>
            <w:r w:rsidRPr="00173EF6">
              <w:rPr>
                <w:color w:val="000000"/>
              </w:rPr>
              <w:t xml:space="preserve">reasonable </w:t>
            </w:r>
            <w:proofErr w:type="gramStart"/>
            <w:r w:rsidRPr="00173EF6">
              <w:rPr>
                <w:color w:val="000000"/>
              </w:rPr>
              <w:t>in light of</w:t>
            </w:r>
            <w:proofErr w:type="gramEnd"/>
            <w:r w:rsidRPr="00173EF6">
              <w:rPr>
                <w:color w:val="000000"/>
              </w:rPr>
              <w:t xml:space="preserve"> the importance of the issues TURN addressed</w:t>
            </w:r>
            <w:r>
              <w:rPr>
                <w:color w:val="000000"/>
              </w:rPr>
              <w:t>.</w:t>
            </w:r>
          </w:p>
          <w:p w:rsidR="00B80E2F" w:rsidP="00902BA2" w:rsidRDefault="00B80E2F" w14:paraId="2F0F9602" w14:textId="77777777">
            <w:pPr>
              <w:rPr>
                <w:color w:val="000000"/>
              </w:rPr>
            </w:pPr>
          </w:p>
          <w:p w:rsidR="00155235" w:rsidP="00902BA2" w:rsidRDefault="00155235" w14:paraId="5D18BFBC" w14:textId="77777777">
            <w:pPr>
              <w:rPr>
                <w:color w:val="000000"/>
              </w:rPr>
            </w:pPr>
            <w:r w:rsidRPr="00155235">
              <w:rPr>
                <w:color w:val="000000"/>
              </w:rPr>
              <w:t xml:space="preserve">D.25-08-007 addressed significant issues regarding PG&amp;E’s proposal to securitize $2.356 billion in wildfire-related operations and maintenance expenses. The Commission agreed with TURN and Cal Advocates that PG&amp;E failed to demonstrate long-term economic benefits to ratepayers as required under § 850.1(a)(1)(A)(ii)(II). The Commission found that PG&amp;E’s analysis relied on uncertain financial assumptions, including discount rates and interest-rate forecasts, that were not sufficiently reliable to guarantee long-term ratepayer benefits. The Commission further determined that most of the costs PG&amp;E sought to securitize had already been recovered through rates authorized in D.23-11-069, meaning ratepayers would have been required to pay twice for the same expenses. </w:t>
            </w:r>
          </w:p>
          <w:p w:rsidR="00155235" w:rsidP="00902BA2" w:rsidRDefault="00155235" w14:paraId="6FFD61FC" w14:textId="77777777">
            <w:pPr>
              <w:rPr>
                <w:color w:val="000000"/>
              </w:rPr>
            </w:pPr>
          </w:p>
          <w:p w:rsidR="002B3AC3" w:rsidP="00902BA2" w:rsidRDefault="00155235" w14:paraId="62C5E325" w14:textId="729A9B08">
            <w:pPr>
              <w:rPr>
                <w:color w:val="000000"/>
              </w:rPr>
            </w:pPr>
            <w:r w:rsidRPr="00155235">
              <w:rPr>
                <w:color w:val="000000"/>
              </w:rPr>
              <w:t xml:space="preserve">As a result, the Commission rejected PG&amp;E’s securitization proposal, finding that it could result in a negative net present value </w:t>
            </w:r>
            <w:r w:rsidR="00E42E7B">
              <w:rPr>
                <w:color w:val="000000"/>
              </w:rPr>
              <w:t xml:space="preserve">(up to </w:t>
            </w:r>
            <w:r w:rsidR="00C776FA">
              <w:rPr>
                <w:color w:val="000000"/>
              </w:rPr>
              <w:t xml:space="preserve">negative $142 million) </w:t>
            </w:r>
            <w:r w:rsidRPr="00155235">
              <w:rPr>
                <w:color w:val="000000"/>
              </w:rPr>
              <w:t>and higher long-term utility rates compared to ordinary ratemaking. The Decision prevented ratepayers from incurring duplicate and unnecessary financing costs. The ratepayer savings and avoided liabilities achieved through TURN’s participation in this proceeding far exceed the cost of TURN’s involvement.</w:t>
            </w:r>
          </w:p>
          <w:p w:rsidRPr="00DA70DD" w:rsidR="00B80E2F" w:rsidP="00902BA2" w:rsidRDefault="00B80E2F" w14:paraId="34D71B9D" w14:textId="77777777">
            <w:pPr>
              <w:rPr>
                <w:color w:val="000000"/>
              </w:rPr>
            </w:pPr>
          </w:p>
          <w:p w:rsidRPr="00DA70DD" w:rsidR="00B80E2F" w:rsidP="00902BA2" w:rsidRDefault="00B80E2F" w14:paraId="3B4B1FFD" w14:textId="77777777">
            <w:pPr>
              <w:rPr>
                <w:color w:val="000000"/>
              </w:rPr>
            </w:pPr>
            <w:r w:rsidRPr="00DA70DD">
              <w:rPr>
                <w:color w:val="000000"/>
              </w:rPr>
              <w:t>For these reasons, the Commission should find that TURN's efforts have</w:t>
            </w:r>
          </w:p>
          <w:p w:rsidR="00B80E2F" w:rsidP="00902BA2" w:rsidRDefault="00B80E2F" w14:paraId="4C171177" w14:textId="77777777">
            <w:pPr>
              <w:rPr>
                <w:color w:val="000000"/>
              </w:rPr>
            </w:pPr>
            <w:r w:rsidRPr="00DA70DD">
              <w:rPr>
                <w:color w:val="000000"/>
              </w:rPr>
              <w:t xml:space="preserve">been productive and the requested amount of compensation is reasonable </w:t>
            </w:r>
            <w:proofErr w:type="gramStart"/>
            <w:r w:rsidRPr="00DA70DD">
              <w:rPr>
                <w:color w:val="000000"/>
              </w:rPr>
              <w:t>in light of</w:t>
            </w:r>
            <w:proofErr w:type="gramEnd"/>
            <w:r w:rsidRPr="00DA70DD">
              <w:rPr>
                <w:color w:val="000000"/>
              </w:rPr>
              <w:t xml:space="preserve"> the benefits achieved through those efforts.</w:t>
            </w:r>
          </w:p>
          <w:p w:rsidR="00B80E2F" w:rsidP="00902BA2" w:rsidRDefault="00B80E2F" w14:paraId="2C05D2EE" w14:textId="77777777">
            <w:pPr>
              <w:rPr>
                <w:color w:val="000000"/>
              </w:rPr>
            </w:pPr>
          </w:p>
          <w:p w:rsidRPr="003349DE" w:rsidR="00B80E2F" w:rsidP="00902BA2" w:rsidRDefault="00B80E2F" w14:paraId="7679BFFC" w14:textId="77777777">
            <w:pPr>
              <w:rPr>
                <w:color w:val="000000"/>
              </w:rPr>
            </w:pPr>
          </w:p>
        </w:tc>
        <w:tc>
          <w:tcPr>
            <w:tcW w:w="2250" w:type="dxa"/>
          </w:tcPr>
          <w:p w:rsidRPr="003349DE" w:rsidR="00B80E2F" w:rsidP="00902BA2" w:rsidRDefault="00516E75" w14:paraId="37C72A59" w14:textId="10347FF0">
            <w:pPr>
              <w:spacing w:before="120"/>
              <w:rPr>
                <w:color w:val="000000"/>
              </w:rPr>
            </w:pPr>
            <w:r>
              <w:rPr>
                <w:color w:val="000000"/>
              </w:rPr>
              <w:t>Noted</w:t>
            </w:r>
          </w:p>
        </w:tc>
      </w:tr>
      <w:tr w:rsidRPr="003349DE" w:rsidR="00B80E2F" w:rsidTr="0094188D" w14:paraId="2D088171" w14:textId="77777777">
        <w:tc>
          <w:tcPr>
            <w:tcW w:w="7488" w:type="dxa"/>
          </w:tcPr>
          <w:p w:rsidRPr="003349DE" w:rsidR="00B80E2F" w:rsidP="00902BA2" w:rsidRDefault="00B80E2F" w14:paraId="7F44743E" w14:textId="77777777">
            <w:pPr>
              <w:rPr>
                <w:color w:val="000000"/>
              </w:rPr>
            </w:pPr>
            <w:r w:rsidRPr="00080A79">
              <w:rPr>
                <w:b/>
                <w:color w:val="000000"/>
              </w:rPr>
              <w:t>b. Reasonableness of hours claimed:</w:t>
            </w:r>
            <w:r w:rsidRPr="003349DE">
              <w:rPr>
                <w:color w:val="000000"/>
              </w:rPr>
              <w:t xml:space="preserve"> </w:t>
            </w:r>
          </w:p>
          <w:p w:rsidRPr="003349DE" w:rsidR="00B80E2F" w:rsidP="00902BA2" w:rsidRDefault="00B80E2F" w14:paraId="002C7121" w14:textId="77777777">
            <w:pPr>
              <w:rPr>
                <w:color w:val="000000"/>
              </w:rPr>
            </w:pPr>
          </w:p>
          <w:p w:rsidR="00B80E2F" w:rsidP="00902BA2" w:rsidRDefault="00B80E2F" w14:paraId="43FCA32E" w14:textId="6BAF062F">
            <w:pPr>
              <w:rPr>
                <w:color w:val="000000"/>
              </w:rPr>
            </w:pPr>
            <w:r w:rsidRPr="0055737E">
              <w:rPr>
                <w:color w:val="000000"/>
              </w:rPr>
              <w:t xml:space="preserve">This Request for Compensation includes </w:t>
            </w:r>
            <w:r>
              <w:rPr>
                <w:color w:val="000000"/>
              </w:rPr>
              <w:t>around</w:t>
            </w:r>
            <w:r w:rsidRPr="0055737E">
              <w:rPr>
                <w:color w:val="000000"/>
              </w:rPr>
              <w:t xml:space="preserve"> </w:t>
            </w:r>
            <w:r w:rsidR="001D366B">
              <w:rPr>
                <w:color w:val="000000"/>
              </w:rPr>
              <w:t>207</w:t>
            </w:r>
            <w:r w:rsidRPr="0055737E">
              <w:rPr>
                <w:color w:val="000000"/>
              </w:rPr>
              <w:t xml:space="preserve"> hours of</w:t>
            </w:r>
            <w:r>
              <w:rPr>
                <w:color w:val="000000"/>
              </w:rPr>
              <w:t xml:space="preserve"> </w:t>
            </w:r>
            <w:r w:rsidRPr="0055737E">
              <w:rPr>
                <w:color w:val="000000"/>
              </w:rPr>
              <w:t>TURN’s attorney</w:t>
            </w:r>
            <w:r w:rsidR="001D366B">
              <w:rPr>
                <w:color w:val="000000"/>
              </w:rPr>
              <w:t xml:space="preserve"> and expert</w:t>
            </w:r>
            <w:r w:rsidRPr="0055737E">
              <w:rPr>
                <w:color w:val="000000"/>
              </w:rPr>
              <w:t xml:space="preserve"> time, the equivalent of </w:t>
            </w:r>
            <w:r>
              <w:rPr>
                <w:color w:val="000000"/>
              </w:rPr>
              <w:t xml:space="preserve">about </w:t>
            </w:r>
            <w:r w:rsidR="001D366B">
              <w:rPr>
                <w:color w:val="000000"/>
              </w:rPr>
              <w:t>5</w:t>
            </w:r>
            <w:r w:rsidR="009E52D8">
              <w:rPr>
                <w:color w:val="000000"/>
              </w:rPr>
              <w:t xml:space="preserve"> weeks</w:t>
            </w:r>
            <w:r w:rsidRPr="0055737E">
              <w:rPr>
                <w:color w:val="000000"/>
              </w:rPr>
              <w:t xml:space="preserve"> of full-time work for an individual attorney. </w:t>
            </w:r>
            <w:r>
              <w:rPr>
                <w:color w:val="000000"/>
              </w:rPr>
              <w:t xml:space="preserve"> </w:t>
            </w:r>
            <w:r w:rsidRPr="0055737E">
              <w:rPr>
                <w:color w:val="000000"/>
              </w:rPr>
              <w:t xml:space="preserve">TURN’s efforts reflected herein resulted in </w:t>
            </w:r>
            <w:r>
              <w:rPr>
                <w:color w:val="000000"/>
              </w:rPr>
              <w:t>significant</w:t>
            </w:r>
            <w:r w:rsidRPr="0055737E">
              <w:rPr>
                <w:color w:val="000000"/>
              </w:rPr>
              <w:t xml:space="preserve"> contributions to </w:t>
            </w:r>
            <w:r w:rsidRPr="00155235" w:rsidR="001D366B">
              <w:rPr>
                <w:color w:val="000000"/>
              </w:rPr>
              <w:t>D.25-08-007</w:t>
            </w:r>
            <w:r w:rsidRPr="0055737E">
              <w:rPr>
                <w:color w:val="000000"/>
              </w:rPr>
              <w:t>, detailed above, and encompass the preparation of</w:t>
            </w:r>
            <w:r>
              <w:rPr>
                <w:color w:val="000000"/>
              </w:rPr>
              <w:t xml:space="preserve"> comments and other filings </w:t>
            </w:r>
            <w:r w:rsidRPr="0055737E">
              <w:rPr>
                <w:color w:val="000000"/>
              </w:rPr>
              <w:t>by TURN</w:t>
            </w:r>
            <w:r>
              <w:rPr>
                <w:color w:val="000000"/>
              </w:rPr>
              <w:t xml:space="preserve">.  </w:t>
            </w:r>
          </w:p>
          <w:p w:rsidR="00B80E2F" w:rsidP="00902BA2" w:rsidRDefault="00B80E2F" w14:paraId="4E0CEB49" w14:textId="77777777">
            <w:pPr>
              <w:autoSpaceDE w:val="0"/>
              <w:autoSpaceDN w:val="0"/>
              <w:adjustRightInd w:val="0"/>
            </w:pPr>
          </w:p>
          <w:p w:rsidRPr="003349DE" w:rsidR="00B80E2F" w:rsidP="00902BA2" w:rsidRDefault="00B80E2F" w14:paraId="60AB33FF" w14:textId="3DEAE6A5">
            <w:pPr>
              <w:autoSpaceDE w:val="0"/>
              <w:autoSpaceDN w:val="0"/>
              <w:adjustRightInd w:val="0"/>
            </w:pPr>
            <w:r w:rsidRPr="003349DE">
              <w:lastRenderedPageBreak/>
              <w:t xml:space="preserve">TURN assigned </w:t>
            </w:r>
            <w:r>
              <w:t xml:space="preserve">this proceeding to Staff Attorney David Cheng.  </w:t>
            </w:r>
            <w:r w:rsidRPr="00D6023D">
              <w:rPr>
                <w:color w:val="000000"/>
              </w:rPr>
              <w:t>This request for</w:t>
            </w:r>
            <w:r>
              <w:rPr>
                <w:color w:val="000000"/>
              </w:rPr>
              <w:t xml:space="preserve"> </w:t>
            </w:r>
            <w:r w:rsidRPr="00D6023D">
              <w:rPr>
                <w:color w:val="000000"/>
              </w:rPr>
              <w:t xml:space="preserve">compensation includes approximately </w:t>
            </w:r>
            <w:r w:rsidR="001D366B">
              <w:rPr>
                <w:color w:val="000000"/>
              </w:rPr>
              <w:t>76</w:t>
            </w:r>
            <w:r w:rsidRPr="0055737E">
              <w:rPr>
                <w:color w:val="000000"/>
              </w:rPr>
              <w:t xml:space="preserve"> hours of </w:t>
            </w:r>
            <w:r>
              <w:rPr>
                <w:color w:val="000000"/>
              </w:rPr>
              <w:t>Mr. Cheng’s time and 1</w:t>
            </w:r>
            <w:r w:rsidR="001D366B">
              <w:rPr>
                <w:color w:val="000000"/>
              </w:rPr>
              <w:t>32</w:t>
            </w:r>
            <w:r>
              <w:rPr>
                <w:color w:val="000000"/>
              </w:rPr>
              <w:t xml:space="preserve"> hour</w:t>
            </w:r>
            <w:r w:rsidR="001D366B">
              <w:rPr>
                <w:color w:val="000000"/>
              </w:rPr>
              <w:t>s</w:t>
            </w:r>
            <w:r>
              <w:rPr>
                <w:color w:val="000000"/>
              </w:rPr>
              <w:t xml:space="preserve"> of other TURN </w:t>
            </w:r>
            <w:r w:rsidR="001D366B">
              <w:rPr>
                <w:color w:val="000000"/>
              </w:rPr>
              <w:t xml:space="preserve">attorney and </w:t>
            </w:r>
            <w:r>
              <w:rPr>
                <w:color w:val="000000"/>
              </w:rPr>
              <w:t xml:space="preserve">experts’ time.  </w:t>
            </w:r>
          </w:p>
          <w:p w:rsidR="00B80E2F" w:rsidP="00902BA2" w:rsidRDefault="00B80E2F" w14:paraId="22F6ADBB" w14:textId="77777777">
            <w:pPr>
              <w:autoSpaceDE w:val="0"/>
              <w:autoSpaceDN w:val="0"/>
              <w:adjustRightInd w:val="0"/>
            </w:pPr>
          </w:p>
          <w:p w:rsidR="00B80E2F" w:rsidP="00902BA2" w:rsidRDefault="00B80E2F" w14:paraId="106C8D5C" w14:textId="779F242D">
            <w:pPr>
              <w:rPr>
                <w:color w:val="000000"/>
              </w:rPr>
            </w:pPr>
            <w:r w:rsidRPr="001C6763">
              <w:rPr>
                <w:color w:val="000000"/>
              </w:rPr>
              <w:t xml:space="preserve">TURN suggests that the Commission should find that the number of issues addressed </w:t>
            </w:r>
            <w:r>
              <w:rPr>
                <w:color w:val="000000"/>
              </w:rPr>
              <w:t>by TURN in this proceeding</w:t>
            </w:r>
            <w:r w:rsidRPr="001C6763">
              <w:rPr>
                <w:color w:val="000000"/>
              </w:rPr>
              <w:t>, the time necessary for preparing various</w:t>
            </w:r>
            <w:r>
              <w:rPr>
                <w:color w:val="000000"/>
              </w:rPr>
              <w:t xml:space="preserve"> </w:t>
            </w:r>
            <w:r w:rsidRPr="001C6763">
              <w:rPr>
                <w:color w:val="000000"/>
              </w:rPr>
              <w:t>pleadings</w:t>
            </w:r>
            <w:r>
              <w:rPr>
                <w:color w:val="000000"/>
              </w:rPr>
              <w:t xml:space="preserve"> and testimonies, and the time required by evidentiary hearings </w:t>
            </w:r>
            <w:r w:rsidRPr="001C6763">
              <w:rPr>
                <w:color w:val="000000"/>
              </w:rPr>
              <w:t xml:space="preserve">warrant finding that the hours spent were reasonable. </w:t>
            </w:r>
            <w:r>
              <w:rPr>
                <w:color w:val="000000"/>
              </w:rPr>
              <w:t xml:space="preserve"> </w:t>
            </w:r>
            <w:r w:rsidRPr="00D6023D">
              <w:rPr>
                <w:color w:val="000000"/>
              </w:rPr>
              <w:t>However, should the Commission believe that</w:t>
            </w:r>
            <w:r>
              <w:rPr>
                <w:color w:val="000000"/>
              </w:rPr>
              <w:t xml:space="preserve"> </w:t>
            </w:r>
            <w:r w:rsidRPr="00D6023D">
              <w:rPr>
                <w:color w:val="000000"/>
              </w:rPr>
              <w:t>more information is needed or that a different approach to discussing the</w:t>
            </w:r>
            <w:r>
              <w:rPr>
                <w:color w:val="000000"/>
              </w:rPr>
              <w:t xml:space="preserve"> </w:t>
            </w:r>
            <w:r w:rsidRPr="00D6023D">
              <w:rPr>
                <w:color w:val="000000"/>
              </w:rPr>
              <w:t>reasonableness of the requested hours is warranted here, TURN requests</w:t>
            </w:r>
            <w:r>
              <w:rPr>
                <w:color w:val="000000"/>
              </w:rPr>
              <w:t xml:space="preserve"> </w:t>
            </w:r>
            <w:r w:rsidRPr="00D6023D">
              <w:rPr>
                <w:color w:val="000000"/>
              </w:rPr>
              <w:t>the opportunity to supplement this section of the request.</w:t>
            </w:r>
          </w:p>
          <w:p w:rsidRPr="003349DE" w:rsidR="00B80E2F" w:rsidP="00902BA2" w:rsidRDefault="00B80E2F" w14:paraId="2F77ABA2" w14:textId="77777777">
            <w:pPr>
              <w:rPr>
                <w:color w:val="000000"/>
              </w:rPr>
            </w:pPr>
          </w:p>
        </w:tc>
        <w:tc>
          <w:tcPr>
            <w:tcW w:w="2250" w:type="dxa"/>
          </w:tcPr>
          <w:p w:rsidRPr="003349DE" w:rsidR="00B80E2F" w:rsidP="00902BA2" w:rsidRDefault="00516E75" w14:paraId="1D003BF2" w14:textId="65FA8455">
            <w:pPr>
              <w:spacing w:before="120"/>
              <w:rPr>
                <w:color w:val="000000"/>
              </w:rPr>
            </w:pPr>
            <w:r>
              <w:rPr>
                <w:color w:val="000000"/>
              </w:rPr>
              <w:lastRenderedPageBreak/>
              <w:t>Noted</w:t>
            </w:r>
          </w:p>
        </w:tc>
      </w:tr>
      <w:tr w:rsidRPr="007F3D00" w:rsidR="00B80E2F" w:rsidTr="0094188D" w14:paraId="5E9C8D11" w14:textId="77777777">
        <w:tc>
          <w:tcPr>
            <w:tcW w:w="7488" w:type="dxa"/>
          </w:tcPr>
          <w:p w:rsidRPr="007F3D00" w:rsidR="00B80E2F" w:rsidP="00902BA2" w:rsidRDefault="00B80E2F" w14:paraId="3A5A8D50" w14:textId="77777777">
            <w:pPr>
              <w:rPr>
                <w:color w:val="000000"/>
              </w:rPr>
            </w:pPr>
            <w:r w:rsidRPr="007F3D00">
              <w:rPr>
                <w:b/>
                <w:color w:val="000000"/>
              </w:rPr>
              <w:t>c. Allocation of hours by issue:</w:t>
            </w:r>
            <w:r w:rsidRPr="007F3D00">
              <w:rPr>
                <w:color w:val="000000"/>
              </w:rPr>
              <w:t xml:space="preserve"> </w:t>
            </w:r>
          </w:p>
          <w:p w:rsidR="00B80E2F" w:rsidP="00902BA2" w:rsidRDefault="00B80E2F" w14:paraId="3EEC17EB" w14:textId="12182CFD">
            <w:pPr>
              <w:tabs>
                <w:tab w:val="left" w:pos="1260"/>
              </w:tabs>
              <w:spacing w:before="120"/>
              <w:rPr>
                <w:color w:val="000000"/>
              </w:rPr>
            </w:pPr>
            <w:r w:rsidRPr="007F3D00">
              <w:rPr>
                <w:color w:val="000000"/>
              </w:rPr>
              <w:t xml:space="preserve">TURN has allocated </w:t>
            </w:r>
            <w:proofErr w:type="gramStart"/>
            <w:r w:rsidRPr="007F3D00">
              <w:rPr>
                <w:color w:val="000000"/>
              </w:rPr>
              <w:t>all of</w:t>
            </w:r>
            <w:proofErr w:type="gramEnd"/>
            <w:r w:rsidRPr="007F3D00">
              <w:rPr>
                <w:color w:val="000000"/>
              </w:rPr>
              <w:t xml:space="preserve"> our attorney and expert time by issue area or activity, as is evident on our attached timesheets (Attachment 2) and in Attachment </w:t>
            </w:r>
            <w:r>
              <w:rPr>
                <w:color w:val="000000"/>
              </w:rPr>
              <w:t>3</w:t>
            </w:r>
            <w:r w:rsidRPr="007F3D00">
              <w:rPr>
                <w:color w:val="000000"/>
              </w:rPr>
              <w:t xml:space="preserve">, which shows the allocation of TURN’s time included in this request by attorney or expert and issue / activity area.  The following codes relate to specific substantive issue and activity areas addressed by TURN. </w:t>
            </w:r>
          </w:p>
          <w:p w:rsidR="00CD2E77" w:rsidP="00902BA2" w:rsidRDefault="00CD2E77" w14:paraId="6C493830" w14:textId="77777777">
            <w:pPr>
              <w:tabs>
                <w:tab w:val="left" w:pos="1260"/>
              </w:tabs>
              <w:spacing w:before="120"/>
              <w:rPr>
                <w:color w:val="000000"/>
              </w:rPr>
            </w:pPr>
          </w:p>
          <w:tbl>
            <w:tblPr>
              <w:tblW w:w="7780" w:type="dxa"/>
              <w:tblLayout w:type="fixed"/>
              <w:tblLook w:val="04A0" w:firstRow="1" w:lastRow="0" w:firstColumn="1" w:lastColumn="0" w:noHBand="0" w:noVBand="1"/>
            </w:tblPr>
            <w:tblGrid>
              <w:gridCol w:w="1596"/>
              <w:gridCol w:w="4410"/>
              <w:gridCol w:w="1774"/>
            </w:tblGrid>
            <w:tr w:rsidR="004F64A7" w:rsidTr="009C65CA" w14:paraId="6A0862C8" w14:textId="77777777">
              <w:trPr>
                <w:trHeight w:val="624"/>
              </w:trPr>
              <w:tc>
                <w:tcPr>
                  <w:tcW w:w="1596" w:type="dxa"/>
                  <w:tcBorders>
                    <w:top w:val="single" w:color="auto" w:sz="4" w:space="0"/>
                    <w:left w:val="single" w:color="auto" w:sz="4" w:space="0"/>
                    <w:bottom w:val="single" w:color="auto" w:sz="4" w:space="0"/>
                    <w:right w:val="single" w:color="auto" w:sz="4" w:space="0"/>
                  </w:tcBorders>
                  <w:noWrap/>
                  <w:vAlign w:val="bottom"/>
                  <w:hideMark/>
                </w:tcPr>
                <w:p w:rsidR="004F64A7" w:rsidP="004F64A7" w:rsidRDefault="004F64A7" w14:paraId="5D9A3D0D" w14:textId="77777777">
                  <w:pPr>
                    <w:jc w:val="center"/>
                    <w:rPr>
                      <w:b/>
                      <w:bCs/>
                      <w:color w:val="000000"/>
                      <w:lang w:eastAsia="zh-TW"/>
                    </w:rPr>
                  </w:pPr>
                  <w:r>
                    <w:rPr>
                      <w:b/>
                      <w:bCs/>
                      <w:color w:val="000000"/>
                    </w:rPr>
                    <w:t>Code</w:t>
                  </w:r>
                </w:p>
              </w:tc>
              <w:tc>
                <w:tcPr>
                  <w:tcW w:w="4410" w:type="dxa"/>
                  <w:tcBorders>
                    <w:top w:val="single" w:color="auto" w:sz="4" w:space="0"/>
                    <w:left w:val="nil"/>
                    <w:bottom w:val="single" w:color="auto" w:sz="4" w:space="0"/>
                    <w:right w:val="single" w:color="auto" w:sz="4" w:space="0"/>
                  </w:tcBorders>
                  <w:noWrap/>
                  <w:vAlign w:val="bottom"/>
                  <w:hideMark/>
                </w:tcPr>
                <w:p w:rsidR="004F64A7" w:rsidP="004F64A7" w:rsidRDefault="004F64A7" w14:paraId="0124F86A" w14:textId="77777777">
                  <w:pPr>
                    <w:jc w:val="center"/>
                    <w:rPr>
                      <w:b/>
                      <w:bCs/>
                      <w:color w:val="000000"/>
                    </w:rPr>
                  </w:pPr>
                  <w:r>
                    <w:rPr>
                      <w:b/>
                      <w:bCs/>
                      <w:color w:val="000000"/>
                    </w:rPr>
                    <w:t>Description</w:t>
                  </w:r>
                </w:p>
              </w:tc>
              <w:tc>
                <w:tcPr>
                  <w:tcW w:w="1774" w:type="dxa"/>
                  <w:tcBorders>
                    <w:top w:val="single" w:color="auto" w:sz="4" w:space="0"/>
                    <w:left w:val="nil"/>
                    <w:bottom w:val="single" w:color="auto" w:sz="4" w:space="0"/>
                    <w:right w:val="single" w:color="auto" w:sz="4" w:space="0"/>
                  </w:tcBorders>
                  <w:vAlign w:val="bottom"/>
                  <w:hideMark/>
                </w:tcPr>
                <w:p w:rsidR="004F64A7" w:rsidP="004F64A7" w:rsidRDefault="004F64A7" w14:paraId="025AA213" w14:textId="77777777">
                  <w:pPr>
                    <w:jc w:val="center"/>
                    <w:rPr>
                      <w:b/>
                      <w:bCs/>
                      <w:color w:val="000000"/>
                    </w:rPr>
                  </w:pPr>
                  <w:r>
                    <w:rPr>
                      <w:b/>
                      <w:bCs/>
                      <w:color w:val="000000"/>
                    </w:rPr>
                    <w:t>Allocation</w:t>
                  </w:r>
                  <w:r>
                    <w:rPr>
                      <w:b/>
                      <w:bCs/>
                      <w:color w:val="000000"/>
                    </w:rPr>
                    <w:br/>
                    <w:t>of Time</w:t>
                  </w:r>
                </w:p>
              </w:tc>
            </w:tr>
            <w:tr w:rsidR="00C4164D" w:rsidTr="009C65CA" w14:paraId="1BCCD8D1" w14:textId="77777777">
              <w:trPr>
                <w:trHeight w:val="624"/>
              </w:trPr>
              <w:tc>
                <w:tcPr>
                  <w:tcW w:w="1596" w:type="dxa"/>
                  <w:tcBorders>
                    <w:top w:val="nil"/>
                    <w:left w:val="single" w:color="auto" w:sz="4" w:space="0"/>
                    <w:bottom w:val="single" w:color="auto" w:sz="4" w:space="0"/>
                    <w:right w:val="single" w:color="auto" w:sz="4" w:space="0"/>
                  </w:tcBorders>
                  <w:vAlign w:val="bottom"/>
                  <w:hideMark/>
                </w:tcPr>
                <w:p w:rsidR="00C4164D" w:rsidP="00C4164D" w:rsidRDefault="009C65CA" w14:paraId="5EC27A9E" w14:textId="4FF87CBE">
                  <w:pPr>
                    <w:jc w:val="center"/>
                    <w:rPr>
                      <w:color w:val="000000"/>
                    </w:rPr>
                  </w:pPr>
                  <w:r>
                    <w:rPr>
                      <w:color w:val="000000"/>
                    </w:rPr>
                    <w:t>Securitization</w:t>
                  </w:r>
                </w:p>
              </w:tc>
              <w:tc>
                <w:tcPr>
                  <w:tcW w:w="4410" w:type="dxa"/>
                  <w:tcBorders>
                    <w:top w:val="nil"/>
                    <w:left w:val="nil"/>
                    <w:bottom w:val="single" w:color="auto" w:sz="4" w:space="0"/>
                    <w:right w:val="single" w:color="auto" w:sz="4" w:space="0"/>
                  </w:tcBorders>
                  <w:vAlign w:val="bottom"/>
                  <w:hideMark/>
                </w:tcPr>
                <w:p w:rsidR="00C4164D" w:rsidP="00C4164D" w:rsidRDefault="009C65CA" w14:paraId="65E6D677" w14:textId="522254A5">
                  <w:pPr>
                    <w:rPr>
                      <w:color w:val="000000"/>
                    </w:rPr>
                  </w:pPr>
                  <w:r>
                    <w:rPr>
                      <w:color w:val="000000"/>
                    </w:rPr>
                    <w:t xml:space="preserve">Work related to addressing issues regarding the </w:t>
                  </w:r>
                  <w:r w:rsidR="00CD2E77">
                    <w:rPr>
                      <w:color w:val="000000"/>
                    </w:rPr>
                    <w:t>d</w:t>
                  </w:r>
                  <w:r w:rsidRPr="009C65CA">
                    <w:rPr>
                      <w:color w:val="000000"/>
                    </w:rPr>
                    <w:t xml:space="preserve">ouble </w:t>
                  </w:r>
                  <w:r w:rsidR="00CD2E77">
                    <w:rPr>
                      <w:color w:val="000000"/>
                    </w:rPr>
                    <w:t>r</w:t>
                  </w:r>
                  <w:r w:rsidRPr="009C65CA">
                    <w:rPr>
                      <w:color w:val="000000"/>
                    </w:rPr>
                    <w:t xml:space="preserve">ecovery / </w:t>
                  </w:r>
                  <w:r w:rsidR="00CD2E77">
                    <w:rPr>
                      <w:color w:val="000000"/>
                    </w:rPr>
                    <w:t>i</w:t>
                  </w:r>
                  <w:r w:rsidRPr="009C65CA">
                    <w:rPr>
                      <w:color w:val="000000"/>
                    </w:rPr>
                    <w:t xml:space="preserve">neligible </w:t>
                  </w:r>
                  <w:r w:rsidR="00CD2E77">
                    <w:rPr>
                      <w:color w:val="000000"/>
                    </w:rPr>
                    <w:t>c</w:t>
                  </w:r>
                  <w:r w:rsidRPr="009C65CA">
                    <w:rPr>
                      <w:color w:val="000000"/>
                    </w:rPr>
                    <w:t>osts</w:t>
                  </w:r>
                  <w:r w:rsidR="00CD2E77">
                    <w:rPr>
                      <w:color w:val="000000"/>
                    </w:rPr>
                    <w:t xml:space="preserve"> for securitization, as well as </w:t>
                  </w:r>
                  <w:r w:rsidR="007613E3">
                    <w:rPr>
                      <w:color w:val="000000"/>
                    </w:rPr>
                    <w:t>issues with securitizing O&amp;M costs in general</w:t>
                  </w:r>
                </w:p>
              </w:tc>
              <w:tc>
                <w:tcPr>
                  <w:tcW w:w="1774" w:type="dxa"/>
                  <w:tcBorders>
                    <w:top w:val="nil"/>
                    <w:left w:val="nil"/>
                    <w:bottom w:val="single" w:color="auto" w:sz="4" w:space="0"/>
                    <w:right w:val="single" w:color="auto" w:sz="4" w:space="0"/>
                  </w:tcBorders>
                  <w:vAlign w:val="bottom"/>
                  <w:hideMark/>
                </w:tcPr>
                <w:p w:rsidRPr="009C65CA" w:rsidR="00C4164D" w:rsidP="009C65CA" w:rsidRDefault="00063B65" w14:paraId="63BE6F9D" w14:textId="751472E8">
                  <w:pPr>
                    <w:jc w:val="center"/>
                    <w:rPr>
                      <w:color w:val="000000"/>
                    </w:rPr>
                  </w:pPr>
                  <w:r>
                    <w:rPr>
                      <w:color w:val="000000"/>
                    </w:rPr>
                    <w:t>40</w:t>
                  </w:r>
                  <w:r w:rsidRPr="009C65CA" w:rsidR="009C65CA">
                    <w:rPr>
                      <w:color w:val="000000"/>
                    </w:rPr>
                    <w:t>.</w:t>
                  </w:r>
                  <w:r>
                    <w:rPr>
                      <w:color w:val="000000"/>
                    </w:rPr>
                    <w:t>4</w:t>
                  </w:r>
                  <w:r w:rsidRPr="009C65CA" w:rsidR="009C65CA">
                    <w:rPr>
                      <w:color w:val="000000"/>
                    </w:rPr>
                    <w:t>%</w:t>
                  </w:r>
                </w:p>
              </w:tc>
            </w:tr>
            <w:tr w:rsidR="00C4164D" w:rsidTr="009C65CA" w14:paraId="5E91097C" w14:textId="77777777">
              <w:trPr>
                <w:trHeight w:val="624"/>
              </w:trPr>
              <w:tc>
                <w:tcPr>
                  <w:tcW w:w="1596" w:type="dxa"/>
                  <w:tcBorders>
                    <w:top w:val="nil"/>
                    <w:left w:val="single" w:color="auto" w:sz="4" w:space="0"/>
                    <w:bottom w:val="single" w:color="auto" w:sz="4" w:space="0"/>
                    <w:right w:val="single" w:color="auto" w:sz="4" w:space="0"/>
                  </w:tcBorders>
                  <w:vAlign w:val="bottom"/>
                  <w:hideMark/>
                </w:tcPr>
                <w:p w:rsidR="00C4164D" w:rsidP="00C4164D" w:rsidRDefault="007613E3" w14:paraId="1CA68A4B" w14:textId="51D909DB">
                  <w:pPr>
                    <w:jc w:val="center"/>
                    <w:rPr>
                      <w:color w:val="000000"/>
                    </w:rPr>
                  </w:pPr>
                  <w:proofErr w:type="spellStart"/>
                  <w:r>
                    <w:rPr>
                      <w:color w:val="000000"/>
                    </w:rPr>
                    <w:t>PubInt</w:t>
                  </w:r>
                  <w:proofErr w:type="spellEnd"/>
                </w:p>
              </w:tc>
              <w:tc>
                <w:tcPr>
                  <w:tcW w:w="4410" w:type="dxa"/>
                  <w:tcBorders>
                    <w:top w:val="nil"/>
                    <w:left w:val="nil"/>
                    <w:bottom w:val="single" w:color="auto" w:sz="4" w:space="0"/>
                    <w:right w:val="single" w:color="auto" w:sz="4" w:space="0"/>
                  </w:tcBorders>
                  <w:vAlign w:val="bottom"/>
                  <w:hideMark/>
                </w:tcPr>
                <w:p w:rsidR="00C4164D" w:rsidP="00C4164D" w:rsidRDefault="00C4164D" w14:paraId="3C1413D9" w14:textId="51C39636">
                  <w:pPr>
                    <w:rPr>
                      <w:color w:val="000000"/>
                    </w:rPr>
                  </w:pPr>
                  <w:r>
                    <w:rPr>
                      <w:color w:val="000000"/>
                    </w:rPr>
                    <w:t xml:space="preserve">Work related to addressing issues regarding </w:t>
                  </w:r>
                  <w:r w:rsidR="007613E3">
                    <w:rPr>
                      <w:color w:val="000000"/>
                    </w:rPr>
                    <w:t xml:space="preserve">whether the proposed transaction is in the public interest, including the </w:t>
                  </w:r>
                  <w:r w:rsidRPr="009C65CA" w:rsidR="009C65CA">
                    <w:rPr>
                      <w:color w:val="000000"/>
                    </w:rPr>
                    <w:t>NPV</w:t>
                  </w:r>
                  <w:r w:rsidR="007613E3">
                    <w:rPr>
                      <w:color w:val="000000"/>
                    </w:rPr>
                    <w:t xml:space="preserve"> and</w:t>
                  </w:r>
                  <w:r w:rsidRPr="009C65CA" w:rsidR="009C65CA">
                    <w:rPr>
                      <w:color w:val="000000"/>
                    </w:rPr>
                    <w:t xml:space="preserve"> </w:t>
                  </w:r>
                  <w:r w:rsidR="007613E3">
                    <w:rPr>
                      <w:color w:val="000000"/>
                    </w:rPr>
                    <w:t>l</w:t>
                  </w:r>
                  <w:r w:rsidRPr="009C65CA" w:rsidR="009C65CA">
                    <w:rPr>
                      <w:color w:val="000000"/>
                    </w:rPr>
                    <w:t>ong-</w:t>
                  </w:r>
                  <w:r w:rsidR="007613E3">
                    <w:rPr>
                      <w:color w:val="000000"/>
                    </w:rPr>
                    <w:t>t</w:t>
                  </w:r>
                  <w:r w:rsidRPr="009C65CA" w:rsidR="009C65CA">
                    <w:rPr>
                      <w:color w:val="000000"/>
                    </w:rPr>
                    <w:t xml:space="preserve">erm </w:t>
                  </w:r>
                  <w:r w:rsidR="007613E3">
                    <w:rPr>
                      <w:color w:val="000000"/>
                    </w:rPr>
                    <w:t>e</w:t>
                  </w:r>
                  <w:r w:rsidRPr="009C65CA" w:rsidR="009C65CA">
                    <w:rPr>
                      <w:color w:val="000000"/>
                    </w:rPr>
                    <w:t xml:space="preserve">conomic </w:t>
                  </w:r>
                  <w:r w:rsidR="007613E3">
                    <w:rPr>
                      <w:color w:val="000000"/>
                    </w:rPr>
                    <w:t>b</w:t>
                  </w:r>
                  <w:r w:rsidRPr="009C65CA" w:rsidR="009C65CA">
                    <w:rPr>
                      <w:color w:val="000000"/>
                    </w:rPr>
                    <w:t>enefit</w:t>
                  </w:r>
                  <w:r w:rsidR="007613E3">
                    <w:rPr>
                      <w:color w:val="000000"/>
                    </w:rPr>
                    <w:t xml:space="preserve"> (or lack of) </w:t>
                  </w:r>
                </w:p>
              </w:tc>
              <w:tc>
                <w:tcPr>
                  <w:tcW w:w="1774" w:type="dxa"/>
                  <w:tcBorders>
                    <w:top w:val="nil"/>
                    <w:left w:val="nil"/>
                    <w:bottom w:val="single" w:color="auto" w:sz="4" w:space="0"/>
                    <w:right w:val="single" w:color="auto" w:sz="4" w:space="0"/>
                  </w:tcBorders>
                  <w:vAlign w:val="bottom"/>
                  <w:hideMark/>
                </w:tcPr>
                <w:p w:rsidRPr="009C65CA" w:rsidR="00C4164D" w:rsidP="009C65CA" w:rsidRDefault="00063B65" w14:paraId="694A32F0" w14:textId="7F239C28">
                  <w:pPr>
                    <w:jc w:val="center"/>
                    <w:rPr>
                      <w:color w:val="000000"/>
                    </w:rPr>
                  </w:pPr>
                  <w:r>
                    <w:rPr>
                      <w:color w:val="000000"/>
                    </w:rPr>
                    <w:t>37</w:t>
                  </w:r>
                  <w:r w:rsidRPr="009C65CA" w:rsidR="009C65CA">
                    <w:rPr>
                      <w:color w:val="000000"/>
                    </w:rPr>
                    <w:t>.</w:t>
                  </w:r>
                  <w:r>
                    <w:rPr>
                      <w:color w:val="000000"/>
                    </w:rPr>
                    <w:t>9</w:t>
                  </w:r>
                  <w:r w:rsidRPr="009C65CA" w:rsidR="009C65CA">
                    <w:rPr>
                      <w:color w:val="000000"/>
                    </w:rPr>
                    <w:t>%</w:t>
                  </w:r>
                </w:p>
              </w:tc>
            </w:tr>
            <w:tr w:rsidR="00C4164D" w:rsidTr="009C65CA" w14:paraId="484B509F" w14:textId="77777777">
              <w:trPr>
                <w:trHeight w:val="936"/>
              </w:trPr>
              <w:tc>
                <w:tcPr>
                  <w:tcW w:w="1596" w:type="dxa"/>
                  <w:tcBorders>
                    <w:top w:val="nil"/>
                    <w:left w:val="single" w:color="auto" w:sz="4" w:space="0"/>
                    <w:bottom w:val="single" w:color="auto" w:sz="4" w:space="0"/>
                    <w:right w:val="single" w:color="auto" w:sz="4" w:space="0"/>
                  </w:tcBorders>
                  <w:vAlign w:val="bottom"/>
                  <w:hideMark/>
                </w:tcPr>
                <w:p w:rsidR="00C4164D" w:rsidP="00C4164D" w:rsidRDefault="00C4164D" w14:paraId="3954C336" w14:textId="77777777">
                  <w:pPr>
                    <w:jc w:val="center"/>
                    <w:rPr>
                      <w:color w:val="000000"/>
                    </w:rPr>
                  </w:pPr>
                  <w:r>
                    <w:rPr>
                      <w:color w:val="000000"/>
                    </w:rPr>
                    <w:t>Disc</w:t>
                  </w:r>
                </w:p>
              </w:tc>
              <w:tc>
                <w:tcPr>
                  <w:tcW w:w="4410" w:type="dxa"/>
                  <w:tcBorders>
                    <w:top w:val="nil"/>
                    <w:left w:val="nil"/>
                    <w:bottom w:val="single" w:color="auto" w:sz="4" w:space="0"/>
                    <w:right w:val="single" w:color="auto" w:sz="4" w:space="0"/>
                  </w:tcBorders>
                  <w:vAlign w:val="bottom"/>
                  <w:hideMark/>
                </w:tcPr>
                <w:p w:rsidR="00C4164D" w:rsidP="00C4164D" w:rsidRDefault="00C4164D" w14:paraId="03D1BA26" w14:textId="77777777">
                  <w:pPr>
                    <w:rPr>
                      <w:color w:val="000000"/>
                    </w:rPr>
                  </w:pPr>
                  <w:r>
                    <w:rPr>
                      <w:color w:val="000000"/>
                    </w:rPr>
                    <w:t>Discovery – Preparation and review of discovery documents, including responding to and analyzing data requests from other parties.</w:t>
                  </w:r>
                </w:p>
              </w:tc>
              <w:tc>
                <w:tcPr>
                  <w:tcW w:w="1774" w:type="dxa"/>
                  <w:tcBorders>
                    <w:top w:val="nil"/>
                    <w:left w:val="nil"/>
                    <w:bottom w:val="single" w:color="auto" w:sz="4" w:space="0"/>
                    <w:right w:val="single" w:color="auto" w:sz="4" w:space="0"/>
                  </w:tcBorders>
                  <w:vAlign w:val="bottom"/>
                  <w:hideMark/>
                </w:tcPr>
                <w:p w:rsidRPr="009C65CA" w:rsidR="00C4164D" w:rsidP="009C65CA" w:rsidRDefault="009C65CA" w14:paraId="1FDEFAE1" w14:textId="30E73EB2">
                  <w:pPr>
                    <w:jc w:val="center"/>
                    <w:rPr>
                      <w:color w:val="000000"/>
                    </w:rPr>
                  </w:pPr>
                  <w:r w:rsidRPr="009C65CA">
                    <w:rPr>
                      <w:color w:val="000000"/>
                    </w:rPr>
                    <w:t>6.1%</w:t>
                  </w:r>
                </w:p>
              </w:tc>
            </w:tr>
            <w:tr w:rsidR="009C65CA" w:rsidTr="009C65CA" w14:paraId="0A7C4E40" w14:textId="77777777">
              <w:trPr>
                <w:trHeight w:val="624"/>
              </w:trPr>
              <w:tc>
                <w:tcPr>
                  <w:tcW w:w="1596" w:type="dxa"/>
                  <w:tcBorders>
                    <w:top w:val="nil"/>
                    <w:left w:val="single" w:color="auto" w:sz="4" w:space="0"/>
                    <w:bottom w:val="single" w:color="auto" w:sz="4" w:space="0"/>
                    <w:right w:val="single" w:color="auto" w:sz="4" w:space="0"/>
                  </w:tcBorders>
                  <w:vAlign w:val="bottom"/>
                  <w:hideMark/>
                </w:tcPr>
                <w:p w:rsidR="009C65CA" w:rsidP="009C65CA" w:rsidRDefault="009C65CA" w14:paraId="0C60B729" w14:textId="7C16B087">
                  <w:pPr>
                    <w:jc w:val="center"/>
                    <w:rPr>
                      <w:color w:val="000000"/>
                    </w:rPr>
                  </w:pPr>
                  <w:r>
                    <w:rPr>
                      <w:color w:val="000000"/>
                    </w:rPr>
                    <w:t>Coord</w:t>
                  </w:r>
                </w:p>
              </w:tc>
              <w:tc>
                <w:tcPr>
                  <w:tcW w:w="4410" w:type="dxa"/>
                  <w:tcBorders>
                    <w:top w:val="nil"/>
                    <w:left w:val="nil"/>
                    <w:bottom w:val="single" w:color="auto" w:sz="4" w:space="0"/>
                    <w:right w:val="single" w:color="auto" w:sz="4" w:space="0"/>
                  </w:tcBorders>
                  <w:vAlign w:val="bottom"/>
                  <w:hideMark/>
                </w:tcPr>
                <w:p w:rsidR="009C65CA" w:rsidP="009C65CA" w:rsidRDefault="009C65CA" w14:paraId="755F59BC" w14:textId="612C92E8">
                  <w:pPr>
                    <w:rPr>
                      <w:color w:val="000000"/>
                    </w:rPr>
                  </w:pPr>
                  <w:r>
                    <w:rPr>
                      <w:color w:val="000000"/>
                    </w:rPr>
                    <w:t>Coordination with other parties – meetings, e-mails w/ stakeholders, joint statements with others, etc.</w:t>
                  </w:r>
                </w:p>
              </w:tc>
              <w:tc>
                <w:tcPr>
                  <w:tcW w:w="1774" w:type="dxa"/>
                  <w:tcBorders>
                    <w:top w:val="nil"/>
                    <w:left w:val="nil"/>
                    <w:bottom w:val="single" w:color="auto" w:sz="4" w:space="0"/>
                    <w:right w:val="single" w:color="auto" w:sz="4" w:space="0"/>
                  </w:tcBorders>
                  <w:vAlign w:val="bottom"/>
                  <w:hideMark/>
                </w:tcPr>
                <w:p w:rsidRPr="009C65CA" w:rsidR="009C65CA" w:rsidP="009C65CA" w:rsidRDefault="009C65CA" w14:paraId="66028A30" w14:textId="325CF3B4">
                  <w:pPr>
                    <w:jc w:val="center"/>
                    <w:rPr>
                      <w:color w:val="000000"/>
                    </w:rPr>
                  </w:pPr>
                  <w:r w:rsidRPr="009C65CA">
                    <w:rPr>
                      <w:color w:val="000000"/>
                    </w:rPr>
                    <w:t>2.4%</w:t>
                  </w:r>
                </w:p>
              </w:tc>
            </w:tr>
            <w:tr w:rsidR="00C4164D" w:rsidTr="009C65CA" w14:paraId="7EBF0104" w14:textId="77777777">
              <w:trPr>
                <w:trHeight w:val="624"/>
              </w:trPr>
              <w:tc>
                <w:tcPr>
                  <w:tcW w:w="1596" w:type="dxa"/>
                  <w:tcBorders>
                    <w:top w:val="nil"/>
                    <w:left w:val="single" w:color="auto" w:sz="4" w:space="0"/>
                    <w:bottom w:val="single" w:color="auto" w:sz="4" w:space="0"/>
                    <w:right w:val="single" w:color="auto" w:sz="4" w:space="0"/>
                  </w:tcBorders>
                  <w:vAlign w:val="bottom"/>
                  <w:hideMark/>
                </w:tcPr>
                <w:p w:rsidR="00C4164D" w:rsidP="00C4164D" w:rsidRDefault="00C4164D" w14:paraId="5DD2958F" w14:textId="77777777">
                  <w:pPr>
                    <w:jc w:val="center"/>
                    <w:rPr>
                      <w:color w:val="000000"/>
                    </w:rPr>
                  </w:pPr>
                  <w:r>
                    <w:rPr>
                      <w:color w:val="000000"/>
                    </w:rPr>
                    <w:t>GH</w:t>
                  </w:r>
                </w:p>
              </w:tc>
              <w:tc>
                <w:tcPr>
                  <w:tcW w:w="4410" w:type="dxa"/>
                  <w:tcBorders>
                    <w:top w:val="nil"/>
                    <w:left w:val="nil"/>
                    <w:bottom w:val="single" w:color="auto" w:sz="4" w:space="0"/>
                    <w:right w:val="single" w:color="auto" w:sz="4" w:space="0"/>
                  </w:tcBorders>
                  <w:vAlign w:val="bottom"/>
                  <w:hideMark/>
                </w:tcPr>
                <w:p w:rsidR="00C4164D" w:rsidP="00C4164D" w:rsidRDefault="00C4164D" w14:paraId="72C08482" w14:textId="77777777">
                  <w:pPr>
                    <w:rPr>
                      <w:color w:val="000000"/>
                    </w:rPr>
                  </w:pPr>
                  <w:r>
                    <w:rPr>
                      <w:color w:val="000000"/>
                    </w:rPr>
                    <w:t>General Hearing – Prepare, discuss, and attend prehearing conference and evidentiary hearings</w:t>
                  </w:r>
                </w:p>
              </w:tc>
              <w:tc>
                <w:tcPr>
                  <w:tcW w:w="1774" w:type="dxa"/>
                  <w:tcBorders>
                    <w:top w:val="nil"/>
                    <w:left w:val="nil"/>
                    <w:bottom w:val="single" w:color="auto" w:sz="4" w:space="0"/>
                    <w:right w:val="single" w:color="auto" w:sz="4" w:space="0"/>
                  </w:tcBorders>
                  <w:vAlign w:val="bottom"/>
                  <w:hideMark/>
                </w:tcPr>
                <w:p w:rsidRPr="009C65CA" w:rsidR="00C4164D" w:rsidP="009C65CA" w:rsidRDefault="009C65CA" w14:paraId="5EA86F34" w14:textId="1A2FA55A">
                  <w:pPr>
                    <w:jc w:val="center"/>
                    <w:rPr>
                      <w:color w:val="000000"/>
                    </w:rPr>
                  </w:pPr>
                  <w:r w:rsidRPr="009C65CA">
                    <w:rPr>
                      <w:color w:val="000000"/>
                    </w:rPr>
                    <w:t>1.8%</w:t>
                  </w:r>
                </w:p>
              </w:tc>
            </w:tr>
            <w:tr w:rsidR="00C4164D" w:rsidTr="009C65CA" w14:paraId="5F3DFC5D" w14:textId="77777777">
              <w:trPr>
                <w:trHeight w:val="648"/>
              </w:trPr>
              <w:tc>
                <w:tcPr>
                  <w:tcW w:w="1596" w:type="dxa"/>
                  <w:tcBorders>
                    <w:top w:val="nil"/>
                    <w:left w:val="single" w:color="auto" w:sz="4" w:space="0"/>
                    <w:bottom w:val="single" w:color="auto" w:sz="4" w:space="0"/>
                    <w:right w:val="single" w:color="auto" w:sz="4" w:space="0"/>
                  </w:tcBorders>
                  <w:vAlign w:val="bottom"/>
                  <w:hideMark/>
                </w:tcPr>
                <w:p w:rsidR="00C4164D" w:rsidP="00C4164D" w:rsidRDefault="00C4164D" w14:paraId="00970293" w14:textId="77777777">
                  <w:pPr>
                    <w:jc w:val="center"/>
                    <w:rPr>
                      <w:color w:val="000000"/>
                    </w:rPr>
                  </w:pPr>
                  <w:r>
                    <w:rPr>
                      <w:color w:val="000000"/>
                    </w:rPr>
                    <w:t>GP</w:t>
                  </w:r>
                </w:p>
              </w:tc>
              <w:tc>
                <w:tcPr>
                  <w:tcW w:w="4410" w:type="dxa"/>
                  <w:tcBorders>
                    <w:top w:val="nil"/>
                    <w:left w:val="nil"/>
                    <w:bottom w:val="single" w:color="auto" w:sz="4" w:space="0"/>
                    <w:right w:val="single" w:color="auto" w:sz="4" w:space="0"/>
                  </w:tcBorders>
                  <w:vAlign w:val="bottom"/>
                  <w:hideMark/>
                </w:tcPr>
                <w:p w:rsidR="00C4164D" w:rsidP="00C4164D" w:rsidRDefault="00C4164D" w14:paraId="3C4A684A" w14:textId="77777777">
                  <w:pPr>
                    <w:rPr>
                      <w:color w:val="000000"/>
                    </w:rPr>
                  </w:pPr>
                  <w:r>
                    <w:rPr>
                      <w:color w:val="000000"/>
                    </w:rPr>
                    <w:t>Work related to general participation in this proceeding (document review, case review, and others)</w:t>
                  </w:r>
                </w:p>
              </w:tc>
              <w:tc>
                <w:tcPr>
                  <w:tcW w:w="1774" w:type="dxa"/>
                  <w:tcBorders>
                    <w:top w:val="nil"/>
                    <w:left w:val="nil"/>
                    <w:bottom w:val="single" w:color="auto" w:sz="4" w:space="0"/>
                    <w:right w:val="single" w:color="auto" w:sz="4" w:space="0"/>
                  </w:tcBorders>
                  <w:vAlign w:val="bottom"/>
                  <w:hideMark/>
                </w:tcPr>
                <w:p w:rsidRPr="009C65CA" w:rsidR="00C4164D" w:rsidP="009C65CA" w:rsidRDefault="005110BF" w14:paraId="0D8FC324" w14:textId="50A662F8">
                  <w:pPr>
                    <w:jc w:val="center"/>
                    <w:rPr>
                      <w:color w:val="000000"/>
                    </w:rPr>
                  </w:pPr>
                  <w:r>
                    <w:rPr>
                      <w:color w:val="000000"/>
                    </w:rPr>
                    <w:t>9.0</w:t>
                  </w:r>
                  <w:r w:rsidRPr="009C65CA" w:rsidR="009C65CA">
                    <w:rPr>
                      <w:color w:val="000000"/>
                    </w:rPr>
                    <w:t>%</w:t>
                  </w:r>
                </w:p>
              </w:tc>
            </w:tr>
            <w:tr w:rsidR="00C4164D" w:rsidTr="009C65CA" w14:paraId="4376DFBA" w14:textId="77777777">
              <w:trPr>
                <w:trHeight w:val="624"/>
              </w:trPr>
              <w:tc>
                <w:tcPr>
                  <w:tcW w:w="1596" w:type="dxa"/>
                  <w:tcBorders>
                    <w:top w:val="nil"/>
                    <w:left w:val="single" w:color="auto" w:sz="4" w:space="0"/>
                    <w:bottom w:val="single" w:color="auto" w:sz="4" w:space="0"/>
                    <w:right w:val="single" w:color="auto" w:sz="4" w:space="0"/>
                  </w:tcBorders>
                  <w:vAlign w:val="bottom"/>
                  <w:hideMark/>
                </w:tcPr>
                <w:p w:rsidR="00C4164D" w:rsidP="00C4164D" w:rsidRDefault="00C4164D" w14:paraId="68077624" w14:textId="77777777">
                  <w:pPr>
                    <w:jc w:val="center"/>
                    <w:rPr>
                      <w:color w:val="000000"/>
                    </w:rPr>
                  </w:pPr>
                  <w:r>
                    <w:rPr>
                      <w:color w:val="000000"/>
                    </w:rPr>
                    <w:lastRenderedPageBreak/>
                    <w:t>PD</w:t>
                  </w:r>
                </w:p>
              </w:tc>
              <w:tc>
                <w:tcPr>
                  <w:tcW w:w="4410" w:type="dxa"/>
                  <w:tcBorders>
                    <w:top w:val="nil"/>
                    <w:left w:val="nil"/>
                    <w:bottom w:val="single" w:color="auto" w:sz="4" w:space="0"/>
                    <w:right w:val="single" w:color="auto" w:sz="4" w:space="0"/>
                  </w:tcBorders>
                  <w:vAlign w:val="bottom"/>
                  <w:hideMark/>
                </w:tcPr>
                <w:p w:rsidR="00C4164D" w:rsidP="00C4164D" w:rsidRDefault="00C4164D" w14:paraId="014C34AC" w14:textId="77777777">
                  <w:pPr>
                    <w:rPr>
                      <w:color w:val="000000"/>
                    </w:rPr>
                  </w:pPr>
                  <w:r>
                    <w:rPr>
                      <w:color w:val="000000"/>
                    </w:rPr>
                    <w:t>Work related to the Proposed Decision where not easily allocated to specific issue areas</w:t>
                  </w:r>
                </w:p>
              </w:tc>
              <w:tc>
                <w:tcPr>
                  <w:tcW w:w="1774" w:type="dxa"/>
                  <w:tcBorders>
                    <w:top w:val="nil"/>
                    <w:left w:val="nil"/>
                    <w:bottom w:val="single" w:color="auto" w:sz="4" w:space="0"/>
                    <w:right w:val="single" w:color="auto" w:sz="4" w:space="0"/>
                  </w:tcBorders>
                  <w:vAlign w:val="bottom"/>
                  <w:hideMark/>
                </w:tcPr>
                <w:p w:rsidRPr="009C65CA" w:rsidR="00C4164D" w:rsidP="009C65CA" w:rsidRDefault="009C65CA" w14:paraId="638D6C0B" w14:textId="25E8DB85">
                  <w:pPr>
                    <w:jc w:val="center"/>
                    <w:rPr>
                      <w:color w:val="000000"/>
                    </w:rPr>
                  </w:pPr>
                  <w:r w:rsidRPr="009C65CA">
                    <w:rPr>
                      <w:color w:val="000000"/>
                    </w:rPr>
                    <w:t>2.</w:t>
                  </w:r>
                  <w:r w:rsidR="005110BF">
                    <w:rPr>
                      <w:color w:val="000000"/>
                    </w:rPr>
                    <w:t>3</w:t>
                  </w:r>
                  <w:r w:rsidRPr="009C65CA">
                    <w:rPr>
                      <w:color w:val="000000"/>
                    </w:rPr>
                    <w:t>%</w:t>
                  </w:r>
                </w:p>
              </w:tc>
            </w:tr>
          </w:tbl>
          <w:p w:rsidRPr="007F3D00" w:rsidR="00B80E2F" w:rsidP="00902BA2" w:rsidRDefault="00B80E2F" w14:paraId="6BF54B09" w14:textId="77777777">
            <w:pPr>
              <w:tabs>
                <w:tab w:val="left" w:pos="1260"/>
              </w:tabs>
              <w:spacing w:before="120"/>
              <w:rPr>
                <w:color w:val="000000"/>
              </w:rPr>
            </w:pPr>
          </w:p>
        </w:tc>
        <w:tc>
          <w:tcPr>
            <w:tcW w:w="2250" w:type="dxa"/>
          </w:tcPr>
          <w:p w:rsidRPr="007F3D00" w:rsidR="00B80E2F" w:rsidP="00902BA2" w:rsidRDefault="00FD13D2" w14:paraId="3C4C8524" w14:textId="321D1A99">
            <w:pPr>
              <w:spacing w:before="120"/>
              <w:rPr>
                <w:color w:val="000000"/>
              </w:rPr>
            </w:pPr>
            <w:r>
              <w:rPr>
                <w:color w:val="000000"/>
              </w:rPr>
              <w:lastRenderedPageBreak/>
              <w:t xml:space="preserve">Noted. The allocation of time percentage adds up to 99.9% due to rounding. </w:t>
            </w:r>
          </w:p>
        </w:tc>
      </w:tr>
    </w:tbl>
    <w:p w:rsidR="00625B30" w:rsidP="00625B30" w:rsidRDefault="00625B30" w14:paraId="49CCDC12" w14:textId="77777777"/>
    <w:p w:rsidRPr="00981C3E" w:rsidR="00625B30" w:rsidP="00981C3E" w:rsidRDefault="00981C3E" w14:paraId="3E08D4A7" w14:textId="4C45960F">
      <w:pPr>
        <w:keepNext/>
        <w:spacing w:before="60" w:after="240"/>
        <w:ind w:left="360"/>
        <w:rPr>
          <w:b/>
          <w:color w:val="000000"/>
        </w:rPr>
      </w:pPr>
      <w:r>
        <w:rPr>
          <w:b/>
          <w:color w:val="000000"/>
        </w:rPr>
        <w:t xml:space="preserve">B. </w:t>
      </w:r>
      <w:r w:rsidRPr="00981C3E" w:rsidR="00625B30">
        <w:rPr>
          <w:b/>
          <w:color w:val="000000"/>
        </w:rPr>
        <w:t xml:space="preserve">Specific </w:t>
      </w:r>
      <w:proofErr w:type="gramStart"/>
      <w:r w:rsidRPr="00981C3E" w:rsidR="00625B30">
        <w:rPr>
          <w:b/>
          <w:color w:val="000000"/>
        </w:rPr>
        <w:t>Claim:*</w:t>
      </w:r>
      <w:proofErr w:type="gramEnd"/>
    </w:p>
    <w:tbl>
      <w:tblPr>
        <w:tblW w:w="11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345"/>
        <w:gridCol w:w="965"/>
        <w:gridCol w:w="382"/>
        <w:gridCol w:w="543"/>
        <w:gridCol w:w="1080"/>
        <w:gridCol w:w="286"/>
        <w:gridCol w:w="1154"/>
        <w:gridCol w:w="1137"/>
        <w:gridCol w:w="286"/>
        <w:gridCol w:w="955"/>
        <w:gridCol w:w="1146"/>
        <w:gridCol w:w="1881"/>
      </w:tblGrid>
      <w:tr w:rsidRPr="007F620E" w:rsidR="00625B30" w:rsidTr="0036244B" w14:paraId="492CE97E" w14:textId="77777777">
        <w:trPr>
          <w:tblHeader/>
          <w:jc w:val="center"/>
        </w:trPr>
        <w:tc>
          <w:tcPr>
            <w:tcW w:w="7178" w:type="dxa"/>
            <w:gridSpan w:val="9"/>
            <w:tcBorders>
              <w:bottom w:val="single" w:color="auto" w:sz="4" w:space="0"/>
              <w:right w:val="single" w:color="auto" w:sz="24" w:space="0"/>
            </w:tcBorders>
          </w:tcPr>
          <w:p w:rsidRPr="007F620E" w:rsidR="00625B30" w:rsidP="00625B30" w:rsidRDefault="00625B30" w14:paraId="09235B0D" w14:textId="77777777">
            <w:pPr>
              <w:keepNext/>
              <w:keepLines/>
              <w:spacing w:before="60" w:after="60"/>
              <w:jc w:val="center"/>
              <w:rPr>
                <w:b/>
                <w:smallCaps/>
                <w:color w:val="000000"/>
              </w:rPr>
            </w:pPr>
            <w:r w:rsidRPr="007F620E">
              <w:rPr>
                <w:b/>
                <w:smallCaps/>
                <w:color w:val="000000"/>
              </w:rPr>
              <w:t>Claimed</w:t>
            </w:r>
          </w:p>
        </w:tc>
        <w:tc>
          <w:tcPr>
            <w:tcW w:w="3982" w:type="dxa"/>
            <w:gridSpan w:val="3"/>
            <w:tcBorders>
              <w:left w:val="single" w:color="auto" w:sz="24" w:space="0"/>
              <w:bottom w:val="single" w:color="auto" w:sz="4" w:space="0"/>
            </w:tcBorders>
          </w:tcPr>
          <w:p w:rsidRPr="007F620E" w:rsidR="00625B30" w:rsidP="00625B30" w:rsidRDefault="00625B30" w14:paraId="2C68BD24" w14:textId="77777777">
            <w:pPr>
              <w:keepNext/>
              <w:keepLines/>
              <w:spacing w:before="60" w:after="60"/>
              <w:jc w:val="center"/>
              <w:rPr>
                <w:b/>
                <w:smallCaps/>
                <w:color w:val="000000"/>
              </w:rPr>
            </w:pPr>
            <w:r w:rsidRPr="007F620E">
              <w:rPr>
                <w:b/>
                <w:smallCaps/>
                <w:color w:val="000000"/>
              </w:rPr>
              <w:t>CPUC Award</w:t>
            </w:r>
          </w:p>
        </w:tc>
      </w:tr>
      <w:tr w:rsidRPr="007F620E" w:rsidR="00625B30" w:rsidTr="0036244B" w14:paraId="1C6AD318" w14:textId="77777777">
        <w:trPr>
          <w:jc w:val="center"/>
        </w:trPr>
        <w:tc>
          <w:tcPr>
            <w:tcW w:w="11160" w:type="dxa"/>
            <w:gridSpan w:val="12"/>
            <w:tcBorders>
              <w:top w:val="single" w:color="auto" w:sz="4" w:space="0"/>
              <w:left w:val="single" w:color="auto" w:sz="4" w:space="0"/>
              <w:bottom w:val="single" w:color="auto" w:sz="4" w:space="0"/>
              <w:right w:val="single" w:color="auto" w:sz="4" w:space="0"/>
            </w:tcBorders>
            <w:shd w:val="clear" w:color="auto" w:fill="E6E6E6"/>
          </w:tcPr>
          <w:p w:rsidRPr="007F620E" w:rsidR="00625B30" w:rsidP="00625B30" w:rsidRDefault="00625B30" w14:paraId="5B065153" w14:textId="77777777">
            <w:pPr>
              <w:keepNext/>
              <w:keepLines/>
              <w:spacing w:before="60" w:after="60"/>
              <w:jc w:val="center"/>
              <w:rPr>
                <w:b/>
              </w:rPr>
            </w:pPr>
            <w:r w:rsidRPr="007F620E">
              <w:rPr>
                <w:b/>
              </w:rPr>
              <w:t>ATTORNEY, EXPERT, AND ADVOCATE FEES</w:t>
            </w:r>
          </w:p>
        </w:tc>
      </w:tr>
      <w:tr w:rsidRPr="00260518" w:rsidR="00625B30" w:rsidTr="001D366B" w14:paraId="7383E4C0" w14:textId="77777777">
        <w:trPr>
          <w:jc w:val="center"/>
        </w:trPr>
        <w:tc>
          <w:tcPr>
            <w:tcW w:w="1345" w:type="dxa"/>
            <w:tcBorders>
              <w:top w:val="single" w:color="auto" w:sz="4" w:space="0"/>
              <w:bottom w:val="single" w:color="auto" w:sz="4" w:space="0"/>
            </w:tcBorders>
            <w:vAlign w:val="bottom"/>
          </w:tcPr>
          <w:p w:rsidRPr="00260518" w:rsidR="00625B30" w:rsidP="00625B30" w:rsidRDefault="00625B30" w14:paraId="4930EF73" w14:textId="77777777">
            <w:pPr>
              <w:keepNext/>
              <w:keepLines/>
              <w:spacing w:before="60" w:after="60"/>
              <w:jc w:val="center"/>
              <w:rPr>
                <w:b/>
                <w:color w:val="000000"/>
                <w:sz w:val="22"/>
                <w:szCs w:val="22"/>
              </w:rPr>
            </w:pPr>
            <w:r w:rsidRPr="00260518">
              <w:rPr>
                <w:b/>
                <w:color w:val="000000"/>
                <w:sz w:val="22"/>
                <w:szCs w:val="22"/>
              </w:rPr>
              <w:t>Item</w:t>
            </w:r>
          </w:p>
        </w:tc>
        <w:tc>
          <w:tcPr>
            <w:tcW w:w="965" w:type="dxa"/>
            <w:tcBorders>
              <w:top w:val="single" w:color="auto" w:sz="4" w:space="0"/>
              <w:bottom w:val="single" w:color="auto" w:sz="4" w:space="0"/>
            </w:tcBorders>
            <w:vAlign w:val="bottom"/>
          </w:tcPr>
          <w:p w:rsidRPr="00260518" w:rsidR="00625B30" w:rsidP="00625B30" w:rsidRDefault="00625B30" w14:paraId="755EDD4D" w14:textId="77777777">
            <w:pPr>
              <w:keepNext/>
              <w:keepLines/>
              <w:spacing w:before="60" w:after="60"/>
              <w:jc w:val="center"/>
              <w:rPr>
                <w:b/>
                <w:color w:val="000000"/>
                <w:sz w:val="22"/>
                <w:szCs w:val="22"/>
              </w:rPr>
            </w:pPr>
            <w:r w:rsidRPr="00260518">
              <w:rPr>
                <w:b/>
                <w:color w:val="000000"/>
                <w:sz w:val="22"/>
                <w:szCs w:val="22"/>
              </w:rPr>
              <w:t>Year</w:t>
            </w:r>
          </w:p>
        </w:tc>
        <w:tc>
          <w:tcPr>
            <w:tcW w:w="925" w:type="dxa"/>
            <w:gridSpan w:val="2"/>
            <w:tcBorders>
              <w:top w:val="single" w:color="auto" w:sz="4" w:space="0"/>
              <w:bottom w:val="single" w:color="auto" w:sz="4" w:space="0"/>
            </w:tcBorders>
            <w:vAlign w:val="bottom"/>
          </w:tcPr>
          <w:p w:rsidRPr="00260518" w:rsidR="00625B30" w:rsidP="00625B30" w:rsidRDefault="00625B30" w14:paraId="535CBA99" w14:textId="77777777">
            <w:pPr>
              <w:keepNext/>
              <w:keepLines/>
              <w:spacing w:before="60" w:after="60"/>
              <w:jc w:val="center"/>
              <w:rPr>
                <w:b/>
                <w:color w:val="000000"/>
                <w:sz w:val="22"/>
                <w:szCs w:val="22"/>
              </w:rPr>
            </w:pPr>
            <w:r w:rsidRPr="00260518">
              <w:rPr>
                <w:b/>
                <w:color w:val="000000"/>
                <w:sz w:val="22"/>
                <w:szCs w:val="22"/>
              </w:rPr>
              <w:t>Hours</w:t>
            </w:r>
          </w:p>
        </w:tc>
        <w:tc>
          <w:tcPr>
            <w:tcW w:w="1080" w:type="dxa"/>
            <w:tcBorders>
              <w:top w:val="single" w:color="auto" w:sz="4" w:space="0"/>
              <w:bottom w:val="single" w:color="auto" w:sz="4" w:space="0"/>
            </w:tcBorders>
            <w:vAlign w:val="bottom"/>
          </w:tcPr>
          <w:p w:rsidRPr="00260518" w:rsidR="00625B30" w:rsidP="00625B30" w:rsidRDefault="00625B30" w14:paraId="276F6184" w14:textId="77777777">
            <w:pPr>
              <w:keepNext/>
              <w:keepLines/>
              <w:spacing w:before="60" w:after="60"/>
              <w:jc w:val="center"/>
              <w:rPr>
                <w:b/>
                <w:color w:val="000000"/>
                <w:sz w:val="22"/>
                <w:szCs w:val="22"/>
              </w:rPr>
            </w:pPr>
            <w:r w:rsidRPr="00260518">
              <w:rPr>
                <w:b/>
                <w:color w:val="000000"/>
                <w:sz w:val="22"/>
                <w:szCs w:val="22"/>
              </w:rPr>
              <w:t>Rate $</w:t>
            </w:r>
          </w:p>
        </w:tc>
        <w:tc>
          <w:tcPr>
            <w:tcW w:w="1440" w:type="dxa"/>
            <w:gridSpan w:val="2"/>
            <w:tcBorders>
              <w:top w:val="single" w:color="auto" w:sz="4" w:space="0"/>
              <w:bottom w:val="single" w:color="auto" w:sz="4" w:space="0"/>
              <w:right w:val="single" w:color="auto" w:sz="4" w:space="0"/>
            </w:tcBorders>
            <w:vAlign w:val="bottom"/>
          </w:tcPr>
          <w:p w:rsidRPr="00260518" w:rsidR="00625B30" w:rsidP="00625B30" w:rsidRDefault="00625B30" w14:paraId="76FCC7F0" w14:textId="77777777">
            <w:pPr>
              <w:keepNext/>
              <w:keepLines/>
              <w:spacing w:before="60" w:after="60"/>
              <w:jc w:val="center"/>
              <w:rPr>
                <w:b/>
                <w:color w:val="000000"/>
                <w:sz w:val="22"/>
                <w:szCs w:val="22"/>
              </w:rPr>
            </w:pPr>
            <w:r w:rsidRPr="00260518">
              <w:rPr>
                <w:b/>
                <w:color w:val="000000"/>
                <w:sz w:val="22"/>
                <w:szCs w:val="22"/>
              </w:rPr>
              <w:t>Basis for Rate*</w:t>
            </w:r>
          </w:p>
        </w:tc>
        <w:tc>
          <w:tcPr>
            <w:tcW w:w="1423" w:type="dxa"/>
            <w:gridSpan w:val="2"/>
            <w:tcBorders>
              <w:top w:val="single" w:color="auto" w:sz="4" w:space="0"/>
              <w:left w:val="single" w:color="auto" w:sz="4" w:space="0"/>
              <w:bottom w:val="single" w:color="auto" w:sz="4" w:space="0"/>
              <w:right w:val="single" w:color="auto" w:sz="24" w:space="0"/>
            </w:tcBorders>
            <w:vAlign w:val="bottom"/>
          </w:tcPr>
          <w:p w:rsidRPr="00260518" w:rsidR="00625B30" w:rsidP="00625B30" w:rsidRDefault="00625B30" w14:paraId="5A8F2ADC" w14:textId="77777777">
            <w:pPr>
              <w:keepNext/>
              <w:keepLines/>
              <w:spacing w:before="60" w:after="60"/>
              <w:jc w:val="center"/>
              <w:rPr>
                <w:b/>
                <w:color w:val="000000"/>
                <w:sz w:val="22"/>
                <w:szCs w:val="22"/>
              </w:rPr>
            </w:pPr>
            <w:r w:rsidRPr="00260518">
              <w:rPr>
                <w:b/>
                <w:color w:val="000000"/>
                <w:sz w:val="22"/>
                <w:szCs w:val="22"/>
              </w:rPr>
              <w:t>Total $</w:t>
            </w:r>
          </w:p>
        </w:tc>
        <w:tc>
          <w:tcPr>
            <w:tcW w:w="955" w:type="dxa"/>
            <w:tcBorders>
              <w:top w:val="single" w:color="auto" w:sz="4" w:space="0"/>
              <w:left w:val="single" w:color="auto" w:sz="4" w:space="0"/>
            </w:tcBorders>
            <w:vAlign w:val="bottom"/>
          </w:tcPr>
          <w:p w:rsidRPr="00260518" w:rsidR="00625B30" w:rsidP="00625B30" w:rsidRDefault="00625B30" w14:paraId="416C30AF" w14:textId="77777777">
            <w:pPr>
              <w:keepNext/>
              <w:keepLines/>
              <w:spacing w:before="60" w:after="60"/>
              <w:jc w:val="center"/>
              <w:rPr>
                <w:b/>
                <w:color w:val="000000"/>
                <w:sz w:val="22"/>
                <w:szCs w:val="22"/>
              </w:rPr>
            </w:pPr>
            <w:r w:rsidRPr="00260518">
              <w:rPr>
                <w:b/>
                <w:color w:val="000000"/>
                <w:sz w:val="22"/>
                <w:szCs w:val="22"/>
              </w:rPr>
              <w:t>Hours</w:t>
            </w:r>
          </w:p>
        </w:tc>
        <w:tc>
          <w:tcPr>
            <w:tcW w:w="1146" w:type="dxa"/>
            <w:tcBorders>
              <w:top w:val="single" w:color="auto" w:sz="4" w:space="0"/>
            </w:tcBorders>
            <w:vAlign w:val="bottom"/>
          </w:tcPr>
          <w:p w:rsidRPr="00260518" w:rsidR="00625B30" w:rsidP="00625B30" w:rsidRDefault="00625B30" w14:paraId="6E947F97" w14:textId="77777777">
            <w:pPr>
              <w:keepNext/>
              <w:keepLines/>
              <w:spacing w:before="60" w:after="60"/>
              <w:jc w:val="center"/>
              <w:rPr>
                <w:b/>
                <w:color w:val="000000"/>
                <w:sz w:val="22"/>
                <w:szCs w:val="22"/>
              </w:rPr>
            </w:pPr>
            <w:r w:rsidRPr="00260518">
              <w:rPr>
                <w:b/>
                <w:color w:val="000000"/>
                <w:sz w:val="22"/>
                <w:szCs w:val="22"/>
              </w:rPr>
              <w:t>Rate $</w:t>
            </w:r>
          </w:p>
        </w:tc>
        <w:tc>
          <w:tcPr>
            <w:tcW w:w="1881" w:type="dxa"/>
            <w:tcBorders>
              <w:top w:val="single" w:color="auto" w:sz="4" w:space="0"/>
            </w:tcBorders>
            <w:vAlign w:val="bottom"/>
          </w:tcPr>
          <w:p w:rsidRPr="00260518" w:rsidR="00625B30" w:rsidP="00625B30" w:rsidRDefault="00625B30" w14:paraId="51EFB1C6" w14:textId="77777777">
            <w:pPr>
              <w:keepNext/>
              <w:keepLines/>
              <w:spacing w:before="60" w:after="60"/>
              <w:jc w:val="center"/>
              <w:rPr>
                <w:b/>
                <w:color w:val="000000"/>
                <w:sz w:val="22"/>
                <w:szCs w:val="22"/>
              </w:rPr>
            </w:pPr>
            <w:r w:rsidRPr="00260518">
              <w:rPr>
                <w:b/>
                <w:color w:val="000000"/>
                <w:sz w:val="22"/>
                <w:szCs w:val="22"/>
              </w:rPr>
              <w:t>Total $</w:t>
            </w:r>
          </w:p>
        </w:tc>
      </w:tr>
      <w:tr w:rsidRPr="007F620E" w:rsidR="00C517E6" w:rsidTr="0094188D" w14:paraId="16E12E1D" w14:textId="77777777">
        <w:trPr>
          <w:jc w:val="center"/>
        </w:trPr>
        <w:tc>
          <w:tcPr>
            <w:tcW w:w="1345" w:type="dxa"/>
          </w:tcPr>
          <w:p w:rsidRPr="001D366B" w:rsidR="00C517E6" w:rsidP="00C517E6" w:rsidRDefault="00C517E6" w14:paraId="25EB8234" w14:textId="13D38FB1">
            <w:pPr>
              <w:spacing w:before="60" w:after="60"/>
              <w:rPr>
                <w:color w:val="000000"/>
              </w:rPr>
            </w:pPr>
            <w:r w:rsidRPr="001D366B">
              <w:rPr>
                <w:color w:val="000000"/>
              </w:rPr>
              <w:t>David Cheng, TURN Attorney</w:t>
            </w:r>
          </w:p>
        </w:tc>
        <w:tc>
          <w:tcPr>
            <w:tcW w:w="965" w:type="dxa"/>
          </w:tcPr>
          <w:p w:rsidRPr="001D366B" w:rsidR="00C517E6" w:rsidP="00C517E6" w:rsidRDefault="00C517E6" w14:paraId="56EEC04F" w14:textId="4176F2F6">
            <w:pPr>
              <w:spacing w:before="60" w:after="60"/>
              <w:rPr>
                <w:color w:val="000000"/>
              </w:rPr>
            </w:pPr>
            <w:r w:rsidRPr="001D366B">
              <w:rPr>
                <w:color w:val="000000"/>
              </w:rPr>
              <w:t>2024</w:t>
            </w:r>
          </w:p>
        </w:tc>
        <w:tc>
          <w:tcPr>
            <w:tcW w:w="925" w:type="dxa"/>
            <w:gridSpan w:val="2"/>
          </w:tcPr>
          <w:p w:rsidRPr="001D366B" w:rsidR="00C517E6" w:rsidP="00C517E6" w:rsidRDefault="00C517E6" w14:paraId="2054721D" w14:textId="28749991">
            <w:pPr>
              <w:spacing w:before="60" w:after="60"/>
              <w:rPr>
                <w:color w:val="000000"/>
              </w:rPr>
            </w:pPr>
            <w:r w:rsidRPr="001D366B">
              <w:rPr>
                <w:color w:val="000000"/>
              </w:rPr>
              <w:t xml:space="preserve">71.00 </w:t>
            </w:r>
          </w:p>
        </w:tc>
        <w:tc>
          <w:tcPr>
            <w:tcW w:w="1080" w:type="dxa"/>
          </w:tcPr>
          <w:p w:rsidRPr="001D366B" w:rsidR="00C517E6" w:rsidP="00C517E6" w:rsidRDefault="00C517E6" w14:paraId="62AA8D16" w14:textId="253880AE">
            <w:pPr>
              <w:spacing w:before="60" w:after="60"/>
              <w:rPr>
                <w:color w:val="000000"/>
              </w:rPr>
            </w:pPr>
            <w:r w:rsidRPr="001D366B">
              <w:rPr>
                <w:color w:val="000000"/>
              </w:rPr>
              <w:t xml:space="preserve">$525.00 </w:t>
            </w:r>
          </w:p>
        </w:tc>
        <w:tc>
          <w:tcPr>
            <w:tcW w:w="1440" w:type="dxa"/>
            <w:gridSpan w:val="2"/>
            <w:tcBorders>
              <w:right w:val="single" w:color="auto" w:sz="4" w:space="0"/>
            </w:tcBorders>
          </w:tcPr>
          <w:p w:rsidRPr="001D366B" w:rsidR="00C517E6" w:rsidP="00C517E6" w:rsidRDefault="00C517E6" w14:paraId="43F37AEE" w14:textId="2A8053F9">
            <w:pPr>
              <w:spacing w:before="60" w:after="60"/>
              <w:rPr>
                <w:color w:val="000000"/>
              </w:rPr>
            </w:pPr>
            <w:r w:rsidRPr="001D366B">
              <w:rPr>
                <w:color w:val="000000"/>
              </w:rPr>
              <w:t>D.24-07-030</w:t>
            </w:r>
          </w:p>
        </w:tc>
        <w:tc>
          <w:tcPr>
            <w:tcW w:w="1423" w:type="dxa"/>
            <w:gridSpan w:val="2"/>
            <w:tcBorders>
              <w:top w:val="single" w:color="auto" w:sz="4" w:space="0"/>
              <w:left w:val="single" w:color="auto" w:sz="4" w:space="0"/>
              <w:bottom w:val="single" w:color="auto" w:sz="4" w:space="0"/>
              <w:right w:val="single" w:color="auto" w:sz="24" w:space="0"/>
            </w:tcBorders>
          </w:tcPr>
          <w:p w:rsidRPr="001D366B" w:rsidR="00C517E6" w:rsidP="00C517E6" w:rsidRDefault="00C517E6" w14:paraId="6EBFD28D" w14:textId="742692A7">
            <w:pPr>
              <w:spacing w:before="60" w:after="60"/>
              <w:rPr>
                <w:color w:val="000000"/>
              </w:rPr>
            </w:pPr>
            <w:r w:rsidRPr="001D366B">
              <w:rPr>
                <w:color w:val="000000"/>
              </w:rPr>
              <w:t xml:space="preserve"> $37,275.00 </w:t>
            </w:r>
          </w:p>
        </w:tc>
        <w:tc>
          <w:tcPr>
            <w:tcW w:w="955" w:type="dxa"/>
            <w:tcBorders>
              <w:left w:val="single" w:color="auto" w:sz="4" w:space="0"/>
            </w:tcBorders>
          </w:tcPr>
          <w:p w:rsidRPr="007F620E" w:rsidR="00C517E6" w:rsidP="00CA4DDE" w:rsidRDefault="00C517E6" w14:paraId="4FFD601C" w14:textId="41B2C5C4">
            <w:pPr>
              <w:spacing w:before="60" w:after="60"/>
              <w:jc w:val="center"/>
              <w:rPr>
                <w:color w:val="000000"/>
              </w:rPr>
            </w:pPr>
            <w:r>
              <w:rPr>
                <w:color w:val="000000"/>
              </w:rPr>
              <w:t>71.00</w:t>
            </w:r>
          </w:p>
        </w:tc>
        <w:tc>
          <w:tcPr>
            <w:tcW w:w="1146" w:type="dxa"/>
          </w:tcPr>
          <w:p w:rsidRPr="007F620E" w:rsidR="00C517E6" w:rsidP="00CA4DDE" w:rsidRDefault="00C517E6" w14:paraId="465CF9CC" w14:textId="7A564A56">
            <w:pPr>
              <w:spacing w:before="60" w:after="60"/>
              <w:jc w:val="center"/>
              <w:rPr>
                <w:color w:val="000000"/>
              </w:rPr>
            </w:pPr>
            <w:r>
              <w:rPr>
                <w:color w:val="000000"/>
              </w:rPr>
              <w:t>$525.00 [1]</w:t>
            </w:r>
          </w:p>
        </w:tc>
        <w:tc>
          <w:tcPr>
            <w:tcW w:w="1881" w:type="dxa"/>
          </w:tcPr>
          <w:p w:rsidRPr="007F620E" w:rsidR="00C517E6" w:rsidP="00C517E6" w:rsidRDefault="00C517E6" w14:paraId="77E7E8F6" w14:textId="50AC233D">
            <w:pPr>
              <w:spacing w:before="60" w:after="60"/>
              <w:jc w:val="right"/>
              <w:rPr>
                <w:color w:val="000000"/>
              </w:rPr>
            </w:pPr>
            <w:r w:rsidRPr="00CD5009">
              <w:t xml:space="preserve"> $37,275.00 </w:t>
            </w:r>
          </w:p>
        </w:tc>
      </w:tr>
      <w:tr w:rsidRPr="007F620E" w:rsidR="00C517E6" w:rsidTr="0094188D" w14:paraId="0DB0F52D" w14:textId="77777777">
        <w:trPr>
          <w:jc w:val="center"/>
        </w:trPr>
        <w:tc>
          <w:tcPr>
            <w:tcW w:w="1345" w:type="dxa"/>
          </w:tcPr>
          <w:p w:rsidRPr="001D366B" w:rsidR="00C517E6" w:rsidP="00C517E6" w:rsidRDefault="00C517E6" w14:paraId="57B2D50B" w14:textId="34432B99">
            <w:pPr>
              <w:spacing w:before="60" w:after="60"/>
              <w:rPr>
                <w:color w:val="000000"/>
              </w:rPr>
            </w:pPr>
            <w:r w:rsidRPr="001D366B">
              <w:rPr>
                <w:color w:val="000000"/>
              </w:rPr>
              <w:t>David Cheng, TURN Attorney</w:t>
            </w:r>
          </w:p>
        </w:tc>
        <w:tc>
          <w:tcPr>
            <w:tcW w:w="965" w:type="dxa"/>
          </w:tcPr>
          <w:p w:rsidRPr="001D366B" w:rsidR="00C517E6" w:rsidP="00C517E6" w:rsidRDefault="00C517E6" w14:paraId="02A3DDEB" w14:textId="79C07ECF">
            <w:pPr>
              <w:spacing w:before="60" w:after="60"/>
              <w:rPr>
                <w:color w:val="000000"/>
              </w:rPr>
            </w:pPr>
            <w:r w:rsidRPr="001D366B">
              <w:rPr>
                <w:color w:val="000000"/>
              </w:rPr>
              <w:t>2025</w:t>
            </w:r>
          </w:p>
        </w:tc>
        <w:tc>
          <w:tcPr>
            <w:tcW w:w="925" w:type="dxa"/>
            <w:gridSpan w:val="2"/>
          </w:tcPr>
          <w:p w:rsidRPr="001D366B" w:rsidR="00C517E6" w:rsidP="00C517E6" w:rsidRDefault="00C517E6" w14:paraId="63852875" w14:textId="12357921">
            <w:pPr>
              <w:spacing w:before="60" w:after="60"/>
              <w:rPr>
                <w:color w:val="000000"/>
              </w:rPr>
            </w:pPr>
            <w:r w:rsidRPr="001D366B">
              <w:rPr>
                <w:color w:val="000000"/>
              </w:rPr>
              <w:t xml:space="preserve">4.75 </w:t>
            </w:r>
          </w:p>
        </w:tc>
        <w:tc>
          <w:tcPr>
            <w:tcW w:w="1080" w:type="dxa"/>
          </w:tcPr>
          <w:p w:rsidRPr="001D366B" w:rsidR="00C517E6" w:rsidP="00C517E6" w:rsidRDefault="00C517E6" w14:paraId="066DF12B" w14:textId="5340C547">
            <w:pPr>
              <w:spacing w:before="60" w:after="60"/>
              <w:rPr>
                <w:color w:val="000000"/>
              </w:rPr>
            </w:pPr>
            <w:r w:rsidRPr="001D366B">
              <w:rPr>
                <w:color w:val="000000"/>
              </w:rPr>
              <w:t xml:space="preserve">$570.00 </w:t>
            </w:r>
          </w:p>
        </w:tc>
        <w:tc>
          <w:tcPr>
            <w:tcW w:w="1440" w:type="dxa"/>
            <w:gridSpan w:val="2"/>
            <w:tcBorders>
              <w:right w:val="single" w:color="auto" w:sz="4" w:space="0"/>
            </w:tcBorders>
          </w:tcPr>
          <w:p w:rsidRPr="001D366B" w:rsidR="00C517E6" w:rsidP="00C517E6" w:rsidRDefault="00C517E6" w14:paraId="42C9AEE0" w14:textId="1AA98177">
            <w:pPr>
              <w:spacing w:before="60" w:after="60"/>
              <w:rPr>
                <w:color w:val="000000"/>
              </w:rPr>
            </w:pPr>
            <w:r w:rsidRPr="001D366B">
              <w:rPr>
                <w:color w:val="000000"/>
              </w:rPr>
              <w:t>D.25-06-064</w:t>
            </w:r>
          </w:p>
        </w:tc>
        <w:tc>
          <w:tcPr>
            <w:tcW w:w="1423" w:type="dxa"/>
            <w:gridSpan w:val="2"/>
            <w:tcBorders>
              <w:top w:val="single" w:color="auto" w:sz="4" w:space="0"/>
              <w:left w:val="single" w:color="auto" w:sz="4" w:space="0"/>
              <w:bottom w:val="single" w:color="auto" w:sz="4" w:space="0"/>
              <w:right w:val="single" w:color="auto" w:sz="24" w:space="0"/>
            </w:tcBorders>
          </w:tcPr>
          <w:p w:rsidRPr="001D366B" w:rsidR="00C517E6" w:rsidP="00C517E6" w:rsidRDefault="00C517E6" w14:paraId="4E46A050" w14:textId="4A2BF605">
            <w:pPr>
              <w:spacing w:before="60" w:after="60"/>
              <w:rPr>
                <w:color w:val="000000"/>
              </w:rPr>
            </w:pPr>
            <w:r w:rsidRPr="001D366B">
              <w:rPr>
                <w:color w:val="000000"/>
              </w:rPr>
              <w:t xml:space="preserve"> $2,707.50 </w:t>
            </w:r>
          </w:p>
        </w:tc>
        <w:tc>
          <w:tcPr>
            <w:tcW w:w="955" w:type="dxa"/>
            <w:tcBorders>
              <w:left w:val="single" w:color="auto" w:sz="4" w:space="0"/>
            </w:tcBorders>
          </w:tcPr>
          <w:p w:rsidRPr="007F620E" w:rsidR="00C517E6" w:rsidP="00CA4DDE" w:rsidRDefault="00C517E6" w14:paraId="06810E35" w14:textId="296A435C">
            <w:pPr>
              <w:spacing w:before="60" w:after="60"/>
              <w:jc w:val="center"/>
              <w:rPr>
                <w:color w:val="000000"/>
              </w:rPr>
            </w:pPr>
            <w:r>
              <w:rPr>
                <w:color w:val="000000"/>
              </w:rPr>
              <w:t>4.75</w:t>
            </w:r>
          </w:p>
        </w:tc>
        <w:tc>
          <w:tcPr>
            <w:tcW w:w="1146" w:type="dxa"/>
          </w:tcPr>
          <w:p w:rsidRPr="007F620E" w:rsidR="00C517E6" w:rsidP="00CA4DDE" w:rsidRDefault="00C517E6" w14:paraId="200AC55F" w14:textId="21E23DFA">
            <w:pPr>
              <w:spacing w:before="60" w:after="60"/>
              <w:jc w:val="center"/>
              <w:rPr>
                <w:color w:val="000000"/>
              </w:rPr>
            </w:pPr>
            <w:r>
              <w:rPr>
                <w:color w:val="000000"/>
              </w:rPr>
              <w:t>$570.00</w:t>
            </w:r>
          </w:p>
        </w:tc>
        <w:tc>
          <w:tcPr>
            <w:tcW w:w="1881" w:type="dxa"/>
          </w:tcPr>
          <w:p w:rsidRPr="007F620E" w:rsidR="00C517E6" w:rsidP="00C517E6" w:rsidRDefault="00C517E6" w14:paraId="5842973D" w14:textId="76D0B8AB">
            <w:pPr>
              <w:spacing w:before="60" w:after="60"/>
              <w:jc w:val="right"/>
              <w:rPr>
                <w:color w:val="000000"/>
              </w:rPr>
            </w:pPr>
            <w:r w:rsidRPr="00CD5009">
              <w:t xml:space="preserve"> $2,707.50 </w:t>
            </w:r>
          </w:p>
        </w:tc>
      </w:tr>
      <w:tr w:rsidRPr="007F620E" w:rsidR="00C517E6" w:rsidTr="0094188D" w14:paraId="6EA8AF38" w14:textId="77777777">
        <w:trPr>
          <w:jc w:val="center"/>
        </w:trPr>
        <w:tc>
          <w:tcPr>
            <w:tcW w:w="1345" w:type="dxa"/>
          </w:tcPr>
          <w:p w:rsidRPr="001D366B" w:rsidR="00C517E6" w:rsidP="00C517E6" w:rsidRDefault="00C517E6" w14:paraId="3F0508E7" w14:textId="7CABD143">
            <w:pPr>
              <w:spacing w:before="60" w:after="60"/>
              <w:rPr>
                <w:color w:val="000000"/>
              </w:rPr>
            </w:pPr>
            <w:r w:rsidRPr="001D366B">
              <w:rPr>
                <w:color w:val="000000"/>
              </w:rPr>
              <w:t>Hayley Goodson, TURN Attorney</w:t>
            </w:r>
          </w:p>
        </w:tc>
        <w:tc>
          <w:tcPr>
            <w:tcW w:w="965" w:type="dxa"/>
          </w:tcPr>
          <w:p w:rsidRPr="001D366B" w:rsidR="00C517E6" w:rsidP="00C517E6" w:rsidRDefault="00C517E6" w14:paraId="3F33592A" w14:textId="6687EE79">
            <w:pPr>
              <w:spacing w:before="60" w:after="60"/>
              <w:rPr>
                <w:color w:val="000000"/>
              </w:rPr>
            </w:pPr>
            <w:r w:rsidRPr="001D366B">
              <w:rPr>
                <w:color w:val="000000"/>
              </w:rPr>
              <w:t>2024</w:t>
            </w:r>
          </w:p>
        </w:tc>
        <w:tc>
          <w:tcPr>
            <w:tcW w:w="925" w:type="dxa"/>
            <w:gridSpan w:val="2"/>
          </w:tcPr>
          <w:p w:rsidRPr="001D366B" w:rsidR="00C517E6" w:rsidP="00C517E6" w:rsidRDefault="00C517E6" w14:paraId="2FF07288" w14:textId="66BA6366">
            <w:pPr>
              <w:spacing w:before="60" w:after="60"/>
              <w:rPr>
                <w:color w:val="000000"/>
              </w:rPr>
            </w:pPr>
            <w:r w:rsidRPr="001D366B">
              <w:rPr>
                <w:color w:val="000000"/>
              </w:rPr>
              <w:t xml:space="preserve">4.75 </w:t>
            </w:r>
          </w:p>
        </w:tc>
        <w:tc>
          <w:tcPr>
            <w:tcW w:w="1080" w:type="dxa"/>
          </w:tcPr>
          <w:p w:rsidRPr="001D366B" w:rsidR="00C517E6" w:rsidP="00C517E6" w:rsidRDefault="00C517E6" w14:paraId="36668FD1" w14:textId="00CA3AFC">
            <w:pPr>
              <w:spacing w:before="60" w:after="60"/>
              <w:rPr>
                <w:color w:val="000000"/>
              </w:rPr>
            </w:pPr>
            <w:r w:rsidRPr="001D366B">
              <w:rPr>
                <w:color w:val="000000"/>
              </w:rPr>
              <w:t xml:space="preserve">$680.00 </w:t>
            </w:r>
          </w:p>
        </w:tc>
        <w:tc>
          <w:tcPr>
            <w:tcW w:w="1440" w:type="dxa"/>
            <w:gridSpan w:val="2"/>
            <w:tcBorders>
              <w:right w:val="single" w:color="auto" w:sz="4" w:space="0"/>
            </w:tcBorders>
          </w:tcPr>
          <w:p w:rsidRPr="001D366B" w:rsidR="00C517E6" w:rsidP="00C517E6" w:rsidRDefault="00C517E6" w14:paraId="17A8188C" w14:textId="6945948F">
            <w:pPr>
              <w:spacing w:before="60" w:after="60"/>
              <w:rPr>
                <w:color w:val="000000"/>
              </w:rPr>
            </w:pPr>
            <w:r w:rsidRPr="001D366B">
              <w:rPr>
                <w:color w:val="000000"/>
              </w:rPr>
              <w:t>D.24-09-017</w:t>
            </w:r>
          </w:p>
        </w:tc>
        <w:tc>
          <w:tcPr>
            <w:tcW w:w="1423" w:type="dxa"/>
            <w:gridSpan w:val="2"/>
            <w:tcBorders>
              <w:top w:val="single" w:color="auto" w:sz="4" w:space="0"/>
              <w:left w:val="single" w:color="auto" w:sz="4" w:space="0"/>
              <w:bottom w:val="single" w:color="auto" w:sz="4" w:space="0"/>
              <w:right w:val="single" w:color="auto" w:sz="24" w:space="0"/>
            </w:tcBorders>
          </w:tcPr>
          <w:p w:rsidRPr="001D366B" w:rsidR="00C517E6" w:rsidP="00C517E6" w:rsidRDefault="00C517E6" w14:paraId="26C2819C" w14:textId="377B723A">
            <w:pPr>
              <w:spacing w:before="60" w:after="60"/>
              <w:rPr>
                <w:color w:val="000000"/>
              </w:rPr>
            </w:pPr>
            <w:r w:rsidRPr="001D366B">
              <w:rPr>
                <w:color w:val="000000"/>
              </w:rPr>
              <w:t xml:space="preserve"> $3,230.00 </w:t>
            </w:r>
          </w:p>
        </w:tc>
        <w:tc>
          <w:tcPr>
            <w:tcW w:w="955" w:type="dxa"/>
            <w:tcBorders>
              <w:left w:val="single" w:color="auto" w:sz="4" w:space="0"/>
            </w:tcBorders>
          </w:tcPr>
          <w:p w:rsidRPr="007F620E" w:rsidR="00C517E6" w:rsidP="00CA4DDE" w:rsidRDefault="00C517E6" w14:paraId="0EF313D8" w14:textId="66F36AE4">
            <w:pPr>
              <w:spacing w:before="60" w:after="60"/>
              <w:jc w:val="center"/>
              <w:rPr>
                <w:color w:val="000000"/>
              </w:rPr>
            </w:pPr>
            <w:r>
              <w:rPr>
                <w:color w:val="000000"/>
              </w:rPr>
              <w:t>4.75</w:t>
            </w:r>
          </w:p>
        </w:tc>
        <w:tc>
          <w:tcPr>
            <w:tcW w:w="1146" w:type="dxa"/>
          </w:tcPr>
          <w:p w:rsidRPr="007F620E" w:rsidR="00C517E6" w:rsidP="00CA4DDE" w:rsidRDefault="00C517E6" w14:paraId="1E4CF49A" w14:textId="6475ACE7">
            <w:pPr>
              <w:spacing w:before="60" w:after="60"/>
              <w:jc w:val="center"/>
              <w:rPr>
                <w:color w:val="000000"/>
              </w:rPr>
            </w:pPr>
            <w:r>
              <w:rPr>
                <w:color w:val="000000"/>
              </w:rPr>
              <w:t>$680.00</w:t>
            </w:r>
          </w:p>
        </w:tc>
        <w:tc>
          <w:tcPr>
            <w:tcW w:w="1881" w:type="dxa"/>
          </w:tcPr>
          <w:p w:rsidRPr="007F620E" w:rsidR="00C517E6" w:rsidP="00C517E6" w:rsidRDefault="00C517E6" w14:paraId="09507517" w14:textId="40496C56">
            <w:pPr>
              <w:spacing w:before="60" w:after="60"/>
              <w:jc w:val="right"/>
              <w:rPr>
                <w:color w:val="000000"/>
              </w:rPr>
            </w:pPr>
            <w:r w:rsidRPr="00CD5009">
              <w:t xml:space="preserve"> $3,230.00 </w:t>
            </w:r>
          </w:p>
        </w:tc>
      </w:tr>
      <w:tr w:rsidRPr="007F620E" w:rsidR="00C517E6" w:rsidTr="0094188D" w14:paraId="0EEED71B" w14:textId="77777777">
        <w:trPr>
          <w:jc w:val="center"/>
        </w:trPr>
        <w:tc>
          <w:tcPr>
            <w:tcW w:w="1345" w:type="dxa"/>
          </w:tcPr>
          <w:p w:rsidRPr="001D366B" w:rsidR="00C517E6" w:rsidP="00C517E6" w:rsidRDefault="00C517E6" w14:paraId="7ED4A37B" w14:textId="036C4F37">
            <w:pPr>
              <w:spacing w:before="60" w:after="60"/>
              <w:rPr>
                <w:color w:val="000000"/>
              </w:rPr>
            </w:pPr>
            <w:r w:rsidRPr="001D366B">
              <w:rPr>
                <w:color w:val="000000"/>
              </w:rPr>
              <w:t>Jennifer Dowdell, TURN Energy Policy Expert</w:t>
            </w:r>
          </w:p>
        </w:tc>
        <w:tc>
          <w:tcPr>
            <w:tcW w:w="965" w:type="dxa"/>
          </w:tcPr>
          <w:p w:rsidRPr="001D366B" w:rsidR="00C517E6" w:rsidP="00C517E6" w:rsidRDefault="00C517E6" w14:paraId="3E909B9F" w14:textId="6D27A427">
            <w:pPr>
              <w:spacing w:before="60" w:after="60"/>
              <w:rPr>
                <w:color w:val="000000"/>
              </w:rPr>
            </w:pPr>
            <w:r w:rsidRPr="001D366B">
              <w:rPr>
                <w:color w:val="000000"/>
              </w:rPr>
              <w:t>2024</w:t>
            </w:r>
          </w:p>
        </w:tc>
        <w:tc>
          <w:tcPr>
            <w:tcW w:w="925" w:type="dxa"/>
            <w:gridSpan w:val="2"/>
          </w:tcPr>
          <w:p w:rsidRPr="001D366B" w:rsidR="00C517E6" w:rsidP="00C517E6" w:rsidRDefault="00C517E6" w14:paraId="4CAEF901" w14:textId="4730A308">
            <w:pPr>
              <w:spacing w:before="60" w:after="60"/>
              <w:rPr>
                <w:color w:val="000000"/>
              </w:rPr>
            </w:pPr>
            <w:r w:rsidRPr="001D366B">
              <w:rPr>
                <w:color w:val="000000"/>
              </w:rPr>
              <w:t xml:space="preserve">123.50 </w:t>
            </w:r>
          </w:p>
        </w:tc>
        <w:tc>
          <w:tcPr>
            <w:tcW w:w="1080" w:type="dxa"/>
          </w:tcPr>
          <w:p w:rsidRPr="001D366B" w:rsidR="00C517E6" w:rsidP="00C517E6" w:rsidRDefault="00C517E6" w14:paraId="6F9377D2" w14:textId="11906654">
            <w:pPr>
              <w:spacing w:before="60" w:after="60"/>
              <w:rPr>
                <w:color w:val="000000"/>
              </w:rPr>
            </w:pPr>
            <w:r w:rsidRPr="001D366B">
              <w:rPr>
                <w:color w:val="000000"/>
              </w:rPr>
              <w:t xml:space="preserve">$495.00 </w:t>
            </w:r>
          </w:p>
        </w:tc>
        <w:tc>
          <w:tcPr>
            <w:tcW w:w="1440" w:type="dxa"/>
            <w:gridSpan w:val="2"/>
            <w:tcBorders>
              <w:right w:val="single" w:color="auto" w:sz="4" w:space="0"/>
            </w:tcBorders>
          </w:tcPr>
          <w:p w:rsidRPr="001D366B" w:rsidR="00C517E6" w:rsidP="00C517E6" w:rsidRDefault="00C517E6" w14:paraId="0768B90A" w14:textId="6BB258D0">
            <w:pPr>
              <w:spacing w:before="60" w:after="60"/>
              <w:rPr>
                <w:color w:val="000000"/>
              </w:rPr>
            </w:pPr>
            <w:r w:rsidRPr="001D366B">
              <w:rPr>
                <w:color w:val="000000"/>
              </w:rPr>
              <w:t>D.25-01-053</w:t>
            </w:r>
          </w:p>
        </w:tc>
        <w:tc>
          <w:tcPr>
            <w:tcW w:w="1423" w:type="dxa"/>
            <w:gridSpan w:val="2"/>
            <w:tcBorders>
              <w:top w:val="single" w:color="auto" w:sz="4" w:space="0"/>
              <w:left w:val="single" w:color="auto" w:sz="4" w:space="0"/>
              <w:bottom w:val="single" w:color="auto" w:sz="4" w:space="0"/>
              <w:right w:val="single" w:color="auto" w:sz="24" w:space="0"/>
            </w:tcBorders>
          </w:tcPr>
          <w:p w:rsidRPr="001D366B" w:rsidR="00C517E6" w:rsidP="00C517E6" w:rsidRDefault="00C517E6" w14:paraId="578F70F3" w14:textId="3816B2C4">
            <w:pPr>
              <w:spacing w:before="60" w:after="60"/>
              <w:rPr>
                <w:color w:val="000000"/>
              </w:rPr>
            </w:pPr>
            <w:r w:rsidRPr="001D366B">
              <w:rPr>
                <w:color w:val="000000"/>
              </w:rPr>
              <w:t xml:space="preserve"> $</w:t>
            </w:r>
            <w:r>
              <w:rPr>
                <w:color w:val="000000"/>
              </w:rPr>
              <w:t>6</w:t>
            </w:r>
            <w:r w:rsidRPr="001D366B">
              <w:rPr>
                <w:color w:val="000000"/>
              </w:rPr>
              <w:t xml:space="preserve">1,132.50 </w:t>
            </w:r>
          </w:p>
        </w:tc>
        <w:tc>
          <w:tcPr>
            <w:tcW w:w="955" w:type="dxa"/>
            <w:tcBorders>
              <w:left w:val="single" w:color="auto" w:sz="4" w:space="0"/>
            </w:tcBorders>
          </w:tcPr>
          <w:p w:rsidRPr="007F620E" w:rsidR="00C517E6" w:rsidP="00CA4DDE" w:rsidRDefault="00C517E6" w14:paraId="34ECFC96" w14:textId="6E183CCF">
            <w:pPr>
              <w:spacing w:before="60" w:after="60"/>
              <w:jc w:val="center"/>
              <w:rPr>
                <w:color w:val="000000"/>
              </w:rPr>
            </w:pPr>
            <w:r>
              <w:rPr>
                <w:color w:val="000000"/>
              </w:rPr>
              <w:t>123.50</w:t>
            </w:r>
          </w:p>
        </w:tc>
        <w:tc>
          <w:tcPr>
            <w:tcW w:w="1146" w:type="dxa"/>
          </w:tcPr>
          <w:p w:rsidRPr="007F620E" w:rsidR="00C517E6" w:rsidP="00CA4DDE" w:rsidRDefault="00C517E6" w14:paraId="02A2C5F6" w14:textId="53AD69CE">
            <w:pPr>
              <w:spacing w:before="60" w:after="60"/>
              <w:jc w:val="center"/>
              <w:rPr>
                <w:color w:val="000000"/>
              </w:rPr>
            </w:pPr>
            <w:r>
              <w:rPr>
                <w:color w:val="000000"/>
              </w:rPr>
              <w:t>$495.00</w:t>
            </w:r>
          </w:p>
        </w:tc>
        <w:tc>
          <w:tcPr>
            <w:tcW w:w="1881" w:type="dxa"/>
          </w:tcPr>
          <w:p w:rsidRPr="007F620E" w:rsidR="00C517E6" w:rsidP="00C517E6" w:rsidRDefault="00C517E6" w14:paraId="39911C13" w14:textId="5BCDEE97">
            <w:pPr>
              <w:spacing w:before="60" w:after="60"/>
              <w:jc w:val="right"/>
              <w:rPr>
                <w:color w:val="000000"/>
              </w:rPr>
            </w:pPr>
            <w:r w:rsidRPr="00CD5009">
              <w:t xml:space="preserve"> $61,132.50 </w:t>
            </w:r>
          </w:p>
        </w:tc>
      </w:tr>
      <w:tr w:rsidRPr="007F620E" w:rsidR="00C517E6" w:rsidTr="0094188D" w14:paraId="02007E8B" w14:textId="77777777">
        <w:trPr>
          <w:jc w:val="center"/>
        </w:trPr>
        <w:tc>
          <w:tcPr>
            <w:tcW w:w="1345" w:type="dxa"/>
          </w:tcPr>
          <w:p w:rsidRPr="001D366B" w:rsidR="00C517E6" w:rsidP="00C517E6" w:rsidRDefault="00C517E6" w14:paraId="603D0961" w14:textId="580BB5A9">
            <w:pPr>
              <w:spacing w:before="60" w:after="60"/>
              <w:rPr>
                <w:color w:val="000000"/>
              </w:rPr>
            </w:pPr>
            <w:r w:rsidRPr="001D366B">
              <w:rPr>
                <w:color w:val="000000"/>
              </w:rPr>
              <w:t>Robert Finkelstein, TURN General Counsel</w:t>
            </w:r>
          </w:p>
        </w:tc>
        <w:tc>
          <w:tcPr>
            <w:tcW w:w="965" w:type="dxa"/>
          </w:tcPr>
          <w:p w:rsidRPr="001D366B" w:rsidR="00C517E6" w:rsidP="00C517E6" w:rsidRDefault="00C517E6" w14:paraId="209DAD66" w14:textId="766B2353">
            <w:pPr>
              <w:spacing w:before="60" w:after="60"/>
              <w:rPr>
                <w:color w:val="000000"/>
              </w:rPr>
            </w:pPr>
            <w:r w:rsidRPr="001D366B">
              <w:rPr>
                <w:color w:val="000000"/>
              </w:rPr>
              <w:t>2024</w:t>
            </w:r>
          </w:p>
        </w:tc>
        <w:tc>
          <w:tcPr>
            <w:tcW w:w="925" w:type="dxa"/>
            <w:gridSpan w:val="2"/>
          </w:tcPr>
          <w:p w:rsidRPr="001D366B" w:rsidR="00C517E6" w:rsidP="00C517E6" w:rsidRDefault="00C517E6" w14:paraId="5C11EFC1" w14:textId="7D29C9D3">
            <w:pPr>
              <w:spacing w:before="60" w:after="60"/>
              <w:rPr>
                <w:color w:val="000000"/>
              </w:rPr>
            </w:pPr>
            <w:r w:rsidRPr="001D366B">
              <w:rPr>
                <w:color w:val="000000"/>
              </w:rPr>
              <w:t xml:space="preserve">2.25 </w:t>
            </w:r>
          </w:p>
        </w:tc>
        <w:tc>
          <w:tcPr>
            <w:tcW w:w="1080" w:type="dxa"/>
          </w:tcPr>
          <w:p w:rsidRPr="001D366B" w:rsidR="00C517E6" w:rsidP="00C517E6" w:rsidRDefault="00C517E6" w14:paraId="3727A6D1" w14:textId="40A3FBBE">
            <w:pPr>
              <w:spacing w:before="60" w:after="60"/>
              <w:rPr>
                <w:color w:val="000000"/>
              </w:rPr>
            </w:pPr>
            <w:r w:rsidRPr="001D366B">
              <w:rPr>
                <w:color w:val="000000"/>
              </w:rPr>
              <w:t xml:space="preserve">$875.00 </w:t>
            </w:r>
          </w:p>
        </w:tc>
        <w:tc>
          <w:tcPr>
            <w:tcW w:w="1440" w:type="dxa"/>
            <w:gridSpan w:val="2"/>
            <w:tcBorders>
              <w:right w:val="single" w:color="auto" w:sz="4" w:space="0"/>
            </w:tcBorders>
          </w:tcPr>
          <w:p w:rsidRPr="001D366B" w:rsidR="00C517E6" w:rsidP="00C517E6" w:rsidRDefault="00C517E6" w14:paraId="07376264" w14:textId="31E76766">
            <w:pPr>
              <w:spacing w:before="60" w:after="60"/>
              <w:rPr>
                <w:color w:val="000000"/>
              </w:rPr>
            </w:pPr>
            <w:r w:rsidRPr="001D366B">
              <w:rPr>
                <w:color w:val="000000"/>
              </w:rPr>
              <w:t>D.24-07-033</w:t>
            </w:r>
          </w:p>
        </w:tc>
        <w:tc>
          <w:tcPr>
            <w:tcW w:w="1423" w:type="dxa"/>
            <w:gridSpan w:val="2"/>
            <w:tcBorders>
              <w:top w:val="single" w:color="auto" w:sz="4" w:space="0"/>
              <w:left w:val="single" w:color="auto" w:sz="4" w:space="0"/>
              <w:bottom w:val="single" w:color="auto" w:sz="4" w:space="0"/>
              <w:right w:val="single" w:color="auto" w:sz="24" w:space="0"/>
            </w:tcBorders>
          </w:tcPr>
          <w:p w:rsidRPr="001D366B" w:rsidR="00C517E6" w:rsidP="00C517E6" w:rsidRDefault="00C517E6" w14:paraId="72C64E39" w14:textId="6247A35F">
            <w:pPr>
              <w:spacing w:before="60" w:after="60"/>
              <w:rPr>
                <w:color w:val="000000"/>
              </w:rPr>
            </w:pPr>
            <w:r w:rsidRPr="001D366B">
              <w:rPr>
                <w:color w:val="000000"/>
              </w:rPr>
              <w:t xml:space="preserve"> $1,968.75 </w:t>
            </w:r>
          </w:p>
        </w:tc>
        <w:tc>
          <w:tcPr>
            <w:tcW w:w="955" w:type="dxa"/>
            <w:tcBorders>
              <w:left w:val="single" w:color="auto" w:sz="4" w:space="0"/>
            </w:tcBorders>
          </w:tcPr>
          <w:p w:rsidRPr="007F620E" w:rsidR="00C517E6" w:rsidP="00CA4DDE" w:rsidRDefault="00C517E6" w14:paraId="3CB3CDE1" w14:textId="38D4B9A1">
            <w:pPr>
              <w:spacing w:before="60" w:after="60"/>
              <w:jc w:val="center"/>
              <w:rPr>
                <w:color w:val="000000"/>
              </w:rPr>
            </w:pPr>
            <w:r>
              <w:rPr>
                <w:color w:val="000000"/>
              </w:rPr>
              <w:t>2.25</w:t>
            </w:r>
          </w:p>
        </w:tc>
        <w:tc>
          <w:tcPr>
            <w:tcW w:w="1146" w:type="dxa"/>
          </w:tcPr>
          <w:p w:rsidRPr="007F620E" w:rsidR="00C517E6" w:rsidP="00CA4DDE" w:rsidRDefault="00C517E6" w14:paraId="58EDFD3D" w14:textId="0C3A18D5">
            <w:pPr>
              <w:spacing w:before="60" w:after="60"/>
              <w:jc w:val="center"/>
              <w:rPr>
                <w:color w:val="000000"/>
              </w:rPr>
            </w:pPr>
            <w:r>
              <w:rPr>
                <w:color w:val="000000"/>
              </w:rPr>
              <w:t>$875.00</w:t>
            </w:r>
            <w:r w:rsidR="00C50E1A">
              <w:rPr>
                <w:color w:val="000000"/>
              </w:rPr>
              <w:t xml:space="preserve"> [2]</w:t>
            </w:r>
          </w:p>
        </w:tc>
        <w:tc>
          <w:tcPr>
            <w:tcW w:w="1881" w:type="dxa"/>
          </w:tcPr>
          <w:p w:rsidRPr="007F620E" w:rsidR="00C517E6" w:rsidP="00C517E6" w:rsidRDefault="00C517E6" w14:paraId="3D18F875" w14:textId="0646FE69">
            <w:pPr>
              <w:spacing w:before="60" w:after="60"/>
              <w:jc w:val="right"/>
              <w:rPr>
                <w:color w:val="000000"/>
              </w:rPr>
            </w:pPr>
            <w:r w:rsidRPr="00CD5009">
              <w:t xml:space="preserve"> $1,968.75 </w:t>
            </w:r>
          </w:p>
        </w:tc>
      </w:tr>
      <w:tr w:rsidRPr="007F620E" w:rsidR="00C517E6" w:rsidTr="0094188D" w14:paraId="0BF84921" w14:textId="77777777">
        <w:trPr>
          <w:jc w:val="center"/>
        </w:trPr>
        <w:tc>
          <w:tcPr>
            <w:tcW w:w="1345" w:type="dxa"/>
          </w:tcPr>
          <w:p w:rsidRPr="001D366B" w:rsidR="00C517E6" w:rsidP="00C517E6" w:rsidRDefault="00C517E6" w14:paraId="58BA760B" w14:textId="6A1B07DB">
            <w:pPr>
              <w:spacing w:before="60" w:after="60"/>
              <w:rPr>
                <w:color w:val="000000"/>
              </w:rPr>
            </w:pPr>
            <w:r w:rsidRPr="001D366B">
              <w:rPr>
                <w:color w:val="000000"/>
              </w:rPr>
              <w:t>Thomas J. Long, TURN Director of Legal Strategy</w:t>
            </w:r>
          </w:p>
        </w:tc>
        <w:tc>
          <w:tcPr>
            <w:tcW w:w="965" w:type="dxa"/>
          </w:tcPr>
          <w:p w:rsidRPr="001D366B" w:rsidR="00C517E6" w:rsidP="00C517E6" w:rsidRDefault="00C517E6" w14:paraId="044F74C4" w14:textId="409DC007">
            <w:pPr>
              <w:spacing w:before="60" w:after="60"/>
              <w:rPr>
                <w:color w:val="000000"/>
              </w:rPr>
            </w:pPr>
            <w:r w:rsidRPr="001D366B">
              <w:rPr>
                <w:color w:val="000000"/>
              </w:rPr>
              <w:t>2024</w:t>
            </w:r>
          </w:p>
        </w:tc>
        <w:tc>
          <w:tcPr>
            <w:tcW w:w="925" w:type="dxa"/>
            <w:gridSpan w:val="2"/>
          </w:tcPr>
          <w:p w:rsidRPr="001D366B" w:rsidR="00C517E6" w:rsidP="00C517E6" w:rsidRDefault="00C517E6" w14:paraId="773F44D6" w14:textId="4B4A519D">
            <w:pPr>
              <w:spacing w:before="60" w:after="60"/>
              <w:rPr>
                <w:color w:val="000000"/>
              </w:rPr>
            </w:pPr>
            <w:r w:rsidRPr="001D366B">
              <w:rPr>
                <w:color w:val="000000"/>
              </w:rPr>
              <w:t xml:space="preserve">1.50 </w:t>
            </w:r>
          </w:p>
        </w:tc>
        <w:tc>
          <w:tcPr>
            <w:tcW w:w="1080" w:type="dxa"/>
          </w:tcPr>
          <w:p w:rsidRPr="001D366B" w:rsidR="00C517E6" w:rsidP="00C517E6" w:rsidRDefault="00C517E6" w14:paraId="5140CA71" w14:textId="6F790482">
            <w:pPr>
              <w:spacing w:before="60" w:after="60"/>
              <w:rPr>
                <w:color w:val="000000"/>
              </w:rPr>
            </w:pPr>
            <w:r w:rsidRPr="001D366B">
              <w:rPr>
                <w:color w:val="000000"/>
              </w:rPr>
              <w:t xml:space="preserve">$860.00 </w:t>
            </w:r>
          </w:p>
        </w:tc>
        <w:tc>
          <w:tcPr>
            <w:tcW w:w="1440" w:type="dxa"/>
            <w:gridSpan w:val="2"/>
            <w:tcBorders>
              <w:right w:val="single" w:color="auto" w:sz="4" w:space="0"/>
            </w:tcBorders>
          </w:tcPr>
          <w:p w:rsidRPr="001D366B" w:rsidR="00C517E6" w:rsidP="00C517E6" w:rsidRDefault="00C517E6" w14:paraId="3DA31EE7" w14:textId="1FBFDC55">
            <w:pPr>
              <w:spacing w:before="60" w:after="60"/>
              <w:rPr>
                <w:color w:val="000000"/>
              </w:rPr>
            </w:pPr>
            <w:r w:rsidRPr="001D366B">
              <w:rPr>
                <w:color w:val="000000"/>
              </w:rPr>
              <w:t>D.24-09-016</w:t>
            </w:r>
          </w:p>
        </w:tc>
        <w:tc>
          <w:tcPr>
            <w:tcW w:w="1423" w:type="dxa"/>
            <w:gridSpan w:val="2"/>
            <w:tcBorders>
              <w:top w:val="single" w:color="auto" w:sz="4" w:space="0"/>
              <w:left w:val="single" w:color="auto" w:sz="4" w:space="0"/>
              <w:bottom w:val="single" w:color="auto" w:sz="4" w:space="0"/>
              <w:right w:val="single" w:color="auto" w:sz="24" w:space="0"/>
            </w:tcBorders>
          </w:tcPr>
          <w:p w:rsidRPr="001D366B" w:rsidR="00C517E6" w:rsidP="00C517E6" w:rsidRDefault="00C517E6" w14:paraId="35E55331" w14:textId="7F6331F9">
            <w:pPr>
              <w:spacing w:before="60" w:after="60"/>
              <w:rPr>
                <w:color w:val="000000"/>
              </w:rPr>
            </w:pPr>
            <w:r w:rsidRPr="001D366B">
              <w:rPr>
                <w:color w:val="000000"/>
              </w:rPr>
              <w:t xml:space="preserve"> $1,290.00 </w:t>
            </w:r>
          </w:p>
        </w:tc>
        <w:tc>
          <w:tcPr>
            <w:tcW w:w="955" w:type="dxa"/>
            <w:tcBorders>
              <w:left w:val="single" w:color="auto" w:sz="4" w:space="0"/>
            </w:tcBorders>
          </w:tcPr>
          <w:p w:rsidRPr="007F620E" w:rsidR="00C517E6" w:rsidP="00CA4DDE" w:rsidRDefault="00C517E6" w14:paraId="39B55F62" w14:textId="2831D938">
            <w:pPr>
              <w:spacing w:before="60" w:after="60"/>
              <w:jc w:val="center"/>
              <w:rPr>
                <w:color w:val="000000"/>
              </w:rPr>
            </w:pPr>
            <w:r>
              <w:rPr>
                <w:color w:val="000000"/>
              </w:rPr>
              <w:t>1.50</w:t>
            </w:r>
          </w:p>
        </w:tc>
        <w:tc>
          <w:tcPr>
            <w:tcW w:w="1146" w:type="dxa"/>
          </w:tcPr>
          <w:p w:rsidRPr="007F620E" w:rsidR="00C517E6" w:rsidP="00CA4DDE" w:rsidRDefault="00C517E6" w14:paraId="7E19119B" w14:textId="14DE6C92">
            <w:pPr>
              <w:spacing w:before="60" w:after="60"/>
              <w:jc w:val="center"/>
              <w:rPr>
                <w:color w:val="000000"/>
              </w:rPr>
            </w:pPr>
            <w:r>
              <w:rPr>
                <w:color w:val="000000"/>
              </w:rPr>
              <w:t>$860.00</w:t>
            </w:r>
            <w:r w:rsidR="00C50E1A">
              <w:rPr>
                <w:color w:val="000000"/>
              </w:rPr>
              <w:t xml:space="preserve"> [3]</w:t>
            </w:r>
          </w:p>
        </w:tc>
        <w:tc>
          <w:tcPr>
            <w:tcW w:w="1881" w:type="dxa"/>
          </w:tcPr>
          <w:p w:rsidRPr="007F620E" w:rsidR="00C517E6" w:rsidP="00C517E6" w:rsidRDefault="00C517E6" w14:paraId="22C573CD" w14:textId="6C9AB6AB">
            <w:pPr>
              <w:spacing w:before="60" w:after="60"/>
              <w:jc w:val="right"/>
              <w:rPr>
                <w:color w:val="000000"/>
              </w:rPr>
            </w:pPr>
            <w:r w:rsidRPr="00CD5009">
              <w:t xml:space="preserve"> $1,290.00 </w:t>
            </w:r>
          </w:p>
        </w:tc>
      </w:tr>
      <w:tr w:rsidRPr="007F620E" w:rsidR="00625B30" w:rsidTr="0036244B" w14:paraId="2C59CE5E" w14:textId="77777777">
        <w:trPr>
          <w:jc w:val="center"/>
        </w:trPr>
        <w:tc>
          <w:tcPr>
            <w:tcW w:w="7178" w:type="dxa"/>
            <w:gridSpan w:val="9"/>
            <w:tcBorders>
              <w:bottom w:val="single" w:color="auto" w:sz="4" w:space="0"/>
              <w:right w:val="single" w:color="auto" w:sz="24" w:space="0"/>
            </w:tcBorders>
            <w:vAlign w:val="bottom"/>
          </w:tcPr>
          <w:p w:rsidRPr="00374FD1" w:rsidR="00625B30" w:rsidP="00625B30" w:rsidRDefault="00625B30" w14:paraId="4F1A3FAB" w14:textId="4BCE83DC">
            <w:pPr>
              <w:tabs>
                <w:tab w:val="left" w:pos="957"/>
              </w:tabs>
              <w:spacing w:before="60" w:after="60"/>
              <w:ind w:right="162"/>
              <w:jc w:val="right"/>
              <w:rPr>
                <w:b/>
                <w:i/>
                <w:color w:val="000000"/>
              </w:rPr>
            </w:pPr>
            <w:r w:rsidRPr="007F620E">
              <w:rPr>
                <w:b/>
                <w:i/>
                <w:color w:val="000000"/>
              </w:rPr>
              <w:t xml:space="preserve">Subtotal: </w:t>
            </w:r>
            <w:r w:rsidRPr="00081441" w:rsidR="00081441">
              <w:rPr>
                <w:b/>
                <w:i/>
                <w:color w:val="000000"/>
              </w:rPr>
              <w:t>$</w:t>
            </w:r>
            <w:r w:rsidRPr="001D366B" w:rsidR="001D366B">
              <w:rPr>
                <w:b/>
                <w:i/>
                <w:color w:val="000000"/>
              </w:rPr>
              <w:t>107,603.75</w:t>
            </w:r>
          </w:p>
        </w:tc>
        <w:tc>
          <w:tcPr>
            <w:tcW w:w="3982" w:type="dxa"/>
            <w:gridSpan w:val="3"/>
            <w:tcBorders>
              <w:left w:val="single" w:color="auto" w:sz="24" w:space="0"/>
              <w:bottom w:val="single" w:color="auto" w:sz="4" w:space="0"/>
            </w:tcBorders>
            <w:vAlign w:val="bottom"/>
          </w:tcPr>
          <w:p w:rsidRPr="003B07D3" w:rsidR="00625B30" w:rsidP="00625B30" w:rsidRDefault="00625B30" w14:paraId="3D09644E" w14:textId="0FDB5210">
            <w:pPr>
              <w:tabs>
                <w:tab w:val="left" w:pos="957"/>
              </w:tabs>
              <w:spacing w:before="60" w:after="60"/>
              <w:ind w:right="162"/>
              <w:jc w:val="right"/>
              <w:rPr>
                <w:i/>
                <w:iCs/>
                <w:color w:val="000000"/>
              </w:rPr>
            </w:pPr>
            <w:r w:rsidRPr="007F620E">
              <w:rPr>
                <w:b/>
                <w:i/>
                <w:color w:val="000000"/>
              </w:rPr>
              <w:t xml:space="preserve">Subtotal: </w:t>
            </w:r>
            <w:r w:rsidR="003B07D3">
              <w:rPr>
                <w:b/>
                <w:i/>
                <w:iCs/>
                <w:color w:val="000000"/>
              </w:rPr>
              <w:t>$107,603.75</w:t>
            </w:r>
          </w:p>
        </w:tc>
      </w:tr>
      <w:tr w:rsidRPr="007F620E" w:rsidR="00625B30" w:rsidTr="0036244B" w14:paraId="09A7632E" w14:textId="77777777">
        <w:trPr>
          <w:jc w:val="center"/>
        </w:trPr>
        <w:tc>
          <w:tcPr>
            <w:tcW w:w="11160" w:type="dxa"/>
            <w:gridSpan w:val="12"/>
            <w:tcBorders>
              <w:top w:val="single" w:color="auto" w:sz="4" w:space="0"/>
              <w:left w:val="single" w:color="auto" w:sz="4" w:space="0"/>
              <w:bottom w:val="single" w:color="auto" w:sz="4" w:space="0"/>
              <w:right w:val="single" w:color="auto" w:sz="4" w:space="0"/>
            </w:tcBorders>
            <w:shd w:val="clear" w:color="auto" w:fill="E6E6E6"/>
          </w:tcPr>
          <w:p w:rsidRPr="007F620E" w:rsidR="00625B30" w:rsidP="00625B30" w:rsidRDefault="00625B30" w14:paraId="1AF02425" w14:textId="77777777">
            <w:pPr>
              <w:keepNext/>
              <w:spacing w:before="60" w:after="60"/>
              <w:jc w:val="center"/>
              <w:rPr>
                <w:color w:val="000000"/>
              </w:rPr>
            </w:pPr>
            <w:r w:rsidRPr="007F620E">
              <w:rPr>
                <w:b/>
                <w:color w:val="000000"/>
              </w:rPr>
              <w:lastRenderedPageBreak/>
              <w:t xml:space="preserve">INTERVENOR COMPENSATION CLAIM </w:t>
            </w:r>
            <w:proofErr w:type="gramStart"/>
            <w:r w:rsidRPr="007F620E">
              <w:rPr>
                <w:b/>
                <w:color w:val="000000"/>
              </w:rPr>
              <w:t xml:space="preserve">PREPARATION </w:t>
            </w:r>
            <w:r w:rsidRPr="007F620E">
              <w:rPr>
                <w:b/>
                <w:smallCaps/>
                <w:color w:val="000000"/>
              </w:rPr>
              <w:t xml:space="preserve"> *</w:t>
            </w:r>
            <w:proofErr w:type="gramEnd"/>
            <w:r w:rsidRPr="007F620E">
              <w:rPr>
                <w:b/>
                <w:smallCaps/>
                <w:color w:val="000000"/>
              </w:rPr>
              <w:t>*</w:t>
            </w:r>
          </w:p>
        </w:tc>
      </w:tr>
      <w:tr w:rsidRPr="00260518" w:rsidR="00625B30" w:rsidTr="001D366B" w14:paraId="1907DE32" w14:textId="77777777">
        <w:trPr>
          <w:jc w:val="center"/>
        </w:trPr>
        <w:tc>
          <w:tcPr>
            <w:tcW w:w="1345" w:type="dxa"/>
            <w:tcBorders>
              <w:top w:val="single" w:color="auto" w:sz="4" w:space="0"/>
              <w:bottom w:val="single" w:color="auto" w:sz="4" w:space="0"/>
            </w:tcBorders>
            <w:vAlign w:val="bottom"/>
          </w:tcPr>
          <w:p w:rsidRPr="00260518" w:rsidR="00625B30" w:rsidP="00625B30" w:rsidRDefault="00625B30" w14:paraId="759496FA" w14:textId="77777777">
            <w:pPr>
              <w:keepNext/>
              <w:spacing w:before="60" w:after="60"/>
              <w:jc w:val="center"/>
              <w:rPr>
                <w:b/>
                <w:color w:val="000000"/>
                <w:sz w:val="22"/>
                <w:szCs w:val="22"/>
              </w:rPr>
            </w:pPr>
            <w:r w:rsidRPr="00260518">
              <w:rPr>
                <w:b/>
                <w:color w:val="000000"/>
                <w:sz w:val="22"/>
                <w:szCs w:val="22"/>
              </w:rPr>
              <w:t>Item</w:t>
            </w:r>
          </w:p>
        </w:tc>
        <w:tc>
          <w:tcPr>
            <w:tcW w:w="965" w:type="dxa"/>
            <w:tcBorders>
              <w:top w:val="single" w:color="auto" w:sz="4" w:space="0"/>
              <w:bottom w:val="single" w:color="auto" w:sz="4" w:space="0"/>
            </w:tcBorders>
            <w:vAlign w:val="bottom"/>
          </w:tcPr>
          <w:p w:rsidRPr="00260518" w:rsidR="00625B30" w:rsidP="00625B30" w:rsidRDefault="00625B30" w14:paraId="6070E8A8" w14:textId="77777777">
            <w:pPr>
              <w:keepNext/>
              <w:spacing w:before="60" w:after="60"/>
              <w:jc w:val="center"/>
              <w:rPr>
                <w:b/>
                <w:color w:val="000000"/>
                <w:sz w:val="22"/>
                <w:szCs w:val="22"/>
              </w:rPr>
            </w:pPr>
            <w:r w:rsidRPr="00260518">
              <w:rPr>
                <w:b/>
                <w:color w:val="000000"/>
                <w:sz w:val="22"/>
                <w:szCs w:val="22"/>
              </w:rPr>
              <w:t>Year</w:t>
            </w:r>
          </w:p>
        </w:tc>
        <w:tc>
          <w:tcPr>
            <w:tcW w:w="925" w:type="dxa"/>
            <w:gridSpan w:val="2"/>
            <w:tcBorders>
              <w:top w:val="single" w:color="auto" w:sz="4" w:space="0"/>
              <w:bottom w:val="single" w:color="auto" w:sz="4" w:space="0"/>
            </w:tcBorders>
            <w:vAlign w:val="bottom"/>
          </w:tcPr>
          <w:p w:rsidRPr="00260518" w:rsidR="00625B30" w:rsidP="00625B30" w:rsidRDefault="00625B30" w14:paraId="669A6E30" w14:textId="77777777">
            <w:pPr>
              <w:keepNext/>
              <w:spacing w:before="60" w:after="60"/>
              <w:jc w:val="center"/>
              <w:rPr>
                <w:b/>
                <w:color w:val="000000"/>
                <w:sz w:val="22"/>
                <w:szCs w:val="22"/>
              </w:rPr>
            </w:pPr>
            <w:r w:rsidRPr="00260518">
              <w:rPr>
                <w:b/>
                <w:color w:val="000000"/>
                <w:sz w:val="22"/>
                <w:szCs w:val="22"/>
              </w:rPr>
              <w:t>Hours</w:t>
            </w:r>
          </w:p>
        </w:tc>
        <w:tc>
          <w:tcPr>
            <w:tcW w:w="1080" w:type="dxa"/>
            <w:tcBorders>
              <w:top w:val="single" w:color="auto" w:sz="4" w:space="0"/>
              <w:bottom w:val="single" w:color="auto" w:sz="4" w:space="0"/>
            </w:tcBorders>
            <w:vAlign w:val="bottom"/>
          </w:tcPr>
          <w:p w:rsidRPr="00260518" w:rsidR="00625B30" w:rsidP="00625B30" w:rsidRDefault="00625B30" w14:paraId="4D821CA0" w14:textId="77777777">
            <w:pPr>
              <w:keepNext/>
              <w:spacing w:before="60" w:after="60"/>
              <w:jc w:val="center"/>
              <w:rPr>
                <w:b/>
                <w:color w:val="000000"/>
                <w:sz w:val="22"/>
                <w:szCs w:val="22"/>
              </w:rPr>
            </w:pPr>
            <w:r w:rsidRPr="00260518">
              <w:rPr>
                <w:b/>
                <w:color w:val="000000"/>
                <w:sz w:val="22"/>
                <w:szCs w:val="22"/>
              </w:rPr>
              <w:t>Rate $</w:t>
            </w:r>
          </w:p>
        </w:tc>
        <w:tc>
          <w:tcPr>
            <w:tcW w:w="1440" w:type="dxa"/>
            <w:gridSpan w:val="2"/>
            <w:tcBorders>
              <w:top w:val="single" w:color="auto" w:sz="4" w:space="0"/>
              <w:bottom w:val="single" w:color="auto" w:sz="4" w:space="0"/>
              <w:right w:val="single" w:color="auto" w:sz="4" w:space="0"/>
            </w:tcBorders>
            <w:vAlign w:val="bottom"/>
          </w:tcPr>
          <w:p w:rsidRPr="00260518" w:rsidR="00625B30" w:rsidP="00625B30" w:rsidRDefault="00625B30" w14:paraId="13910344" w14:textId="77777777">
            <w:pPr>
              <w:keepNext/>
              <w:spacing w:before="60" w:after="60"/>
              <w:jc w:val="center"/>
              <w:rPr>
                <w:b/>
                <w:color w:val="000000"/>
                <w:sz w:val="22"/>
                <w:szCs w:val="22"/>
              </w:rPr>
            </w:pPr>
            <w:r w:rsidRPr="00260518">
              <w:rPr>
                <w:b/>
                <w:color w:val="000000"/>
                <w:sz w:val="22"/>
                <w:szCs w:val="22"/>
              </w:rPr>
              <w:t>Basis for Rate*</w:t>
            </w:r>
          </w:p>
        </w:tc>
        <w:tc>
          <w:tcPr>
            <w:tcW w:w="1423" w:type="dxa"/>
            <w:gridSpan w:val="2"/>
            <w:tcBorders>
              <w:top w:val="single" w:color="auto" w:sz="4" w:space="0"/>
              <w:left w:val="single" w:color="auto" w:sz="4" w:space="0"/>
              <w:bottom w:val="single" w:color="auto" w:sz="4" w:space="0"/>
              <w:right w:val="single" w:color="auto" w:sz="24" w:space="0"/>
            </w:tcBorders>
            <w:vAlign w:val="bottom"/>
          </w:tcPr>
          <w:p w:rsidRPr="00260518" w:rsidR="00625B30" w:rsidP="00625B30" w:rsidRDefault="00625B30" w14:paraId="3D36F2B6" w14:textId="77777777">
            <w:pPr>
              <w:keepNext/>
              <w:spacing w:before="60" w:after="60"/>
              <w:jc w:val="center"/>
              <w:rPr>
                <w:b/>
                <w:color w:val="000000"/>
                <w:sz w:val="22"/>
                <w:szCs w:val="22"/>
              </w:rPr>
            </w:pPr>
            <w:r w:rsidRPr="00260518">
              <w:rPr>
                <w:b/>
                <w:color w:val="000000"/>
                <w:sz w:val="22"/>
                <w:szCs w:val="22"/>
              </w:rPr>
              <w:t>Total $</w:t>
            </w:r>
          </w:p>
        </w:tc>
        <w:tc>
          <w:tcPr>
            <w:tcW w:w="955" w:type="dxa"/>
            <w:tcBorders>
              <w:top w:val="single" w:color="auto" w:sz="4" w:space="0"/>
              <w:left w:val="single" w:color="auto" w:sz="4" w:space="0"/>
            </w:tcBorders>
            <w:vAlign w:val="bottom"/>
          </w:tcPr>
          <w:p w:rsidRPr="00260518" w:rsidR="00625B30" w:rsidP="00625B30" w:rsidRDefault="00625B30" w14:paraId="000A1400" w14:textId="77777777">
            <w:pPr>
              <w:keepNext/>
              <w:spacing w:before="60" w:after="60"/>
              <w:jc w:val="center"/>
              <w:rPr>
                <w:b/>
                <w:color w:val="000000"/>
                <w:sz w:val="22"/>
                <w:szCs w:val="22"/>
              </w:rPr>
            </w:pPr>
            <w:r w:rsidRPr="00260518">
              <w:rPr>
                <w:b/>
                <w:color w:val="000000"/>
                <w:sz w:val="22"/>
                <w:szCs w:val="22"/>
              </w:rPr>
              <w:t>Hours</w:t>
            </w:r>
          </w:p>
        </w:tc>
        <w:tc>
          <w:tcPr>
            <w:tcW w:w="1146" w:type="dxa"/>
            <w:tcBorders>
              <w:top w:val="single" w:color="auto" w:sz="4" w:space="0"/>
            </w:tcBorders>
            <w:vAlign w:val="bottom"/>
          </w:tcPr>
          <w:p w:rsidRPr="00260518" w:rsidR="00625B30" w:rsidP="00625B30" w:rsidRDefault="00625B30" w14:paraId="1DADFC59" w14:textId="77777777">
            <w:pPr>
              <w:keepNext/>
              <w:spacing w:before="60" w:after="60"/>
              <w:jc w:val="center"/>
              <w:rPr>
                <w:b/>
                <w:color w:val="000000"/>
                <w:sz w:val="22"/>
                <w:szCs w:val="22"/>
              </w:rPr>
            </w:pPr>
            <w:r w:rsidRPr="00260518">
              <w:rPr>
                <w:b/>
                <w:color w:val="000000"/>
                <w:sz w:val="22"/>
                <w:szCs w:val="22"/>
              </w:rPr>
              <w:t xml:space="preserve">Rate </w:t>
            </w:r>
            <w:r>
              <w:rPr>
                <w:b/>
                <w:color w:val="000000"/>
                <w:sz w:val="22"/>
                <w:szCs w:val="22"/>
              </w:rPr>
              <w:t>$</w:t>
            </w:r>
          </w:p>
        </w:tc>
        <w:tc>
          <w:tcPr>
            <w:tcW w:w="1881" w:type="dxa"/>
            <w:tcBorders>
              <w:top w:val="single" w:color="auto" w:sz="4" w:space="0"/>
            </w:tcBorders>
            <w:vAlign w:val="bottom"/>
          </w:tcPr>
          <w:p w:rsidRPr="00260518" w:rsidR="00625B30" w:rsidP="00625B30" w:rsidRDefault="00625B30" w14:paraId="36B6AC97" w14:textId="77777777">
            <w:pPr>
              <w:keepNext/>
              <w:spacing w:before="60" w:after="60"/>
              <w:jc w:val="center"/>
              <w:rPr>
                <w:b/>
                <w:color w:val="000000"/>
                <w:sz w:val="22"/>
                <w:szCs w:val="22"/>
              </w:rPr>
            </w:pPr>
            <w:r w:rsidRPr="00260518">
              <w:rPr>
                <w:b/>
                <w:color w:val="000000"/>
                <w:sz w:val="22"/>
                <w:szCs w:val="22"/>
              </w:rPr>
              <w:t>Total $</w:t>
            </w:r>
          </w:p>
        </w:tc>
      </w:tr>
      <w:tr w:rsidRPr="007F620E" w:rsidR="003B07D3" w:rsidTr="009F11CE" w14:paraId="480E051E" w14:textId="77777777">
        <w:trPr>
          <w:jc w:val="center"/>
        </w:trPr>
        <w:tc>
          <w:tcPr>
            <w:tcW w:w="1345" w:type="dxa"/>
          </w:tcPr>
          <w:p w:rsidRPr="001D366B" w:rsidR="003B07D3" w:rsidP="003B07D3" w:rsidRDefault="003B07D3" w14:paraId="5DE3E6A0" w14:textId="76D24E48">
            <w:pPr>
              <w:spacing w:before="60" w:after="60"/>
              <w:rPr>
                <w:color w:val="000000"/>
                <w:sz w:val="22"/>
                <w:szCs w:val="22"/>
              </w:rPr>
            </w:pPr>
            <w:r w:rsidRPr="001D366B">
              <w:rPr>
                <w:color w:val="000000"/>
              </w:rPr>
              <w:t>David Cheng, TURN Attorney</w:t>
            </w:r>
          </w:p>
        </w:tc>
        <w:tc>
          <w:tcPr>
            <w:tcW w:w="965" w:type="dxa"/>
          </w:tcPr>
          <w:p w:rsidRPr="001D366B" w:rsidR="003B07D3" w:rsidP="003B07D3" w:rsidRDefault="003B07D3" w14:paraId="0B136663" w14:textId="37B0265D">
            <w:pPr>
              <w:spacing w:before="60" w:after="60"/>
              <w:rPr>
                <w:color w:val="000000"/>
                <w:sz w:val="22"/>
                <w:szCs w:val="22"/>
              </w:rPr>
            </w:pPr>
            <w:r w:rsidRPr="001D366B">
              <w:rPr>
                <w:color w:val="000000"/>
              </w:rPr>
              <w:t>2024</w:t>
            </w:r>
          </w:p>
        </w:tc>
        <w:tc>
          <w:tcPr>
            <w:tcW w:w="925" w:type="dxa"/>
            <w:gridSpan w:val="2"/>
          </w:tcPr>
          <w:p w:rsidRPr="001D366B" w:rsidR="003B07D3" w:rsidP="003B07D3" w:rsidRDefault="003B07D3" w14:paraId="024BAAC7" w14:textId="0B8829CE">
            <w:pPr>
              <w:spacing w:before="60" w:after="60"/>
              <w:rPr>
                <w:color w:val="000000"/>
                <w:sz w:val="22"/>
                <w:szCs w:val="22"/>
              </w:rPr>
            </w:pPr>
            <w:r w:rsidRPr="001D366B">
              <w:rPr>
                <w:color w:val="000000"/>
              </w:rPr>
              <w:t xml:space="preserve">0.75 </w:t>
            </w:r>
          </w:p>
        </w:tc>
        <w:tc>
          <w:tcPr>
            <w:tcW w:w="1080" w:type="dxa"/>
          </w:tcPr>
          <w:p w:rsidRPr="001D366B" w:rsidR="003B07D3" w:rsidP="003B07D3" w:rsidRDefault="003B07D3" w14:paraId="2BE33A5C" w14:textId="65F156FF">
            <w:pPr>
              <w:spacing w:before="60" w:after="60"/>
              <w:rPr>
                <w:color w:val="000000"/>
                <w:sz w:val="22"/>
                <w:szCs w:val="22"/>
              </w:rPr>
            </w:pPr>
            <w:r w:rsidRPr="001D366B">
              <w:rPr>
                <w:color w:val="000000"/>
              </w:rPr>
              <w:t>$262.50</w:t>
            </w:r>
          </w:p>
        </w:tc>
        <w:tc>
          <w:tcPr>
            <w:tcW w:w="1440" w:type="dxa"/>
            <w:gridSpan w:val="2"/>
            <w:tcBorders>
              <w:right w:val="single" w:color="auto" w:sz="4" w:space="0"/>
            </w:tcBorders>
          </w:tcPr>
          <w:p w:rsidRPr="001D366B" w:rsidR="003B07D3" w:rsidP="003B07D3" w:rsidRDefault="003B07D3" w14:paraId="47429964" w14:textId="73709FB2">
            <w:pPr>
              <w:spacing w:before="60" w:after="60"/>
              <w:rPr>
                <w:color w:val="000000"/>
                <w:sz w:val="22"/>
                <w:szCs w:val="22"/>
              </w:rPr>
            </w:pPr>
            <w:r w:rsidRPr="001D366B">
              <w:rPr>
                <w:color w:val="000000"/>
              </w:rPr>
              <w:t>50% of Authorized 2024 Hourly Rate</w:t>
            </w:r>
          </w:p>
        </w:tc>
        <w:tc>
          <w:tcPr>
            <w:tcW w:w="1423" w:type="dxa"/>
            <w:gridSpan w:val="2"/>
            <w:tcBorders>
              <w:top w:val="single" w:color="auto" w:sz="4" w:space="0"/>
              <w:left w:val="single" w:color="auto" w:sz="4" w:space="0"/>
              <w:bottom w:val="single" w:color="auto" w:sz="4" w:space="0"/>
              <w:right w:val="single" w:color="auto" w:sz="24" w:space="0"/>
            </w:tcBorders>
          </w:tcPr>
          <w:p w:rsidRPr="001D366B" w:rsidR="003B07D3" w:rsidP="003B07D3" w:rsidRDefault="003B07D3" w14:paraId="6103641F" w14:textId="687B4457">
            <w:pPr>
              <w:spacing w:before="60" w:after="60"/>
              <w:rPr>
                <w:color w:val="000000"/>
                <w:sz w:val="22"/>
                <w:szCs w:val="22"/>
              </w:rPr>
            </w:pPr>
            <w:r w:rsidRPr="001D366B">
              <w:rPr>
                <w:color w:val="000000"/>
              </w:rPr>
              <w:t xml:space="preserve"> $196.88 </w:t>
            </w:r>
          </w:p>
        </w:tc>
        <w:tc>
          <w:tcPr>
            <w:tcW w:w="955" w:type="dxa"/>
            <w:tcBorders>
              <w:left w:val="single" w:color="auto" w:sz="4" w:space="0"/>
              <w:right w:val="single" w:color="auto" w:sz="4" w:space="0"/>
            </w:tcBorders>
          </w:tcPr>
          <w:p w:rsidRPr="007F620E" w:rsidR="003B07D3" w:rsidP="00CA4DDE" w:rsidRDefault="003B07D3" w14:paraId="5A24EE73" w14:textId="49BAA210">
            <w:pPr>
              <w:spacing w:before="60" w:after="60"/>
              <w:jc w:val="center"/>
              <w:rPr>
                <w:color w:val="000000"/>
              </w:rPr>
            </w:pPr>
            <w:r>
              <w:rPr>
                <w:color w:val="000000"/>
              </w:rPr>
              <w:t>0.75</w:t>
            </w:r>
          </w:p>
        </w:tc>
        <w:tc>
          <w:tcPr>
            <w:tcW w:w="1146" w:type="dxa"/>
            <w:tcBorders>
              <w:left w:val="single" w:color="auto" w:sz="4" w:space="0"/>
            </w:tcBorders>
          </w:tcPr>
          <w:p w:rsidRPr="007F620E" w:rsidR="003B07D3" w:rsidP="00CA4DDE" w:rsidRDefault="003B07D3" w14:paraId="55DC8EEA" w14:textId="7E8F8319">
            <w:pPr>
              <w:spacing w:before="60" w:after="60"/>
              <w:jc w:val="center"/>
              <w:rPr>
                <w:color w:val="000000"/>
              </w:rPr>
            </w:pPr>
            <w:r>
              <w:rPr>
                <w:color w:val="000000"/>
              </w:rPr>
              <w:t>$262.50 [1]</w:t>
            </w:r>
          </w:p>
        </w:tc>
        <w:tc>
          <w:tcPr>
            <w:tcW w:w="1881" w:type="dxa"/>
          </w:tcPr>
          <w:p w:rsidRPr="007F620E" w:rsidR="003B07D3" w:rsidP="003B07D3" w:rsidRDefault="003B07D3" w14:paraId="09637862" w14:textId="0FD1AB9E">
            <w:pPr>
              <w:spacing w:before="60" w:after="60"/>
              <w:jc w:val="right"/>
              <w:rPr>
                <w:color w:val="000000"/>
              </w:rPr>
            </w:pPr>
            <w:r w:rsidRPr="00AB0D41">
              <w:t xml:space="preserve"> $196.88 </w:t>
            </w:r>
          </w:p>
        </w:tc>
      </w:tr>
      <w:tr w:rsidRPr="007F620E" w:rsidR="003B07D3" w:rsidTr="009F11CE" w14:paraId="1BBFB342" w14:textId="77777777">
        <w:trPr>
          <w:jc w:val="center"/>
        </w:trPr>
        <w:tc>
          <w:tcPr>
            <w:tcW w:w="1345" w:type="dxa"/>
          </w:tcPr>
          <w:p w:rsidRPr="001D366B" w:rsidR="003B07D3" w:rsidP="003B07D3" w:rsidRDefault="003B07D3" w14:paraId="5CD681C1" w14:textId="01B48C0E">
            <w:pPr>
              <w:spacing w:before="60" w:after="60"/>
              <w:rPr>
                <w:color w:val="000000"/>
                <w:sz w:val="22"/>
                <w:szCs w:val="22"/>
              </w:rPr>
            </w:pPr>
            <w:r w:rsidRPr="001D366B">
              <w:rPr>
                <w:color w:val="000000"/>
              </w:rPr>
              <w:t>David Cheng, TURN Attorney</w:t>
            </w:r>
          </w:p>
        </w:tc>
        <w:tc>
          <w:tcPr>
            <w:tcW w:w="965" w:type="dxa"/>
          </w:tcPr>
          <w:p w:rsidRPr="001D366B" w:rsidR="003B07D3" w:rsidP="003B07D3" w:rsidRDefault="003B07D3" w14:paraId="2C3CA61A" w14:textId="39E816F8">
            <w:pPr>
              <w:spacing w:before="60" w:after="60"/>
              <w:rPr>
                <w:color w:val="000000"/>
                <w:sz w:val="22"/>
                <w:szCs w:val="22"/>
              </w:rPr>
            </w:pPr>
            <w:r w:rsidRPr="001D366B">
              <w:rPr>
                <w:color w:val="000000"/>
              </w:rPr>
              <w:t>2025</w:t>
            </w:r>
          </w:p>
        </w:tc>
        <w:tc>
          <w:tcPr>
            <w:tcW w:w="925" w:type="dxa"/>
            <w:gridSpan w:val="2"/>
          </w:tcPr>
          <w:p w:rsidRPr="001D366B" w:rsidR="003B07D3" w:rsidP="003B07D3" w:rsidRDefault="003B07D3" w14:paraId="2DBCF6E2" w14:textId="4DAC5281">
            <w:pPr>
              <w:spacing w:before="60" w:after="60"/>
              <w:rPr>
                <w:color w:val="000000"/>
                <w:sz w:val="22"/>
                <w:szCs w:val="22"/>
              </w:rPr>
            </w:pPr>
            <w:r w:rsidRPr="001D366B">
              <w:rPr>
                <w:color w:val="000000"/>
              </w:rPr>
              <w:t xml:space="preserve">                   </w:t>
            </w:r>
            <w:r>
              <w:rPr>
                <w:color w:val="000000"/>
              </w:rPr>
              <w:t>6.00</w:t>
            </w:r>
          </w:p>
        </w:tc>
        <w:tc>
          <w:tcPr>
            <w:tcW w:w="1080" w:type="dxa"/>
          </w:tcPr>
          <w:p w:rsidRPr="001D366B" w:rsidR="003B07D3" w:rsidP="003B07D3" w:rsidRDefault="003B07D3" w14:paraId="455801DC" w14:textId="4C65842E">
            <w:pPr>
              <w:spacing w:before="60" w:after="60"/>
              <w:rPr>
                <w:color w:val="000000"/>
                <w:sz w:val="22"/>
                <w:szCs w:val="22"/>
              </w:rPr>
            </w:pPr>
            <w:r w:rsidRPr="001D366B">
              <w:rPr>
                <w:color w:val="000000"/>
              </w:rPr>
              <w:t>$285.00</w:t>
            </w:r>
          </w:p>
        </w:tc>
        <w:tc>
          <w:tcPr>
            <w:tcW w:w="1440" w:type="dxa"/>
            <w:gridSpan w:val="2"/>
            <w:tcBorders>
              <w:right w:val="single" w:color="auto" w:sz="4" w:space="0"/>
            </w:tcBorders>
          </w:tcPr>
          <w:p w:rsidRPr="001D366B" w:rsidR="003B07D3" w:rsidP="003B07D3" w:rsidRDefault="003B07D3" w14:paraId="5C4C32E1" w14:textId="47F2D0AE">
            <w:pPr>
              <w:spacing w:before="60" w:after="60"/>
              <w:rPr>
                <w:color w:val="000000"/>
                <w:sz w:val="22"/>
                <w:szCs w:val="22"/>
              </w:rPr>
            </w:pPr>
            <w:r w:rsidRPr="001D366B">
              <w:rPr>
                <w:color w:val="000000"/>
              </w:rPr>
              <w:t>50% of Authorized 2025 Hourly Rate</w:t>
            </w:r>
          </w:p>
        </w:tc>
        <w:tc>
          <w:tcPr>
            <w:tcW w:w="1423" w:type="dxa"/>
            <w:gridSpan w:val="2"/>
            <w:tcBorders>
              <w:top w:val="single" w:color="auto" w:sz="4" w:space="0"/>
              <w:left w:val="single" w:color="auto" w:sz="4" w:space="0"/>
              <w:bottom w:val="single" w:color="auto" w:sz="4" w:space="0"/>
              <w:right w:val="single" w:color="auto" w:sz="24" w:space="0"/>
            </w:tcBorders>
          </w:tcPr>
          <w:p w:rsidRPr="001D366B" w:rsidR="003B07D3" w:rsidP="003B07D3" w:rsidRDefault="003B07D3" w14:paraId="7248D965" w14:textId="5FCE1EF2">
            <w:pPr>
              <w:spacing w:before="60" w:after="60"/>
              <w:rPr>
                <w:color w:val="000000"/>
                <w:sz w:val="22"/>
                <w:szCs w:val="22"/>
              </w:rPr>
            </w:pPr>
            <w:r w:rsidRPr="001D366B">
              <w:rPr>
                <w:color w:val="000000"/>
              </w:rPr>
              <w:t xml:space="preserve"> $</w:t>
            </w:r>
            <w:r>
              <w:rPr>
                <w:color w:val="000000"/>
              </w:rPr>
              <w:t>1,710.00</w:t>
            </w:r>
            <w:r w:rsidRPr="001D366B">
              <w:rPr>
                <w:color w:val="000000"/>
              </w:rPr>
              <w:t xml:space="preserve">                  </w:t>
            </w:r>
          </w:p>
        </w:tc>
        <w:tc>
          <w:tcPr>
            <w:tcW w:w="955" w:type="dxa"/>
            <w:tcBorders>
              <w:left w:val="single" w:color="auto" w:sz="4" w:space="0"/>
              <w:right w:val="single" w:color="auto" w:sz="4" w:space="0"/>
            </w:tcBorders>
          </w:tcPr>
          <w:p w:rsidRPr="007F620E" w:rsidR="003B07D3" w:rsidP="00CA4DDE" w:rsidRDefault="003B07D3" w14:paraId="6FC8FAF7" w14:textId="3B35A44C">
            <w:pPr>
              <w:spacing w:before="60" w:after="60"/>
              <w:jc w:val="center"/>
              <w:rPr>
                <w:color w:val="000000"/>
              </w:rPr>
            </w:pPr>
            <w:r>
              <w:rPr>
                <w:color w:val="000000"/>
              </w:rPr>
              <w:t>6.00</w:t>
            </w:r>
          </w:p>
        </w:tc>
        <w:tc>
          <w:tcPr>
            <w:tcW w:w="1146" w:type="dxa"/>
            <w:tcBorders>
              <w:left w:val="single" w:color="auto" w:sz="4" w:space="0"/>
            </w:tcBorders>
          </w:tcPr>
          <w:p w:rsidRPr="007F620E" w:rsidR="003B07D3" w:rsidP="00CA4DDE" w:rsidRDefault="003B07D3" w14:paraId="0C50B890" w14:textId="561E1F47">
            <w:pPr>
              <w:spacing w:before="60" w:after="60"/>
              <w:jc w:val="center"/>
              <w:rPr>
                <w:color w:val="000000"/>
              </w:rPr>
            </w:pPr>
            <w:r>
              <w:rPr>
                <w:color w:val="000000"/>
              </w:rPr>
              <w:t>$285.00</w:t>
            </w:r>
          </w:p>
        </w:tc>
        <w:tc>
          <w:tcPr>
            <w:tcW w:w="1881" w:type="dxa"/>
          </w:tcPr>
          <w:p w:rsidRPr="007F620E" w:rsidR="003B07D3" w:rsidP="003B07D3" w:rsidRDefault="003B07D3" w14:paraId="0FC53645" w14:textId="79B1832B">
            <w:pPr>
              <w:spacing w:before="60" w:after="60"/>
              <w:jc w:val="right"/>
              <w:rPr>
                <w:color w:val="000000"/>
              </w:rPr>
            </w:pPr>
            <w:r w:rsidRPr="00AB0D41">
              <w:t xml:space="preserve"> $1,710.00 </w:t>
            </w:r>
          </w:p>
        </w:tc>
      </w:tr>
      <w:tr w:rsidRPr="007F620E" w:rsidR="003B07D3" w:rsidTr="009F11CE" w14:paraId="0A21068A" w14:textId="77777777">
        <w:trPr>
          <w:jc w:val="center"/>
        </w:trPr>
        <w:tc>
          <w:tcPr>
            <w:tcW w:w="1345" w:type="dxa"/>
          </w:tcPr>
          <w:p w:rsidRPr="001D366B" w:rsidR="003B07D3" w:rsidP="003B07D3" w:rsidRDefault="003B07D3" w14:paraId="7F35C6E2" w14:textId="02C12110">
            <w:pPr>
              <w:spacing w:before="60" w:after="60"/>
              <w:rPr>
                <w:color w:val="000000"/>
                <w:sz w:val="22"/>
                <w:szCs w:val="22"/>
              </w:rPr>
            </w:pPr>
            <w:r w:rsidRPr="001D366B">
              <w:rPr>
                <w:color w:val="000000"/>
              </w:rPr>
              <w:t>Reina Yanagiba, TURN Legal Assistant</w:t>
            </w:r>
          </w:p>
        </w:tc>
        <w:tc>
          <w:tcPr>
            <w:tcW w:w="965" w:type="dxa"/>
          </w:tcPr>
          <w:p w:rsidRPr="001D366B" w:rsidR="003B07D3" w:rsidP="003B07D3" w:rsidRDefault="003B07D3" w14:paraId="4D1BD931" w14:textId="0921FF64">
            <w:pPr>
              <w:spacing w:before="60" w:after="60"/>
              <w:rPr>
                <w:color w:val="000000"/>
                <w:sz w:val="22"/>
                <w:szCs w:val="22"/>
              </w:rPr>
            </w:pPr>
            <w:r w:rsidRPr="001D366B">
              <w:rPr>
                <w:color w:val="000000"/>
              </w:rPr>
              <w:t>2025</w:t>
            </w:r>
          </w:p>
        </w:tc>
        <w:tc>
          <w:tcPr>
            <w:tcW w:w="925" w:type="dxa"/>
            <w:gridSpan w:val="2"/>
          </w:tcPr>
          <w:p w:rsidRPr="001D366B" w:rsidR="003B07D3" w:rsidP="003B07D3" w:rsidRDefault="003B07D3" w14:paraId="406807D7" w14:textId="01B8894C">
            <w:pPr>
              <w:spacing w:before="60" w:after="60"/>
              <w:rPr>
                <w:color w:val="000000"/>
                <w:sz w:val="22"/>
                <w:szCs w:val="22"/>
              </w:rPr>
            </w:pPr>
            <w:r w:rsidRPr="001D366B">
              <w:rPr>
                <w:color w:val="000000"/>
              </w:rPr>
              <w:t xml:space="preserve">3.00 </w:t>
            </w:r>
          </w:p>
        </w:tc>
        <w:tc>
          <w:tcPr>
            <w:tcW w:w="1080" w:type="dxa"/>
          </w:tcPr>
          <w:p w:rsidRPr="001D366B" w:rsidR="003B07D3" w:rsidP="003B07D3" w:rsidRDefault="003B07D3" w14:paraId="7201912E" w14:textId="77B5CF98">
            <w:pPr>
              <w:spacing w:before="60" w:after="60"/>
              <w:rPr>
                <w:color w:val="000000"/>
                <w:sz w:val="22"/>
                <w:szCs w:val="22"/>
              </w:rPr>
            </w:pPr>
            <w:r w:rsidRPr="001D366B">
              <w:rPr>
                <w:color w:val="000000"/>
              </w:rPr>
              <w:t>$62.50</w:t>
            </w:r>
          </w:p>
        </w:tc>
        <w:tc>
          <w:tcPr>
            <w:tcW w:w="1440" w:type="dxa"/>
            <w:gridSpan w:val="2"/>
            <w:tcBorders>
              <w:right w:val="single" w:color="auto" w:sz="4" w:space="0"/>
            </w:tcBorders>
          </w:tcPr>
          <w:p w:rsidRPr="001D366B" w:rsidR="003B07D3" w:rsidP="003B07D3" w:rsidRDefault="003B07D3" w14:paraId="412B75E4" w14:textId="6C75B2CB">
            <w:pPr>
              <w:spacing w:before="60" w:after="60"/>
              <w:rPr>
                <w:color w:val="000000"/>
                <w:sz w:val="22"/>
                <w:szCs w:val="22"/>
              </w:rPr>
            </w:pPr>
            <w:r w:rsidRPr="001D366B">
              <w:rPr>
                <w:color w:val="000000"/>
              </w:rPr>
              <w:t>50% of Authorized 2025 Hourly Rate</w:t>
            </w:r>
          </w:p>
        </w:tc>
        <w:tc>
          <w:tcPr>
            <w:tcW w:w="1423" w:type="dxa"/>
            <w:gridSpan w:val="2"/>
            <w:tcBorders>
              <w:top w:val="single" w:color="auto" w:sz="4" w:space="0"/>
              <w:left w:val="single" w:color="auto" w:sz="4" w:space="0"/>
              <w:bottom w:val="single" w:color="auto" w:sz="4" w:space="0"/>
              <w:right w:val="single" w:color="auto" w:sz="24" w:space="0"/>
            </w:tcBorders>
          </w:tcPr>
          <w:p w:rsidRPr="001D366B" w:rsidR="003B07D3" w:rsidP="003B07D3" w:rsidRDefault="003B07D3" w14:paraId="3B568020" w14:textId="4402D804">
            <w:pPr>
              <w:spacing w:before="60" w:after="60"/>
              <w:rPr>
                <w:color w:val="000000"/>
                <w:sz w:val="22"/>
                <w:szCs w:val="22"/>
              </w:rPr>
            </w:pPr>
            <w:r w:rsidRPr="001D366B">
              <w:rPr>
                <w:color w:val="000000"/>
              </w:rPr>
              <w:t xml:space="preserve"> $187.50 </w:t>
            </w:r>
          </w:p>
        </w:tc>
        <w:tc>
          <w:tcPr>
            <w:tcW w:w="955" w:type="dxa"/>
            <w:tcBorders>
              <w:left w:val="single" w:color="auto" w:sz="4" w:space="0"/>
              <w:right w:val="single" w:color="auto" w:sz="4" w:space="0"/>
            </w:tcBorders>
          </w:tcPr>
          <w:p w:rsidRPr="007F620E" w:rsidR="003B07D3" w:rsidP="00CA4DDE" w:rsidRDefault="003B07D3" w14:paraId="007E0C5E" w14:textId="20FC9914">
            <w:pPr>
              <w:spacing w:before="60" w:after="60"/>
              <w:jc w:val="center"/>
              <w:rPr>
                <w:color w:val="000000"/>
              </w:rPr>
            </w:pPr>
            <w:r>
              <w:rPr>
                <w:color w:val="000000"/>
              </w:rPr>
              <w:t>3.00</w:t>
            </w:r>
          </w:p>
        </w:tc>
        <w:tc>
          <w:tcPr>
            <w:tcW w:w="1146" w:type="dxa"/>
            <w:tcBorders>
              <w:left w:val="single" w:color="auto" w:sz="4" w:space="0"/>
            </w:tcBorders>
          </w:tcPr>
          <w:p w:rsidRPr="007F620E" w:rsidR="003B07D3" w:rsidP="00CA4DDE" w:rsidRDefault="003B07D3" w14:paraId="7EAD2339" w14:textId="06CDCAA4">
            <w:pPr>
              <w:spacing w:before="60" w:after="60"/>
              <w:jc w:val="center"/>
              <w:rPr>
                <w:color w:val="000000"/>
              </w:rPr>
            </w:pPr>
            <w:r>
              <w:rPr>
                <w:color w:val="000000"/>
              </w:rPr>
              <w:t xml:space="preserve">$62.50 </w:t>
            </w:r>
            <w:r w:rsidR="0057050B">
              <w:rPr>
                <w:color w:val="000000"/>
              </w:rPr>
              <w:t>[</w:t>
            </w:r>
            <w:r w:rsidR="00C50E1A">
              <w:rPr>
                <w:color w:val="000000"/>
              </w:rPr>
              <w:t>4</w:t>
            </w:r>
            <w:r>
              <w:rPr>
                <w:color w:val="000000"/>
              </w:rPr>
              <w:t>]</w:t>
            </w:r>
          </w:p>
        </w:tc>
        <w:tc>
          <w:tcPr>
            <w:tcW w:w="1881" w:type="dxa"/>
          </w:tcPr>
          <w:p w:rsidRPr="007F620E" w:rsidR="003B07D3" w:rsidP="003B07D3" w:rsidRDefault="003B07D3" w14:paraId="532D40F0" w14:textId="2A02005C">
            <w:pPr>
              <w:spacing w:before="60" w:after="60"/>
              <w:jc w:val="right"/>
              <w:rPr>
                <w:color w:val="000000"/>
              </w:rPr>
            </w:pPr>
            <w:r w:rsidRPr="00AB0D41">
              <w:t xml:space="preserve"> $187.50 </w:t>
            </w:r>
          </w:p>
        </w:tc>
      </w:tr>
      <w:tr w:rsidRPr="00374FD1" w:rsidR="00625B30" w:rsidTr="0036244B" w14:paraId="4608BE29" w14:textId="77777777">
        <w:trPr>
          <w:jc w:val="center"/>
        </w:trPr>
        <w:tc>
          <w:tcPr>
            <w:tcW w:w="7178" w:type="dxa"/>
            <w:gridSpan w:val="9"/>
            <w:tcBorders>
              <w:bottom w:val="single" w:color="auto" w:sz="4" w:space="0"/>
              <w:right w:val="single" w:color="auto" w:sz="24" w:space="0"/>
            </w:tcBorders>
            <w:vAlign w:val="bottom"/>
          </w:tcPr>
          <w:p w:rsidRPr="00374FD1" w:rsidR="00625B30" w:rsidP="00625B30" w:rsidRDefault="00625B30" w14:paraId="5CE72E9B" w14:textId="7EC293FA">
            <w:pPr>
              <w:tabs>
                <w:tab w:val="left" w:pos="957"/>
              </w:tabs>
              <w:spacing w:before="60" w:after="60"/>
              <w:ind w:right="162"/>
              <w:jc w:val="right"/>
              <w:rPr>
                <w:b/>
                <w:i/>
                <w:color w:val="000000"/>
              </w:rPr>
            </w:pPr>
            <w:r w:rsidRPr="007F620E">
              <w:rPr>
                <w:b/>
                <w:i/>
                <w:color w:val="000000"/>
              </w:rPr>
              <w:t>Subtotal</w:t>
            </w:r>
            <w:r w:rsidRPr="00002EFC">
              <w:rPr>
                <w:b/>
                <w:i/>
                <w:color w:val="000000"/>
              </w:rPr>
              <w:t>: $</w:t>
            </w:r>
            <w:r w:rsidRPr="00002EFC" w:rsidR="00002EFC">
              <w:rPr>
                <w:b/>
                <w:i/>
                <w:color w:val="000000"/>
              </w:rPr>
              <w:t>2</w:t>
            </w:r>
            <w:r w:rsidR="00002EFC">
              <w:rPr>
                <w:b/>
                <w:i/>
                <w:color w:val="000000"/>
              </w:rPr>
              <w:t>,094.38</w:t>
            </w:r>
          </w:p>
        </w:tc>
        <w:tc>
          <w:tcPr>
            <w:tcW w:w="3982" w:type="dxa"/>
            <w:gridSpan w:val="3"/>
            <w:tcBorders>
              <w:left w:val="single" w:color="auto" w:sz="24" w:space="0"/>
              <w:bottom w:val="single" w:color="auto" w:sz="4" w:space="0"/>
            </w:tcBorders>
            <w:vAlign w:val="bottom"/>
          </w:tcPr>
          <w:p w:rsidRPr="00374FD1" w:rsidR="00625B30" w:rsidP="00625B30" w:rsidRDefault="00625B30" w14:paraId="2BF3E0ED" w14:textId="652F6DD5">
            <w:pPr>
              <w:tabs>
                <w:tab w:val="left" w:pos="957"/>
              </w:tabs>
              <w:spacing w:before="60" w:after="60"/>
              <w:ind w:right="162"/>
              <w:jc w:val="right"/>
              <w:rPr>
                <w:b/>
                <w:i/>
                <w:color w:val="000000"/>
              </w:rPr>
            </w:pPr>
            <w:r w:rsidRPr="007F620E">
              <w:rPr>
                <w:b/>
                <w:i/>
                <w:color w:val="000000"/>
              </w:rPr>
              <w:t xml:space="preserve">Subtotal: </w:t>
            </w:r>
            <w:r w:rsidRPr="00374FD1">
              <w:rPr>
                <w:b/>
                <w:i/>
                <w:color w:val="000000"/>
              </w:rPr>
              <w:t>$</w:t>
            </w:r>
            <w:r w:rsidR="003B07D3">
              <w:rPr>
                <w:b/>
                <w:i/>
                <w:color w:val="000000"/>
              </w:rPr>
              <w:t>2,094.38</w:t>
            </w:r>
          </w:p>
        </w:tc>
      </w:tr>
      <w:tr w:rsidRPr="00FE3BAE" w:rsidR="00625B30" w:rsidTr="0036244B" w14:paraId="75C517AB" w14:textId="77777777">
        <w:trPr>
          <w:jc w:val="center"/>
        </w:trPr>
        <w:tc>
          <w:tcPr>
            <w:tcW w:w="7178" w:type="dxa"/>
            <w:gridSpan w:val="9"/>
            <w:tcBorders>
              <w:top w:val="single" w:color="auto" w:sz="4" w:space="0"/>
              <w:bottom w:val="single" w:color="auto" w:sz="4" w:space="0"/>
              <w:right w:val="single" w:color="auto" w:sz="24" w:space="0"/>
            </w:tcBorders>
            <w:shd w:val="clear" w:color="auto" w:fill="E6E6E6"/>
            <w:vAlign w:val="bottom"/>
          </w:tcPr>
          <w:p w:rsidRPr="00FE3BAE" w:rsidR="00625B30" w:rsidP="00625B30" w:rsidRDefault="00625B30" w14:paraId="48F9E637" w14:textId="67E6E374">
            <w:pPr>
              <w:tabs>
                <w:tab w:val="left" w:pos="957"/>
              </w:tabs>
              <w:spacing w:before="60" w:after="60"/>
              <w:ind w:right="72"/>
              <w:jc w:val="right"/>
              <w:rPr>
                <w:b/>
                <w:color w:val="000000"/>
              </w:rPr>
            </w:pPr>
            <w:r w:rsidRPr="00374FD1">
              <w:rPr>
                <w:b/>
                <w:i/>
                <w:color w:val="000000"/>
              </w:rPr>
              <w:t>TOTAL REQUEST</w:t>
            </w:r>
            <w:r w:rsidRPr="00B05ABD">
              <w:rPr>
                <w:b/>
                <w:i/>
                <w:color w:val="000000"/>
              </w:rPr>
              <w:t xml:space="preserve">: </w:t>
            </w:r>
            <w:r w:rsidRPr="00B05ABD" w:rsidR="00981856">
              <w:rPr>
                <w:b/>
                <w:i/>
                <w:color w:val="000000"/>
              </w:rPr>
              <w:t>$</w:t>
            </w:r>
            <w:r w:rsidRPr="00B05ABD" w:rsidR="001D366B">
              <w:rPr>
                <w:b/>
                <w:i/>
                <w:color w:val="000000"/>
              </w:rPr>
              <w:t>10</w:t>
            </w:r>
            <w:r w:rsidRPr="00B05ABD" w:rsidR="00B05ABD">
              <w:rPr>
                <w:b/>
                <w:i/>
                <w:color w:val="000000"/>
              </w:rPr>
              <w:t>9</w:t>
            </w:r>
            <w:r w:rsidR="00B05ABD">
              <w:rPr>
                <w:b/>
                <w:i/>
                <w:color w:val="000000"/>
              </w:rPr>
              <w:t>,698.13</w:t>
            </w:r>
          </w:p>
        </w:tc>
        <w:tc>
          <w:tcPr>
            <w:tcW w:w="3982" w:type="dxa"/>
            <w:gridSpan w:val="3"/>
            <w:tcBorders>
              <w:left w:val="single" w:color="auto" w:sz="24" w:space="0"/>
            </w:tcBorders>
            <w:shd w:val="clear" w:color="auto" w:fill="E6E6E6"/>
            <w:vAlign w:val="bottom"/>
          </w:tcPr>
          <w:p w:rsidRPr="00FE3BAE" w:rsidR="00625B30" w:rsidP="00625B30" w:rsidRDefault="00625B30" w14:paraId="36019530" w14:textId="7ECEC3A7">
            <w:pPr>
              <w:tabs>
                <w:tab w:val="left" w:pos="957"/>
              </w:tabs>
              <w:spacing w:before="60" w:after="60"/>
              <w:ind w:right="72"/>
              <w:jc w:val="right"/>
              <w:rPr>
                <w:b/>
                <w:color w:val="000000"/>
              </w:rPr>
            </w:pPr>
            <w:r w:rsidRPr="00374FD1">
              <w:rPr>
                <w:b/>
                <w:i/>
                <w:color w:val="000000"/>
              </w:rPr>
              <w:t xml:space="preserve">TOTAL AWARD: </w:t>
            </w:r>
            <w:bookmarkStart w:name="_Hlk216360757" w:id="2"/>
            <w:r w:rsidRPr="00374FD1">
              <w:rPr>
                <w:b/>
                <w:i/>
                <w:color w:val="000000"/>
              </w:rPr>
              <w:t>$</w:t>
            </w:r>
            <w:r w:rsidR="003B07D3">
              <w:rPr>
                <w:b/>
                <w:i/>
                <w:color w:val="000000"/>
              </w:rPr>
              <w:t>109,698.13</w:t>
            </w:r>
            <w:bookmarkEnd w:id="2"/>
          </w:p>
        </w:tc>
      </w:tr>
      <w:tr w:rsidRPr="007F620E" w:rsidR="00625B30" w:rsidTr="0036244B" w14:paraId="752C4918" w14:textId="77777777">
        <w:trPr>
          <w:jc w:val="center"/>
        </w:trPr>
        <w:tc>
          <w:tcPr>
            <w:tcW w:w="11160" w:type="dxa"/>
            <w:gridSpan w:val="12"/>
            <w:tcBorders>
              <w:top w:val="single" w:color="auto" w:sz="4" w:space="0"/>
              <w:bottom w:val="single" w:color="auto" w:sz="4" w:space="0"/>
            </w:tcBorders>
          </w:tcPr>
          <w:p w:rsidRPr="007F620E" w:rsidR="00625B30" w:rsidP="00625B30" w:rsidRDefault="00625B30" w14:paraId="2529F508" w14:textId="77777777">
            <w:pPr>
              <w:spacing w:before="60" w:after="60"/>
              <w:rPr>
                <w:color w:val="000000"/>
              </w:rPr>
            </w:pPr>
            <w:r w:rsidRPr="007F620E">
              <w:rPr>
                <w:color w:val="000000"/>
              </w:rPr>
              <w:t xml:space="preserve">  *We remind all intervenors that Commission staff may audit </w:t>
            </w:r>
            <w:r>
              <w:t>the records and books of the intervenors to the extent necessary to verify the basis for the award (§1804(d)).  I</w:t>
            </w:r>
            <w:r w:rsidRPr="007F620E">
              <w:rPr>
                <w:color w:val="000000"/>
              </w:rPr>
              <w:t xml:space="preserve">ntervenors must make and retain adequate accounting and other documentation to support all claims for intervenor compensation.  Intervenor’s records should identify specific issues for which it seeks compensation, the actual time spent by each employee or consultant, the applicable hourly rates, fees paid to consultants and any other costs for which compensation was claimed.  The records pertaining to an award of compensation shall be retained for at least three years from the date of the final decision making the award. </w:t>
            </w:r>
          </w:p>
          <w:p w:rsidRPr="007F620E" w:rsidR="00625B30" w:rsidP="00625B30" w:rsidRDefault="00625B30" w14:paraId="55A9FBC3" w14:textId="77777777">
            <w:pPr>
              <w:spacing w:before="60" w:after="60"/>
              <w:rPr>
                <w:color w:val="000000"/>
              </w:rPr>
            </w:pPr>
            <w:r w:rsidRPr="007F620E">
              <w:rPr>
                <w:color w:val="000000"/>
              </w:rPr>
              <w:t xml:space="preserve">**Travel and Reasonable Claim preparation time </w:t>
            </w:r>
            <w:r>
              <w:rPr>
                <w:color w:val="000000"/>
              </w:rPr>
              <w:t xml:space="preserve">are </w:t>
            </w:r>
            <w:r w:rsidRPr="007F620E">
              <w:rPr>
                <w:color w:val="000000"/>
              </w:rPr>
              <w:t>typically compensated at ½ of preparer’s normal hourly rate</w:t>
            </w:r>
            <w:r w:rsidRPr="007F620E" w:rsidDel="00D075B1">
              <w:rPr>
                <w:color w:val="000000"/>
              </w:rPr>
              <w:t xml:space="preserve"> </w:t>
            </w:r>
          </w:p>
        </w:tc>
      </w:tr>
      <w:tr w:rsidRPr="007F620E" w:rsidR="00625B30" w:rsidTr="0036244B" w14:paraId="0E1E87BF" w14:textId="77777777">
        <w:trPr>
          <w:jc w:val="center"/>
        </w:trPr>
        <w:tc>
          <w:tcPr>
            <w:tcW w:w="11160" w:type="dxa"/>
            <w:gridSpan w:val="12"/>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7F620E" w:rsidR="00625B30" w:rsidP="00625B30" w:rsidRDefault="00625B30" w14:paraId="3EFD1514" w14:textId="77777777">
            <w:pPr>
              <w:keepNext/>
              <w:spacing w:before="60" w:after="60"/>
              <w:jc w:val="center"/>
              <w:rPr>
                <w:b/>
                <w:smallCaps/>
                <w:color w:val="000000"/>
              </w:rPr>
            </w:pPr>
            <w:r w:rsidRPr="007F620E">
              <w:rPr>
                <w:b/>
                <w:smallCaps/>
                <w:color w:val="000000"/>
              </w:rPr>
              <w:t>ATTORNEY INFORMATION</w:t>
            </w:r>
          </w:p>
        </w:tc>
      </w:tr>
      <w:tr w:rsidRPr="00C16981" w:rsidR="00625B30" w:rsidTr="0036244B" w14:paraId="44CA80FE" w14:textId="77777777">
        <w:trPr>
          <w:trHeight w:val="173"/>
          <w:jc w:val="center"/>
        </w:trPr>
        <w:tc>
          <w:tcPr>
            <w:tcW w:w="2692" w:type="dxa"/>
            <w:gridSpan w:val="3"/>
            <w:tcBorders>
              <w:top w:val="single" w:color="auto" w:sz="4" w:space="0"/>
              <w:bottom w:val="single" w:color="auto" w:sz="4" w:space="0"/>
            </w:tcBorders>
            <w:shd w:val="clear" w:color="auto" w:fill="FFFFFF"/>
            <w:vAlign w:val="bottom"/>
          </w:tcPr>
          <w:p w:rsidRPr="00C16981" w:rsidR="00625B30" w:rsidP="00625B30" w:rsidRDefault="00625B30" w14:paraId="444A57F1" w14:textId="77777777">
            <w:pPr>
              <w:keepNext/>
              <w:keepLines/>
              <w:spacing w:before="60" w:after="60"/>
              <w:jc w:val="center"/>
              <w:rPr>
                <w:b/>
                <w:color w:val="000000"/>
                <w:sz w:val="22"/>
                <w:szCs w:val="22"/>
              </w:rPr>
            </w:pPr>
            <w:r w:rsidRPr="00C16981">
              <w:rPr>
                <w:b/>
                <w:sz w:val="22"/>
                <w:szCs w:val="22"/>
              </w:rPr>
              <w:t>Attorney</w:t>
            </w:r>
          </w:p>
        </w:tc>
        <w:tc>
          <w:tcPr>
            <w:tcW w:w="1909" w:type="dxa"/>
            <w:gridSpan w:val="3"/>
            <w:tcBorders>
              <w:top w:val="single" w:color="auto" w:sz="4" w:space="0"/>
              <w:bottom w:val="single" w:color="auto" w:sz="4" w:space="0"/>
            </w:tcBorders>
            <w:shd w:val="clear" w:color="auto" w:fill="FFFFFF"/>
            <w:vAlign w:val="bottom"/>
          </w:tcPr>
          <w:p w:rsidRPr="00C16981" w:rsidR="00625B30" w:rsidP="00625B30" w:rsidRDefault="00625B30" w14:paraId="731CA32C" w14:textId="77777777">
            <w:pPr>
              <w:keepNext/>
              <w:keepLines/>
              <w:spacing w:before="60" w:after="60"/>
              <w:jc w:val="center"/>
              <w:rPr>
                <w:b/>
                <w:color w:val="000000"/>
                <w:sz w:val="22"/>
                <w:szCs w:val="22"/>
              </w:rPr>
            </w:pPr>
            <w:r w:rsidRPr="00C16981">
              <w:rPr>
                <w:b/>
                <w:sz w:val="22"/>
                <w:szCs w:val="22"/>
              </w:rPr>
              <w:t>Date Admitted to CA BAR</w:t>
            </w:r>
            <w:r w:rsidRPr="00C16981">
              <w:rPr>
                <w:rStyle w:val="FootnoteReference"/>
                <w:rFonts w:eastAsiaTheme="majorEastAsia"/>
                <w:b/>
                <w:sz w:val="22"/>
                <w:szCs w:val="22"/>
              </w:rPr>
              <w:footnoteReference w:id="2"/>
            </w:r>
          </w:p>
        </w:tc>
        <w:tc>
          <w:tcPr>
            <w:tcW w:w="2291" w:type="dxa"/>
            <w:gridSpan w:val="2"/>
            <w:tcBorders>
              <w:top w:val="single" w:color="auto" w:sz="4" w:space="0"/>
              <w:bottom w:val="single" w:color="auto" w:sz="4" w:space="0"/>
            </w:tcBorders>
            <w:shd w:val="clear" w:color="auto" w:fill="FFFFFF"/>
            <w:vAlign w:val="bottom"/>
          </w:tcPr>
          <w:p w:rsidRPr="00C16981" w:rsidR="00625B30" w:rsidP="00625B30" w:rsidRDefault="00625B30" w14:paraId="2CACBB08" w14:textId="77777777">
            <w:pPr>
              <w:keepNext/>
              <w:keepLines/>
              <w:spacing w:before="60" w:after="60"/>
              <w:jc w:val="center"/>
              <w:rPr>
                <w:b/>
                <w:color w:val="000000"/>
                <w:sz w:val="22"/>
                <w:szCs w:val="22"/>
              </w:rPr>
            </w:pPr>
            <w:r w:rsidRPr="00C16981">
              <w:rPr>
                <w:b/>
                <w:sz w:val="22"/>
                <w:szCs w:val="22"/>
              </w:rPr>
              <w:t>Member Number</w:t>
            </w:r>
          </w:p>
        </w:tc>
        <w:tc>
          <w:tcPr>
            <w:tcW w:w="4268" w:type="dxa"/>
            <w:gridSpan w:val="4"/>
            <w:tcBorders>
              <w:top w:val="single" w:color="auto" w:sz="4" w:space="0"/>
              <w:bottom w:val="single" w:color="auto" w:sz="4" w:space="0"/>
            </w:tcBorders>
            <w:shd w:val="clear" w:color="auto" w:fill="FFFFFF"/>
            <w:vAlign w:val="bottom"/>
          </w:tcPr>
          <w:p w:rsidRPr="00C16981" w:rsidR="00625B30" w:rsidP="00625B30" w:rsidRDefault="00625B30" w14:paraId="798FF8E5" w14:textId="77777777">
            <w:pPr>
              <w:keepNext/>
              <w:keepLines/>
              <w:spacing w:before="60" w:after="60"/>
              <w:jc w:val="center"/>
              <w:rPr>
                <w:b/>
                <w:sz w:val="22"/>
                <w:szCs w:val="22"/>
              </w:rPr>
            </w:pPr>
            <w:r w:rsidRPr="00C16981">
              <w:rPr>
                <w:b/>
                <w:sz w:val="22"/>
                <w:szCs w:val="22"/>
              </w:rPr>
              <w:t>Actions Affecting Eligibility (Yes/No?)</w:t>
            </w:r>
          </w:p>
          <w:p w:rsidRPr="00C16981" w:rsidR="00625B30" w:rsidP="00625B30" w:rsidRDefault="00625B30" w14:paraId="234C64FA" w14:textId="77777777">
            <w:pPr>
              <w:keepNext/>
              <w:keepLines/>
              <w:spacing w:before="60" w:after="60"/>
              <w:jc w:val="center"/>
              <w:rPr>
                <w:b/>
                <w:color w:val="000000"/>
                <w:sz w:val="22"/>
                <w:szCs w:val="22"/>
              </w:rPr>
            </w:pPr>
            <w:r w:rsidRPr="00C16981">
              <w:rPr>
                <w:b/>
                <w:sz w:val="22"/>
                <w:szCs w:val="22"/>
              </w:rPr>
              <w:t>If “Yes”, attach explanation</w:t>
            </w:r>
          </w:p>
        </w:tc>
      </w:tr>
      <w:tr w:rsidRPr="007F620E" w:rsidR="00625B30" w:rsidTr="0094188D" w14:paraId="139C1A00" w14:textId="77777777">
        <w:trPr>
          <w:trHeight w:val="172"/>
          <w:jc w:val="center"/>
        </w:trPr>
        <w:tc>
          <w:tcPr>
            <w:tcW w:w="2692" w:type="dxa"/>
            <w:gridSpan w:val="3"/>
            <w:tcBorders>
              <w:top w:val="single" w:color="auto" w:sz="4" w:space="0"/>
              <w:bottom w:val="single" w:color="auto" w:sz="4" w:space="0"/>
            </w:tcBorders>
          </w:tcPr>
          <w:p w:rsidRPr="007F620E" w:rsidR="00625B30" w:rsidP="00625B30" w:rsidRDefault="00CA0330" w14:paraId="27C376A1" w14:textId="6CA681D0">
            <w:pPr>
              <w:keepLines/>
              <w:spacing w:before="60" w:after="60"/>
              <w:jc w:val="center"/>
              <w:rPr>
                <w:color w:val="000000"/>
              </w:rPr>
            </w:pPr>
            <w:r>
              <w:rPr>
                <w:color w:val="000000"/>
              </w:rPr>
              <w:t>David Cheng</w:t>
            </w:r>
          </w:p>
        </w:tc>
        <w:tc>
          <w:tcPr>
            <w:tcW w:w="1909" w:type="dxa"/>
            <w:gridSpan w:val="3"/>
            <w:tcBorders>
              <w:top w:val="single" w:color="auto" w:sz="4" w:space="0"/>
              <w:bottom w:val="single" w:color="auto" w:sz="4" w:space="0"/>
            </w:tcBorders>
          </w:tcPr>
          <w:p w:rsidRPr="007F620E" w:rsidR="00625B30" w:rsidP="00625B30" w:rsidRDefault="00625B30" w14:paraId="10AAB69D" w14:textId="77777777">
            <w:pPr>
              <w:keepLines/>
              <w:spacing w:before="60" w:after="60"/>
              <w:jc w:val="center"/>
              <w:rPr>
                <w:color w:val="000000"/>
              </w:rPr>
            </w:pPr>
            <w:r>
              <w:rPr>
                <w:color w:val="000000"/>
              </w:rPr>
              <w:t>December 1986</w:t>
            </w:r>
          </w:p>
        </w:tc>
        <w:tc>
          <w:tcPr>
            <w:tcW w:w="2291" w:type="dxa"/>
            <w:gridSpan w:val="2"/>
            <w:tcBorders>
              <w:top w:val="single" w:color="auto" w:sz="4" w:space="0"/>
              <w:bottom w:val="single" w:color="auto" w:sz="4" w:space="0"/>
            </w:tcBorders>
          </w:tcPr>
          <w:p w:rsidRPr="007F620E" w:rsidR="00625B30" w:rsidP="00625B30" w:rsidRDefault="00625B30" w14:paraId="002C5A63" w14:textId="77777777">
            <w:pPr>
              <w:keepLines/>
              <w:spacing w:before="60" w:after="60"/>
              <w:jc w:val="center"/>
              <w:rPr>
                <w:color w:val="000000"/>
              </w:rPr>
            </w:pPr>
            <w:r>
              <w:rPr>
                <w:color w:val="000000"/>
              </w:rPr>
              <w:t>124776</w:t>
            </w:r>
          </w:p>
        </w:tc>
        <w:tc>
          <w:tcPr>
            <w:tcW w:w="4268" w:type="dxa"/>
            <w:gridSpan w:val="4"/>
            <w:tcBorders>
              <w:top w:val="single" w:color="auto" w:sz="4" w:space="0"/>
              <w:bottom w:val="single" w:color="auto" w:sz="4" w:space="0"/>
            </w:tcBorders>
          </w:tcPr>
          <w:p w:rsidRPr="007F620E" w:rsidR="00625B30" w:rsidP="00625B30" w:rsidRDefault="00625B30" w14:paraId="40944807" w14:textId="77777777">
            <w:pPr>
              <w:keepLines/>
              <w:spacing w:before="60" w:after="60"/>
              <w:jc w:val="center"/>
              <w:rPr>
                <w:color w:val="000000"/>
              </w:rPr>
            </w:pPr>
            <w:r>
              <w:rPr>
                <w:color w:val="000000"/>
              </w:rPr>
              <w:t>No</w:t>
            </w:r>
          </w:p>
        </w:tc>
      </w:tr>
      <w:tr w:rsidRPr="007F620E" w:rsidR="007F21E0" w:rsidTr="0094188D" w14:paraId="489BD1E5" w14:textId="77777777">
        <w:trPr>
          <w:trHeight w:val="172"/>
          <w:jc w:val="center"/>
        </w:trPr>
        <w:tc>
          <w:tcPr>
            <w:tcW w:w="2692" w:type="dxa"/>
            <w:gridSpan w:val="3"/>
            <w:tcBorders>
              <w:top w:val="single" w:color="auto" w:sz="4" w:space="0"/>
              <w:bottom w:val="single" w:color="auto" w:sz="4" w:space="0"/>
            </w:tcBorders>
          </w:tcPr>
          <w:p w:rsidR="007F21E0" w:rsidP="007F21E0" w:rsidRDefault="007F21E0" w14:paraId="731122A5" w14:textId="3E7631C3">
            <w:pPr>
              <w:keepLines/>
              <w:spacing w:before="60" w:after="60"/>
              <w:jc w:val="center"/>
              <w:rPr>
                <w:color w:val="000000"/>
              </w:rPr>
            </w:pPr>
            <w:r w:rsidRPr="007F21E0">
              <w:rPr>
                <w:color w:val="000000"/>
              </w:rPr>
              <w:t>Hayley Goodson</w:t>
            </w:r>
          </w:p>
        </w:tc>
        <w:tc>
          <w:tcPr>
            <w:tcW w:w="1909" w:type="dxa"/>
            <w:gridSpan w:val="3"/>
            <w:tcBorders>
              <w:top w:val="single" w:color="auto" w:sz="4" w:space="0"/>
              <w:bottom w:val="single" w:color="auto" w:sz="4" w:space="0"/>
            </w:tcBorders>
            <w:vAlign w:val="bottom"/>
          </w:tcPr>
          <w:p w:rsidRPr="00301393" w:rsidR="007F21E0" w:rsidP="007F21E0" w:rsidRDefault="007F21E0" w14:paraId="736B0A7A" w14:textId="575FDF61">
            <w:pPr>
              <w:keepLines/>
              <w:spacing w:before="60" w:after="60"/>
              <w:jc w:val="center"/>
              <w:rPr>
                <w:color w:val="000000"/>
              </w:rPr>
            </w:pPr>
            <w:r w:rsidRPr="007F21E0">
              <w:rPr>
                <w:color w:val="000000"/>
              </w:rPr>
              <w:t>December 2003</w:t>
            </w:r>
          </w:p>
        </w:tc>
        <w:tc>
          <w:tcPr>
            <w:tcW w:w="2291" w:type="dxa"/>
            <w:gridSpan w:val="2"/>
            <w:tcBorders>
              <w:top w:val="single" w:color="auto" w:sz="4" w:space="0"/>
              <w:bottom w:val="single" w:color="auto" w:sz="4" w:space="0"/>
            </w:tcBorders>
            <w:vAlign w:val="bottom"/>
          </w:tcPr>
          <w:p w:rsidRPr="00301393" w:rsidR="007F21E0" w:rsidP="007F21E0" w:rsidRDefault="007F21E0" w14:paraId="6C7DD1F2" w14:textId="14096867">
            <w:pPr>
              <w:keepLines/>
              <w:spacing w:before="60" w:after="60"/>
              <w:jc w:val="center"/>
              <w:rPr>
                <w:color w:val="000000"/>
              </w:rPr>
            </w:pPr>
            <w:r w:rsidRPr="007F21E0">
              <w:rPr>
                <w:color w:val="000000"/>
              </w:rPr>
              <w:t>228535</w:t>
            </w:r>
          </w:p>
        </w:tc>
        <w:tc>
          <w:tcPr>
            <w:tcW w:w="4268" w:type="dxa"/>
            <w:gridSpan w:val="4"/>
            <w:tcBorders>
              <w:top w:val="single" w:color="auto" w:sz="4" w:space="0"/>
              <w:bottom w:val="single" w:color="auto" w:sz="4" w:space="0"/>
            </w:tcBorders>
            <w:vAlign w:val="bottom"/>
          </w:tcPr>
          <w:p w:rsidR="007F21E0" w:rsidP="007F21E0" w:rsidRDefault="007F21E0" w14:paraId="31EC12D9" w14:textId="47F6FAEE">
            <w:pPr>
              <w:keepLines/>
              <w:spacing w:before="60" w:after="60"/>
              <w:jc w:val="center"/>
              <w:rPr>
                <w:color w:val="000000"/>
              </w:rPr>
            </w:pPr>
            <w:r w:rsidRPr="007F21E0">
              <w:rPr>
                <w:color w:val="000000"/>
              </w:rPr>
              <w:t>No</w:t>
            </w:r>
          </w:p>
        </w:tc>
      </w:tr>
      <w:tr w:rsidRPr="007F620E" w:rsidR="007F21E0" w:rsidTr="0094188D" w14:paraId="167FCEB6" w14:textId="77777777">
        <w:trPr>
          <w:trHeight w:val="172"/>
          <w:jc w:val="center"/>
        </w:trPr>
        <w:tc>
          <w:tcPr>
            <w:tcW w:w="2692" w:type="dxa"/>
            <w:gridSpan w:val="3"/>
            <w:tcBorders>
              <w:top w:val="single" w:color="auto" w:sz="4" w:space="0"/>
              <w:bottom w:val="single" w:color="auto" w:sz="4" w:space="0"/>
            </w:tcBorders>
          </w:tcPr>
          <w:p w:rsidR="007F21E0" w:rsidP="007F21E0" w:rsidRDefault="007F21E0" w14:paraId="351480FA" w14:textId="6905492F">
            <w:pPr>
              <w:keepLines/>
              <w:spacing w:before="60" w:after="60"/>
              <w:jc w:val="center"/>
              <w:rPr>
                <w:color w:val="000000"/>
              </w:rPr>
            </w:pPr>
            <w:r w:rsidRPr="007F21E0">
              <w:rPr>
                <w:color w:val="000000"/>
              </w:rPr>
              <w:t>Thomas Long</w:t>
            </w:r>
          </w:p>
        </w:tc>
        <w:tc>
          <w:tcPr>
            <w:tcW w:w="1909" w:type="dxa"/>
            <w:gridSpan w:val="3"/>
            <w:tcBorders>
              <w:top w:val="single" w:color="auto" w:sz="4" w:space="0"/>
              <w:bottom w:val="single" w:color="auto" w:sz="4" w:space="0"/>
            </w:tcBorders>
            <w:vAlign w:val="bottom"/>
          </w:tcPr>
          <w:p w:rsidRPr="00301393" w:rsidR="007F21E0" w:rsidP="007F21E0" w:rsidRDefault="007F21E0" w14:paraId="6EA4C32C" w14:textId="0AD59048">
            <w:pPr>
              <w:keepLines/>
              <w:spacing w:before="60" w:after="60"/>
              <w:jc w:val="center"/>
              <w:rPr>
                <w:color w:val="000000"/>
              </w:rPr>
            </w:pPr>
            <w:r w:rsidRPr="007F21E0">
              <w:rPr>
                <w:color w:val="000000"/>
              </w:rPr>
              <w:t>December 1986</w:t>
            </w:r>
          </w:p>
        </w:tc>
        <w:tc>
          <w:tcPr>
            <w:tcW w:w="2291" w:type="dxa"/>
            <w:gridSpan w:val="2"/>
            <w:tcBorders>
              <w:top w:val="single" w:color="auto" w:sz="4" w:space="0"/>
              <w:bottom w:val="single" w:color="auto" w:sz="4" w:space="0"/>
            </w:tcBorders>
            <w:vAlign w:val="bottom"/>
          </w:tcPr>
          <w:p w:rsidRPr="00301393" w:rsidR="007F21E0" w:rsidP="007F21E0" w:rsidRDefault="007F21E0" w14:paraId="41E06359" w14:textId="3E0CC577">
            <w:pPr>
              <w:keepLines/>
              <w:spacing w:before="60" w:after="60"/>
              <w:jc w:val="center"/>
              <w:rPr>
                <w:color w:val="000000"/>
              </w:rPr>
            </w:pPr>
            <w:r w:rsidRPr="007F21E0">
              <w:rPr>
                <w:color w:val="000000"/>
              </w:rPr>
              <w:t>124776</w:t>
            </w:r>
          </w:p>
        </w:tc>
        <w:tc>
          <w:tcPr>
            <w:tcW w:w="4268" w:type="dxa"/>
            <w:gridSpan w:val="4"/>
            <w:tcBorders>
              <w:top w:val="single" w:color="auto" w:sz="4" w:space="0"/>
              <w:bottom w:val="single" w:color="auto" w:sz="4" w:space="0"/>
            </w:tcBorders>
            <w:vAlign w:val="bottom"/>
          </w:tcPr>
          <w:p w:rsidR="007F21E0" w:rsidP="007F21E0" w:rsidRDefault="007F21E0" w14:paraId="58502A9E" w14:textId="0B003FA0">
            <w:pPr>
              <w:keepLines/>
              <w:spacing w:before="60" w:after="60"/>
              <w:jc w:val="center"/>
              <w:rPr>
                <w:color w:val="000000"/>
              </w:rPr>
            </w:pPr>
            <w:r w:rsidRPr="007F21E0">
              <w:rPr>
                <w:color w:val="000000"/>
              </w:rPr>
              <w:t>No</w:t>
            </w:r>
          </w:p>
        </w:tc>
      </w:tr>
      <w:tr w:rsidRPr="007F620E" w:rsidR="00625B30" w:rsidTr="0094188D" w14:paraId="168D4714" w14:textId="77777777">
        <w:trPr>
          <w:trHeight w:val="172"/>
          <w:jc w:val="center"/>
        </w:trPr>
        <w:tc>
          <w:tcPr>
            <w:tcW w:w="2692" w:type="dxa"/>
            <w:gridSpan w:val="3"/>
            <w:tcBorders>
              <w:top w:val="single" w:color="auto" w:sz="4" w:space="0"/>
              <w:bottom w:val="single" w:color="auto" w:sz="4" w:space="0"/>
            </w:tcBorders>
          </w:tcPr>
          <w:p w:rsidRPr="007F620E" w:rsidR="00625B30" w:rsidP="0036244B" w:rsidRDefault="00625B30" w14:paraId="669E319D" w14:textId="77777777">
            <w:pPr>
              <w:spacing w:before="60" w:after="60"/>
              <w:jc w:val="center"/>
              <w:rPr>
                <w:color w:val="000000"/>
              </w:rPr>
            </w:pPr>
            <w:r>
              <w:rPr>
                <w:color w:val="000000"/>
              </w:rPr>
              <w:t>Robert Finkelstein</w:t>
            </w:r>
          </w:p>
        </w:tc>
        <w:tc>
          <w:tcPr>
            <w:tcW w:w="1909" w:type="dxa"/>
            <w:gridSpan w:val="3"/>
            <w:tcBorders>
              <w:top w:val="single" w:color="auto" w:sz="4" w:space="0"/>
              <w:bottom w:val="single" w:color="auto" w:sz="4" w:space="0"/>
            </w:tcBorders>
          </w:tcPr>
          <w:p w:rsidRPr="00301393" w:rsidR="00625B30" w:rsidP="0036244B" w:rsidRDefault="00625B30" w14:paraId="5DE2360A" w14:textId="77777777">
            <w:pPr>
              <w:spacing w:before="60" w:after="60"/>
              <w:jc w:val="center"/>
              <w:rPr>
                <w:color w:val="000000"/>
              </w:rPr>
            </w:pPr>
            <w:r w:rsidRPr="00301393">
              <w:rPr>
                <w:color w:val="000000"/>
              </w:rPr>
              <w:t>June 1990</w:t>
            </w:r>
          </w:p>
        </w:tc>
        <w:tc>
          <w:tcPr>
            <w:tcW w:w="2291" w:type="dxa"/>
            <w:gridSpan w:val="2"/>
            <w:tcBorders>
              <w:top w:val="single" w:color="auto" w:sz="4" w:space="0"/>
              <w:bottom w:val="single" w:color="auto" w:sz="4" w:space="0"/>
            </w:tcBorders>
          </w:tcPr>
          <w:p w:rsidRPr="00301393" w:rsidR="00625B30" w:rsidP="0036244B" w:rsidRDefault="00625B30" w14:paraId="4A400DF3" w14:textId="77777777">
            <w:pPr>
              <w:spacing w:before="60" w:after="60"/>
              <w:jc w:val="center"/>
              <w:rPr>
                <w:color w:val="000000"/>
              </w:rPr>
            </w:pPr>
            <w:r w:rsidRPr="00301393">
              <w:rPr>
                <w:color w:val="000000"/>
              </w:rPr>
              <w:t>146391</w:t>
            </w:r>
          </w:p>
        </w:tc>
        <w:tc>
          <w:tcPr>
            <w:tcW w:w="4268" w:type="dxa"/>
            <w:gridSpan w:val="4"/>
            <w:tcBorders>
              <w:top w:val="single" w:color="auto" w:sz="4" w:space="0"/>
              <w:bottom w:val="single" w:color="auto" w:sz="4" w:space="0"/>
            </w:tcBorders>
          </w:tcPr>
          <w:p w:rsidRPr="007F620E" w:rsidR="00625B30" w:rsidP="0036244B" w:rsidRDefault="00625B30" w14:paraId="166407D5" w14:textId="77777777">
            <w:pPr>
              <w:spacing w:before="60" w:after="60"/>
              <w:jc w:val="center"/>
              <w:rPr>
                <w:color w:val="000000"/>
              </w:rPr>
            </w:pPr>
            <w:r>
              <w:rPr>
                <w:color w:val="000000"/>
              </w:rPr>
              <w:t>No</w:t>
            </w:r>
          </w:p>
        </w:tc>
      </w:tr>
    </w:tbl>
    <w:p w:rsidR="00625B30" w:rsidP="00625B30" w:rsidRDefault="00625B30" w14:paraId="0F67090A" w14:textId="77777777">
      <w:pPr>
        <w:rPr>
          <w:b/>
          <w:color w:val="000000"/>
        </w:rPr>
      </w:pPr>
    </w:p>
    <w:p w:rsidRPr="00981C3E" w:rsidR="00625B30" w:rsidP="00981C3E" w:rsidRDefault="00981C3E" w14:paraId="7E93547F" w14:textId="00B55349">
      <w:pPr>
        <w:keepNext/>
        <w:spacing w:before="240"/>
        <w:rPr>
          <w:b/>
          <w:color w:val="000000"/>
        </w:rPr>
      </w:pPr>
      <w:r>
        <w:rPr>
          <w:b/>
          <w:color w:val="000000"/>
        </w:rPr>
        <w:lastRenderedPageBreak/>
        <w:t xml:space="preserve">C. </w:t>
      </w:r>
      <w:r w:rsidRPr="00981C3E" w:rsidR="00625B30">
        <w:rPr>
          <w:b/>
          <w:color w:val="000000"/>
        </w:rPr>
        <w:t>Attachments</w:t>
      </w:r>
      <w:r w:rsidRPr="00981C3E" w:rsidR="00625B30">
        <w:rPr>
          <w:b/>
        </w:rPr>
        <w:t xml:space="preserve"> Documenting Specific Claim and Comments on Part III:</w:t>
      </w:r>
      <w:r w:rsidR="004B6DA8">
        <w:rPr>
          <w:rStyle w:val="FootnoteReference"/>
          <w:b/>
        </w:rPr>
        <w:footnoteReference w:id="3"/>
      </w:r>
    </w:p>
    <w:p w:rsidRPr="004B6DA8" w:rsidR="004B6DA8" w:rsidP="00981C3E" w:rsidRDefault="004B6DA8" w14:paraId="2FD71EA3" w14:textId="77777777">
      <w:pPr>
        <w:pStyle w:val="ListParagraph"/>
        <w:keepNext/>
        <w:rPr>
          <w:b/>
          <w:color w:val="000000"/>
        </w:rPr>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1795"/>
        <w:gridCol w:w="7565"/>
      </w:tblGrid>
      <w:tr w:rsidRPr="007F620E" w:rsidR="00625B30" w:rsidTr="0036244B" w14:paraId="1D1D972E" w14:textId="77777777">
        <w:trPr>
          <w:tblHeader/>
        </w:trPr>
        <w:tc>
          <w:tcPr>
            <w:tcW w:w="1795" w:type="dxa"/>
            <w:shd w:val="clear" w:color="auto" w:fill="D9D9D9" w:themeFill="background1" w:themeFillShade="D9"/>
            <w:vAlign w:val="bottom"/>
          </w:tcPr>
          <w:p w:rsidRPr="007F620E" w:rsidR="00625B30" w:rsidP="00625B30" w:rsidRDefault="00625B30" w14:paraId="272B427F" w14:textId="77777777">
            <w:pPr>
              <w:tabs>
                <w:tab w:val="left" w:pos="1260"/>
              </w:tabs>
              <w:jc w:val="center"/>
              <w:rPr>
                <w:b/>
                <w:color w:val="000000"/>
              </w:rPr>
            </w:pPr>
            <w:r w:rsidRPr="007F620E">
              <w:rPr>
                <w:b/>
                <w:color w:val="000000"/>
              </w:rPr>
              <w:t xml:space="preserve">Attachment or </w:t>
            </w:r>
            <w:proofErr w:type="gramStart"/>
            <w:r w:rsidRPr="007F620E">
              <w:rPr>
                <w:b/>
                <w:color w:val="000000"/>
              </w:rPr>
              <w:t>Comment  #</w:t>
            </w:r>
            <w:proofErr w:type="gramEnd"/>
          </w:p>
        </w:tc>
        <w:tc>
          <w:tcPr>
            <w:tcW w:w="7565" w:type="dxa"/>
            <w:tcBorders>
              <w:bottom w:val="single" w:color="auto" w:sz="4" w:space="0"/>
            </w:tcBorders>
            <w:shd w:val="clear" w:color="auto" w:fill="D9D9D9" w:themeFill="background1" w:themeFillShade="D9"/>
            <w:vAlign w:val="bottom"/>
          </w:tcPr>
          <w:p w:rsidRPr="007F620E" w:rsidR="00625B30" w:rsidP="00625B30" w:rsidRDefault="00625B30" w14:paraId="41A2C99E" w14:textId="77777777">
            <w:pPr>
              <w:tabs>
                <w:tab w:val="left" w:pos="1260"/>
              </w:tabs>
              <w:jc w:val="center"/>
              <w:rPr>
                <w:b/>
                <w:color w:val="000000"/>
              </w:rPr>
            </w:pPr>
            <w:r w:rsidRPr="007F620E">
              <w:rPr>
                <w:b/>
                <w:color w:val="000000"/>
              </w:rPr>
              <w:t>Description/Comment</w:t>
            </w:r>
          </w:p>
        </w:tc>
      </w:tr>
      <w:tr w:rsidRPr="001C0DD1" w:rsidR="00625B30" w:rsidTr="009F11CE" w14:paraId="511D5E65" w14:textId="77777777">
        <w:tc>
          <w:tcPr>
            <w:tcW w:w="1795" w:type="dxa"/>
            <w:tcBorders>
              <w:bottom w:val="single" w:color="auto" w:sz="4" w:space="0"/>
            </w:tcBorders>
          </w:tcPr>
          <w:p w:rsidRPr="007F620E" w:rsidR="00625B30" w:rsidP="00625B30" w:rsidRDefault="00625B30" w14:paraId="133D7EF4" w14:textId="77777777">
            <w:pPr>
              <w:tabs>
                <w:tab w:val="left" w:pos="1260"/>
              </w:tabs>
              <w:rPr>
                <w:color w:val="000000"/>
              </w:rPr>
            </w:pPr>
            <w:r>
              <w:rPr>
                <w:color w:val="000000"/>
              </w:rPr>
              <w:t xml:space="preserve">Attachment </w:t>
            </w:r>
            <w:r w:rsidRPr="007F620E">
              <w:rPr>
                <w:color w:val="000000"/>
              </w:rPr>
              <w:t>1</w:t>
            </w:r>
          </w:p>
        </w:tc>
        <w:tc>
          <w:tcPr>
            <w:tcW w:w="7565" w:type="dxa"/>
            <w:tcBorders>
              <w:bottom w:val="single" w:color="auto" w:sz="4" w:space="0"/>
            </w:tcBorders>
          </w:tcPr>
          <w:p w:rsidRPr="001C0DD1" w:rsidR="00625B30" w:rsidP="00625B30" w:rsidRDefault="00625B30" w14:paraId="393C15CE" w14:textId="77777777">
            <w:pPr>
              <w:tabs>
                <w:tab w:val="left" w:pos="1260"/>
              </w:tabs>
              <w:rPr>
                <w:color w:val="000000"/>
              </w:rPr>
            </w:pPr>
            <w:r w:rsidRPr="001C0DD1">
              <w:rPr>
                <w:color w:val="000000"/>
              </w:rPr>
              <w:t>Certificate of Service</w:t>
            </w:r>
          </w:p>
        </w:tc>
      </w:tr>
      <w:tr w:rsidRPr="007F620E" w:rsidR="00625B30" w:rsidTr="009F11CE" w14:paraId="2F2DE0C1" w14:textId="77777777">
        <w:tc>
          <w:tcPr>
            <w:tcW w:w="1795" w:type="dxa"/>
          </w:tcPr>
          <w:p w:rsidRPr="007F620E" w:rsidR="00625B30" w:rsidP="00625B30" w:rsidRDefault="00625B30" w14:paraId="6EBB2B5F" w14:textId="77777777">
            <w:pPr>
              <w:tabs>
                <w:tab w:val="left" w:pos="1260"/>
              </w:tabs>
              <w:rPr>
                <w:color w:val="000000"/>
              </w:rPr>
            </w:pPr>
            <w:r>
              <w:rPr>
                <w:color w:val="000000"/>
              </w:rPr>
              <w:t>Attachment 2</w:t>
            </w:r>
          </w:p>
        </w:tc>
        <w:tc>
          <w:tcPr>
            <w:tcW w:w="7565" w:type="dxa"/>
          </w:tcPr>
          <w:p w:rsidRPr="007F620E" w:rsidR="00625B30" w:rsidP="00625B30" w:rsidRDefault="00625B30" w14:paraId="1D7BBDD2" w14:textId="77777777">
            <w:pPr>
              <w:tabs>
                <w:tab w:val="left" w:pos="1260"/>
              </w:tabs>
              <w:rPr>
                <w:b/>
                <w:color w:val="000000"/>
              </w:rPr>
            </w:pPr>
            <w:r>
              <w:rPr>
                <w:bCs/>
                <w:color w:val="000000"/>
              </w:rPr>
              <w:t>Timesheets for TURN Attorneys/Experts</w:t>
            </w:r>
          </w:p>
        </w:tc>
      </w:tr>
      <w:tr w:rsidRPr="007F620E" w:rsidR="00625B30" w:rsidTr="009F11CE" w14:paraId="2D89A3DF" w14:textId="77777777">
        <w:tc>
          <w:tcPr>
            <w:tcW w:w="1795" w:type="dxa"/>
          </w:tcPr>
          <w:p w:rsidR="00625B30" w:rsidP="00625B30" w:rsidRDefault="00625B30" w14:paraId="0E142030" w14:textId="77777777">
            <w:pPr>
              <w:tabs>
                <w:tab w:val="left" w:pos="1260"/>
              </w:tabs>
              <w:rPr>
                <w:color w:val="000000"/>
              </w:rPr>
            </w:pPr>
            <w:r>
              <w:rPr>
                <w:color w:val="000000"/>
              </w:rPr>
              <w:t>Attachment 3</w:t>
            </w:r>
          </w:p>
        </w:tc>
        <w:tc>
          <w:tcPr>
            <w:tcW w:w="7565" w:type="dxa"/>
          </w:tcPr>
          <w:p w:rsidRPr="007F620E" w:rsidR="00625B30" w:rsidP="00625B30" w:rsidRDefault="00625B30" w14:paraId="35237D46" w14:textId="77777777">
            <w:pPr>
              <w:tabs>
                <w:tab w:val="left" w:pos="1260"/>
              </w:tabs>
              <w:rPr>
                <w:b/>
                <w:color w:val="000000"/>
              </w:rPr>
            </w:pPr>
            <w:r>
              <w:rPr>
                <w:bCs/>
                <w:color w:val="000000"/>
              </w:rPr>
              <w:t>TURN hours allocated by issue</w:t>
            </w:r>
          </w:p>
        </w:tc>
      </w:tr>
    </w:tbl>
    <w:p w:rsidR="00981C3E" w:rsidP="00981C3E" w:rsidRDefault="00981C3E" w14:paraId="2F8B5E94" w14:textId="77777777">
      <w:pPr>
        <w:keepNext/>
        <w:contextualSpacing/>
        <w:rPr>
          <w:b/>
          <w:color w:val="000000"/>
        </w:rPr>
      </w:pPr>
    </w:p>
    <w:p w:rsidR="00981C3E" w:rsidP="00981C3E" w:rsidRDefault="00981C3E" w14:paraId="0191EB2C" w14:textId="4B700F0A">
      <w:pPr>
        <w:keepNext/>
        <w:spacing w:before="240" w:after="240"/>
        <w:contextualSpacing/>
        <w:rPr>
          <w:b/>
          <w:color w:val="000000"/>
        </w:rPr>
      </w:pPr>
      <w:r>
        <w:rPr>
          <w:b/>
          <w:color w:val="000000"/>
        </w:rPr>
        <w:t xml:space="preserve">D. </w:t>
      </w:r>
      <w:r w:rsidRPr="00981C3E" w:rsidR="00625B30">
        <w:rPr>
          <w:b/>
          <w:color w:val="000000"/>
        </w:rPr>
        <w:t xml:space="preserve">CPUC Comments, Disallowances, and Adjustments </w:t>
      </w:r>
    </w:p>
    <w:p w:rsidRPr="00981C3E" w:rsidR="00981C3E" w:rsidP="00981C3E" w:rsidRDefault="00981C3E" w14:paraId="189213FD" w14:textId="77777777">
      <w:pPr>
        <w:keepNext/>
        <w:rPr>
          <w:b/>
          <w:color w:val="000000"/>
        </w:rPr>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1603"/>
        <w:gridCol w:w="7757"/>
      </w:tblGrid>
      <w:tr w:rsidRPr="007F620E" w:rsidR="00625B30" w:rsidTr="00E65B3C" w14:paraId="59CFEA0C" w14:textId="77777777">
        <w:trPr>
          <w:tblHeader/>
        </w:trPr>
        <w:tc>
          <w:tcPr>
            <w:tcW w:w="1603" w:type="dxa"/>
            <w:shd w:val="pct12" w:color="auto" w:fill="auto"/>
          </w:tcPr>
          <w:p w:rsidRPr="007F620E" w:rsidR="00625B30" w:rsidP="0036244B" w:rsidRDefault="00625B30" w14:paraId="6DD51BEB" w14:textId="77777777">
            <w:pPr>
              <w:tabs>
                <w:tab w:val="left" w:pos="1440"/>
              </w:tabs>
              <w:jc w:val="center"/>
              <w:rPr>
                <w:b/>
                <w:color w:val="000000"/>
              </w:rPr>
            </w:pPr>
            <w:r w:rsidRPr="007F620E">
              <w:rPr>
                <w:b/>
                <w:color w:val="000000"/>
              </w:rPr>
              <w:t>Item</w:t>
            </w:r>
          </w:p>
        </w:tc>
        <w:tc>
          <w:tcPr>
            <w:tcW w:w="7757" w:type="dxa"/>
            <w:shd w:val="pct12" w:color="auto" w:fill="auto"/>
          </w:tcPr>
          <w:p w:rsidRPr="007F620E" w:rsidR="00625B30" w:rsidP="0036244B" w:rsidRDefault="00625B30" w14:paraId="239D04DA" w14:textId="77777777">
            <w:pPr>
              <w:tabs>
                <w:tab w:val="left" w:pos="1440"/>
              </w:tabs>
              <w:jc w:val="center"/>
              <w:rPr>
                <w:b/>
                <w:color w:val="000000"/>
              </w:rPr>
            </w:pPr>
            <w:r w:rsidRPr="007F620E">
              <w:rPr>
                <w:b/>
                <w:color w:val="000000"/>
              </w:rPr>
              <w:t>Reason</w:t>
            </w:r>
          </w:p>
        </w:tc>
      </w:tr>
      <w:tr w:rsidRPr="007F620E" w:rsidR="00E65B3C" w:rsidTr="00E65B3C" w14:paraId="7AB89D0E" w14:textId="77777777">
        <w:tc>
          <w:tcPr>
            <w:tcW w:w="1603" w:type="dxa"/>
          </w:tcPr>
          <w:p w:rsidR="00E65B3C" w:rsidP="0036244B" w:rsidRDefault="00106844" w14:paraId="0E6E5009" w14:textId="5DD30193">
            <w:pPr>
              <w:tabs>
                <w:tab w:val="left" w:pos="1440"/>
              </w:tabs>
              <w:rPr>
                <w:color w:val="000000"/>
              </w:rPr>
            </w:pPr>
            <w:r>
              <w:rPr>
                <w:color w:val="000000"/>
              </w:rPr>
              <w:t xml:space="preserve">[1] </w:t>
            </w:r>
            <w:r w:rsidR="00E65B3C">
              <w:rPr>
                <w:color w:val="000000"/>
              </w:rPr>
              <w:t>David Cheng 2024 Hourly Rate</w:t>
            </w:r>
            <w:r w:rsidR="00D05906">
              <w:rPr>
                <w:color w:val="000000"/>
              </w:rPr>
              <w:t xml:space="preserve"> and 2024 </w:t>
            </w:r>
            <w:r w:rsidR="0028779C">
              <w:rPr>
                <w:color w:val="000000"/>
              </w:rPr>
              <w:t>Intervenor Compensation Preparation Hourly Rate</w:t>
            </w:r>
          </w:p>
        </w:tc>
        <w:tc>
          <w:tcPr>
            <w:tcW w:w="7757" w:type="dxa"/>
          </w:tcPr>
          <w:p w:rsidR="00E65B3C" w:rsidP="00E65B3C" w:rsidRDefault="00E65B3C" w14:paraId="1A73D95F" w14:textId="49D338C6">
            <w:pPr>
              <w:tabs>
                <w:tab w:val="left" w:pos="1440"/>
              </w:tabs>
              <w:rPr>
                <w:color w:val="000000"/>
              </w:rPr>
            </w:pPr>
            <w:r w:rsidRPr="00E65B3C">
              <w:rPr>
                <w:color w:val="000000"/>
              </w:rPr>
              <w:t>D.24-06-021</w:t>
            </w:r>
            <w:r>
              <w:rPr>
                <w:color w:val="000000"/>
              </w:rPr>
              <w:t xml:space="preserve"> verified a 2024 rate of $525.00 for David Cheng as a Legal – Attorney – IV. We find this rate to be reasonable and </w:t>
            </w:r>
            <w:r w:rsidR="006F65A8">
              <w:rPr>
                <w:color w:val="000000"/>
              </w:rPr>
              <w:t>apply</w:t>
            </w:r>
            <w:r>
              <w:rPr>
                <w:color w:val="000000"/>
              </w:rPr>
              <w:t xml:space="preserve"> it here. </w:t>
            </w:r>
          </w:p>
          <w:p w:rsidR="00A34371" w:rsidP="00E65B3C" w:rsidRDefault="00A34371" w14:paraId="004A2451" w14:textId="77777777">
            <w:pPr>
              <w:tabs>
                <w:tab w:val="left" w:pos="1440"/>
              </w:tabs>
              <w:rPr>
                <w:color w:val="000000"/>
              </w:rPr>
            </w:pPr>
          </w:p>
          <w:p w:rsidRPr="00E65B3C" w:rsidR="00A34371" w:rsidP="00E65B3C" w:rsidRDefault="00A34371" w14:paraId="6CAB54EE" w14:textId="0DFED5C5">
            <w:pPr>
              <w:tabs>
                <w:tab w:val="left" w:pos="1440"/>
              </w:tabs>
              <w:rPr>
                <w:color w:val="000000"/>
              </w:rPr>
            </w:pPr>
            <w:r>
              <w:rPr>
                <w:color w:val="000000"/>
              </w:rPr>
              <w:t xml:space="preserve">We take one half the </w:t>
            </w:r>
            <w:r w:rsidR="00B367EC">
              <w:rPr>
                <w:color w:val="000000"/>
              </w:rPr>
              <w:t>approved</w:t>
            </w:r>
            <w:r>
              <w:rPr>
                <w:color w:val="000000"/>
              </w:rPr>
              <w:t xml:space="preserve"> rate for an intervenor compensation preparation rate of $</w:t>
            </w:r>
            <w:r w:rsidR="00DC1B1B">
              <w:rPr>
                <w:color w:val="000000"/>
              </w:rPr>
              <w:t>2</w:t>
            </w:r>
            <w:r>
              <w:rPr>
                <w:color w:val="000000"/>
              </w:rPr>
              <w:t>62.50 and adopt it here.</w:t>
            </w:r>
          </w:p>
          <w:p w:rsidR="00E65B3C" w:rsidP="0036244B" w:rsidRDefault="00E65B3C" w14:paraId="39011CBF" w14:textId="77777777">
            <w:pPr>
              <w:tabs>
                <w:tab w:val="left" w:pos="1440"/>
              </w:tabs>
              <w:rPr>
                <w:color w:val="000000"/>
              </w:rPr>
            </w:pPr>
          </w:p>
        </w:tc>
      </w:tr>
      <w:tr w:rsidRPr="007F620E" w:rsidR="00730EEB" w:rsidTr="00E65B3C" w14:paraId="14AB109B" w14:textId="77777777">
        <w:tc>
          <w:tcPr>
            <w:tcW w:w="1603" w:type="dxa"/>
          </w:tcPr>
          <w:p w:rsidR="00730EEB" w:rsidP="00730EEB" w:rsidRDefault="00730EEB" w14:paraId="1DC06B2D" w14:textId="03FEF886">
            <w:pPr>
              <w:tabs>
                <w:tab w:val="left" w:pos="1440"/>
              </w:tabs>
              <w:rPr>
                <w:color w:val="000000"/>
              </w:rPr>
            </w:pPr>
            <w:r>
              <w:rPr>
                <w:color w:val="000000"/>
              </w:rPr>
              <w:t>[2] Robert Finkelstein 2024 Hourly Rate</w:t>
            </w:r>
          </w:p>
        </w:tc>
        <w:tc>
          <w:tcPr>
            <w:tcW w:w="7757" w:type="dxa"/>
          </w:tcPr>
          <w:p w:rsidR="00730EEB" w:rsidP="00730EEB" w:rsidRDefault="00730EEB" w14:paraId="79DC54B8" w14:textId="6790D032">
            <w:pPr>
              <w:tabs>
                <w:tab w:val="left" w:pos="1440"/>
              </w:tabs>
              <w:rPr>
                <w:color w:val="000000"/>
              </w:rPr>
            </w:pPr>
            <w:r>
              <w:rPr>
                <w:color w:val="000000"/>
              </w:rPr>
              <w:t xml:space="preserve">D.26-02-022 verified a 2024 rate of $875.00 for Robert Finkelstein as a Legal – Legal Director – V. We find this rate to be reasonable and apply it here. </w:t>
            </w:r>
          </w:p>
        </w:tc>
      </w:tr>
      <w:tr w:rsidRPr="007F620E" w:rsidR="00730EEB" w:rsidTr="00E65B3C" w14:paraId="03B5C5F3" w14:textId="77777777">
        <w:tc>
          <w:tcPr>
            <w:tcW w:w="1603" w:type="dxa"/>
          </w:tcPr>
          <w:p w:rsidR="00730EEB" w:rsidP="00730EEB" w:rsidRDefault="00730EEB" w14:paraId="4FE4E3A0" w14:textId="0A592385">
            <w:pPr>
              <w:tabs>
                <w:tab w:val="left" w:pos="1440"/>
              </w:tabs>
              <w:rPr>
                <w:color w:val="000000"/>
              </w:rPr>
            </w:pPr>
            <w:r>
              <w:rPr>
                <w:color w:val="000000"/>
              </w:rPr>
              <w:t xml:space="preserve">[3] Thomas Long 2024 Hourly Rate </w:t>
            </w:r>
          </w:p>
        </w:tc>
        <w:tc>
          <w:tcPr>
            <w:tcW w:w="7757" w:type="dxa"/>
          </w:tcPr>
          <w:p w:rsidR="00730EEB" w:rsidP="00730EEB" w:rsidRDefault="00730EEB" w14:paraId="1AFD5515" w14:textId="18B46B01">
            <w:pPr>
              <w:tabs>
                <w:tab w:val="left" w:pos="1440"/>
              </w:tabs>
              <w:rPr>
                <w:color w:val="000000"/>
              </w:rPr>
            </w:pPr>
            <w:r>
              <w:rPr>
                <w:color w:val="000000"/>
              </w:rPr>
              <w:t>D.26-02-022 verified a rate of $860.00 for Thomas Long as a Legal – Legal Director – IV. We find this rate to be reasonable and apply it here.</w:t>
            </w:r>
          </w:p>
        </w:tc>
      </w:tr>
      <w:tr w:rsidRPr="007F620E" w:rsidR="00625B30" w:rsidTr="00E65B3C" w14:paraId="2C987839" w14:textId="77777777">
        <w:tc>
          <w:tcPr>
            <w:tcW w:w="1603" w:type="dxa"/>
          </w:tcPr>
          <w:p w:rsidRPr="007F620E" w:rsidR="00625B30" w:rsidP="0036244B" w:rsidRDefault="00F03583" w14:paraId="1852B9CF" w14:textId="1FE3AF20">
            <w:pPr>
              <w:tabs>
                <w:tab w:val="left" w:pos="1440"/>
              </w:tabs>
              <w:rPr>
                <w:color w:val="000000"/>
              </w:rPr>
            </w:pPr>
            <w:r>
              <w:rPr>
                <w:color w:val="000000"/>
              </w:rPr>
              <w:t>[</w:t>
            </w:r>
            <w:r w:rsidR="00CB231D">
              <w:rPr>
                <w:color w:val="000000"/>
              </w:rPr>
              <w:t>4</w:t>
            </w:r>
            <w:r>
              <w:rPr>
                <w:color w:val="000000"/>
              </w:rPr>
              <w:t xml:space="preserve">] </w:t>
            </w:r>
            <w:r w:rsidR="00D464C5">
              <w:rPr>
                <w:color w:val="000000"/>
              </w:rPr>
              <w:t xml:space="preserve">Reina </w:t>
            </w:r>
            <w:proofErr w:type="spellStart"/>
            <w:r w:rsidR="00D464C5">
              <w:rPr>
                <w:color w:val="000000"/>
              </w:rPr>
              <w:t>Yanagiba</w:t>
            </w:r>
            <w:proofErr w:type="spellEnd"/>
            <w:r w:rsidR="00D464C5">
              <w:rPr>
                <w:color w:val="000000"/>
              </w:rPr>
              <w:t xml:space="preserve"> </w:t>
            </w:r>
            <w:r w:rsidR="00E76818">
              <w:rPr>
                <w:color w:val="000000"/>
              </w:rPr>
              <w:t xml:space="preserve">2025 </w:t>
            </w:r>
            <w:r w:rsidR="00D464C5">
              <w:rPr>
                <w:color w:val="000000"/>
              </w:rPr>
              <w:t xml:space="preserve">Intervenor Compensation Preparation </w:t>
            </w:r>
            <w:r w:rsidR="00E65B3C">
              <w:rPr>
                <w:color w:val="000000"/>
              </w:rPr>
              <w:t xml:space="preserve">Hourly </w:t>
            </w:r>
            <w:r w:rsidR="00D464C5">
              <w:rPr>
                <w:color w:val="000000"/>
              </w:rPr>
              <w:t>Rate</w:t>
            </w:r>
          </w:p>
        </w:tc>
        <w:tc>
          <w:tcPr>
            <w:tcW w:w="7757" w:type="dxa"/>
          </w:tcPr>
          <w:p w:rsidR="00D6374A" w:rsidP="0036244B" w:rsidRDefault="00D464C5" w14:paraId="74CB38D4" w14:textId="22869BC1">
            <w:pPr>
              <w:tabs>
                <w:tab w:val="left" w:pos="1440"/>
              </w:tabs>
              <w:rPr>
                <w:color w:val="000000"/>
              </w:rPr>
            </w:pPr>
            <w:r>
              <w:rPr>
                <w:color w:val="000000"/>
              </w:rPr>
              <w:t xml:space="preserve">D.24-06-021 verified a rate of $100.00 for Reina </w:t>
            </w:r>
            <w:proofErr w:type="spellStart"/>
            <w:r>
              <w:rPr>
                <w:color w:val="000000"/>
              </w:rPr>
              <w:t>Yanagiba</w:t>
            </w:r>
            <w:proofErr w:type="spellEnd"/>
            <w:r>
              <w:rPr>
                <w:color w:val="000000"/>
              </w:rPr>
              <w:t xml:space="preserve"> as a Legal – Paralegal – I. </w:t>
            </w:r>
            <w:r w:rsidR="00D6374A">
              <w:rPr>
                <w:color w:val="000000"/>
              </w:rPr>
              <w:t xml:space="preserve">At the time of filing, Reina </w:t>
            </w:r>
            <w:proofErr w:type="spellStart"/>
            <w:r w:rsidR="00D6374A">
              <w:rPr>
                <w:color w:val="000000"/>
              </w:rPr>
              <w:t>Yanagiba</w:t>
            </w:r>
            <w:proofErr w:type="spellEnd"/>
            <w:r w:rsidR="00D6374A">
              <w:rPr>
                <w:color w:val="000000"/>
              </w:rPr>
              <w:t xml:space="preserve"> qualifies </w:t>
            </w:r>
            <w:r w:rsidR="003D1653">
              <w:rPr>
                <w:color w:val="000000"/>
              </w:rPr>
              <w:t xml:space="preserve">for </w:t>
            </w:r>
            <w:r w:rsidR="00D6374A">
              <w:rPr>
                <w:color w:val="000000"/>
              </w:rPr>
              <w:t>Legal – Paralegal</w:t>
            </w:r>
            <w:r w:rsidR="00F17277">
              <w:rPr>
                <w:color w:val="000000"/>
              </w:rPr>
              <w:t xml:space="preserve"> – </w:t>
            </w:r>
            <w:r w:rsidR="00D6374A">
              <w:rPr>
                <w:color w:val="000000"/>
              </w:rPr>
              <w:t>II with a</w:t>
            </w:r>
            <w:r w:rsidR="000E7F5B">
              <w:rPr>
                <w:color w:val="000000"/>
              </w:rPr>
              <w:t xml:space="preserve"> 2025</w:t>
            </w:r>
            <w:r w:rsidR="00D6374A">
              <w:rPr>
                <w:color w:val="000000"/>
              </w:rPr>
              <w:t xml:space="preserve"> rate range of $123.36 to </w:t>
            </w:r>
            <w:r w:rsidR="00B201B9">
              <w:rPr>
                <w:color w:val="000000"/>
              </w:rPr>
              <w:t>$</w:t>
            </w:r>
            <w:r w:rsidR="00D6374A">
              <w:rPr>
                <w:color w:val="000000"/>
              </w:rPr>
              <w:t xml:space="preserve">184.32. We find the requested </w:t>
            </w:r>
            <w:r w:rsidR="00B201B9">
              <w:rPr>
                <w:color w:val="000000"/>
              </w:rPr>
              <w:t xml:space="preserve">rate of $125.00 to be reasonable and adopt it here. </w:t>
            </w:r>
          </w:p>
          <w:p w:rsidR="006F65A8" w:rsidP="0036244B" w:rsidRDefault="006F65A8" w14:paraId="3DA99BBB" w14:textId="77777777">
            <w:pPr>
              <w:tabs>
                <w:tab w:val="left" w:pos="1440"/>
              </w:tabs>
              <w:rPr>
                <w:color w:val="000000"/>
              </w:rPr>
            </w:pPr>
          </w:p>
          <w:p w:rsidRPr="007F620E" w:rsidR="00B201B9" w:rsidP="0036244B" w:rsidRDefault="00B201B9" w14:paraId="38AEFFCF" w14:textId="482107C4">
            <w:pPr>
              <w:tabs>
                <w:tab w:val="left" w:pos="1440"/>
              </w:tabs>
              <w:rPr>
                <w:color w:val="000000"/>
              </w:rPr>
            </w:pPr>
            <w:r>
              <w:rPr>
                <w:color w:val="000000"/>
              </w:rPr>
              <w:t xml:space="preserve">We take one half the requested rate for an intervenor compensation preparation rate of $62.50 and adopt it here. </w:t>
            </w:r>
          </w:p>
        </w:tc>
      </w:tr>
    </w:tbl>
    <w:p w:rsidRPr="007F620E" w:rsidR="00ED55FC" w:rsidP="00ED55FC" w:rsidRDefault="00ED55FC" w14:paraId="7D44E1A1" w14:textId="430CEE66">
      <w:pPr>
        <w:keepNext/>
        <w:tabs>
          <w:tab w:val="left" w:pos="1260"/>
        </w:tabs>
        <w:spacing w:before="480"/>
        <w:jc w:val="center"/>
        <w:rPr>
          <w:b/>
          <w:color w:val="000000"/>
        </w:rPr>
      </w:pPr>
      <w:r w:rsidRPr="007F620E">
        <w:rPr>
          <w:b/>
          <w:color w:val="000000"/>
        </w:rPr>
        <w:lastRenderedPageBreak/>
        <w:t>PART IV</w:t>
      </w:r>
      <w:proofErr w:type="gramStart"/>
      <w:r w:rsidRPr="007F620E">
        <w:rPr>
          <w:b/>
          <w:color w:val="000000"/>
        </w:rPr>
        <w:t>:</w:t>
      </w:r>
      <w:r>
        <w:rPr>
          <w:b/>
          <w:color w:val="000000"/>
        </w:rPr>
        <w:t xml:space="preserve">  </w:t>
      </w:r>
      <w:r w:rsidRPr="007F620E">
        <w:rPr>
          <w:b/>
          <w:color w:val="000000"/>
        </w:rPr>
        <w:t>OPPOSITIONS</w:t>
      </w:r>
      <w:proofErr w:type="gramEnd"/>
      <w:r w:rsidRPr="007F620E">
        <w:rPr>
          <w:b/>
          <w:color w:val="000000"/>
        </w:rPr>
        <w:t xml:space="preserve"> AND COMMENTS</w:t>
      </w:r>
    </w:p>
    <w:p w:rsidR="00ED55FC" w:rsidP="00ED55FC" w:rsidRDefault="00ED55FC" w14:paraId="5690C7A9" w14:textId="77777777">
      <w:pPr>
        <w:keepNext/>
        <w:tabs>
          <w:tab w:val="left" w:pos="1260"/>
        </w:tabs>
        <w:ind w:left="1267" w:hanging="1267"/>
        <w:jc w:val="center"/>
        <w:rPr>
          <w:b/>
          <w:color w:val="000000"/>
        </w:rPr>
      </w:pPr>
      <w:r w:rsidRPr="007F620E">
        <w:rPr>
          <w:b/>
          <w:color w:val="000000"/>
        </w:rPr>
        <w:t>Within 30 days after service of this Claim, Commission Staff</w:t>
      </w:r>
    </w:p>
    <w:p w:rsidRPr="007F620E" w:rsidR="00ED55FC" w:rsidP="00ED55FC" w:rsidRDefault="00ED55FC" w14:paraId="0B488713" w14:textId="77777777">
      <w:pPr>
        <w:keepNext/>
        <w:tabs>
          <w:tab w:val="left" w:pos="1260"/>
        </w:tabs>
        <w:spacing w:after="240"/>
        <w:ind w:left="1267" w:hanging="1267"/>
        <w:jc w:val="center"/>
        <w:rPr>
          <w:b/>
          <w:color w:val="000000"/>
        </w:rPr>
      </w:pPr>
      <w:r>
        <w:rPr>
          <w:b/>
          <w:color w:val="000000"/>
        </w:rPr>
        <w:t xml:space="preserve"> </w:t>
      </w:r>
      <w:r w:rsidRPr="007F620E">
        <w:rPr>
          <w:b/>
          <w:color w:val="000000"/>
        </w:rPr>
        <w:t>or any other party may file a response to the Claim (</w:t>
      </w:r>
      <w:r w:rsidRPr="007F620E">
        <w:rPr>
          <w:b/>
          <w:i/>
          <w:color w:val="000000"/>
        </w:rPr>
        <w:t>see</w:t>
      </w:r>
      <w:r w:rsidRPr="007F620E">
        <w:rPr>
          <w:b/>
          <w:color w:val="000000"/>
        </w:rPr>
        <w:t xml:space="preserve"> § 1804(c))</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7336"/>
        <w:gridCol w:w="2024"/>
      </w:tblGrid>
      <w:tr w:rsidRPr="007F620E" w:rsidR="00ED55FC" w:rsidTr="0036244B" w14:paraId="60184680" w14:textId="77777777">
        <w:tc>
          <w:tcPr>
            <w:tcW w:w="7336" w:type="dxa"/>
          </w:tcPr>
          <w:p w:rsidRPr="007F620E" w:rsidR="00ED55FC" w:rsidP="0036244B" w:rsidRDefault="00ED55FC" w14:paraId="078B581B" w14:textId="77777777">
            <w:pPr>
              <w:ind w:left="360" w:hanging="360"/>
              <w:rPr>
                <w:color w:val="000000"/>
              </w:rPr>
            </w:pPr>
            <w:r w:rsidRPr="007F620E">
              <w:rPr>
                <w:b/>
                <w:color w:val="000000"/>
              </w:rPr>
              <w:t>A.</w:t>
            </w:r>
            <w:r>
              <w:rPr>
                <w:b/>
                <w:color w:val="000000"/>
              </w:rPr>
              <w:tab/>
            </w:r>
            <w:r w:rsidRPr="007F620E">
              <w:rPr>
                <w:b/>
                <w:color w:val="000000"/>
              </w:rPr>
              <w:t>Opposition:  Did any party oppose the Claim?</w:t>
            </w:r>
          </w:p>
        </w:tc>
        <w:tc>
          <w:tcPr>
            <w:tcW w:w="2024" w:type="dxa"/>
          </w:tcPr>
          <w:p w:rsidRPr="007F620E" w:rsidR="00ED55FC" w:rsidP="0036244B" w:rsidRDefault="004B6DA8" w14:paraId="07BFB1E5" w14:textId="717DA3E3">
            <w:pPr>
              <w:rPr>
                <w:color w:val="000000"/>
              </w:rPr>
            </w:pPr>
            <w:r>
              <w:rPr>
                <w:color w:val="000000"/>
              </w:rPr>
              <w:t>No</w:t>
            </w:r>
          </w:p>
        </w:tc>
      </w:tr>
    </w:tbl>
    <w:p w:rsidRPr="007F620E" w:rsidR="00ED55FC" w:rsidP="00ED55FC" w:rsidRDefault="00ED55FC" w14:paraId="631BE426" w14:textId="77777777">
      <w:pPr>
        <w:tabs>
          <w:tab w:val="left" w:pos="1260"/>
        </w:tabs>
        <w:spacing w:before="60"/>
        <w:ind w:left="1267" w:hanging="1267"/>
        <w:jc w:val="center"/>
        <w:rPr>
          <w:color w:val="000000"/>
        </w:rPr>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7331"/>
        <w:gridCol w:w="2029"/>
      </w:tblGrid>
      <w:tr w:rsidRPr="007F620E" w:rsidR="00ED55FC" w:rsidTr="0036244B" w14:paraId="478AE9AB" w14:textId="77777777">
        <w:tc>
          <w:tcPr>
            <w:tcW w:w="7488" w:type="dxa"/>
          </w:tcPr>
          <w:p w:rsidRPr="007F620E" w:rsidR="00ED55FC" w:rsidP="0036244B" w:rsidRDefault="00ED55FC" w14:paraId="4CB08777" w14:textId="77777777">
            <w:pPr>
              <w:ind w:left="360" w:hanging="360"/>
              <w:rPr>
                <w:color w:val="000000"/>
              </w:rPr>
            </w:pPr>
            <w:r w:rsidRPr="007F620E">
              <w:rPr>
                <w:b/>
                <w:color w:val="000000"/>
              </w:rPr>
              <w:t>B.</w:t>
            </w:r>
            <w:r>
              <w:rPr>
                <w:b/>
                <w:color w:val="000000"/>
              </w:rPr>
              <w:tab/>
            </w:r>
            <w:r w:rsidRPr="007F620E">
              <w:rPr>
                <w:b/>
                <w:color w:val="000000"/>
              </w:rPr>
              <w:t>Comment Period</w:t>
            </w:r>
            <w:proofErr w:type="gramStart"/>
            <w:r w:rsidRPr="007F620E">
              <w:rPr>
                <w:b/>
                <w:color w:val="000000"/>
              </w:rPr>
              <w:t>:  Was</w:t>
            </w:r>
            <w:proofErr w:type="gramEnd"/>
            <w:r w:rsidRPr="007F620E">
              <w:rPr>
                <w:b/>
                <w:color w:val="000000"/>
              </w:rPr>
              <w:t xml:space="preserve"> the 30-day comment period waived (</w:t>
            </w:r>
            <w:r w:rsidRPr="007F620E">
              <w:rPr>
                <w:b/>
                <w:i/>
                <w:color w:val="000000"/>
              </w:rPr>
              <w:t>see</w:t>
            </w:r>
            <w:r>
              <w:rPr>
                <w:b/>
                <w:color w:val="000000"/>
              </w:rPr>
              <w:t> </w:t>
            </w:r>
            <w:r w:rsidRPr="007F620E">
              <w:rPr>
                <w:b/>
                <w:color w:val="000000"/>
              </w:rPr>
              <w:t>Rule 14.6(c)(6))?</w:t>
            </w:r>
          </w:p>
        </w:tc>
        <w:tc>
          <w:tcPr>
            <w:tcW w:w="2070" w:type="dxa"/>
          </w:tcPr>
          <w:p w:rsidRPr="007F620E" w:rsidR="00ED55FC" w:rsidP="0036244B" w:rsidRDefault="0091671A" w14:paraId="2B49C157" w14:textId="290B6645">
            <w:pPr>
              <w:keepNext/>
              <w:keepLines/>
              <w:spacing w:after="240"/>
              <w:rPr>
                <w:color w:val="000000"/>
              </w:rPr>
            </w:pPr>
            <w:r>
              <w:rPr>
                <w:color w:val="000000"/>
              </w:rPr>
              <w:t>Yes</w:t>
            </w:r>
          </w:p>
        </w:tc>
      </w:tr>
    </w:tbl>
    <w:p w:rsidR="000D7CEC" w:rsidP="00625B30" w:rsidRDefault="000D7CEC" w14:paraId="2BCEE43A" w14:textId="77777777"/>
    <w:p w:rsidRPr="007F620E" w:rsidR="00ED55FC" w:rsidP="00ED55FC" w:rsidRDefault="00ED55FC" w14:paraId="0AD40334" w14:textId="77777777">
      <w:pPr>
        <w:keepNext/>
        <w:spacing w:after="240"/>
        <w:jc w:val="center"/>
        <w:rPr>
          <w:b/>
          <w:color w:val="000000"/>
          <w:u w:val="single"/>
        </w:rPr>
      </w:pPr>
      <w:r w:rsidRPr="007F620E">
        <w:rPr>
          <w:b/>
          <w:color w:val="000000"/>
          <w:u w:val="single"/>
        </w:rPr>
        <w:t>FINDINGS OF FACT</w:t>
      </w:r>
    </w:p>
    <w:p w:rsidRPr="007F620E" w:rsidR="00ED55FC" w:rsidP="00ED55FC" w:rsidRDefault="00ED55FC" w14:paraId="028B9333" w14:textId="02A38DCA">
      <w:pPr>
        <w:numPr>
          <w:ilvl w:val="0"/>
          <w:numId w:val="8"/>
        </w:numPr>
        <w:tabs>
          <w:tab w:val="num" w:pos="540"/>
        </w:tabs>
        <w:ind w:left="540" w:hanging="540"/>
      </w:pPr>
      <w:r w:rsidRPr="004B6DA8">
        <w:t>The Utility Reform Network</w:t>
      </w:r>
      <w:r w:rsidRPr="0022302F">
        <w:t xml:space="preserve"> </w:t>
      </w:r>
      <w:r w:rsidRPr="007F620E">
        <w:t>has</w:t>
      </w:r>
      <w:r w:rsidR="00CE31C7">
        <w:t xml:space="preserve"> </w:t>
      </w:r>
      <w:r w:rsidRPr="007F620E">
        <w:t>made a substantial contribution to</w:t>
      </w:r>
      <w:r w:rsidRPr="004B6DA8" w:rsidR="00981856">
        <w:t xml:space="preserve"> </w:t>
      </w:r>
      <w:r w:rsidRPr="004B6DA8" w:rsidR="001D366B">
        <w:t>D.25-08-007</w:t>
      </w:r>
      <w:r w:rsidRPr="004B6DA8">
        <w:t>.</w:t>
      </w:r>
    </w:p>
    <w:p w:rsidRPr="007F620E" w:rsidR="00ED55FC" w:rsidP="00ED55FC" w:rsidRDefault="00ED55FC" w14:paraId="3F9AAC92" w14:textId="2ED53395">
      <w:pPr>
        <w:numPr>
          <w:ilvl w:val="0"/>
          <w:numId w:val="8"/>
        </w:numPr>
        <w:tabs>
          <w:tab w:val="num" w:pos="540"/>
        </w:tabs>
        <w:spacing w:before="240"/>
      </w:pPr>
      <w:r w:rsidRPr="007F620E">
        <w:t>The requested hourly rates for</w:t>
      </w:r>
      <w:r>
        <w:t xml:space="preserve"> </w:t>
      </w:r>
      <w:r w:rsidRPr="004B6DA8">
        <w:t>The Utility Reform Network</w:t>
      </w:r>
      <w:r w:rsidRPr="007F620E">
        <w:t>’s representatives</w:t>
      </w:r>
      <w:r w:rsidR="001222C9">
        <w:t xml:space="preserve"> </w:t>
      </w:r>
      <w:r w:rsidRPr="007F620E">
        <w:t>are comparable to market rates paid to experts and advocates having comparable training and experience and offering similar services.</w:t>
      </w:r>
    </w:p>
    <w:p w:rsidRPr="007F620E" w:rsidR="00ED55FC" w:rsidP="00ED55FC" w:rsidRDefault="00ED55FC" w14:paraId="2BDB3ADA" w14:textId="2640C168">
      <w:pPr>
        <w:numPr>
          <w:ilvl w:val="0"/>
          <w:numId w:val="8"/>
        </w:numPr>
        <w:tabs>
          <w:tab w:val="num" w:pos="540"/>
        </w:tabs>
        <w:spacing w:before="240"/>
      </w:pPr>
      <w:r w:rsidRPr="007F620E">
        <w:t xml:space="preserve">The claimed costs and expenses are reasonable and commensurate with the work performed. </w:t>
      </w:r>
    </w:p>
    <w:p w:rsidRPr="007F620E" w:rsidR="00ED55FC" w:rsidP="00ED55FC" w:rsidRDefault="00ED55FC" w14:paraId="146D9790" w14:textId="0877DD81">
      <w:pPr>
        <w:numPr>
          <w:ilvl w:val="0"/>
          <w:numId w:val="8"/>
        </w:numPr>
        <w:tabs>
          <w:tab w:val="num" w:pos="540"/>
        </w:tabs>
        <w:spacing w:before="240"/>
      </w:pPr>
      <w:r w:rsidRPr="007F620E">
        <w:t xml:space="preserve">The total of reasonable compensation is </w:t>
      </w:r>
      <w:r w:rsidRPr="00547BE9" w:rsidR="00547BE9">
        <w:t>$109,698.13</w:t>
      </w:r>
      <w:r w:rsidR="00C32044">
        <w:t>.</w:t>
      </w:r>
    </w:p>
    <w:p w:rsidR="00981C3E" w:rsidP="00981C3E" w:rsidRDefault="00981C3E" w14:paraId="790ED65D" w14:textId="77777777">
      <w:pPr>
        <w:keepNext/>
        <w:jc w:val="center"/>
        <w:rPr>
          <w:b/>
          <w:color w:val="000000"/>
          <w:u w:val="single"/>
        </w:rPr>
      </w:pPr>
    </w:p>
    <w:p w:rsidRPr="007F620E" w:rsidR="00ED55FC" w:rsidP="00981C3E" w:rsidRDefault="00ED55FC" w14:paraId="4B5C2509" w14:textId="610ADEB6">
      <w:pPr>
        <w:keepNext/>
        <w:jc w:val="center"/>
        <w:rPr>
          <w:b/>
          <w:color w:val="000000"/>
          <w:u w:val="single"/>
        </w:rPr>
      </w:pPr>
      <w:r w:rsidRPr="007F620E">
        <w:rPr>
          <w:b/>
          <w:color w:val="000000"/>
          <w:u w:val="single"/>
        </w:rPr>
        <w:t>CONCLUSION OF LAW</w:t>
      </w:r>
    </w:p>
    <w:p w:rsidRPr="007F620E" w:rsidR="00ED55FC" w:rsidP="00ED55FC" w:rsidRDefault="00ED55FC" w14:paraId="2905AD2D" w14:textId="107A0FAB">
      <w:pPr>
        <w:numPr>
          <w:ilvl w:val="0"/>
          <w:numId w:val="10"/>
        </w:numPr>
        <w:spacing w:before="240"/>
        <w:rPr>
          <w:color w:val="000000"/>
        </w:rPr>
      </w:pPr>
      <w:r w:rsidRPr="00575494">
        <w:t>The</w:t>
      </w:r>
      <w:r w:rsidRPr="007F620E">
        <w:rPr>
          <w:color w:val="000000"/>
        </w:rPr>
        <w:t xml:space="preserve"> Claim, with any adjustment set forth above, satisfies all requirements of Pub. Util. Code §§ 1801-1812.</w:t>
      </w:r>
    </w:p>
    <w:p w:rsidR="00981C3E" w:rsidP="00981C3E" w:rsidRDefault="00981C3E" w14:paraId="4F99255C" w14:textId="77777777">
      <w:pPr>
        <w:keepNext/>
        <w:jc w:val="center"/>
        <w:rPr>
          <w:b/>
          <w:color w:val="000000"/>
          <w:u w:val="single"/>
        </w:rPr>
      </w:pPr>
    </w:p>
    <w:p w:rsidR="00ED55FC" w:rsidP="00981C3E" w:rsidRDefault="00ED55FC" w14:paraId="59D16832" w14:textId="00BF8D37">
      <w:pPr>
        <w:keepNext/>
        <w:jc w:val="center"/>
        <w:rPr>
          <w:b/>
          <w:color w:val="000000"/>
          <w:u w:val="single"/>
        </w:rPr>
      </w:pPr>
      <w:r w:rsidRPr="007F620E">
        <w:rPr>
          <w:b/>
          <w:color w:val="000000"/>
          <w:u w:val="single"/>
        </w:rPr>
        <w:t>ORDER</w:t>
      </w:r>
    </w:p>
    <w:p w:rsidRPr="007F620E" w:rsidR="00981C3E" w:rsidP="00981C3E" w:rsidRDefault="00981C3E" w14:paraId="15062EA4" w14:textId="77777777">
      <w:pPr>
        <w:keepNext/>
        <w:rPr>
          <w:b/>
          <w:color w:val="000000"/>
          <w:u w:val="single"/>
        </w:rPr>
      </w:pPr>
    </w:p>
    <w:p w:rsidRPr="007F620E" w:rsidR="00ED55FC" w:rsidP="00ED55FC" w:rsidRDefault="00ED55FC" w14:paraId="51971FA1" w14:textId="00CCF0A5">
      <w:pPr>
        <w:keepNext/>
        <w:numPr>
          <w:ilvl w:val="0"/>
          <w:numId w:val="9"/>
        </w:numPr>
        <w:tabs>
          <w:tab w:val="clear" w:pos="900"/>
          <w:tab w:val="num" w:pos="540"/>
        </w:tabs>
        <w:ind w:left="547" w:hanging="547"/>
        <w:rPr>
          <w:color w:val="000000"/>
        </w:rPr>
      </w:pPr>
      <w:r w:rsidRPr="004B6DA8">
        <w:t>The Utility Reform Network</w:t>
      </w:r>
      <w:r w:rsidRPr="0022302F">
        <w:t xml:space="preserve"> </w:t>
      </w:r>
      <w:r>
        <w:t>is</w:t>
      </w:r>
      <w:r w:rsidRPr="00FE3BAE">
        <w:t xml:space="preserve"> </w:t>
      </w:r>
      <w:r w:rsidRPr="004B6DA8">
        <w:t>awarded</w:t>
      </w:r>
      <w:r w:rsidRPr="00FE3BAE">
        <w:rPr>
          <w:color w:val="000000"/>
        </w:rPr>
        <w:t xml:space="preserve"> </w:t>
      </w:r>
      <w:r w:rsidRPr="00547BE9" w:rsidR="00C32044">
        <w:t>$109,698.13</w:t>
      </w:r>
      <w:r w:rsidR="00C32044">
        <w:t>.</w:t>
      </w:r>
    </w:p>
    <w:p w:rsidR="00ED55FC" w:rsidP="00ED55FC" w:rsidRDefault="00ED55FC" w14:paraId="2DA538AF" w14:textId="7CB17434">
      <w:pPr>
        <w:numPr>
          <w:ilvl w:val="0"/>
          <w:numId w:val="9"/>
        </w:numPr>
        <w:tabs>
          <w:tab w:val="clear" w:pos="900"/>
          <w:tab w:val="num" w:pos="540"/>
        </w:tabs>
        <w:spacing w:before="240"/>
        <w:ind w:left="547" w:hanging="547"/>
      </w:pPr>
      <w:r w:rsidRPr="007F620E">
        <w:t xml:space="preserve">Within 30 days of the effective date of this decision, </w:t>
      </w:r>
      <w:r w:rsidR="00466B27">
        <w:t>Pacific Gas and Electric Company</w:t>
      </w:r>
      <w:r w:rsidRPr="007F620E" w:rsidR="00466B27">
        <w:t xml:space="preserve"> </w:t>
      </w:r>
      <w:r w:rsidRPr="007F620E">
        <w:t xml:space="preserve">shall pay </w:t>
      </w:r>
      <w:r w:rsidRPr="004B6DA8">
        <w:t>The Utility Reform Network</w:t>
      </w:r>
      <w:r w:rsidRPr="0022302F">
        <w:t xml:space="preserve"> the </w:t>
      </w:r>
      <w:r w:rsidRPr="007F620E">
        <w:t>total award</w:t>
      </w:r>
      <w:r w:rsidR="00466B27">
        <w:t>.</w:t>
      </w:r>
      <w:r w:rsidRPr="007F620E">
        <w:t xml:space="preserve"> Payment of the award </w:t>
      </w:r>
      <w:r w:rsidRPr="00831652">
        <w:t>shall</w:t>
      </w:r>
      <w:r w:rsidRPr="007F620E">
        <w:t xml:space="preserve"> include compound interest at the rate earned on prime, three-month non-financial commercial paper as reported in Federal Reserve Statistical Release H.15, beginning </w:t>
      </w:r>
      <w:r w:rsidR="00312BFF">
        <w:t>December 30, 2025</w:t>
      </w:r>
      <w:r w:rsidRPr="007F620E">
        <w:t>, the 75</w:t>
      </w:r>
      <w:r w:rsidRPr="008B6530">
        <w:rPr>
          <w:vertAlign w:val="superscript"/>
        </w:rPr>
        <w:t>th</w:t>
      </w:r>
      <w:r w:rsidRPr="007F620E">
        <w:t xml:space="preserve"> day after the filing of </w:t>
      </w:r>
      <w:r w:rsidRPr="004B6DA8">
        <w:t>The Utility Reform Network</w:t>
      </w:r>
      <w:r w:rsidRPr="003B6A1B">
        <w:t>’s</w:t>
      </w:r>
      <w:r w:rsidRPr="004B6DA8">
        <w:t xml:space="preserve"> </w:t>
      </w:r>
      <w:r w:rsidRPr="007F620E">
        <w:t>request, and continuing until full payment is made.</w:t>
      </w:r>
    </w:p>
    <w:p w:rsidRPr="007F620E" w:rsidR="00ED55FC" w:rsidP="00ED55FC" w:rsidRDefault="00ED55FC" w14:paraId="367C5935" w14:textId="62AFD8CA">
      <w:pPr>
        <w:keepNext/>
        <w:keepLines/>
        <w:numPr>
          <w:ilvl w:val="0"/>
          <w:numId w:val="9"/>
        </w:numPr>
        <w:tabs>
          <w:tab w:val="clear" w:pos="900"/>
          <w:tab w:val="num" w:pos="540"/>
        </w:tabs>
        <w:spacing w:before="240"/>
        <w:ind w:left="547" w:hanging="547"/>
      </w:pPr>
      <w:r w:rsidRPr="007F620E">
        <w:lastRenderedPageBreak/>
        <w:t xml:space="preserve">The comment period for today’s decision </w:t>
      </w:r>
      <w:r w:rsidR="00D85D6E">
        <w:t>i</w:t>
      </w:r>
      <w:r w:rsidRPr="007F620E">
        <w:t>s waived.</w:t>
      </w:r>
    </w:p>
    <w:p w:rsidRPr="007F620E" w:rsidR="00ED55FC" w:rsidP="00ED55FC" w:rsidRDefault="00ED55FC" w14:paraId="5B77129B" w14:textId="77777777">
      <w:pPr>
        <w:keepNext/>
        <w:keepLines/>
        <w:spacing w:before="240"/>
        <w:ind w:left="547"/>
        <w:rPr>
          <w:color w:val="000000"/>
        </w:rPr>
      </w:pPr>
      <w:r w:rsidRPr="007F620E">
        <w:rPr>
          <w:color w:val="000000"/>
        </w:rPr>
        <w:t>This decision is effective today.</w:t>
      </w:r>
    </w:p>
    <w:p w:rsidR="00ED55FC" w:rsidP="00ED55FC" w:rsidRDefault="00ED55FC" w14:paraId="0211A1AC" w14:textId="51CAC47B">
      <w:pPr>
        <w:keepNext/>
        <w:keepLines/>
        <w:spacing w:before="240"/>
        <w:ind w:left="547"/>
        <w:rPr>
          <w:color w:val="000000"/>
        </w:rPr>
      </w:pPr>
      <w:r w:rsidRPr="007F620E">
        <w:rPr>
          <w:color w:val="000000"/>
        </w:rPr>
        <w:t xml:space="preserve">Dated </w:t>
      </w:r>
      <w:r w:rsidR="00F25966">
        <w:rPr>
          <w:color w:val="000000"/>
        </w:rPr>
        <w:t>March 19, 2026</w:t>
      </w:r>
      <w:r w:rsidRPr="007F620E">
        <w:rPr>
          <w:color w:val="000000"/>
        </w:rPr>
        <w:t xml:space="preserve">, </w:t>
      </w:r>
      <w:proofErr w:type="gramStart"/>
      <w:r w:rsidRPr="007F620E">
        <w:rPr>
          <w:color w:val="000000"/>
        </w:rPr>
        <w:t>at</w:t>
      </w:r>
      <w:proofErr w:type="gramEnd"/>
      <w:r w:rsidRPr="007F620E">
        <w:rPr>
          <w:color w:val="000000"/>
        </w:rPr>
        <w:t xml:space="preserve"> </w:t>
      </w:r>
      <w:r w:rsidR="008D0E61">
        <w:rPr>
          <w:color w:val="000000"/>
        </w:rPr>
        <w:t>Sacramento</w:t>
      </w:r>
      <w:r w:rsidRPr="007F620E">
        <w:rPr>
          <w:color w:val="000000"/>
        </w:rPr>
        <w:t>, California.</w:t>
      </w:r>
    </w:p>
    <w:p w:rsidR="00F25966" w:rsidP="00ED55FC" w:rsidRDefault="00F25966" w14:paraId="4932F945" w14:textId="77777777">
      <w:pPr>
        <w:keepNext/>
        <w:keepLines/>
        <w:spacing w:before="240"/>
        <w:ind w:left="547"/>
        <w:rPr>
          <w:color w:val="000000"/>
        </w:rPr>
      </w:pPr>
    </w:p>
    <w:p w:rsidR="00F25966" w:rsidP="00ED55FC" w:rsidRDefault="00F25966" w14:paraId="41B12B5E" w14:textId="77777777">
      <w:pPr>
        <w:keepNext/>
        <w:keepLines/>
        <w:spacing w:before="240"/>
        <w:ind w:left="547"/>
        <w:rPr>
          <w:color w:val="000000"/>
        </w:rPr>
      </w:pPr>
    </w:p>
    <w:p w:rsidRPr="00E338C1" w:rsidR="00F25966" w:rsidP="00F25966" w:rsidRDefault="00F25966" w14:paraId="676EA66E" w14:textId="77777777">
      <w:pPr>
        <w:autoSpaceDE w:val="0"/>
        <w:autoSpaceDN w:val="0"/>
        <w:adjustRightInd w:val="0"/>
        <w:ind w:left="4320" w:firstLine="720"/>
        <w:jc w:val="both"/>
        <w:rPr>
          <w:rFonts w:eastAsia="Calibri"/>
          <w:lang w:eastAsia="en-US"/>
        </w:rPr>
      </w:pPr>
      <w:r w:rsidRPr="00E338C1">
        <w:rPr>
          <w:rFonts w:eastAsia="Calibri"/>
          <w:lang w:eastAsia="en-US"/>
        </w:rPr>
        <w:t>JOHN REYNOLDS</w:t>
      </w:r>
    </w:p>
    <w:p w:rsidRPr="00E338C1" w:rsidR="00F25966" w:rsidP="00F25966" w:rsidRDefault="00F25966" w14:paraId="1AF3AA19" w14:textId="77777777">
      <w:pPr>
        <w:autoSpaceDE w:val="0"/>
        <w:autoSpaceDN w:val="0"/>
        <w:adjustRightInd w:val="0"/>
        <w:ind w:left="720" w:firstLine="720"/>
        <w:jc w:val="both"/>
        <w:rPr>
          <w:rFonts w:eastAsia="Calibri"/>
          <w:lang w:eastAsia="en-US"/>
        </w:rPr>
      </w:pPr>
      <w:r w:rsidRPr="00E338C1">
        <w:rPr>
          <w:rFonts w:eastAsia="Calibri"/>
          <w:lang w:eastAsia="en-US"/>
        </w:rPr>
        <w:tab/>
      </w:r>
      <w:r w:rsidRPr="00E338C1">
        <w:rPr>
          <w:rFonts w:eastAsia="Calibri"/>
          <w:lang w:eastAsia="en-US"/>
        </w:rPr>
        <w:tab/>
      </w:r>
      <w:r w:rsidRPr="00E338C1">
        <w:rPr>
          <w:rFonts w:eastAsia="Calibri"/>
          <w:lang w:eastAsia="en-US"/>
        </w:rPr>
        <w:tab/>
      </w:r>
      <w:r w:rsidRPr="00E338C1">
        <w:rPr>
          <w:rFonts w:eastAsia="Calibri"/>
          <w:lang w:eastAsia="en-US"/>
        </w:rPr>
        <w:tab/>
      </w:r>
      <w:r w:rsidRPr="00E338C1">
        <w:rPr>
          <w:rFonts w:eastAsia="Calibri"/>
          <w:lang w:eastAsia="en-US"/>
        </w:rPr>
        <w:tab/>
        <w:t xml:space="preserve">                       President</w:t>
      </w:r>
    </w:p>
    <w:p w:rsidRPr="00E338C1" w:rsidR="00F25966" w:rsidP="00F25966" w:rsidRDefault="00F25966" w14:paraId="10D13649" w14:textId="77777777">
      <w:pPr>
        <w:autoSpaceDE w:val="0"/>
        <w:autoSpaceDN w:val="0"/>
        <w:adjustRightInd w:val="0"/>
        <w:ind w:left="4320" w:firstLine="720"/>
        <w:jc w:val="both"/>
        <w:rPr>
          <w:rFonts w:eastAsia="Calibri"/>
          <w:lang w:eastAsia="en-US"/>
        </w:rPr>
      </w:pPr>
      <w:r w:rsidRPr="00E338C1">
        <w:rPr>
          <w:rFonts w:eastAsia="Calibri"/>
          <w:lang w:eastAsia="en-US"/>
        </w:rPr>
        <w:t>DARCIE L. HOUCK</w:t>
      </w:r>
    </w:p>
    <w:p w:rsidRPr="00E338C1" w:rsidR="00F25966" w:rsidP="00F25966" w:rsidRDefault="00F25966" w14:paraId="451C40A6" w14:textId="77777777">
      <w:pPr>
        <w:autoSpaceDE w:val="0"/>
        <w:autoSpaceDN w:val="0"/>
        <w:adjustRightInd w:val="0"/>
        <w:ind w:left="4320" w:firstLine="720"/>
        <w:jc w:val="both"/>
        <w:rPr>
          <w:color w:val="000000"/>
          <w:lang w:eastAsia="en-US"/>
        </w:rPr>
      </w:pPr>
      <w:r w:rsidRPr="00E338C1">
        <w:rPr>
          <w:color w:val="000000"/>
          <w:lang w:eastAsia="en-US"/>
        </w:rPr>
        <w:t>KAREN DOUGLAS</w:t>
      </w:r>
    </w:p>
    <w:p w:rsidRPr="00E338C1" w:rsidR="00F25966" w:rsidP="00F25966" w:rsidRDefault="00F25966" w14:paraId="67E8E7A2" w14:textId="77777777">
      <w:pPr>
        <w:autoSpaceDE w:val="0"/>
        <w:autoSpaceDN w:val="0"/>
        <w:adjustRightInd w:val="0"/>
        <w:ind w:left="4320" w:firstLine="720"/>
        <w:jc w:val="both"/>
        <w:rPr>
          <w:color w:val="000000"/>
          <w:lang w:eastAsia="en-US"/>
        </w:rPr>
      </w:pPr>
      <w:r w:rsidRPr="00E338C1">
        <w:rPr>
          <w:color w:val="000000"/>
          <w:lang w:eastAsia="en-US"/>
        </w:rPr>
        <w:t>MATTHEW BAKER</w:t>
      </w:r>
    </w:p>
    <w:p w:rsidRPr="00E338C1" w:rsidR="00F25966" w:rsidP="00F25966" w:rsidRDefault="00F25966" w14:paraId="6D0B2F0E" w14:textId="77777777">
      <w:pPr>
        <w:autoSpaceDE w:val="0"/>
        <w:autoSpaceDN w:val="0"/>
        <w:adjustRightInd w:val="0"/>
        <w:ind w:left="4320" w:firstLine="720"/>
        <w:jc w:val="both"/>
        <w:rPr>
          <w:rFonts w:eastAsia="Calibri"/>
          <w:lang w:eastAsia="en-US"/>
        </w:rPr>
      </w:pPr>
      <w:r w:rsidRPr="00E338C1">
        <w:rPr>
          <w:rFonts w:eastAsia="Calibri"/>
          <w:lang w:eastAsia="en-US"/>
        </w:rPr>
        <w:t>CHRISTINE HARADA</w:t>
      </w:r>
    </w:p>
    <w:p w:rsidRPr="00E338C1" w:rsidR="00F25966" w:rsidP="00F25966" w:rsidRDefault="00F25966" w14:paraId="611919EE" w14:textId="77777777">
      <w:pPr>
        <w:autoSpaceDE w:val="0"/>
        <w:autoSpaceDN w:val="0"/>
        <w:adjustRightInd w:val="0"/>
        <w:ind w:left="5040" w:firstLine="720"/>
        <w:jc w:val="both"/>
        <w:rPr>
          <w:rFonts w:eastAsia="Calibri"/>
          <w:lang w:eastAsia="en-US"/>
        </w:rPr>
      </w:pPr>
      <w:r w:rsidRPr="00E338C1">
        <w:rPr>
          <w:rFonts w:eastAsia="Calibri"/>
          <w:lang w:eastAsia="en-US"/>
        </w:rPr>
        <w:t xml:space="preserve">            Commissioners</w:t>
      </w:r>
    </w:p>
    <w:p w:rsidRPr="007F620E" w:rsidR="00F25966" w:rsidP="00ED55FC" w:rsidRDefault="00F25966" w14:paraId="6A63452A" w14:textId="77777777">
      <w:pPr>
        <w:keepNext/>
        <w:keepLines/>
        <w:spacing w:before="240"/>
        <w:ind w:left="547"/>
        <w:rPr>
          <w:color w:val="000000"/>
        </w:rPr>
      </w:pPr>
    </w:p>
    <w:p w:rsidR="00ED55FC" w:rsidP="00625B30" w:rsidRDefault="00ED55FC" w14:paraId="13464BBB" w14:textId="5A8A3D48"/>
    <w:p w:rsidR="00ED55FC" w:rsidRDefault="00ED55FC" w14:paraId="045DE773" w14:textId="77777777">
      <w:r>
        <w:br w:type="page"/>
      </w:r>
    </w:p>
    <w:p w:rsidRPr="00B803D5" w:rsidR="00ED55FC" w:rsidP="00ED55FC" w:rsidRDefault="00ED55FC" w14:paraId="2184E21F" w14:textId="77777777">
      <w:pPr>
        <w:pStyle w:val="standard"/>
        <w:ind w:firstLine="0"/>
        <w:jc w:val="center"/>
        <w:rPr>
          <w:rFonts w:ascii="Times New Roman" w:hAnsi="Times New Roman"/>
          <w:b/>
          <w:szCs w:val="26"/>
        </w:rPr>
      </w:pPr>
      <w:r w:rsidRPr="00B803D5">
        <w:rPr>
          <w:rFonts w:ascii="Times New Roman" w:hAnsi="Times New Roman"/>
          <w:b/>
          <w:szCs w:val="26"/>
        </w:rPr>
        <w:lastRenderedPageBreak/>
        <w:t>APPENDIX</w:t>
      </w:r>
    </w:p>
    <w:p w:rsidRPr="00F7579D" w:rsidR="00ED55FC" w:rsidP="00ED55FC" w:rsidRDefault="00ED55FC" w14:paraId="01E393B6" w14:textId="77777777">
      <w:pPr>
        <w:pStyle w:val="standard"/>
        <w:ind w:firstLine="0"/>
        <w:jc w:val="center"/>
        <w:rPr>
          <w:rFonts w:ascii="Times New Roman" w:hAnsi="Times New Roman"/>
          <w:b/>
          <w:bCs/>
        </w:rPr>
      </w:pPr>
      <w:r w:rsidRPr="00F7579D">
        <w:rPr>
          <w:rFonts w:ascii="Times New Roman" w:hAnsi="Times New Roman"/>
          <w:b/>
          <w:bCs/>
          <w:sz w:val="28"/>
          <w:szCs w:val="28"/>
        </w:rPr>
        <w:t>Compensation Decision Summary Information</w:t>
      </w:r>
    </w:p>
    <w:tbl>
      <w:tblPr>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2905"/>
        <w:gridCol w:w="3767"/>
        <w:gridCol w:w="2497"/>
        <w:gridCol w:w="1271"/>
      </w:tblGrid>
      <w:tr w:rsidRPr="00B803D5" w:rsidR="00ED55FC" w:rsidTr="0036244B" w14:paraId="4CD9F53F" w14:textId="77777777">
        <w:trPr>
          <w:trHeight w:val="288"/>
          <w:jc w:val="center"/>
        </w:trPr>
        <w:tc>
          <w:tcPr>
            <w:tcW w:w="2880" w:type="dxa"/>
            <w:tcBorders>
              <w:top w:val="single" w:color="auto" w:sz="4" w:space="0"/>
              <w:left w:val="single" w:color="auto" w:sz="4" w:space="0"/>
              <w:bottom w:val="single" w:color="auto" w:sz="4" w:space="0"/>
              <w:right w:val="single" w:color="auto" w:sz="4" w:space="0"/>
            </w:tcBorders>
            <w:hideMark/>
          </w:tcPr>
          <w:p w:rsidRPr="00F7579D" w:rsidR="00ED55FC" w:rsidP="0036244B" w:rsidRDefault="00ED55FC" w14:paraId="12A6556F" w14:textId="77777777">
            <w:pPr>
              <w:rPr>
                <w:b/>
                <w:bCs/>
              </w:rPr>
            </w:pPr>
            <w:r w:rsidRPr="00F7579D">
              <w:rPr>
                <w:b/>
                <w:bCs/>
              </w:rPr>
              <w:t>Compensation Decision:</w:t>
            </w:r>
          </w:p>
        </w:tc>
        <w:tc>
          <w:tcPr>
            <w:tcW w:w="3735" w:type="dxa"/>
            <w:tcBorders>
              <w:top w:val="single" w:color="auto" w:sz="4" w:space="0"/>
              <w:left w:val="single" w:color="auto" w:sz="4" w:space="0"/>
              <w:bottom w:val="single" w:color="auto" w:sz="4" w:space="0"/>
              <w:right w:val="single" w:color="auto" w:sz="4" w:space="0"/>
            </w:tcBorders>
          </w:tcPr>
          <w:p w:rsidRPr="00B803D5" w:rsidR="00ED55FC" w:rsidP="0036244B" w:rsidRDefault="00F25966" w14:paraId="12282C2A" w14:textId="04640DC1">
            <w:r>
              <w:t>D2603040</w:t>
            </w:r>
          </w:p>
        </w:tc>
        <w:tc>
          <w:tcPr>
            <w:tcW w:w="2475" w:type="dxa"/>
            <w:tcBorders>
              <w:top w:val="single" w:color="auto" w:sz="4" w:space="0"/>
              <w:left w:val="single" w:color="auto" w:sz="4" w:space="0"/>
              <w:bottom w:val="single" w:color="auto" w:sz="4" w:space="0"/>
              <w:right w:val="single" w:color="auto" w:sz="4" w:space="0"/>
            </w:tcBorders>
            <w:hideMark/>
          </w:tcPr>
          <w:p w:rsidRPr="006B0BC7" w:rsidR="00ED55FC" w:rsidP="0036244B" w:rsidRDefault="00ED55FC" w14:paraId="2A331183" w14:textId="77777777">
            <w:pPr>
              <w:rPr>
                <w:b/>
                <w:bCs/>
              </w:rPr>
            </w:pPr>
            <w:r w:rsidRPr="006B0BC7">
              <w:rPr>
                <w:b/>
                <w:bCs/>
              </w:rPr>
              <w:t xml:space="preserve">Modifies Decision? </w:t>
            </w:r>
          </w:p>
        </w:tc>
        <w:tc>
          <w:tcPr>
            <w:tcW w:w="1260" w:type="dxa"/>
            <w:tcBorders>
              <w:top w:val="single" w:color="auto" w:sz="4" w:space="0"/>
              <w:left w:val="single" w:color="auto" w:sz="4" w:space="0"/>
              <w:bottom w:val="single" w:color="auto" w:sz="4" w:space="0"/>
              <w:right w:val="single" w:color="auto" w:sz="4" w:space="0"/>
            </w:tcBorders>
          </w:tcPr>
          <w:p w:rsidRPr="00B803D5" w:rsidR="00ED55FC" w:rsidP="0036244B" w:rsidRDefault="004B6DA8" w14:paraId="0433A8A8" w14:textId="0AE22A6E">
            <w:pPr>
              <w:jc w:val="center"/>
            </w:pPr>
            <w:r>
              <w:t>No</w:t>
            </w:r>
          </w:p>
        </w:tc>
      </w:tr>
      <w:tr w:rsidRPr="00B803D5" w:rsidR="00ED55FC" w:rsidTr="004B6DA8" w14:paraId="7FE7989B" w14:textId="77777777">
        <w:trPr>
          <w:trHeight w:val="288"/>
          <w:jc w:val="center"/>
        </w:trPr>
        <w:tc>
          <w:tcPr>
            <w:tcW w:w="2880" w:type="dxa"/>
            <w:tcBorders>
              <w:top w:val="single" w:color="auto" w:sz="4" w:space="0"/>
              <w:left w:val="single" w:color="auto" w:sz="4" w:space="0"/>
              <w:bottom w:val="single" w:color="auto" w:sz="4" w:space="0"/>
              <w:right w:val="single" w:color="auto" w:sz="4" w:space="0"/>
            </w:tcBorders>
            <w:hideMark/>
          </w:tcPr>
          <w:p w:rsidRPr="00F7579D" w:rsidR="00ED55FC" w:rsidP="0036244B" w:rsidRDefault="00ED55FC" w14:paraId="60A23EE9" w14:textId="77777777">
            <w:pPr>
              <w:rPr>
                <w:b/>
                <w:bCs/>
              </w:rPr>
            </w:pPr>
            <w:r w:rsidRPr="00F7579D">
              <w:rPr>
                <w:b/>
                <w:bCs/>
              </w:rPr>
              <w:t>Contribution Decision(s):</w:t>
            </w:r>
          </w:p>
        </w:tc>
        <w:tc>
          <w:tcPr>
            <w:tcW w:w="7470" w:type="dxa"/>
            <w:gridSpan w:val="3"/>
            <w:tcBorders>
              <w:top w:val="single" w:color="auto" w:sz="4" w:space="0"/>
              <w:left w:val="single" w:color="auto" w:sz="4" w:space="0"/>
              <w:bottom w:val="single" w:color="auto" w:sz="4" w:space="0"/>
              <w:right w:val="single" w:color="auto" w:sz="4" w:space="0"/>
            </w:tcBorders>
            <w:hideMark/>
          </w:tcPr>
          <w:p w:rsidRPr="00B803D5" w:rsidR="00ED55FC" w:rsidP="0036244B" w:rsidRDefault="001D366B" w14:paraId="4B54665B" w14:textId="6DABE594">
            <w:r w:rsidRPr="004B6DA8">
              <w:t>D2508007</w:t>
            </w:r>
          </w:p>
        </w:tc>
      </w:tr>
      <w:tr w:rsidRPr="00B803D5" w:rsidR="00ED55FC" w:rsidTr="004B6DA8" w14:paraId="5958D725" w14:textId="77777777">
        <w:trPr>
          <w:trHeight w:val="288"/>
          <w:jc w:val="center"/>
        </w:trPr>
        <w:tc>
          <w:tcPr>
            <w:tcW w:w="2880" w:type="dxa"/>
            <w:tcBorders>
              <w:top w:val="single" w:color="auto" w:sz="4" w:space="0"/>
              <w:left w:val="single" w:color="auto" w:sz="4" w:space="0"/>
              <w:bottom w:val="single" w:color="auto" w:sz="4" w:space="0"/>
              <w:right w:val="single" w:color="auto" w:sz="4" w:space="0"/>
            </w:tcBorders>
            <w:hideMark/>
          </w:tcPr>
          <w:p w:rsidRPr="00F7579D" w:rsidR="00ED55FC" w:rsidP="0036244B" w:rsidRDefault="00ED55FC" w14:paraId="72D6738F" w14:textId="77777777">
            <w:pPr>
              <w:rPr>
                <w:b/>
                <w:bCs/>
              </w:rPr>
            </w:pPr>
            <w:r w:rsidRPr="00F7579D">
              <w:rPr>
                <w:b/>
                <w:bCs/>
              </w:rPr>
              <w:t>Proceeding(s):</w:t>
            </w:r>
          </w:p>
        </w:tc>
        <w:tc>
          <w:tcPr>
            <w:tcW w:w="7470" w:type="dxa"/>
            <w:gridSpan w:val="3"/>
            <w:tcBorders>
              <w:top w:val="single" w:color="auto" w:sz="4" w:space="0"/>
              <w:left w:val="single" w:color="auto" w:sz="4" w:space="0"/>
              <w:bottom w:val="single" w:color="auto" w:sz="4" w:space="0"/>
              <w:right w:val="single" w:color="auto" w:sz="4" w:space="0"/>
            </w:tcBorders>
            <w:hideMark/>
          </w:tcPr>
          <w:p w:rsidRPr="00B803D5" w:rsidR="00ED55FC" w:rsidP="0036244B" w:rsidRDefault="001D366B" w14:paraId="281C1B87" w14:textId="6283D611">
            <w:r>
              <w:t>A2406013</w:t>
            </w:r>
          </w:p>
        </w:tc>
      </w:tr>
      <w:tr w:rsidRPr="00B803D5" w:rsidR="00ED55FC" w:rsidTr="0036244B" w14:paraId="418AFC8B" w14:textId="77777777">
        <w:trPr>
          <w:trHeight w:val="288"/>
          <w:jc w:val="center"/>
        </w:trPr>
        <w:tc>
          <w:tcPr>
            <w:tcW w:w="2880" w:type="dxa"/>
            <w:tcBorders>
              <w:top w:val="single" w:color="auto" w:sz="4" w:space="0"/>
              <w:left w:val="single" w:color="auto" w:sz="4" w:space="0"/>
              <w:bottom w:val="single" w:color="auto" w:sz="4" w:space="0"/>
              <w:right w:val="single" w:color="auto" w:sz="4" w:space="0"/>
            </w:tcBorders>
            <w:hideMark/>
          </w:tcPr>
          <w:p w:rsidRPr="00F7579D" w:rsidR="00ED55FC" w:rsidP="0036244B" w:rsidRDefault="00ED55FC" w14:paraId="40427CC2" w14:textId="77777777">
            <w:pPr>
              <w:rPr>
                <w:b/>
                <w:bCs/>
              </w:rPr>
            </w:pPr>
            <w:r w:rsidRPr="00F7579D">
              <w:rPr>
                <w:b/>
                <w:bCs/>
              </w:rPr>
              <w:t>Author:</w:t>
            </w:r>
          </w:p>
        </w:tc>
        <w:tc>
          <w:tcPr>
            <w:tcW w:w="7470" w:type="dxa"/>
            <w:gridSpan w:val="3"/>
            <w:tcBorders>
              <w:top w:val="single" w:color="auto" w:sz="4" w:space="0"/>
              <w:left w:val="single" w:color="auto" w:sz="4" w:space="0"/>
              <w:bottom w:val="single" w:color="auto" w:sz="4" w:space="0"/>
              <w:right w:val="single" w:color="auto" w:sz="4" w:space="0"/>
            </w:tcBorders>
            <w:hideMark/>
          </w:tcPr>
          <w:p w:rsidRPr="00B803D5" w:rsidR="00ED55FC" w:rsidP="0036244B" w:rsidRDefault="004B6DA8" w14:paraId="51B901E8" w14:textId="057F516E">
            <w:r>
              <w:t>ALJ Regina DeAngelis</w:t>
            </w:r>
          </w:p>
        </w:tc>
      </w:tr>
      <w:tr w:rsidRPr="00B803D5" w:rsidR="00ED55FC" w:rsidTr="0036244B" w14:paraId="5F4B4F0E" w14:textId="77777777">
        <w:trPr>
          <w:trHeight w:val="278"/>
          <w:jc w:val="center"/>
        </w:trPr>
        <w:tc>
          <w:tcPr>
            <w:tcW w:w="2880" w:type="dxa"/>
            <w:tcBorders>
              <w:top w:val="single" w:color="auto" w:sz="4" w:space="0"/>
              <w:left w:val="single" w:color="auto" w:sz="4" w:space="0"/>
              <w:bottom w:val="single" w:color="auto" w:sz="4" w:space="0"/>
              <w:right w:val="single" w:color="auto" w:sz="4" w:space="0"/>
            </w:tcBorders>
            <w:hideMark/>
          </w:tcPr>
          <w:p w:rsidRPr="00F7579D" w:rsidR="00ED55FC" w:rsidP="0036244B" w:rsidRDefault="00ED55FC" w14:paraId="0C07437B" w14:textId="77777777">
            <w:pPr>
              <w:rPr>
                <w:b/>
                <w:bCs/>
              </w:rPr>
            </w:pPr>
            <w:r w:rsidRPr="00F7579D">
              <w:rPr>
                <w:b/>
                <w:bCs/>
              </w:rPr>
              <w:t>Payer(s):</w:t>
            </w:r>
          </w:p>
        </w:tc>
        <w:tc>
          <w:tcPr>
            <w:tcW w:w="7470" w:type="dxa"/>
            <w:gridSpan w:val="3"/>
            <w:tcBorders>
              <w:top w:val="single" w:color="auto" w:sz="4" w:space="0"/>
              <w:left w:val="single" w:color="auto" w:sz="4" w:space="0"/>
              <w:bottom w:val="single" w:color="auto" w:sz="4" w:space="0"/>
              <w:right w:val="single" w:color="auto" w:sz="4" w:space="0"/>
            </w:tcBorders>
            <w:hideMark/>
          </w:tcPr>
          <w:p w:rsidRPr="00B803D5" w:rsidR="00ED55FC" w:rsidP="0036244B" w:rsidRDefault="00466B27" w14:paraId="0DB47724" w14:textId="1CC35756">
            <w:r>
              <w:t>Pacific Gas and Electric Company</w:t>
            </w:r>
          </w:p>
        </w:tc>
      </w:tr>
    </w:tbl>
    <w:p w:rsidR="00981C3E" w:rsidP="00981C3E" w:rsidRDefault="00981C3E" w14:paraId="2345440E" w14:textId="77777777">
      <w:pPr>
        <w:jc w:val="center"/>
        <w:rPr>
          <w:b/>
          <w:bCs/>
          <w:sz w:val="28"/>
          <w:szCs w:val="28"/>
        </w:rPr>
      </w:pPr>
    </w:p>
    <w:p w:rsidR="00ED55FC" w:rsidP="00981C3E" w:rsidRDefault="00ED55FC" w14:paraId="6724C804" w14:textId="35D0B890">
      <w:pPr>
        <w:jc w:val="center"/>
        <w:rPr>
          <w:b/>
          <w:bCs/>
          <w:sz w:val="28"/>
          <w:szCs w:val="28"/>
        </w:rPr>
      </w:pPr>
      <w:r w:rsidRPr="00B803D5">
        <w:rPr>
          <w:b/>
          <w:bCs/>
          <w:sz w:val="28"/>
          <w:szCs w:val="28"/>
        </w:rPr>
        <w:t>Intervenor Information</w:t>
      </w:r>
    </w:p>
    <w:p w:rsidRPr="00B803D5" w:rsidR="00981C3E" w:rsidP="00981C3E" w:rsidRDefault="00981C3E" w14:paraId="3668D78F" w14:textId="77777777">
      <w:pPr>
        <w:rPr>
          <w:b/>
          <w:bCs/>
          <w:sz w:val="28"/>
          <w:szCs w:val="28"/>
        </w:rPr>
      </w:pPr>
    </w:p>
    <w:tbl>
      <w:tblPr>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2063"/>
        <w:gridCol w:w="1458"/>
        <w:gridCol w:w="1430"/>
        <w:gridCol w:w="1587"/>
        <w:gridCol w:w="1404"/>
        <w:gridCol w:w="2498"/>
      </w:tblGrid>
      <w:tr w:rsidRPr="00B803D5" w:rsidR="00ED55FC" w:rsidTr="0036244B" w14:paraId="6798847C" w14:textId="77777777">
        <w:trPr>
          <w:jc w:val="center"/>
        </w:trPr>
        <w:tc>
          <w:tcPr>
            <w:tcW w:w="2043" w:type="dxa"/>
            <w:tcBorders>
              <w:top w:val="single" w:color="auto" w:sz="4" w:space="0"/>
              <w:left w:val="single" w:color="auto" w:sz="4" w:space="0"/>
              <w:bottom w:val="single" w:color="auto" w:sz="4" w:space="0"/>
              <w:right w:val="single" w:color="auto" w:sz="4" w:space="0"/>
            </w:tcBorders>
            <w:vAlign w:val="bottom"/>
            <w:hideMark/>
          </w:tcPr>
          <w:p w:rsidRPr="00B803D5" w:rsidR="00ED55FC" w:rsidP="0036244B" w:rsidRDefault="00ED55FC" w14:paraId="091A2BEE" w14:textId="77777777">
            <w:pPr>
              <w:jc w:val="center"/>
              <w:rPr>
                <w:b/>
                <w:bCs/>
              </w:rPr>
            </w:pPr>
            <w:r w:rsidRPr="00B803D5">
              <w:rPr>
                <w:b/>
                <w:bCs/>
              </w:rPr>
              <w:t>Intervenor</w:t>
            </w:r>
          </w:p>
        </w:tc>
        <w:tc>
          <w:tcPr>
            <w:tcW w:w="1444" w:type="dxa"/>
            <w:tcBorders>
              <w:top w:val="single" w:color="auto" w:sz="4" w:space="0"/>
              <w:left w:val="single" w:color="auto" w:sz="4" w:space="0"/>
              <w:bottom w:val="single" w:color="auto" w:sz="4" w:space="0"/>
              <w:right w:val="single" w:color="auto" w:sz="4" w:space="0"/>
            </w:tcBorders>
            <w:vAlign w:val="bottom"/>
            <w:hideMark/>
          </w:tcPr>
          <w:p w:rsidR="00ED55FC" w:rsidP="0036244B" w:rsidRDefault="00ED55FC" w14:paraId="4C140135" w14:textId="77777777">
            <w:pPr>
              <w:jc w:val="center"/>
              <w:rPr>
                <w:b/>
                <w:bCs/>
              </w:rPr>
            </w:pPr>
            <w:r w:rsidRPr="00B803D5">
              <w:rPr>
                <w:b/>
                <w:bCs/>
              </w:rPr>
              <w:t>Date</w:t>
            </w:r>
          </w:p>
          <w:p w:rsidRPr="00B803D5" w:rsidR="00ED55FC" w:rsidP="0036244B" w:rsidRDefault="00ED55FC" w14:paraId="367F2D7D" w14:textId="77777777">
            <w:pPr>
              <w:jc w:val="center"/>
              <w:rPr>
                <w:b/>
                <w:bCs/>
              </w:rPr>
            </w:pPr>
            <w:r w:rsidRPr="00B803D5">
              <w:rPr>
                <w:b/>
                <w:bCs/>
              </w:rPr>
              <w:t>Claim Filed</w:t>
            </w:r>
          </w:p>
        </w:tc>
        <w:tc>
          <w:tcPr>
            <w:tcW w:w="1405" w:type="dxa"/>
            <w:tcBorders>
              <w:top w:val="single" w:color="auto" w:sz="4" w:space="0"/>
              <w:left w:val="single" w:color="auto" w:sz="4" w:space="0"/>
              <w:bottom w:val="single" w:color="auto" w:sz="4" w:space="0"/>
              <w:right w:val="single" w:color="auto" w:sz="4" w:space="0"/>
            </w:tcBorders>
            <w:vAlign w:val="bottom"/>
            <w:hideMark/>
          </w:tcPr>
          <w:p w:rsidRPr="00B803D5" w:rsidR="00ED55FC" w:rsidP="0036244B" w:rsidRDefault="00ED55FC" w14:paraId="4800E914" w14:textId="77777777">
            <w:pPr>
              <w:jc w:val="center"/>
              <w:rPr>
                <w:b/>
                <w:bCs/>
              </w:rPr>
            </w:pPr>
            <w:r w:rsidRPr="00B803D5">
              <w:rPr>
                <w:b/>
                <w:bCs/>
              </w:rPr>
              <w:t>Amount Requested</w:t>
            </w:r>
          </w:p>
        </w:tc>
        <w:tc>
          <w:tcPr>
            <w:tcW w:w="1571" w:type="dxa"/>
            <w:tcBorders>
              <w:top w:val="single" w:color="auto" w:sz="4" w:space="0"/>
              <w:left w:val="single" w:color="auto" w:sz="4" w:space="0"/>
              <w:bottom w:val="single" w:color="auto" w:sz="4" w:space="0"/>
              <w:right w:val="single" w:color="auto" w:sz="4" w:space="0"/>
            </w:tcBorders>
            <w:vAlign w:val="bottom"/>
            <w:hideMark/>
          </w:tcPr>
          <w:p w:rsidRPr="00B803D5" w:rsidR="00ED55FC" w:rsidP="0036244B" w:rsidRDefault="00ED55FC" w14:paraId="65FA87D8" w14:textId="77777777">
            <w:pPr>
              <w:jc w:val="center"/>
              <w:rPr>
                <w:b/>
                <w:bCs/>
              </w:rPr>
            </w:pPr>
            <w:r w:rsidRPr="00B803D5">
              <w:rPr>
                <w:b/>
                <w:bCs/>
              </w:rPr>
              <w:t>Amount Awarded</w:t>
            </w:r>
          </w:p>
        </w:tc>
        <w:tc>
          <w:tcPr>
            <w:tcW w:w="1390" w:type="dxa"/>
            <w:tcBorders>
              <w:top w:val="single" w:color="auto" w:sz="4" w:space="0"/>
              <w:left w:val="single" w:color="auto" w:sz="4" w:space="0"/>
              <w:bottom w:val="single" w:color="auto" w:sz="4" w:space="0"/>
              <w:right w:val="single" w:color="auto" w:sz="4" w:space="0"/>
            </w:tcBorders>
            <w:vAlign w:val="bottom"/>
            <w:hideMark/>
          </w:tcPr>
          <w:p w:rsidRPr="00B803D5" w:rsidR="00ED55FC" w:rsidP="0036244B" w:rsidRDefault="00ED55FC" w14:paraId="573A52AB" w14:textId="77777777">
            <w:pPr>
              <w:jc w:val="center"/>
              <w:rPr>
                <w:b/>
                <w:bCs/>
              </w:rPr>
            </w:pPr>
            <w:r w:rsidRPr="00B803D5">
              <w:rPr>
                <w:b/>
                <w:bCs/>
              </w:rPr>
              <w:t>Multiplier?</w:t>
            </w:r>
          </w:p>
        </w:tc>
        <w:tc>
          <w:tcPr>
            <w:tcW w:w="2474" w:type="dxa"/>
            <w:tcBorders>
              <w:top w:val="single" w:color="auto" w:sz="4" w:space="0"/>
              <w:left w:val="single" w:color="auto" w:sz="4" w:space="0"/>
              <w:bottom w:val="single" w:color="auto" w:sz="4" w:space="0"/>
              <w:right w:val="single" w:color="auto" w:sz="4" w:space="0"/>
            </w:tcBorders>
            <w:vAlign w:val="bottom"/>
            <w:hideMark/>
          </w:tcPr>
          <w:p w:rsidRPr="00B803D5" w:rsidR="00ED55FC" w:rsidP="0036244B" w:rsidRDefault="00ED55FC" w14:paraId="738244DB" w14:textId="77777777">
            <w:pPr>
              <w:jc w:val="center"/>
              <w:rPr>
                <w:b/>
                <w:bCs/>
              </w:rPr>
            </w:pPr>
            <w:r w:rsidRPr="00B803D5">
              <w:rPr>
                <w:b/>
                <w:bCs/>
              </w:rPr>
              <w:t>Reason Change/Disallowance</w:t>
            </w:r>
          </w:p>
        </w:tc>
      </w:tr>
      <w:tr w:rsidRPr="00B803D5" w:rsidR="00ED55FC" w:rsidTr="004B6DA8" w14:paraId="0B2FEEB7" w14:textId="77777777">
        <w:trPr>
          <w:trHeight w:val="872"/>
          <w:jc w:val="center"/>
        </w:trPr>
        <w:tc>
          <w:tcPr>
            <w:tcW w:w="2043" w:type="dxa"/>
            <w:tcBorders>
              <w:top w:val="single" w:color="auto" w:sz="4" w:space="0"/>
              <w:left w:val="single" w:color="auto" w:sz="4" w:space="0"/>
              <w:bottom w:val="single" w:color="auto" w:sz="4" w:space="0"/>
              <w:right w:val="single" w:color="auto" w:sz="4" w:space="0"/>
            </w:tcBorders>
            <w:hideMark/>
          </w:tcPr>
          <w:p w:rsidRPr="00B803D5" w:rsidR="00ED55FC" w:rsidP="0036244B" w:rsidRDefault="00ED55FC" w14:paraId="611F7DB5" w14:textId="77777777">
            <w:pPr>
              <w:jc w:val="center"/>
            </w:pPr>
            <w:r w:rsidRPr="004B6DA8">
              <w:t>The Utility Reform Network</w:t>
            </w:r>
          </w:p>
        </w:tc>
        <w:tc>
          <w:tcPr>
            <w:tcW w:w="1444" w:type="dxa"/>
            <w:tcBorders>
              <w:top w:val="single" w:color="auto" w:sz="4" w:space="0"/>
              <w:left w:val="single" w:color="auto" w:sz="4" w:space="0"/>
              <w:bottom w:val="single" w:color="auto" w:sz="4" w:space="0"/>
              <w:right w:val="single" w:color="auto" w:sz="4" w:space="0"/>
            </w:tcBorders>
            <w:hideMark/>
          </w:tcPr>
          <w:p w:rsidRPr="00B803D5" w:rsidR="00ED55FC" w:rsidP="0036244B" w:rsidRDefault="001D366B" w14:paraId="102681D7" w14:textId="6085EA87">
            <w:pPr>
              <w:jc w:val="center"/>
            </w:pPr>
            <w:r>
              <w:t>October 16</w:t>
            </w:r>
            <w:r w:rsidR="00CA0330">
              <w:t>, 2025</w:t>
            </w:r>
          </w:p>
        </w:tc>
        <w:tc>
          <w:tcPr>
            <w:tcW w:w="1405" w:type="dxa"/>
            <w:tcBorders>
              <w:top w:val="single" w:color="auto" w:sz="4" w:space="0"/>
              <w:left w:val="single" w:color="auto" w:sz="4" w:space="0"/>
              <w:bottom w:val="single" w:color="auto" w:sz="4" w:space="0"/>
              <w:right w:val="single" w:color="auto" w:sz="4" w:space="0"/>
            </w:tcBorders>
            <w:hideMark/>
          </w:tcPr>
          <w:p w:rsidRPr="00B803D5" w:rsidR="00ED55FC" w:rsidP="0036244B" w:rsidRDefault="006F5D5D" w14:paraId="304FDCF7" w14:textId="49AE6D92">
            <w:pPr>
              <w:jc w:val="center"/>
            </w:pPr>
            <w:r w:rsidRPr="006F5D5D">
              <w:t>$</w:t>
            </w:r>
            <w:r w:rsidRPr="001D366B" w:rsidR="001D366B">
              <w:t>10</w:t>
            </w:r>
            <w:r w:rsidR="002C39E3">
              <w:t>9</w:t>
            </w:r>
            <w:r w:rsidRPr="001D366B" w:rsidR="001D366B">
              <w:t>,</w:t>
            </w:r>
            <w:r w:rsidR="002C39E3">
              <w:t>698</w:t>
            </w:r>
            <w:r w:rsidRPr="001D366B" w:rsidR="001D366B">
              <w:t>.13</w:t>
            </w:r>
          </w:p>
        </w:tc>
        <w:tc>
          <w:tcPr>
            <w:tcW w:w="1571" w:type="dxa"/>
            <w:tcBorders>
              <w:top w:val="single" w:color="auto" w:sz="4" w:space="0"/>
              <w:left w:val="single" w:color="auto" w:sz="4" w:space="0"/>
              <w:bottom w:val="single" w:color="auto" w:sz="4" w:space="0"/>
              <w:right w:val="single" w:color="auto" w:sz="4" w:space="0"/>
            </w:tcBorders>
            <w:hideMark/>
          </w:tcPr>
          <w:p w:rsidRPr="00B803D5" w:rsidR="00ED55FC" w:rsidP="0036244B" w:rsidRDefault="00C32044" w14:paraId="02DCAAA1" w14:textId="0315EDE5">
            <w:pPr>
              <w:jc w:val="center"/>
            </w:pPr>
            <w:r w:rsidRPr="00547BE9">
              <w:t>$109,698.13</w:t>
            </w:r>
          </w:p>
        </w:tc>
        <w:tc>
          <w:tcPr>
            <w:tcW w:w="1390" w:type="dxa"/>
            <w:tcBorders>
              <w:top w:val="single" w:color="auto" w:sz="4" w:space="0"/>
              <w:left w:val="single" w:color="auto" w:sz="4" w:space="0"/>
              <w:bottom w:val="single" w:color="auto" w:sz="4" w:space="0"/>
              <w:right w:val="single" w:color="auto" w:sz="4" w:space="0"/>
            </w:tcBorders>
            <w:hideMark/>
          </w:tcPr>
          <w:p w:rsidRPr="00B803D5" w:rsidR="00ED55FC" w:rsidP="0036244B" w:rsidRDefault="00ED55FC" w14:paraId="668A8D1F" w14:textId="77777777">
            <w:pPr>
              <w:jc w:val="center"/>
            </w:pPr>
            <w:r w:rsidRPr="00B803D5">
              <w:t>N/A</w:t>
            </w:r>
          </w:p>
        </w:tc>
        <w:tc>
          <w:tcPr>
            <w:tcW w:w="2474" w:type="dxa"/>
            <w:tcBorders>
              <w:top w:val="single" w:color="auto" w:sz="4" w:space="0"/>
              <w:left w:val="single" w:color="auto" w:sz="4" w:space="0"/>
              <w:bottom w:val="single" w:color="auto" w:sz="4" w:space="0"/>
              <w:right w:val="single" w:color="auto" w:sz="4" w:space="0"/>
            </w:tcBorders>
            <w:hideMark/>
          </w:tcPr>
          <w:p w:rsidRPr="00B803D5" w:rsidR="00ED55FC" w:rsidP="0036244B" w:rsidRDefault="000F7E0C" w14:paraId="6C54C5AA" w14:textId="4BFE6263">
            <w:pPr>
              <w:jc w:val="center"/>
            </w:pPr>
            <w:r>
              <w:t>N/A</w:t>
            </w:r>
          </w:p>
        </w:tc>
      </w:tr>
    </w:tbl>
    <w:p w:rsidR="00ED55FC" w:rsidP="00625B30" w:rsidRDefault="00ED55FC" w14:paraId="00DA876E" w14:textId="77777777"/>
    <w:p w:rsidR="00ED55FC" w:rsidP="00981C3E" w:rsidRDefault="00ED55FC" w14:paraId="1E7567EB" w14:textId="77777777">
      <w:pPr>
        <w:jc w:val="center"/>
        <w:rPr>
          <w:b/>
          <w:bCs/>
          <w:sz w:val="28"/>
          <w:szCs w:val="28"/>
        </w:rPr>
      </w:pPr>
      <w:r w:rsidRPr="00B803D5">
        <w:rPr>
          <w:b/>
          <w:bCs/>
          <w:sz w:val="28"/>
          <w:szCs w:val="28"/>
        </w:rPr>
        <w:t>Hourly Fee Information</w:t>
      </w:r>
    </w:p>
    <w:p w:rsidRPr="00B803D5" w:rsidR="00981C3E" w:rsidP="00981C3E" w:rsidRDefault="00981C3E" w14:paraId="7067D0FA" w14:textId="77777777">
      <w:pPr>
        <w:jc w:val="center"/>
        <w:rPr>
          <w:b/>
          <w:bCs/>
          <w:sz w:val="28"/>
          <w:szCs w:val="28"/>
        </w:rPr>
      </w:pPr>
    </w:p>
    <w:tbl>
      <w:tblPr>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1520"/>
        <w:gridCol w:w="1725"/>
        <w:gridCol w:w="2088"/>
        <w:gridCol w:w="1748"/>
        <w:gridCol w:w="1725"/>
        <w:gridCol w:w="1634"/>
      </w:tblGrid>
      <w:tr w:rsidRPr="00B803D5" w:rsidR="00ED55FC" w:rsidTr="0036244B" w14:paraId="05ED11F4"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vAlign w:val="bottom"/>
            <w:hideMark/>
          </w:tcPr>
          <w:p w:rsidRPr="00B803D5" w:rsidR="00ED55FC" w:rsidP="0036244B" w:rsidRDefault="00ED55FC" w14:paraId="192063C9" w14:textId="77777777">
            <w:pPr>
              <w:jc w:val="center"/>
              <w:rPr>
                <w:b/>
                <w:bCs/>
              </w:rPr>
            </w:pPr>
            <w:r w:rsidRPr="00B803D5">
              <w:rPr>
                <w:b/>
                <w:bCs/>
              </w:rPr>
              <w:t>First Name</w:t>
            </w:r>
          </w:p>
        </w:tc>
        <w:tc>
          <w:tcPr>
            <w:tcW w:w="1725" w:type="dxa"/>
            <w:tcBorders>
              <w:top w:val="single" w:color="auto" w:sz="4" w:space="0"/>
              <w:left w:val="single" w:color="auto" w:sz="4" w:space="0"/>
              <w:bottom w:val="single" w:color="auto" w:sz="4" w:space="0"/>
              <w:right w:val="single" w:color="auto" w:sz="4" w:space="0"/>
            </w:tcBorders>
            <w:vAlign w:val="bottom"/>
            <w:hideMark/>
          </w:tcPr>
          <w:p w:rsidRPr="00B803D5" w:rsidR="00ED55FC" w:rsidP="0036244B" w:rsidRDefault="00ED55FC" w14:paraId="0AA0DF74" w14:textId="77777777">
            <w:pPr>
              <w:jc w:val="center"/>
              <w:rPr>
                <w:b/>
                <w:bCs/>
              </w:rPr>
            </w:pPr>
            <w:r w:rsidRPr="00B803D5">
              <w:rPr>
                <w:b/>
                <w:bCs/>
              </w:rPr>
              <w:t>Last Name</w:t>
            </w:r>
          </w:p>
        </w:tc>
        <w:tc>
          <w:tcPr>
            <w:tcW w:w="2088" w:type="dxa"/>
            <w:tcBorders>
              <w:top w:val="single" w:color="auto" w:sz="4" w:space="0"/>
              <w:left w:val="single" w:color="auto" w:sz="4" w:space="0"/>
              <w:bottom w:val="single" w:color="auto" w:sz="4" w:space="0"/>
              <w:right w:val="single" w:color="auto" w:sz="4" w:space="0"/>
            </w:tcBorders>
            <w:vAlign w:val="bottom"/>
            <w:hideMark/>
          </w:tcPr>
          <w:p w:rsidRPr="00B803D5" w:rsidR="00ED55FC" w:rsidP="0036244B" w:rsidRDefault="00ED55FC" w14:paraId="58A918EA" w14:textId="77777777">
            <w:pPr>
              <w:ind w:left="12" w:firstLine="12"/>
              <w:jc w:val="center"/>
              <w:rPr>
                <w:b/>
                <w:bCs/>
              </w:rPr>
            </w:pPr>
            <w:r w:rsidRPr="00B803D5">
              <w:rPr>
                <w:b/>
                <w:bCs/>
              </w:rPr>
              <w:t>Attorney, Expert, or Advocate</w:t>
            </w:r>
          </w:p>
        </w:tc>
        <w:tc>
          <w:tcPr>
            <w:tcW w:w="1748" w:type="dxa"/>
            <w:tcBorders>
              <w:top w:val="single" w:color="auto" w:sz="4" w:space="0"/>
              <w:left w:val="single" w:color="auto" w:sz="4" w:space="0"/>
              <w:bottom w:val="single" w:color="auto" w:sz="4" w:space="0"/>
              <w:right w:val="single" w:color="auto" w:sz="4" w:space="0"/>
            </w:tcBorders>
            <w:vAlign w:val="bottom"/>
            <w:hideMark/>
          </w:tcPr>
          <w:p w:rsidR="00ED55FC" w:rsidP="0036244B" w:rsidRDefault="00ED55FC" w14:paraId="6A2DB68D" w14:textId="77777777">
            <w:pPr>
              <w:jc w:val="center"/>
              <w:rPr>
                <w:b/>
                <w:bCs/>
              </w:rPr>
            </w:pPr>
            <w:r w:rsidRPr="00B803D5">
              <w:rPr>
                <w:b/>
                <w:bCs/>
              </w:rPr>
              <w:t>Hourly</w:t>
            </w:r>
          </w:p>
          <w:p w:rsidRPr="00B803D5" w:rsidR="00ED55FC" w:rsidP="0036244B" w:rsidRDefault="00ED55FC" w14:paraId="76C12E7D" w14:textId="77777777">
            <w:pPr>
              <w:jc w:val="center"/>
              <w:rPr>
                <w:b/>
                <w:bCs/>
              </w:rPr>
            </w:pPr>
            <w:r w:rsidRPr="00B803D5">
              <w:rPr>
                <w:b/>
                <w:bCs/>
              </w:rPr>
              <w:t>Fee Requested</w:t>
            </w:r>
          </w:p>
        </w:tc>
        <w:tc>
          <w:tcPr>
            <w:tcW w:w="1725" w:type="dxa"/>
            <w:tcBorders>
              <w:top w:val="single" w:color="auto" w:sz="4" w:space="0"/>
              <w:left w:val="single" w:color="auto" w:sz="4" w:space="0"/>
              <w:bottom w:val="single" w:color="auto" w:sz="4" w:space="0"/>
              <w:right w:val="single" w:color="auto" w:sz="4" w:space="0"/>
            </w:tcBorders>
            <w:vAlign w:val="bottom"/>
            <w:hideMark/>
          </w:tcPr>
          <w:p w:rsidR="00ED55FC" w:rsidP="0036244B" w:rsidRDefault="00ED55FC" w14:paraId="6C21677F" w14:textId="77777777">
            <w:pPr>
              <w:jc w:val="center"/>
              <w:rPr>
                <w:b/>
                <w:bCs/>
              </w:rPr>
            </w:pPr>
            <w:r w:rsidRPr="00B803D5">
              <w:rPr>
                <w:b/>
                <w:bCs/>
              </w:rPr>
              <w:t>Year Hourly</w:t>
            </w:r>
          </w:p>
          <w:p w:rsidRPr="00B803D5" w:rsidR="00ED55FC" w:rsidP="0036244B" w:rsidRDefault="00ED55FC" w14:paraId="588C572A" w14:textId="77777777">
            <w:pPr>
              <w:jc w:val="center"/>
              <w:rPr>
                <w:b/>
                <w:bCs/>
              </w:rPr>
            </w:pPr>
            <w:r w:rsidRPr="00B803D5">
              <w:rPr>
                <w:b/>
                <w:bCs/>
              </w:rPr>
              <w:t>Fee Requested</w:t>
            </w:r>
          </w:p>
        </w:tc>
        <w:tc>
          <w:tcPr>
            <w:tcW w:w="1634" w:type="dxa"/>
            <w:tcBorders>
              <w:top w:val="single" w:color="auto" w:sz="4" w:space="0"/>
              <w:left w:val="single" w:color="auto" w:sz="4" w:space="0"/>
              <w:bottom w:val="single" w:color="auto" w:sz="4" w:space="0"/>
              <w:right w:val="single" w:color="auto" w:sz="4" w:space="0"/>
            </w:tcBorders>
            <w:vAlign w:val="bottom"/>
            <w:hideMark/>
          </w:tcPr>
          <w:p w:rsidR="00ED55FC" w:rsidP="0036244B" w:rsidRDefault="00ED55FC" w14:paraId="1AF8D2FB" w14:textId="77777777">
            <w:pPr>
              <w:jc w:val="center"/>
              <w:rPr>
                <w:b/>
                <w:bCs/>
              </w:rPr>
            </w:pPr>
            <w:r w:rsidRPr="00B803D5">
              <w:rPr>
                <w:b/>
                <w:bCs/>
              </w:rPr>
              <w:t>Hourly</w:t>
            </w:r>
          </w:p>
          <w:p w:rsidRPr="00B803D5" w:rsidR="00ED55FC" w:rsidP="0036244B" w:rsidRDefault="00ED55FC" w14:paraId="56C2B02A" w14:textId="77777777">
            <w:pPr>
              <w:jc w:val="center"/>
              <w:rPr>
                <w:b/>
                <w:bCs/>
              </w:rPr>
            </w:pPr>
            <w:r w:rsidRPr="00B803D5">
              <w:rPr>
                <w:b/>
                <w:bCs/>
              </w:rPr>
              <w:t>Fee Adopted</w:t>
            </w:r>
          </w:p>
        </w:tc>
      </w:tr>
      <w:tr w:rsidRPr="00B803D5" w:rsidR="001222C9" w:rsidTr="00993364" w14:paraId="71CC94F9"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4B6DA8" w:rsidR="001222C9" w:rsidP="001222C9" w:rsidRDefault="001222C9" w14:paraId="57CBB08B" w14:textId="37D2F436">
            <w:pPr>
              <w:jc w:val="center"/>
            </w:pPr>
            <w:r w:rsidRPr="004B6DA8">
              <w:t xml:space="preserve">David  </w:t>
            </w:r>
          </w:p>
        </w:tc>
        <w:tc>
          <w:tcPr>
            <w:tcW w:w="1725" w:type="dxa"/>
            <w:tcBorders>
              <w:top w:val="single" w:color="auto" w:sz="4" w:space="0"/>
              <w:left w:val="single" w:color="auto" w:sz="4" w:space="0"/>
              <w:bottom w:val="single" w:color="auto" w:sz="4" w:space="0"/>
              <w:right w:val="single" w:color="auto" w:sz="4" w:space="0"/>
            </w:tcBorders>
          </w:tcPr>
          <w:p w:rsidRPr="004B6DA8" w:rsidR="001222C9" w:rsidP="001222C9" w:rsidRDefault="001222C9" w14:paraId="3C40AE12" w14:textId="2A936EB5">
            <w:pPr>
              <w:jc w:val="center"/>
            </w:pPr>
            <w:r w:rsidRPr="004B6DA8">
              <w:t>Cheng</w:t>
            </w:r>
          </w:p>
        </w:tc>
        <w:tc>
          <w:tcPr>
            <w:tcW w:w="2088" w:type="dxa"/>
            <w:tcBorders>
              <w:top w:val="single" w:color="auto" w:sz="4" w:space="0"/>
              <w:left w:val="single" w:color="auto" w:sz="4" w:space="0"/>
              <w:bottom w:val="single" w:color="auto" w:sz="4" w:space="0"/>
              <w:right w:val="single" w:color="auto" w:sz="4" w:space="0"/>
            </w:tcBorders>
          </w:tcPr>
          <w:p w:rsidRPr="004B6DA8" w:rsidR="001222C9" w:rsidP="001222C9" w:rsidRDefault="001222C9" w14:paraId="1862BFC2" w14:textId="77777777">
            <w:pPr>
              <w:jc w:val="center"/>
            </w:pPr>
            <w:r w:rsidRPr="004B6DA8">
              <w:t>Attorney</w:t>
            </w:r>
          </w:p>
        </w:tc>
        <w:tc>
          <w:tcPr>
            <w:tcW w:w="1748" w:type="dxa"/>
            <w:tcBorders>
              <w:top w:val="single" w:color="auto" w:sz="4" w:space="0"/>
              <w:left w:val="single" w:color="auto" w:sz="4" w:space="0"/>
              <w:bottom w:val="single" w:color="auto" w:sz="4" w:space="0"/>
              <w:right w:val="single" w:color="auto" w:sz="4" w:space="0"/>
            </w:tcBorders>
            <w:vAlign w:val="bottom"/>
          </w:tcPr>
          <w:p w:rsidRPr="00981856" w:rsidR="001222C9" w:rsidP="001222C9" w:rsidRDefault="001222C9" w14:paraId="1F633970" w14:textId="6D942EB3">
            <w:pPr>
              <w:jc w:val="center"/>
            </w:pPr>
            <w:r w:rsidRPr="004B6DA8">
              <w:t>$525</w:t>
            </w:r>
          </w:p>
        </w:tc>
        <w:tc>
          <w:tcPr>
            <w:tcW w:w="1725" w:type="dxa"/>
            <w:tcBorders>
              <w:top w:val="single" w:color="auto" w:sz="4" w:space="0"/>
              <w:left w:val="single" w:color="auto" w:sz="4" w:space="0"/>
              <w:bottom w:val="single" w:color="auto" w:sz="4" w:space="0"/>
              <w:right w:val="single" w:color="auto" w:sz="4" w:space="0"/>
            </w:tcBorders>
            <w:vAlign w:val="bottom"/>
          </w:tcPr>
          <w:p w:rsidRPr="00981856" w:rsidR="001222C9" w:rsidP="001222C9" w:rsidRDefault="001222C9" w14:paraId="3C9F4DDC" w14:textId="4007BC3C">
            <w:pPr>
              <w:jc w:val="center"/>
            </w:pPr>
            <w:r w:rsidRPr="004B6DA8">
              <w:t>2024</w:t>
            </w:r>
          </w:p>
        </w:tc>
        <w:tc>
          <w:tcPr>
            <w:tcW w:w="1634" w:type="dxa"/>
            <w:tcBorders>
              <w:top w:val="single" w:color="auto" w:sz="4" w:space="0"/>
              <w:left w:val="single" w:color="auto" w:sz="4" w:space="0"/>
              <w:bottom w:val="single" w:color="auto" w:sz="4" w:space="0"/>
              <w:right w:val="single" w:color="auto" w:sz="4" w:space="0"/>
            </w:tcBorders>
            <w:vAlign w:val="bottom"/>
          </w:tcPr>
          <w:p w:rsidRPr="00B803D5" w:rsidR="001222C9" w:rsidP="001222C9" w:rsidRDefault="001222C9" w14:paraId="467AD866" w14:textId="213383D8">
            <w:pPr>
              <w:jc w:val="center"/>
            </w:pPr>
            <w:r w:rsidRPr="004B6DA8">
              <w:t>$525</w:t>
            </w:r>
            <w:r>
              <w:t>.00</w:t>
            </w:r>
          </w:p>
        </w:tc>
      </w:tr>
      <w:tr w:rsidRPr="00B803D5" w:rsidR="001222C9" w:rsidTr="00993364" w14:paraId="6A76F801"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4B6DA8" w:rsidR="001222C9" w:rsidP="001222C9" w:rsidRDefault="001222C9" w14:paraId="13422C85" w14:textId="4EEE7A67">
            <w:pPr>
              <w:jc w:val="center"/>
            </w:pPr>
            <w:r w:rsidRPr="004B6DA8">
              <w:t xml:space="preserve">David  </w:t>
            </w:r>
          </w:p>
        </w:tc>
        <w:tc>
          <w:tcPr>
            <w:tcW w:w="1725" w:type="dxa"/>
            <w:tcBorders>
              <w:top w:val="single" w:color="auto" w:sz="4" w:space="0"/>
              <w:left w:val="single" w:color="auto" w:sz="4" w:space="0"/>
              <w:bottom w:val="single" w:color="auto" w:sz="4" w:space="0"/>
              <w:right w:val="single" w:color="auto" w:sz="4" w:space="0"/>
            </w:tcBorders>
          </w:tcPr>
          <w:p w:rsidRPr="004B6DA8" w:rsidR="001222C9" w:rsidP="001222C9" w:rsidRDefault="001222C9" w14:paraId="6CB2AC7A" w14:textId="2DDA9ABC">
            <w:pPr>
              <w:jc w:val="center"/>
            </w:pPr>
            <w:r w:rsidRPr="004B6DA8">
              <w:t>Cheng</w:t>
            </w:r>
          </w:p>
        </w:tc>
        <w:tc>
          <w:tcPr>
            <w:tcW w:w="2088" w:type="dxa"/>
            <w:tcBorders>
              <w:top w:val="single" w:color="auto" w:sz="4" w:space="0"/>
              <w:left w:val="single" w:color="auto" w:sz="4" w:space="0"/>
              <w:bottom w:val="single" w:color="auto" w:sz="4" w:space="0"/>
              <w:right w:val="single" w:color="auto" w:sz="4" w:space="0"/>
            </w:tcBorders>
          </w:tcPr>
          <w:p w:rsidRPr="004B6DA8" w:rsidR="001222C9" w:rsidP="001222C9" w:rsidRDefault="001222C9" w14:paraId="1D8FAD13" w14:textId="57694875">
            <w:pPr>
              <w:jc w:val="center"/>
            </w:pPr>
            <w:r w:rsidRPr="004B6DA8">
              <w:t>Attorney</w:t>
            </w:r>
          </w:p>
        </w:tc>
        <w:tc>
          <w:tcPr>
            <w:tcW w:w="1748" w:type="dxa"/>
            <w:tcBorders>
              <w:top w:val="single" w:color="auto" w:sz="4" w:space="0"/>
              <w:left w:val="single" w:color="auto" w:sz="4" w:space="0"/>
              <w:bottom w:val="single" w:color="auto" w:sz="4" w:space="0"/>
              <w:right w:val="single" w:color="auto" w:sz="4" w:space="0"/>
            </w:tcBorders>
            <w:vAlign w:val="bottom"/>
          </w:tcPr>
          <w:p w:rsidRPr="00981856" w:rsidR="001222C9" w:rsidP="001222C9" w:rsidRDefault="001222C9" w14:paraId="2BEF62FB" w14:textId="1A4CE423">
            <w:pPr>
              <w:jc w:val="center"/>
            </w:pPr>
            <w:r w:rsidRPr="004B6DA8">
              <w:t>$570</w:t>
            </w:r>
          </w:p>
        </w:tc>
        <w:tc>
          <w:tcPr>
            <w:tcW w:w="1725" w:type="dxa"/>
            <w:tcBorders>
              <w:top w:val="single" w:color="auto" w:sz="4" w:space="0"/>
              <w:left w:val="single" w:color="auto" w:sz="4" w:space="0"/>
              <w:bottom w:val="single" w:color="auto" w:sz="4" w:space="0"/>
              <w:right w:val="single" w:color="auto" w:sz="4" w:space="0"/>
            </w:tcBorders>
            <w:vAlign w:val="bottom"/>
          </w:tcPr>
          <w:p w:rsidRPr="00981856" w:rsidR="001222C9" w:rsidP="001222C9" w:rsidRDefault="001222C9" w14:paraId="19B5100D" w14:textId="03CD1E65">
            <w:pPr>
              <w:jc w:val="center"/>
            </w:pPr>
            <w:r w:rsidRPr="004B6DA8">
              <w:t>2025</w:t>
            </w:r>
          </w:p>
        </w:tc>
        <w:tc>
          <w:tcPr>
            <w:tcW w:w="1634" w:type="dxa"/>
            <w:tcBorders>
              <w:top w:val="single" w:color="auto" w:sz="4" w:space="0"/>
              <w:left w:val="single" w:color="auto" w:sz="4" w:space="0"/>
              <w:bottom w:val="single" w:color="auto" w:sz="4" w:space="0"/>
              <w:right w:val="single" w:color="auto" w:sz="4" w:space="0"/>
            </w:tcBorders>
            <w:vAlign w:val="bottom"/>
          </w:tcPr>
          <w:p w:rsidRPr="00B803D5" w:rsidR="001222C9" w:rsidP="001222C9" w:rsidRDefault="001222C9" w14:paraId="52358688" w14:textId="029AEDF1">
            <w:pPr>
              <w:jc w:val="center"/>
            </w:pPr>
            <w:r w:rsidRPr="004B6DA8">
              <w:t>$570</w:t>
            </w:r>
            <w:r>
              <w:t>.00</w:t>
            </w:r>
          </w:p>
        </w:tc>
      </w:tr>
      <w:tr w:rsidRPr="00B803D5" w:rsidR="001222C9" w:rsidTr="004B6DA8" w14:paraId="0659CA32"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4B6DA8" w:rsidR="001222C9" w:rsidP="001222C9" w:rsidRDefault="001222C9" w14:paraId="4A5499B2" w14:textId="60FE8FB3">
            <w:pPr>
              <w:jc w:val="center"/>
            </w:pPr>
            <w:r w:rsidRPr="004B6DA8">
              <w:t>Hayley</w:t>
            </w:r>
          </w:p>
        </w:tc>
        <w:tc>
          <w:tcPr>
            <w:tcW w:w="1725" w:type="dxa"/>
            <w:tcBorders>
              <w:top w:val="single" w:color="auto" w:sz="4" w:space="0"/>
              <w:left w:val="single" w:color="auto" w:sz="4" w:space="0"/>
              <w:bottom w:val="single" w:color="auto" w:sz="4" w:space="0"/>
              <w:right w:val="single" w:color="auto" w:sz="4" w:space="0"/>
            </w:tcBorders>
          </w:tcPr>
          <w:p w:rsidRPr="004B6DA8" w:rsidR="001222C9" w:rsidP="001222C9" w:rsidRDefault="001222C9" w14:paraId="2A991FB3" w14:textId="67C6FFFA">
            <w:pPr>
              <w:jc w:val="center"/>
            </w:pPr>
            <w:r w:rsidRPr="004B6DA8">
              <w:t>Goodson</w:t>
            </w:r>
          </w:p>
        </w:tc>
        <w:tc>
          <w:tcPr>
            <w:tcW w:w="2088" w:type="dxa"/>
            <w:tcBorders>
              <w:top w:val="single" w:color="auto" w:sz="4" w:space="0"/>
              <w:left w:val="single" w:color="auto" w:sz="4" w:space="0"/>
              <w:bottom w:val="single" w:color="auto" w:sz="4" w:space="0"/>
              <w:right w:val="single" w:color="auto" w:sz="4" w:space="0"/>
            </w:tcBorders>
          </w:tcPr>
          <w:p w:rsidRPr="004B6DA8" w:rsidR="001222C9" w:rsidP="001222C9" w:rsidRDefault="001222C9" w14:paraId="4F61EE4B" w14:textId="7778C341">
            <w:pPr>
              <w:jc w:val="center"/>
            </w:pPr>
            <w:r w:rsidRPr="004B6DA8">
              <w:t>Attorney</w:t>
            </w:r>
          </w:p>
        </w:tc>
        <w:tc>
          <w:tcPr>
            <w:tcW w:w="1748" w:type="dxa"/>
            <w:tcBorders>
              <w:top w:val="single" w:color="auto" w:sz="4" w:space="0"/>
              <w:left w:val="single" w:color="auto" w:sz="4" w:space="0"/>
              <w:bottom w:val="single" w:color="auto" w:sz="4" w:space="0"/>
              <w:right w:val="single" w:color="auto" w:sz="4" w:space="0"/>
            </w:tcBorders>
          </w:tcPr>
          <w:p w:rsidRPr="004B6DA8" w:rsidR="001222C9" w:rsidP="001222C9" w:rsidRDefault="001222C9" w14:paraId="7AFF8C08" w14:textId="614E6BC4">
            <w:pPr>
              <w:jc w:val="center"/>
            </w:pPr>
            <w:r w:rsidRPr="004B6DA8">
              <w:t>$680</w:t>
            </w:r>
          </w:p>
        </w:tc>
        <w:tc>
          <w:tcPr>
            <w:tcW w:w="1725" w:type="dxa"/>
            <w:tcBorders>
              <w:top w:val="single" w:color="auto" w:sz="4" w:space="0"/>
              <w:left w:val="single" w:color="auto" w:sz="4" w:space="0"/>
              <w:bottom w:val="single" w:color="auto" w:sz="4" w:space="0"/>
              <w:right w:val="single" w:color="auto" w:sz="4" w:space="0"/>
            </w:tcBorders>
          </w:tcPr>
          <w:p w:rsidRPr="004B6DA8" w:rsidR="001222C9" w:rsidP="001222C9" w:rsidRDefault="001222C9" w14:paraId="38AC187A" w14:textId="17AE75E6">
            <w:pPr>
              <w:jc w:val="center"/>
            </w:pPr>
            <w:r w:rsidRPr="004B6DA8">
              <w:t>2024</w:t>
            </w:r>
          </w:p>
        </w:tc>
        <w:tc>
          <w:tcPr>
            <w:tcW w:w="1634" w:type="dxa"/>
            <w:tcBorders>
              <w:top w:val="single" w:color="auto" w:sz="4" w:space="0"/>
              <w:left w:val="single" w:color="auto" w:sz="4" w:space="0"/>
              <w:bottom w:val="single" w:color="auto" w:sz="4" w:space="0"/>
              <w:right w:val="single" w:color="auto" w:sz="4" w:space="0"/>
            </w:tcBorders>
          </w:tcPr>
          <w:p w:rsidRPr="00B803D5" w:rsidR="001222C9" w:rsidP="001222C9" w:rsidRDefault="001222C9" w14:paraId="3D33C6AE" w14:textId="0CA6E9A8">
            <w:pPr>
              <w:jc w:val="center"/>
            </w:pPr>
            <w:r w:rsidRPr="004B6DA8">
              <w:t>$680</w:t>
            </w:r>
            <w:r>
              <w:t>.00</w:t>
            </w:r>
          </w:p>
        </w:tc>
      </w:tr>
      <w:tr w:rsidRPr="00B803D5" w:rsidR="001222C9" w:rsidTr="004B6DA8" w14:paraId="10D8891C"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4B6DA8" w:rsidR="001222C9" w:rsidP="001222C9" w:rsidRDefault="001222C9" w14:paraId="3FED7CFA" w14:textId="48CCE98D">
            <w:pPr>
              <w:jc w:val="center"/>
            </w:pPr>
            <w:r w:rsidRPr="004B6DA8">
              <w:t>Thomas</w:t>
            </w:r>
          </w:p>
        </w:tc>
        <w:tc>
          <w:tcPr>
            <w:tcW w:w="1725" w:type="dxa"/>
            <w:tcBorders>
              <w:top w:val="single" w:color="auto" w:sz="4" w:space="0"/>
              <w:left w:val="single" w:color="auto" w:sz="4" w:space="0"/>
              <w:bottom w:val="single" w:color="auto" w:sz="4" w:space="0"/>
              <w:right w:val="single" w:color="auto" w:sz="4" w:space="0"/>
            </w:tcBorders>
          </w:tcPr>
          <w:p w:rsidRPr="004B6DA8" w:rsidR="001222C9" w:rsidP="001222C9" w:rsidRDefault="001222C9" w14:paraId="14E05E76" w14:textId="619E4773">
            <w:pPr>
              <w:jc w:val="center"/>
            </w:pPr>
            <w:r w:rsidRPr="004B6DA8">
              <w:t>Long</w:t>
            </w:r>
          </w:p>
        </w:tc>
        <w:tc>
          <w:tcPr>
            <w:tcW w:w="2088" w:type="dxa"/>
            <w:tcBorders>
              <w:top w:val="single" w:color="auto" w:sz="4" w:space="0"/>
              <w:left w:val="single" w:color="auto" w:sz="4" w:space="0"/>
              <w:bottom w:val="single" w:color="auto" w:sz="4" w:space="0"/>
              <w:right w:val="single" w:color="auto" w:sz="4" w:space="0"/>
            </w:tcBorders>
          </w:tcPr>
          <w:p w:rsidRPr="004B6DA8" w:rsidR="001222C9" w:rsidP="001222C9" w:rsidRDefault="001222C9" w14:paraId="7E948DF6" w14:textId="42A165FD">
            <w:pPr>
              <w:jc w:val="center"/>
            </w:pPr>
            <w:r w:rsidRPr="004B6DA8">
              <w:t>Attorney</w:t>
            </w:r>
          </w:p>
        </w:tc>
        <w:tc>
          <w:tcPr>
            <w:tcW w:w="1748" w:type="dxa"/>
            <w:tcBorders>
              <w:top w:val="single" w:color="auto" w:sz="4" w:space="0"/>
              <w:left w:val="single" w:color="auto" w:sz="4" w:space="0"/>
              <w:bottom w:val="single" w:color="auto" w:sz="4" w:space="0"/>
              <w:right w:val="single" w:color="auto" w:sz="4" w:space="0"/>
            </w:tcBorders>
          </w:tcPr>
          <w:p w:rsidRPr="004B6DA8" w:rsidR="001222C9" w:rsidP="001222C9" w:rsidRDefault="001222C9" w14:paraId="2416FFF1" w14:textId="62CB3499">
            <w:pPr>
              <w:jc w:val="center"/>
            </w:pPr>
            <w:r w:rsidRPr="004B6DA8">
              <w:t>$860</w:t>
            </w:r>
          </w:p>
        </w:tc>
        <w:tc>
          <w:tcPr>
            <w:tcW w:w="1725" w:type="dxa"/>
            <w:tcBorders>
              <w:top w:val="single" w:color="auto" w:sz="4" w:space="0"/>
              <w:left w:val="single" w:color="auto" w:sz="4" w:space="0"/>
              <w:bottom w:val="single" w:color="auto" w:sz="4" w:space="0"/>
              <w:right w:val="single" w:color="auto" w:sz="4" w:space="0"/>
            </w:tcBorders>
          </w:tcPr>
          <w:p w:rsidRPr="004B6DA8" w:rsidR="001222C9" w:rsidP="001222C9" w:rsidRDefault="001222C9" w14:paraId="216597D8" w14:textId="2AB4032B">
            <w:pPr>
              <w:jc w:val="center"/>
            </w:pPr>
            <w:r w:rsidRPr="004B6DA8">
              <w:t>2024</w:t>
            </w:r>
          </w:p>
        </w:tc>
        <w:tc>
          <w:tcPr>
            <w:tcW w:w="1634" w:type="dxa"/>
            <w:tcBorders>
              <w:top w:val="single" w:color="auto" w:sz="4" w:space="0"/>
              <w:left w:val="single" w:color="auto" w:sz="4" w:space="0"/>
              <w:bottom w:val="single" w:color="auto" w:sz="4" w:space="0"/>
              <w:right w:val="single" w:color="auto" w:sz="4" w:space="0"/>
            </w:tcBorders>
          </w:tcPr>
          <w:p w:rsidRPr="00B803D5" w:rsidR="001222C9" w:rsidP="001222C9" w:rsidRDefault="001222C9" w14:paraId="517F0465" w14:textId="7A5E80DC">
            <w:pPr>
              <w:jc w:val="center"/>
            </w:pPr>
            <w:r w:rsidRPr="004B6DA8">
              <w:t>$860</w:t>
            </w:r>
            <w:r>
              <w:t>.00</w:t>
            </w:r>
          </w:p>
        </w:tc>
      </w:tr>
      <w:tr w:rsidRPr="00B803D5" w:rsidR="001222C9" w:rsidTr="004B6DA8" w14:paraId="15A12332"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4B6DA8" w:rsidR="001222C9" w:rsidP="001222C9" w:rsidRDefault="001222C9" w14:paraId="3E80EF57" w14:textId="3607BE73">
            <w:pPr>
              <w:jc w:val="center"/>
            </w:pPr>
            <w:r w:rsidRPr="004B6DA8">
              <w:t xml:space="preserve">Robert </w:t>
            </w:r>
          </w:p>
        </w:tc>
        <w:tc>
          <w:tcPr>
            <w:tcW w:w="1725" w:type="dxa"/>
            <w:tcBorders>
              <w:top w:val="single" w:color="auto" w:sz="4" w:space="0"/>
              <w:left w:val="single" w:color="auto" w:sz="4" w:space="0"/>
              <w:bottom w:val="single" w:color="auto" w:sz="4" w:space="0"/>
              <w:right w:val="single" w:color="auto" w:sz="4" w:space="0"/>
            </w:tcBorders>
          </w:tcPr>
          <w:p w:rsidRPr="004B6DA8" w:rsidR="001222C9" w:rsidP="001222C9" w:rsidRDefault="001222C9" w14:paraId="736AB7A4" w14:textId="62221279">
            <w:pPr>
              <w:jc w:val="center"/>
            </w:pPr>
            <w:r w:rsidRPr="004B6DA8">
              <w:t>Finkelstein</w:t>
            </w:r>
          </w:p>
        </w:tc>
        <w:tc>
          <w:tcPr>
            <w:tcW w:w="2088" w:type="dxa"/>
            <w:tcBorders>
              <w:top w:val="single" w:color="auto" w:sz="4" w:space="0"/>
              <w:left w:val="single" w:color="auto" w:sz="4" w:space="0"/>
              <w:bottom w:val="single" w:color="auto" w:sz="4" w:space="0"/>
              <w:right w:val="single" w:color="auto" w:sz="4" w:space="0"/>
            </w:tcBorders>
          </w:tcPr>
          <w:p w:rsidRPr="004B6DA8" w:rsidR="001222C9" w:rsidP="001222C9" w:rsidRDefault="001222C9" w14:paraId="60140304" w14:textId="502B9DD9">
            <w:pPr>
              <w:jc w:val="center"/>
            </w:pPr>
            <w:r w:rsidRPr="004B6DA8">
              <w:t>Attorney</w:t>
            </w:r>
          </w:p>
        </w:tc>
        <w:tc>
          <w:tcPr>
            <w:tcW w:w="1748" w:type="dxa"/>
            <w:tcBorders>
              <w:top w:val="single" w:color="auto" w:sz="4" w:space="0"/>
              <w:left w:val="single" w:color="auto" w:sz="4" w:space="0"/>
              <w:bottom w:val="single" w:color="auto" w:sz="4" w:space="0"/>
              <w:right w:val="single" w:color="auto" w:sz="4" w:space="0"/>
            </w:tcBorders>
          </w:tcPr>
          <w:p w:rsidRPr="004B6DA8" w:rsidR="001222C9" w:rsidP="001222C9" w:rsidRDefault="001222C9" w14:paraId="7AC494C7" w14:textId="4FFECA14">
            <w:pPr>
              <w:jc w:val="center"/>
            </w:pPr>
            <w:r w:rsidRPr="004B6DA8">
              <w:t>$875</w:t>
            </w:r>
          </w:p>
        </w:tc>
        <w:tc>
          <w:tcPr>
            <w:tcW w:w="1725" w:type="dxa"/>
            <w:tcBorders>
              <w:top w:val="single" w:color="auto" w:sz="4" w:space="0"/>
              <w:left w:val="single" w:color="auto" w:sz="4" w:space="0"/>
              <w:bottom w:val="single" w:color="auto" w:sz="4" w:space="0"/>
              <w:right w:val="single" w:color="auto" w:sz="4" w:space="0"/>
            </w:tcBorders>
          </w:tcPr>
          <w:p w:rsidRPr="004B6DA8" w:rsidR="001222C9" w:rsidP="001222C9" w:rsidRDefault="001222C9" w14:paraId="628C9ECF" w14:textId="684AB7C1">
            <w:pPr>
              <w:jc w:val="center"/>
            </w:pPr>
            <w:r w:rsidRPr="004B6DA8">
              <w:t>2024</w:t>
            </w:r>
          </w:p>
        </w:tc>
        <w:tc>
          <w:tcPr>
            <w:tcW w:w="1634" w:type="dxa"/>
            <w:tcBorders>
              <w:top w:val="single" w:color="auto" w:sz="4" w:space="0"/>
              <w:left w:val="single" w:color="auto" w:sz="4" w:space="0"/>
              <w:bottom w:val="single" w:color="auto" w:sz="4" w:space="0"/>
              <w:right w:val="single" w:color="auto" w:sz="4" w:space="0"/>
            </w:tcBorders>
          </w:tcPr>
          <w:p w:rsidRPr="00B803D5" w:rsidR="001222C9" w:rsidP="001222C9" w:rsidRDefault="001222C9" w14:paraId="47B5699A" w14:textId="16827CEA">
            <w:pPr>
              <w:jc w:val="center"/>
            </w:pPr>
            <w:r w:rsidRPr="004B6DA8">
              <w:t>$875</w:t>
            </w:r>
            <w:r>
              <w:t>.00</w:t>
            </w:r>
          </w:p>
        </w:tc>
      </w:tr>
      <w:tr w:rsidRPr="00B803D5" w:rsidR="001222C9" w:rsidTr="004B6DA8" w14:paraId="1195732D"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4B6DA8" w:rsidR="001222C9" w:rsidP="001222C9" w:rsidRDefault="001222C9" w14:paraId="507BFF14" w14:textId="12A5BDB4">
            <w:pPr>
              <w:jc w:val="center"/>
            </w:pPr>
            <w:r w:rsidRPr="004B6DA8">
              <w:t xml:space="preserve">Jennifer </w:t>
            </w:r>
          </w:p>
        </w:tc>
        <w:tc>
          <w:tcPr>
            <w:tcW w:w="1725" w:type="dxa"/>
            <w:tcBorders>
              <w:top w:val="single" w:color="auto" w:sz="4" w:space="0"/>
              <w:left w:val="single" w:color="auto" w:sz="4" w:space="0"/>
              <w:bottom w:val="single" w:color="auto" w:sz="4" w:space="0"/>
              <w:right w:val="single" w:color="auto" w:sz="4" w:space="0"/>
            </w:tcBorders>
          </w:tcPr>
          <w:p w:rsidRPr="004B6DA8" w:rsidR="001222C9" w:rsidP="001222C9" w:rsidRDefault="001222C9" w14:paraId="3FF58E63" w14:textId="1563A094">
            <w:pPr>
              <w:jc w:val="center"/>
            </w:pPr>
            <w:r w:rsidRPr="004B6DA8">
              <w:t>Dowdell</w:t>
            </w:r>
          </w:p>
        </w:tc>
        <w:tc>
          <w:tcPr>
            <w:tcW w:w="2088" w:type="dxa"/>
            <w:tcBorders>
              <w:top w:val="single" w:color="auto" w:sz="4" w:space="0"/>
              <w:left w:val="single" w:color="auto" w:sz="4" w:space="0"/>
              <w:bottom w:val="single" w:color="auto" w:sz="4" w:space="0"/>
              <w:right w:val="single" w:color="auto" w:sz="4" w:space="0"/>
            </w:tcBorders>
          </w:tcPr>
          <w:p w:rsidRPr="004B6DA8" w:rsidR="001222C9" w:rsidP="001222C9" w:rsidRDefault="001222C9" w14:paraId="4A6449ED" w14:textId="5B6C9A0E">
            <w:pPr>
              <w:jc w:val="center"/>
            </w:pPr>
            <w:r w:rsidRPr="004B6DA8">
              <w:t>Analyst</w:t>
            </w:r>
          </w:p>
        </w:tc>
        <w:tc>
          <w:tcPr>
            <w:tcW w:w="1748" w:type="dxa"/>
            <w:tcBorders>
              <w:top w:val="single" w:color="auto" w:sz="4" w:space="0"/>
              <w:left w:val="single" w:color="auto" w:sz="4" w:space="0"/>
              <w:bottom w:val="single" w:color="auto" w:sz="4" w:space="0"/>
              <w:right w:val="single" w:color="auto" w:sz="4" w:space="0"/>
            </w:tcBorders>
          </w:tcPr>
          <w:p w:rsidRPr="004B6DA8" w:rsidR="001222C9" w:rsidP="001222C9" w:rsidRDefault="001222C9" w14:paraId="0474DA66" w14:textId="7EAC8F1B">
            <w:pPr>
              <w:jc w:val="center"/>
            </w:pPr>
            <w:r w:rsidRPr="004B6DA8">
              <w:t>$495</w:t>
            </w:r>
          </w:p>
        </w:tc>
        <w:tc>
          <w:tcPr>
            <w:tcW w:w="1725" w:type="dxa"/>
            <w:tcBorders>
              <w:top w:val="single" w:color="auto" w:sz="4" w:space="0"/>
              <w:left w:val="single" w:color="auto" w:sz="4" w:space="0"/>
              <w:bottom w:val="single" w:color="auto" w:sz="4" w:space="0"/>
              <w:right w:val="single" w:color="auto" w:sz="4" w:space="0"/>
            </w:tcBorders>
          </w:tcPr>
          <w:p w:rsidRPr="004B6DA8" w:rsidR="001222C9" w:rsidP="001222C9" w:rsidRDefault="001222C9" w14:paraId="11EB319B" w14:textId="057271EB">
            <w:pPr>
              <w:jc w:val="center"/>
            </w:pPr>
            <w:r w:rsidRPr="004B6DA8">
              <w:t>2024</w:t>
            </w:r>
          </w:p>
        </w:tc>
        <w:tc>
          <w:tcPr>
            <w:tcW w:w="1634" w:type="dxa"/>
            <w:tcBorders>
              <w:top w:val="single" w:color="auto" w:sz="4" w:space="0"/>
              <w:left w:val="single" w:color="auto" w:sz="4" w:space="0"/>
              <w:bottom w:val="single" w:color="auto" w:sz="4" w:space="0"/>
              <w:right w:val="single" w:color="auto" w:sz="4" w:space="0"/>
            </w:tcBorders>
          </w:tcPr>
          <w:p w:rsidRPr="00B803D5" w:rsidR="001222C9" w:rsidP="001222C9" w:rsidRDefault="001222C9" w14:paraId="06DAC3C8" w14:textId="26FED116">
            <w:pPr>
              <w:jc w:val="center"/>
            </w:pPr>
            <w:r w:rsidRPr="004B6DA8">
              <w:t>$495</w:t>
            </w:r>
            <w:r>
              <w:t>.00</w:t>
            </w:r>
          </w:p>
        </w:tc>
      </w:tr>
      <w:tr w:rsidRPr="00B803D5" w:rsidR="001222C9" w:rsidTr="004B6DA8" w14:paraId="4D2D1C59"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4B6DA8" w:rsidR="001222C9" w:rsidP="001222C9" w:rsidRDefault="001222C9" w14:paraId="133DB9DF" w14:textId="77777777">
            <w:pPr>
              <w:jc w:val="center"/>
            </w:pPr>
            <w:r w:rsidRPr="004B6DA8">
              <w:t>Reina</w:t>
            </w:r>
          </w:p>
        </w:tc>
        <w:tc>
          <w:tcPr>
            <w:tcW w:w="1725" w:type="dxa"/>
            <w:tcBorders>
              <w:top w:val="single" w:color="auto" w:sz="4" w:space="0"/>
              <w:left w:val="single" w:color="auto" w:sz="4" w:space="0"/>
              <w:bottom w:val="single" w:color="auto" w:sz="4" w:space="0"/>
              <w:right w:val="single" w:color="auto" w:sz="4" w:space="0"/>
            </w:tcBorders>
          </w:tcPr>
          <w:p w:rsidRPr="004B6DA8" w:rsidR="001222C9" w:rsidP="001222C9" w:rsidRDefault="001222C9" w14:paraId="42106B04" w14:textId="77777777">
            <w:pPr>
              <w:jc w:val="center"/>
            </w:pPr>
            <w:proofErr w:type="spellStart"/>
            <w:r w:rsidRPr="004B6DA8">
              <w:t>Yanagiba</w:t>
            </w:r>
            <w:proofErr w:type="spellEnd"/>
          </w:p>
        </w:tc>
        <w:tc>
          <w:tcPr>
            <w:tcW w:w="2088" w:type="dxa"/>
            <w:tcBorders>
              <w:top w:val="single" w:color="auto" w:sz="4" w:space="0"/>
              <w:left w:val="single" w:color="auto" w:sz="4" w:space="0"/>
              <w:bottom w:val="single" w:color="auto" w:sz="4" w:space="0"/>
              <w:right w:val="single" w:color="auto" w:sz="4" w:space="0"/>
            </w:tcBorders>
          </w:tcPr>
          <w:p w:rsidRPr="004B6DA8" w:rsidR="001222C9" w:rsidP="001222C9" w:rsidRDefault="001222C9" w14:paraId="0AE64B7A" w14:textId="7E89195B">
            <w:pPr>
              <w:jc w:val="center"/>
            </w:pPr>
            <w:r w:rsidRPr="004B6DA8">
              <w:t>Legal Assistant</w:t>
            </w:r>
            <w:r>
              <w:rPr>
                <w:rStyle w:val="FootnoteReference"/>
              </w:rPr>
              <w:footnoteReference w:id="4"/>
            </w:r>
          </w:p>
        </w:tc>
        <w:tc>
          <w:tcPr>
            <w:tcW w:w="1748" w:type="dxa"/>
            <w:tcBorders>
              <w:top w:val="single" w:color="auto" w:sz="4" w:space="0"/>
              <w:left w:val="single" w:color="auto" w:sz="4" w:space="0"/>
              <w:bottom w:val="single" w:color="auto" w:sz="4" w:space="0"/>
              <w:right w:val="single" w:color="auto" w:sz="4" w:space="0"/>
            </w:tcBorders>
          </w:tcPr>
          <w:p w:rsidRPr="00B803D5" w:rsidR="001222C9" w:rsidP="001222C9" w:rsidRDefault="001222C9" w14:paraId="3FEA44B0" w14:textId="65BA10AB">
            <w:pPr>
              <w:jc w:val="center"/>
            </w:pPr>
            <w:r>
              <w:t>$125</w:t>
            </w:r>
          </w:p>
        </w:tc>
        <w:tc>
          <w:tcPr>
            <w:tcW w:w="1725" w:type="dxa"/>
            <w:tcBorders>
              <w:top w:val="single" w:color="auto" w:sz="4" w:space="0"/>
              <w:left w:val="single" w:color="auto" w:sz="4" w:space="0"/>
              <w:bottom w:val="single" w:color="auto" w:sz="4" w:space="0"/>
              <w:right w:val="single" w:color="auto" w:sz="4" w:space="0"/>
            </w:tcBorders>
          </w:tcPr>
          <w:p w:rsidRPr="00B803D5" w:rsidR="001222C9" w:rsidP="001222C9" w:rsidRDefault="001222C9" w14:paraId="1959E4B6" w14:textId="5C5B64C7">
            <w:pPr>
              <w:jc w:val="center"/>
            </w:pPr>
            <w:r>
              <w:t>2025</w:t>
            </w:r>
          </w:p>
        </w:tc>
        <w:tc>
          <w:tcPr>
            <w:tcW w:w="1634" w:type="dxa"/>
            <w:tcBorders>
              <w:top w:val="single" w:color="auto" w:sz="4" w:space="0"/>
              <w:left w:val="single" w:color="auto" w:sz="4" w:space="0"/>
              <w:bottom w:val="single" w:color="auto" w:sz="4" w:space="0"/>
              <w:right w:val="single" w:color="auto" w:sz="4" w:space="0"/>
            </w:tcBorders>
          </w:tcPr>
          <w:p w:rsidRPr="00B803D5" w:rsidR="001222C9" w:rsidP="001222C9" w:rsidRDefault="001222C9" w14:paraId="28A7EC9D" w14:textId="18A7F5B0">
            <w:pPr>
              <w:jc w:val="center"/>
            </w:pPr>
            <w:r>
              <w:t>$125.00</w:t>
            </w:r>
          </w:p>
        </w:tc>
      </w:tr>
    </w:tbl>
    <w:p w:rsidR="007F26BF" w:rsidP="00ED55FC" w:rsidRDefault="007F26BF" w14:paraId="01EA572B" w14:textId="77777777">
      <w:pPr>
        <w:jc w:val="center"/>
        <w:rPr>
          <w:b/>
        </w:rPr>
      </w:pPr>
    </w:p>
    <w:p w:rsidR="00ED55FC" w:rsidP="00ED55FC" w:rsidRDefault="00ED55FC" w14:paraId="6D41999C" w14:textId="6731F0A8">
      <w:pPr>
        <w:jc w:val="center"/>
        <w:rPr>
          <w:b/>
        </w:rPr>
      </w:pPr>
      <w:r w:rsidRPr="00B803D5">
        <w:rPr>
          <w:b/>
        </w:rPr>
        <w:t xml:space="preserve">(END OF </w:t>
      </w:r>
      <w:r w:rsidRPr="00B803D5">
        <w:rPr>
          <w:b/>
          <w:szCs w:val="26"/>
        </w:rPr>
        <w:t>APPENDIX</w:t>
      </w:r>
      <w:r w:rsidRPr="00B803D5">
        <w:rPr>
          <w:b/>
        </w:rPr>
        <w:t>)</w:t>
      </w:r>
    </w:p>
    <w:p w:rsidR="00ED55FC" w:rsidP="00625B30" w:rsidRDefault="00ED55FC" w14:paraId="6F9411A2" w14:textId="73FECE16"/>
    <w:p w:rsidR="00ED55FC" w:rsidP="00625B30" w:rsidRDefault="00ED55FC" w14:paraId="0968E9DF" w14:textId="76C13983"/>
    <w:sectPr w:rsidR="00ED55FC" w:rsidSect="008D0E61">
      <w:headerReference w:type="default" r:id="rId11"/>
      <w:footerReference w:type="default" r:id="rId12"/>
      <w:footerReference w:type="first" r:id="rId13"/>
      <w:pgSz w:w="12240" w:h="15840"/>
      <w:pgMar w:top="1440" w:right="1440" w:bottom="1440" w:left="1440" w:header="720" w:footer="720"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E1AC5" w14:textId="77777777" w:rsidR="00284069" w:rsidRDefault="00284069" w:rsidP="00625B30">
      <w:r>
        <w:separator/>
      </w:r>
    </w:p>
  </w:endnote>
  <w:endnote w:type="continuationSeparator" w:id="0">
    <w:p w14:paraId="35412B03" w14:textId="77777777" w:rsidR="00284069" w:rsidRDefault="00284069" w:rsidP="00625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678DB" w14:textId="0D9ACFF5" w:rsidR="008D0E61" w:rsidRDefault="008D0E61">
    <w:pPr>
      <w:pStyle w:val="Footer"/>
    </w:pPr>
    <w:r>
      <w:tab/>
    </w:r>
    <w:sdt>
      <w:sdtPr>
        <w:id w:val="72758490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620BE3B0" w14:textId="77777777" w:rsidR="008D0E61" w:rsidRDefault="008D0E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2B25A" w14:textId="057AC53E" w:rsidR="008D0E61" w:rsidRDefault="00114721">
    <w:pPr>
      <w:pStyle w:val="Footer"/>
    </w:pPr>
    <w:r w:rsidRPr="00114721">
      <w:rPr>
        <w:sz w:val="16"/>
        <w:szCs w:val="16"/>
      </w:rPr>
      <w:t>603470442</w:t>
    </w:r>
    <w:r w:rsidR="008D0E61">
      <w:tab/>
    </w:r>
    <w:sdt>
      <w:sdtPr>
        <w:id w:val="-1553614626"/>
        <w:docPartObj>
          <w:docPartGallery w:val="Page Numbers (Bottom of Page)"/>
          <w:docPartUnique/>
        </w:docPartObj>
      </w:sdtPr>
      <w:sdtEndPr>
        <w:rPr>
          <w:noProof/>
        </w:rPr>
      </w:sdtEndPr>
      <w:sdtContent>
        <w:r w:rsidR="008D0E61">
          <w:fldChar w:fldCharType="begin"/>
        </w:r>
        <w:r w:rsidR="008D0E61">
          <w:instrText xml:space="preserve"> PAGE   \* MERGEFORMAT </w:instrText>
        </w:r>
        <w:r w:rsidR="008D0E61">
          <w:fldChar w:fldCharType="separate"/>
        </w:r>
        <w:r w:rsidR="008D0E61">
          <w:rPr>
            <w:noProof/>
          </w:rPr>
          <w:t>2</w:t>
        </w:r>
        <w:r w:rsidR="008D0E61">
          <w:rPr>
            <w:noProof/>
          </w:rPr>
          <w:fldChar w:fldCharType="end"/>
        </w:r>
      </w:sdtContent>
    </w:sdt>
  </w:p>
  <w:p w14:paraId="0CCC1232" w14:textId="77777777" w:rsidR="008D0E61" w:rsidRDefault="008D0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A6D5B" w14:textId="77777777" w:rsidR="00284069" w:rsidRDefault="00284069" w:rsidP="00625B30">
      <w:r>
        <w:separator/>
      </w:r>
    </w:p>
  </w:footnote>
  <w:footnote w:type="continuationSeparator" w:id="0">
    <w:p w14:paraId="0A7F2A8C" w14:textId="77777777" w:rsidR="00284069" w:rsidRDefault="00284069" w:rsidP="00625B30">
      <w:r>
        <w:continuationSeparator/>
      </w:r>
    </w:p>
  </w:footnote>
  <w:footnote w:id="1">
    <w:p w14:paraId="345C0878" w14:textId="77777777" w:rsidR="00625B30" w:rsidRDefault="00625B30" w:rsidP="00625B30">
      <w:pPr>
        <w:pStyle w:val="FootnoteText"/>
      </w:pPr>
      <w:r>
        <w:rPr>
          <w:rStyle w:val="FootnoteReference"/>
          <w:rFonts w:eastAsiaTheme="majorEastAsia"/>
        </w:rPr>
        <w:footnoteRef/>
      </w:r>
      <w:r>
        <w:t xml:space="preserve"> All statutory references are to California Public Utilities Code unless indicated otherwise.</w:t>
      </w:r>
    </w:p>
  </w:footnote>
  <w:footnote w:id="2">
    <w:p w14:paraId="44EC95CB" w14:textId="77777777" w:rsidR="00625B30" w:rsidRPr="00DE3A5D" w:rsidRDefault="00625B30" w:rsidP="00625B30">
      <w:pPr>
        <w:pStyle w:val="FootnoteText"/>
      </w:pPr>
      <w:r w:rsidRPr="00DE3A5D">
        <w:rPr>
          <w:rStyle w:val="FootnoteReference"/>
          <w:rFonts w:eastAsiaTheme="majorEastAsia"/>
          <w:sz w:val="20"/>
        </w:rPr>
        <w:footnoteRef/>
      </w:r>
      <w:r w:rsidRPr="00DE3A5D">
        <w:t xml:space="preserve"> This information may be </w:t>
      </w:r>
      <w:r w:rsidRPr="00DE3A5D">
        <w:rPr>
          <w:color w:val="000000"/>
        </w:rPr>
        <w:t>obtain</w:t>
      </w:r>
      <w:r>
        <w:rPr>
          <w:color w:val="000000"/>
        </w:rPr>
        <w:t xml:space="preserve">ed through the State Bar of California’s website at </w:t>
      </w:r>
      <w:hyperlink r:id="rId1" w:history="1">
        <w:r w:rsidRPr="00A86489">
          <w:rPr>
            <w:rStyle w:val="Hyperlink"/>
            <w:rFonts w:eastAsiaTheme="majorEastAsia"/>
            <w:szCs w:val="22"/>
          </w:rPr>
          <w:t>http://members.calbar.ca.gov/fal/MemberSearch/QuickSearch</w:t>
        </w:r>
      </w:hyperlink>
      <w:r>
        <w:rPr>
          <w:color w:val="000000"/>
        </w:rPr>
        <w:t>.</w:t>
      </w:r>
    </w:p>
  </w:footnote>
  <w:footnote w:id="3">
    <w:p w14:paraId="0896FCF7" w14:textId="455B1224" w:rsidR="004B6DA8" w:rsidRPr="004B6DA8" w:rsidRDefault="004B6DA8" w:rsidP="004B6DA8">
      <w:pPr>
        <w:pStyle w:val="FootnoteText"/>
      </w:pPr>
      <w:r>
        <w:rPr>
          <w:rStyle w:val="FootnoteReference"/>
        </w:rPr>
        <w:footnoteRef/>
      </w:r>
      <w:r>
        <w:t xml:space="preserve"> </w:t>
      </w:r>
      <w:r w:rsidRPr="004B6DA8">
        <w:rPr>
          <w:bCs/>
          <w:iCs/>
        </w:rPr>
        <w:t xml:space="preserve">Attachments not </w:t>
      </w:r>
      <w:r w:rsidR="00E71870">
        <w:rPr>
          <w:bCs/>
          <w:iCs/>
        </w:rPr>
        <w:t>included in</w:t>
      </w:r>
      <w:r w:rsidRPr="004B6DA8">
        <w:rPr>
          <w:bCs/>
          <w:iCs/>
        </w:rPr>
        <w:t xml:space="preserve"> final Decision.</w:t>
      </w:r>
    </w:p>
    <w:p w14:paraId="7B144567" w14:textId="2373581D" w:rsidR="004B6DA8" w:rsidRDefault="004B6DA8">
      <w:pPr>
        <w:pStyle w:val="FootnoteText"/>
      </w:pPr>
    </w:p>
  </w:footnote>
  <w:footnote w:id="4">
    <w:p w14:paraId="6C9EAFA4" w14:textId="06B84330" w:rsidR="001222C9" w:rsidRDefault="001222C9">
      <w:pPr>
        <w:pStyle w:val="FootnoteText"/>
      </w:pPr>
      <w:r>
        <w:rPr>
          <w:rStyle w:val="FootnoteReference"/>
        </w:rPr>
        <w:footnoteRef/>
      </w:r>
      <w:r>
        <w:t xml:space="preserve"> Reina Yanagiba is a </w:t>
      </w:r>
      <w:r w:rsidR="00F17277">
        <w:rPr>
          <w:color w:val="000000"/>
        </w:rPr>
        <w:t>Legal – Paralegal – II</w:t>
      </w:r>
      <w:r>
        <w:t xml:space="preserve"> in 2025.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C784D" w14:textId="2F78B754" w:rsidR="008D0E61" w:rsidRDefault="008D0E61">
    <w:pPr>
      <w:pStyle w:val="Header"/>
    </w:pPr>
    <w:r>
      <w:t>A.24-06-013 ALJ/RMD/</w:t>
    </w:r>
    <w:proofErr w:type="spellStart"/>
    <w:r>
      <w:t>sgu</w:t>
    </w:r>
    <w:proofErr w:type="spellEnd"/>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5395"/>
    <w:multiLevelType w:val="hybridMultilevel"/>
    <w:tmpl w:val="82AEE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B25777"/>
    <w:multiLevelType w:val="hybridMultilevel"/>
    <w:tmpl w:val="2BC0C152"/>
    <w:lvl w:ilvl="0" w:tplc="F91419D4">
      <w:start w:val="1"/>
      <w:numFmt w:val="upperLetter"/>
      <w:lvlText w:val="%1."/>
      <w:lvlJc w:val="left"/>
      <w:pPr>
        <w:tabs>
          <w:tab w:val="num" w:pos="360"/>
        </w:tabs>
        <w:ind w:left="360" w:hanging="360"/>
      </w:pPr>
      <w:rPr>
        <w:rFonts w:hint="default"/>
        <w:b/>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CC2C8A"/>
    <w:multiLevelType w:val="hybridMultilevel"/>
    <w:tmpl w:val="AE30E4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311408"/>
    <w:multiLevelType w:val="hybridMultilevel"/>
    <w:tmpl w:val="0652D32E"/>
    <w:lvl w:ilvl="0" w:tplc="63B8243A">
      <w:start w:val="1"/>
      <w:numFmt w:val="upperLetter"/>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2F0203"/>
    <w:multiLevelType w:val="hybridMultilevel"/>
    <w:tmpl w:val="30FC9C02"/>
    <w:lvl w:ilvl="0" w:tplc="3F64304C">
      <w:start w:val="1"/>
      <w:numFmt w:val="decimal"/>
      <w:lvlText w:val="%1."/>
      <w:lvlJc w:val="left"/>
      <w:pPr>
        <w:ind w:left="547" w:hanging="54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02E60CD"/>
    <w:multiLevelType w:val="hybridMultilevel"/>
    <w:tmpl w:val="A5FC35B8"/>
    <w:lvl w:ilvl="0" w:tplc="DAA6AB9C">
      <w:start w:val="2"/>
      <w:numFmt w:val="upp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49104FC"/>
    <w:multiLevelType w:val="hybridMultilevel"/>
    <w:tmpl w:val="AF42F70C"/>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7" w15:restartNumberingAfterBreak="0">
    <w:nsid w:val="568F6BF7"/>
    <w:multiLevelType w:val="hybridMultilevel"/>
    <w:tmpl w:val="59D24288"/>
    <w:lvl w:ilvl="0" w:tplc="F91419D4">
      <w:start w:val="1"/>
      <w:numFmt w:val="upperLetter"/>
      <w:lvlText w:val="%1."/>
      <w:lvlJc w:val="left"/>
      <w:pPr>
        <w:tabs>
          <w:tab w:val="num" w:pos="360"/>
        </w:tabs>
        <w:ind w:left="360" w:hanging="360"/>
      </w:pPr>
      <w:rPr>
        <w:rFonts w:hint="default"/>
        <w:b/>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AE3EFB"/>
    <w:multiLevelType w:val="hybridMultilevel"/>
    <w:tmpl w:val="DBF60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235692"/>
    <w:multiLevelType w:val="hybridMultilevel"/>
    <w:tmpl w:val="C568ABA8"/>
    <w:lvl w:ilvl="0" w:tplc="FFFFFFFF">
      <w:start w:val="1"/>
      <w:numFmt w:val="upperLetter"/>
      <w:lvlText w:val="%1."/>
      <w:lvlJc w:val="left"/>
      <w:pPr>
        <w:ind w:left="720" w:hanging="360"/>
      </w:pPr>
      <w:rPr>
        <w:rFonts w:hint="default"/>
        <w:b/>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F753109"/>
    <w:multiLevelType w:val="hybridMultilevel"/>
    <w:tmpl w:val="15363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8179A5"/>
    <w:multiLevelType w:val="hybridMultilevel"/>
    <w:tmpl w:val="30FC9C02"/>
    <w:lvl w:ilvl="0" w:tplc="3F64304C">
      <w:start w:val="1"/>
      <w:numFmt w:val="decimal"/>
      <w:lvlText w:val="%1."/>
      <w:lvlJc w:val="left"/>
      <w:pPr>
        <w:ind w:left="547" w:hanging="54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17093550">
    <w:abstractNumId w:val="5"/>
  </w:num>
  <w:num w:numId="2" w16cid:durableId="842936081">
    <w:abstractNumId w:val="7"/>
  </w:num>
  <w:num w:numId="3" w16cid:durableId="1166047990">
    <w:abstractNumId w:val="0"/>
  </w:num>
  <w:num w:numId="4" w16cid:durableId="1920090715">
    <w:abstractNumId w:val="8"/>
  </w:num>
  <w:num w:numId="5" w16cid:durableId="584609159">
    <w:abstractNumId w:val="3"/>
  </w:num>
  <w:num w:numId="6" w16cid:durableId="1685205339">
    <w:abstractNumId w:val="1"/>
  </w:num>
  <w:num w:numId="7" w16cid:durableId="1858957422">
    <w:abstractNumId w:val="9"/>
  </w:num>
  <w:num w:numId="8" w16cid:durableId="2098595014">
    <w:abstractNumId w:val="11"/>
  </w:num>
  <w:num w:numId="9" w16cid:durableId="1312905431">
    <w:abstractNumId w:val="6"/>
  </w:num>
  <w:num w:numId="10" w16cid:durableId="789317941">
    <w:abstractNumId w:val="4"/>
  </w:num>
  <w:num w:numId="11" w16cid:durableId="1544946391">
    <w:abstractNumId w:val="10"/>
  </w:num>
  <w:num w:numId="12" w16cid:durableId="2241423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B30"/>
    <w:rsid w:val="00002EFC"/>
    <w:rsid w:val="00014E70"/>
    <w:rsid w:val="00026498"/>
    <w:rsid w:val="00042267"/>
    <w:rsid w:val="00051B61"/>
    <w:rsid w:val="00063B65"/>
    <w:rsid w:val="00076376"/>
    <w:rsid w:val="00081441"/>
    <w:rsid w:val="000C0A40"/>
    <w:rsid w:val="000C472D"/>
    <w:rsid w:val="000C5C66"/>
    <w:rsid w:val="000C72E6"/>
    <w:rsid w:val="000D06F5"/>
    <w:rsid w:val="000D7CEC"/>
    <w:rsid w:val="000E4FA8"/>
    <w:rsid w:val="000E7F5B"/>
    <w:rsid w:val="000F7E0C"/>
    <w:rsid w:val="00102BAF"/>
    <w:rsid w:val="0010659E"/>
    <w:rsid w:val="00106844"/>
    <w:rsid w:val="0011189B"/>
    <w:rsid w:val="001135A6"/>
    <w:rsid w:val="00114721"/>
    <w:rsid w:val="001222C9"/>
    <w:rsid w:val="00125C99"/>
    <w:rsid w:val="00135350"/>
    <w:rsid w:val="001354F4"/>
    <w:rsid w:val="00136EF7"/>
    <w:rsid w:val="00144EF2"/>
    <w:rsid w:val="00151352"/>
    <w:rsid w:val="00154A53"/>
    <w:rsid w:val="00155235"/>
    <w:rsid w:val="00155519"/>
    <w:rsid w:val="001A0863"/>
    <w:rsid w:val="001A1F04"/>
    <w:rsid w:val="001A27B7"/>
    <w:rsid w:val="001A39BD"/>
    <w:rsid w:val="001B2F93"/>
    <w:rsid w:val="001D19CD"/>
    <w:rsid w:val="001D366B"/>
    <w:rsid w:val="001E2957"/>
    <w:rsid w:val="001E4B67"/>
    <w:rsid w:val="001F466F"/>
    <w:rsid w:val="001F67FF"/>
    <w:rsid w:val="00203C14"/>
    <w:rsid w:val="00203EB8"/>
    <w:rsid w:val="002124C1"/>
    <w:rsid w:val="00213F70"/>
    <w:rsid w:val="0021481F"/>
    <w:rsid w:val="00216B25"/>
    <w:rsid w:val="0021779C"/>
    <w:rsid w:val="002249E9"/>
    <w:rsid w:val="00226835"/>
    <w:rsid w:val="00234D3D"/>
    <w:rsid w:val="00241C5D"/>
    <w:rsid w:val="00264948"/>
    <w:rsid w:val="00265471"/>
    <w:rsid w:val="00274E53"/>
    <w:rsid w:val="00284069"/>
    <w:rsid w:val="002850F2"/>
    <w:rsid w:val="0028779C"/>
    <w:rsid w:val="002912A3"/>
    <w:rsid w:val="002A2F43"/>
    <w:rsid w:val="002B22AD"/>
    <w:rsid w:val="002B3AC3"/>
    <w:rsid w:val="002C1111"/>
    <w:rsid w:val="002C39E3"/>
    <w:rsid w:val="002D26AA"/>
    <w:rsid w:val="0030070D"/>
    <w:rsid w:val="0031051D"/>
    <w:rsid w:val="00312BD3"/>
    <w:rsid w:val="00312BFF"/>
    <w:rsid w:val="00316658"/>
    <w:rsid w:val="00320D40"/>
    <w:rsid w:val="00334463"/>
    <w:rsid w:val="00344543"/>
    <w:rsid w:val="00345885"/>
    <w:rsid w:val="00365F49"/>
    <w:rsid w:val="00381161"/>
    <w:rsid w:val="0038149A"/>
    <w:rsid w:val="00386474"/>
    <w:rsid w:val="003912DD"/>
    <w:rsid w:val="003A28D6"/>
    <w:rsid w:val="003B07D3"/>
    <w:rsid w:val="003C2DCD"/>
    <w:rsid w:val="003D1653"/>
    <w:rsid w:val="003D69F8"/>
    <w:rsid w:val="003E652C"/>
    <w:rsid w:val="004031D3"/>
    <w:rsid w:val="00404668"/>
    <w:rsid w:val="00405634"/>
    <w:rsid w:val="00423845"/>
    <w:rsid w:val="00424297"/>
    <w:rsid w:val="004258ED"/>
    <w:rsid w:val="004305AB"/>
    <w:rsid w:val="0044019D"/>
    <w:rsid w:val="00461905"/>
    <w:rsid w:val="00466B27"/>
    <w:rsid w:val="004911FF"/>
    <w:rsid w:val="00492C77"/>
    <w:rsid w:val="004A23C9"/>
    <w:rsid w:val="004B5A19"/>
    <w:rsid w:val="004B6DA8"/>
    <w:rsid w:val="004C5FC4"/>
    <w:rsid w:val="004D73E9"/>
    <w:rsid w:val="004F3D68"/>
    <w:rsid w:val="004F6000"/>
    <w:rsid w:val="004F64A7"/>
    <w:rsid w:val="005110BF"/>
    <w:rsid w:val="005150E7"/>
    <w:rsid w:val="00516E75"/>
    <w:rsid w:val="005231B0"/>
    <w:rsid w:val="00524030"/>
    <w:rsid w:val="00544600"/>
    <w:rsid w:val="00545648"/>
    <w:rsid w:val="00547BE9"/>
    <w:rsid w:val="00556653"/>
    <w:rsid w:val="005660A6"/>
    <w:rsid w:val="00567A4E"/>
    <w:rsid w:val="00567FEF"/>
    <w:rsid w:val="005703A1"/>
    <w:rsid w:val="0057050B"/>
    <w:rsid w:val="00577B0C"/>
    <w:rsid w:val="005C2051"/>
    <w:rsid w:val="005C763F"/>
    <w:rsid w:val="005D569D"/>
    <w:rsid w:val="005E52D2"/>
    <w:rsid w:val="005F093E"/>
    <w:rsid w:val="005F31E5"/>
    <w:rsid w:val="00601A81"/>
    <w:rsid w:val="00602D70"/>
    <w:rsid w:val="006037FF"/>
    <w:rsid w:val="00611579"/>
    <w:rsid w:val="00620C66"/>
    <w:rsid w:val="00625B30"/>
    <w:rsid w:val="00636533"/>
    <w:rsid w:val="00646E16"/>
    <w:rsid w:val="00650B97"/>
    <w:rsid w:val="006651B8"/>
    <w:rsid w:val="006657EE"/>
    <w:rsid w:val="006709E3"/>
    <w:rsid w:val="00673D35"/>
    <w:rsid w:val="00680A79"/>
    <w:rsid w:val="006826A1"/>
    <w:rsid w:val="00685D66"/>
    <w:rsid w:val="006B3047"/>
    <w:rsid w:val="006D25C7"/>
    <w:rsid w:val="006E4198"/>
    <w:rsid w:val="006F450B"/>
    <w:rsid w:val="006F5D5D"/>
    <w:rsid w:val="006F65A8"/>
    <w:rsid w:val="00703841"/>
    <w:rsid w:val="00730EEB"/>
    <w:rsid w:val="0074208C"/>
    <w:rsid w:val="007613E3"/>
    <w:rsid w:val="00761B30"/>
    <w:rsid w:val="00765256"/>
    <w:rsid w:val="00767319"/>
    <w:rsid w:val="00772858"/>
    <w:rsid w:val="00780F4F"/>
    <w:rsid w:val="007855A6"/>
    <w:rsid w:val="00791870"/>
    <w:rsid w:val="00793B80"/>
    <w:rsid w:val="007B2841"/>
    <w:rsid w:val="007B4D2D"/>
    <w:rsid w:val="007B6AA0"/>
    <w:rsid w:val="007D38BF"/>
    <w:rsid w:val="007E293F"/>
    <w:rsid w:val="007F21E0"/>
    <w:rsid w:val="007F26BF"/>
    <w:rsid w:val="0080017F"/>
    <w:rsid w:val="008315B5"/>
    <w:rsid w:val="00841C28"/>
    <w:rsid w:val="008539F7"/>
    <w:rsid w:val="00866888"/>
    <w:rsid w:val="00875123"/>
    <w:rsid w:val="00893E8B"/>
    <w:rsid w:val="008A19C8"/>
    <w:rsid w:val="008B6530"/>
    <w:rsid w:val="008B7BCE"/>
    <w:rsid w:val="008C4673"/>
    <w:rsid w:val="008C688D"/>
    <w:rsid w:val="008D0E61"/>
    <w:rsid w:val="008F0321"/>
    <w:rsid w:val="008F7111"/>
    <w:rsid w:val="00904F89"/>
    <w:rsid w:val="00915399"/>
    <w:rsid w:val="0091671A"/>
    <w:rsid w:val="00920517"/>
    <w:rsid w:val="00922AB3"/>
    <w:rsid w:val="0094188D"/>
    <w:rsid w:val="00941F2C"/>
    <w:rsid w:val="0094310E"/>
    <w:rsid w:val="00955983"/>
    <w:rsid w:val="0096168E"/>
    <w:rsid w:val="00965D26"/>
    <w:rsid w:val="00970FDD"/>
    <w:rsid w:val="00981856"/>
    <w:rsid w:val="00981C3E"/>
    <w:rsid w:val="009A396B"/>
    <w:rsid w:val="009A623E"/>
    <w:rsid w:val="009B749D"/>
    <w:rsid w:val="009B7A68"/>
    <w:rsid w:val="009C65CA"/>
    <w:rsid w:val="009C76CB"/>
    <w:rsid w:val="009D55EA"/>
    <w:rsid w:val="009D5715"/>
    <w:rsid w:val="009E401B"/>
    <w:rsid w:val="009E52D8"/>
    <w:rsid w:val="009F11CE"/>
    <w:rsid w:val="009F2ECB"/>
    <w:rsid w:val="009F7665"/>
    <w:rsid w:val="00A004B6"/>
    <w:rsid w:val="00A0057E"/>
    <w:rsid w:val="00A04589"/>
    <w:rsid w:val="00A144C4"/>
    <w:rsid w:val="00A3121D"/>
    <w:rsid w:val="00A34371"/>
    <w:rsid w:val="00A439CE"/>
    <w:rsid w:val="00A54C07"/>
    <w:rsid w:val="00A60E06"/>
    <w:rsid w:val="00A72B83"/>
    <w:rsid w:val="00A90CE6"/>
    <w:rsid w:val="00AC018A"/>
    <w:rsid w:val="00AC1367"/>
    <w:rsid w:val="00AD2218"/>
    <w:rsid w:val="00AE2409"/>
    <w:rsid w:val="00AE3E48"/>
    <w:rsid w:val="00AE7DF0"/>
    <w:rsid w:val="00AF1C63"/>
    <w:rsid w:val="00AF5C93"/>
    <w:rsid w:val="00AF73DE"/>
    <w:rsid w:val="00B0396B"/>
    <w:rsid w:val="00B05ABD"/>
    <w:rsid w:val="00B06005"/>
    <w:rsid w:val="00B201B9"/>
    <w:rsid w:val="00B26D33"/>
    <w:rsid w:val="00B27DB6"/>
    <w:rsid w:val="00B367EC"/>
    <w:rsid w:val="00B37112"/>
    <w:rsid w:val="00B514AB"/>
    <w:rsid w:val="00B73469"/>
    <w:rsid w:val="00B80E2F"/>
    <w:rsid w:val="00B871A4"/>
    <w:rsid w:val="00B915C2"/>
    <w:rsid w:val="00B970C9"/>
    <w:rsid w:val="00BA49B5"/>
    <w:rsid w:val="00BA70F3"/>
    <w:rsid w:val="00BC18A8"/>
    <w:rsid w:val="00BC1E92"/>
    <w:rsid w:val="00BC382F"/>
    <w:rsid w:val="00BC3C11"/>
    <w:rsid w:val="00BD0330"/>
    <w:rsid w:val="00BD7AE8"/>
    <w:rsid w:val="00BF4E2C"/>
    <w:rsid w:val="00BF6C03"/>
    <w:rsid w:val="00C15FBB"/>
    <w:rsid w:val="00C16173"/>
    <w:rsid w:val="00C32044"/>
    <w:rsid w:val="00C4164D"/>
    <w:rsid w:val="00C4246B"/>
    <w:rsid w:val="00C50E1A"/>
    <w:rsid w:val="00C517E6"/>
    <w:rsid w:val="00C57669"/>
    <w:rsid w:val="00C71BA5"/>
    <w:rsid w:val="00C776FA"/>
    <w:rsid w:val="00C80B78"/>
    <w:rsid w:val="00C81639"/>
    <w:rsid w:val="00C963DA"/>
    <w:rsid w:val="00C97A03"/>
    <w:rsid w:val="00CA0330"/>
    <w:rsid w:val="00CA26F1"/>
    <w:rsid w:val="00CA4DDE"/>
    <w:rsid w:val="00CB231D"/>
    <w:rsid w:val="00CB79DF"/>
    <w:rsid w:val="00CC1E62"/>
    <w:rsid w:val="00CD0797"/>
    <w:rsid w:val="00CD2E77"/>
    <w:rsid w:val="00CD3EF0"/>
    <w:rsid w:val="00CE31C7"/>
    <w:rsid w:val="00CE4CDE"/>
    <w:rsid w:val="00CF7319"/>
    <w:rsid w:val="00D05906"/>
    <w:rsid w:val="00D30178"/>
    <w:rsid w:val="00D320FC"/>
    <w:rsid w:val="00D464C5"/>
    <w:rsid w:val="00D6374A"/>
    <w:rsid w:val="00D643AF"/>
    <w:rsid w:val="00D66294"/>
    <w:rsid w:val="00D71567"/>
    <w:rsid w:val="00D72920"/>
    <w:rsid w:val="00D751C0"/>
    <w:rsid w:val="00D75BF3"/>
    <w:rsid w:val="00D8068D"/>
    <w:rsid w:val="00D85D6E"/>
    <w:rsid w:val="00D92FE0"/>
    <w:rsid w:val="00DA1062"/>
    <w:rsid w:val="00DA2A20"/>
    <w:rsid w:val="00DA31B1"/>
    <w:rsid w:val="00DB7693"/>
    <w:rsid w:val="00DC0343"/>
    <w:rsid w:val="00DC1B1B"/>
    <w:rsid w:val="00DC1E12"/>
    <w:rsid w:val="00DD2BCD"/>
    <w:rsid w:val="00DD3CFB"/>
    <w:rsid w:val="00DD3EE8"/>
    <w:rsid w:val="00DD43D1"/>
    <w:rsid w:val="00E07763"/>
    <w:rsid w:val="00E11C67"/>
    <w:rsid w:val="00E31646"/>
    <w:rsid w:val="00E338C1"/>
    <w:rsid w:val="00E42E7B"/>
    <w:rsid w:val="00E477F8"/>
    <w:rsid w:val="00E50E44"/>
    <w:rsid w:val="00E62F87"/>
    <w:rsid w:val="00E65B3C"/>
    <w:rsid w:val="00E71870"/>
    <w:rsid w:val="00E75B13"/>
    <w:rsid w:val="00E76818"/>
    <w:rsid w:val="00EA146E"/>
    <w:rsid w:val="00EA1B05"/>
    <w:rsid w:val="00EC18CA"/>
    <w:rsid w:val="00EC3A0E"/>
    <w:rsid w:val="00EC577B"/>
    <w:rsid w:val="00ED0551"/>
    <w:rsid w:val="00ED55FC"/>
    <w:rsid w:val="00ED746F"/>
    <w:rsid w:val="00EF17C7"/>
    <w:rsid w:val="00EF69DC"/>
    <w:rsid w:val="00F03583"/>
    <w:rsid w:val="00F148AA"/>
    <w:rsid w:val="00F151D4"/>
    <w:rsid w:val="00F15BB4"/>
    <w:rsid w:val="00F17277"/>
    <w:rsid w:val="00F17ED8"/>
    <w:rsid w:val="00F20DCF"/>
    <w:rsid w:val="00F25966"/>
    <w:rsid w:val="00F676E0"/>
    <w:rsid w:val="00F67EBC"/>
    <w:rsid w:val="00F85A96"/>
    <w:rsid w:val="00F96DC2"/>
    <w:rsid w:val="00FB5810"/>
    <w:rsid w:val="00FC7723"/>
    <w:rsid w:val="00FD13D2"/>
    <w:rsid w:val="00FE673A"/>
    <w:rsid w:val="00FF07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24844"/>
  <w15:chartTrackingRefBased/>
  <w15:docId w15:val="{92F937B2-AFA6-3542-8CDF-E44201C6E3CE}"/>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6BF"/>
    <w:rPr>
      <w:rFonts w:ascii="Times New Roman" w:eastAsia="Times New Roman" w:hAnsi="Times New Roman" w:cs="Times New Roman"/>
      <w:kern w:val="0"/>
      <w:lang w:eastAsia="ja-JP"/>
      <w14:ligatures w14:val="none"/>
    </w:rPr>
  </w:style>
  <w:style w:type="paragraph" w:styleId="Heading1">
    <w:name w:val="heading 1"/>
    <w:basedOn w:val="Normal"/>
    <w:next w:val="Normal"/>
    <w:link w:val="Heading1Char"/>
    <w:uiPriority w:val="9"/>
    <w:qFormat/>
    <w:rsid w:val="00625B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5B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5B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5B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5B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5B3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5B3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5B3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5B3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5B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5B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5B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5B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5B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5B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5B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5B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5B30"/>
    <w:rPr>
      <w:rFonts w:eastAsiaTheme="majorEastAsia" w:cstheme="majorBidi"/>
      <w:color w:val="272727" w:themeColor="text1" w:themeTint="D8"/>
    </w:rPr>
  </w:style>
  <w:style w:type="paragraph" w:styleId="Title">
    <w:name w:val="Title"/>
    <w:basedOn w:val="Normal"/>
    <w:next w:val="Normal"/>
    <w:link w:val="TitleChar"/>
    <w:uiPriority w:val="10"/>
    <w:qFormat/>
    <w:rsid w:val="00625B3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5B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5B3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5B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5B3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25B30"/>
    <w:rPr>
      <w:i/>
      <w:iCs/>
      <w:color w:val="404040" w:themeColor="text1" w:themeTint="BF"/>
    </w:rPr>
  </w:style>
  <w:style w:type="paragraph" w:styleId="ListParagraph">
    <w:name w:val="List Paragraph"/>
    <w:basedOn w:val="Normal"/>
    <w:uiPriority w:val="34"/>
    <w:qFormat/>
    <w:rsid w:val="00625B30"/>
    <w:pPr>
      <w:ind w:left="720"/>
      <w:contextualSpacing/>
    </w:pPr>
  </w:style>
  <w:style w:type="character" w:styleId="IntenseEmphasis">
    <w:name w:val="Intense Emphasis"/>
    <w:basedOn w:val="DefaultParagraphFont"/>
    <w:uiPriority w:val="21"/>
    <w:qFormat/>
    <w:rsid w:val="00625B30"/>
    <w:rPr>
      <w:i/>
      <w:iCs/>
      <w:color w:val="0F4761" w:themeColor="accent1" w:themeShade="BF"/>
    </w:rPr>
  </w:style>
  <w:style w:type="paragraph" w:styleId="IntenseQuote">
    <w:name w:val="Intense Quote"/>
    <w:basedOn w:val="Normal"/>
    <w:next w:val="Normal"/>
    <w:link w:val="IntenseQuoteChar"/>
    <w:uiPriority w:val="30"/>
    <w:qFormat/>
    <w:rsid w:val="00625B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5B30"/>
    <w:rPr>
      <w:i/>
      <w:iCs/>
      <w:color w:val="0F4761" w:themeColor="accent1" w:themeShade="BF"/>
    </w:rPr>
  </w:style>
  <w:style w:type="character" w:styleId="IntenseReference">
    <w:name w:val="Intense Reference"/>
    <w:basedOn w:val="DefaultParagraphFont"/>
    <w:uiPriority w:val="32"/>
    <w:qFormat/>
    <w:rsid w:val="00625B30"/>
    <w:rPr>
      <w:b/>
      <w:bCs/>
      <w:smallCaps/>
      <w:color w:val="0F4761" w:themeColor="accent1" w:themeShade="BF"/>
      <w:spacing w:val="5"/>
    </w:rPr>
  </w:style>
  <w:style w:type="table" w:styleId="TableGrid">
    <w:name w:val="Table Grid"/>
    <w:basedOn w:val="TableNormal"/>
    <w:rsid w:val="00625B30"/>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bar">
    <w:name w:val="title bar"/>
    <w:basedOn w:val="Normal"/>
    <w:rsid w:val="00625B30"/>
    <w:pPr>
      <w:keepNext/>
      <w:suppressAutoHyphens/>
      <w:jc w:val="center"/>
    </w:pPr>
    <w:rPr>
      <w:rFonts w:ascii="Helvetica" w:hAnsi="Helvetica"/>
      <w:b/>
      <w:sz w:val="26"/>
      <w:szCs w:val="20"/>
    </w:rPr>
  </w:style>
  <w:style w:type="paragraph" w:styleId="Caption">
    <w:name w:val="caption"/>
    <w:basedOn w:val="Normal"/>
    <w:next w:val="Normal"/>
    <w:uiPriority w:val="35"/>
    <w:unhideWhenUsed/>
    <w:qFormat/>
    <w:rsid w:val="00625B30"/>
    <w:pPr>
      <w:spacing w:after="200"/>
    </w:pPr>
    <w:rPr>
      <w:i/>
      <w:iCs/>
      <w:color w:val="0E2841" w:themeColor="text2"/>
      <w:sz w:val="18"/>
      <w:szCs w:val="18"/>
    </w:rPr>
  </w:style>
  <w:style w:type="paragraph" w:styleId="FootnoteText">
    <w:name w:val="footnote text"/>
    <w:basedOn w:val="Normal"/>
    <w:link w:val="FootnoteTextChar"/>
    <w:uiPriority w:val="99"/>
    <w:rsid w:val="00625B30"/>
    <w:pPr>
      <w:spacing w:after="120"/>
    </w:pPr>
    <w:rPr>
      <w:sz w:val="22"/>
      <w:szCs w:val="20"/>
    </w:rPr>
  </w:style>
  <w:style w:type="character" w:customStyle="1" w:styleId="FootnoteTextChar">
    <w:name w:val="Footnote Text Char"/>
    <w:basedOn w:val="DefaultParagraphFont"/>
    <w:link w:val="FootnoteText"/>
    <w:uiPriority w:val="99"/>
    <w:rsid w:val="00625B30"/>
    <w:rPr>
      <w:rFonts w:ascii="Times New Roman" w:eastAsia="Times New Roman" w:hAnsi="Times New Roman" w:cs="Times New Roman"/>
      <w:kern w:val="0"/>
      <w:sz w:val="22"/>
      <w:szCs w:val="20"/>
      <w14:ligatures w14:val="none"/>
    </w:rPr>
  </w:style>
  <w:style w:type="character" w:styleId="FootnoteReference">
    <w:name w:val="footnote reference"/>
    <w:uiPriority w:val="99"/>
    <w:rsid w:val="00625B30"/>
    <w:rPr>
      <w:vertAlign w:val="superscript"/>
    </w:rPr>
  </w:style>
  <w:style w:type="character" w:styleId="Hyperlink">
    <w:name w:val="Hyperlink"/>
    <w:rsid w:val="00625B30"/>
    <w:rPr>
      <w:color w:val="3754D4"/>
      <w:u w:val="single"/>
    </w:rPr>
  </w:style>
  <w:style w:type="character" w:customStyle="1" w:styleId="standardChar">
    <w:name w:val="standard Char"/>
    <w:link w:val="standard"/>
    <w:locked/>
    <w:rsid w:val="00ED55FC"/>
    <w:rPr>
      <w:rFonts w:ascii="Palatino" w:hAnsi="Palatino"/>
      <w:sz w:val="26"/>
    </w:rPr>
  </w:style>
  <w:style w:type="paragraph" w:customStyle="1" w:styleId="standard">
    <w:name w:val="standard"/>
    <w:basedOn w:val="Normal"/>
    <w:link w:val="standardChar"/>
    <w:rsid w:val="00ED55FC"/>
    <w:pPr>
      <w:spacing w:line="360" w:lineRule="auto"/>
      <w:ind w:firstLine="720"/>
    </w:pPr>
    <w:rPr>
      <w:rFonts w:ascii="Palatino" w:eastAsiaTheme="minorHAnsi" w:hAnsi="Palatino" w:cstheme="minorBidi"/>
      <w:kern w:val="2"/>
      <w:sz w:val="26"/>
      <w14:ligatures w14:val="standardContextual"/>
    </w:rPr>
  </w:style>
  <w:style w:type="paragraph" w:styleId="Header">
    <w:name w:val="header"/>
    <w:basedOn w:val="Normal"/>
    <w:link w:val="HeaderChar"/>
    <w:uiPriority w:val="99"/>
    <w:unhideWhenUsed/>
    <w:rsid w:val="00965D26"/>
    <w:pPr>
      <w:tabs>
        <w:tab w:val="center" w:pos="4680"/>
        <w:tab w:val="right" w:pos="9360"/>
      </w:tabs>
    </w:pPr>
  </w:style>
  <w:style w:type="character" w:customStyle="1" w:styleId="HeaderChar">
    <w:name w:val="Header Char"/>
    <w:basedOn w:val="DefaultParagraphFont"/>
    <w:link w:val="Header"/>
    <w:uiPriority w:val="99"/>
    <w:rsid w:val="00965D26"/>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965D26"/>
    <w:pPr>
      <w:tabs>
        <w:tab w:val="center" w:pos="4680"/>
        <w:tab w:val="right" w:pos="9360"/>
      </w:tabs>
    </w:pPr>
  </w:style>
  <w:style w:type="character" w:customStyle="1" w:styleId="FooterChar">
    <w:name w:val="Footer Char"/>
    <w:basedOn w:val="DefaultParagraphFont"/>
    <w:link w:val="Footer"/>
    <w:uiPriority w:val="99"/>
    <w:rsid w:val="00965D26"/>
    <w:rPr>
      <w:rFonts w:ascii="Times New Roman" w:eastAsia="Times New Roman" w:hAnsi="Times New Roman" w:cs="Times New Roman"/>
      <w:kern w:val="0"/>
      <w14:ligatures w14:val="none"/>
    </w:rPr>
  </w:style>
  <w:style w:type="paragraph" w:styleId="Revision">
    <w:name w:val="Revision"/>
    <w:hidden/>
    <w:uiPriority w:val="99"/>
    <w:semiHidden/>
    <w:rsid w:val="002B3AC3"/>
    <w:rPr>
      <w:rFonts w:ascii="Times New Roman" w:eastAsia="Times New Roman" w:hAnsi="Times New Roman" w:cs="Times New Roman"/>
      <w:kern w:val="0"/>
      <w:lang w:eastAsia="ja-JP"/>
      <w14:ligatures w14:val="none"/>
    </w:rPr>
  </w:style>
  <w:style w:type="character" w:styleId="CommentReference">
    <w:name w:val="annotation reference"/>
    <w:basedOn w:val="DefaultParagraphFont"/>
    <w:uiPriority w:val="99"/>
    <w:semiHidden/>
    <w:unhideWhenUsed/>
    <w:rsid w:val="00154A53"/>
    <w:rPr>
      <w:sz w:val="16"/>
      <w:szCs w:val="16"/>
    </w:rPr>
  </w:style>
  <w:style w:type="paragraph" w:styleId="CommentText">
    <w:name w:val="annotation text"/>
    <w:basedOn w:val="Normal"/>
    <w:link w:val="CommentTextChar"/>
    <w:uiPriority w:val="99"/>
    <w:unhideWhenUsed/>
    <w:rsid w:val="00154A53"/>
    <w:rPr>
      <w:sz w:val="20"/>
      <w:szCs w:val="20"/>
    </w:rPr>
  </w:style>
  <w:style w:type="character" w:customStyle="1" w:styleId="CommentTextChar">
    <w:name w:val="Comment Text Char"/>
    <w:basedOn w:val="DefaultParagraphFont"/>
    <w:link w:val="CommentText"/>
    <w:uiPriority w:val="99"/>
    <w:rsid w:val="00154A53"/>
    <w:rPr>
      <w:rFonts w:ascii="Times New Roman" w:eastAsia="Times New Roman" w:hAnsi="Times New Roman" w:cs="Times New Roman"/>
      <w:kern w:val="0"/>
      <w:sz w:val="20"/>
      <w:szCs w:val="20"/>
      <w:lang w:eastAsia="ja-JP"/>
      <w14:ligatures w14:val="none"/>
    </w:rPr>
  </w:style>
  <w:style w:type="paragraph" w:styleId="CommentSubject">
    <w:name w:val="annotation subject"/>
    <w:basedOn w:val="CommentText"/>
    <w:next w:val="CommentText"/>
    <w:link w:val="CommentSubjectChar"/>
    <w:uiPriority w:val="99"/>
    <w:semiHidden/>
    <w:unhideWhenUsed/>
    <w:rsid w:val="00154A53"/>
    <w:rPr>
      <w:b/>
      <w:bCs/>
    </w:rPr>
  </w:style>
  <w:style w:type="character" w:customStyle="1" w:styleId="CommentSubjectChar">
    <w:name w:val="Comment Subject Char"/>
    <w:basedOn w:val="CommentTextChar"/>
    <w:link w:val="CommentSubject"/>
    <w:uiPriority w:val="99"/>
    <w:semiHidden/>
    <w:rsid w:val="00154A53"/>
    <w:rPr>
      <w:rFonts w:ascii="Times New Roman" w:eastAsia="Times New Roman" w:hAnsi="Times New Roman" w:cs="Times New Roman"/>
      <w:b/>
      <w:bCs/>
      <w:kern w:val="0"/>
      <w:sz w:val="20"/>
      <w:szCs w:val="20"/>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members.calbar.ca.gov/fal/MemberSearch/Quick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7D49496411704C98823D97BD8A3AEF" ma:contentTypeVersion="16" ma:contentTypeDescription="Create a new document." ma:contentTypeScope="" ma:versionID="129bdc740f4af5bc5bce3e64490311db">
  <xsd:schema xmlns:xsd="http://www.w3.org/2001/XMLSchema" xmlns:xs="http://www.w3.org/2001/XMLSchema" xmlns:p="http://schemas.microsoft.com/office/2006/metadata/properties" xmlns:ns2="a24cfdaa-3f84-4543-8006-7aafcb05bc28" xmlns:ns3="3c51fd4b-b0a8-4cee-8b97-77eacc5af0f7" targetNamespace="http://schemas.microsoft.com/office/2006/metadata/properties" ma:root="true" ma:fieldsID="a77d2ffb77d2c2317744030685f74046" ns2:_="" ns3:_="">
    <xsd:import namespace="a24cfdaa-3f84-4543-8006-7aafcb05bc28"/>
    <xsd:import namespace="3c51fd4b-b0a8-4cee-8b97-77eacc5af0f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4cfdaa-3f84-4543-8006-7aafcb05bc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51fd4b-b0a8-4cee-8b97-77eacc5af0f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d313bba-19fc-4463-aea9-079b48bf6d0f}" ma:internalName="TaxCatchAll" ma:showField="CatchAllData" ma:web="3c51fd4b-b0a8-4cee-8b97-77eacc5af0f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24cfdaa-3f84-4543-8006-7aafcb05bc28">
      <Terms xmlns="http://schemas.microsoft.com/office/infopath/2007/PartnerControls"/>
    </lcf76f155ced4ddcb4097134ff3c332f>
    <TaxCatchAll xmlns="3c51fd4b-b0a8-4cee-8b97-77eacc5af0f7" xsi:nil="true"/>
  </documentManagement>
</p:properties>
</file>

<file path=customXml/item3.xml><?xml version="1.0" encoding="utf-8"?>
<b:Sources xmlns:b="http://schemas.openxmlformats.org/officeDocument/2006/bibliography" xmlns="http://schemas.openxmlformats.org/officeDocument/2006/bibliography" SelectedStyle="\GB.XSL" StyleName="GB7714" Version="2005"/>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BBFCC9-1F46-4A7D-9048-3F98BBEC5D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4cfdaa-3f84-4543-8006-7aafcb05bc28"/>
    <ds:schemaRef ds:uri="3c51fd4b-b0a8-4cee-8b97-77eacc5af0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4F6A1-AB32-4B62-807C-EC9716A1F534}">
  <ds:schemaRefs>
    <ds:schemaRef ds:uri="http://schemas.microsoft.com/office/2006/metadata/properties"/>
    <ds:schemaRef ds:uri="http://schemas.microsoft.com/office/infopath/2007/PartnerControls"/>
    <ds:schemaRef ds:uri="a24cfdaa-3f84-4543-8006-7aafcb05bc28"/>
    <ds:schemaRef ds:uri="3c51fd4b-b0a8-4cee-8b97-77eacc5af0f7"/>
  </ds:schemaRefs>
</ds:datastoreItem>
</file>

<file path=customXml/itemProps3.xml><?xml version="1.0" encoding="utf-8"?>
<ds:datastoreItem xmlns:ds="http://schemas.openxmlformats.org/officeDocument/2006/customXml" ds:itemID="{8FD0FA50-7027-4759-BEDD-5832EFBB522F}">
  <ds:schemaRefs>
    <ds:schemaRef ds:uri="http://schemas.openxmlformats.org/officeDocument/2006/bibliography"/>
  </ds:schemaRefs>
</ds:datastoreItem>
</file>

<file path=customXml/itemProps4.xml><?xml version="1.0" encoding="utf-8"?>
<ds:datastoreItem xmlns:ds="http://schemas.openxmlformats.org/officeDocument/2006/customXml" ds:itemID="{10AD26F4-B8F7-4325-9EE9-6E36C46DCEFC}">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12</ap:Pages>
  <ap:Words>2631</ap:Words>
  <ap:Characters>15002</ap:Characters>
  <ap:Application>Microsoft Office Word</ap:Application>
  <ap:DocSecurity>0</ap:DocSecurity>
  <ap:Lines>125</ap:Lines>
  <ap:Paragraphs>35</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17598</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2025-09-25T18:41:00Z</cp:lastPrinted>
  <dcterms:created xsi:type="dcterms:W3CDTF">2026-03-25T14:19:37Z</dcterms:created>
  <dcterms:modified xsi:type="dcterms:W3CDTF">2026-03-25T14:19:37Z</dcterms:modified>
</cp:coreProperties>
</file>