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39D" w:rsidR="002019FB" w:rsidP="002019FB" w:rsidRDefault="002019FB" w14:paraId="77FCE30F" w14:textId="77777777">
      <w:pPr>
        <w:pBdr>
          <w:bottom w:val="double" w:color="auto" w:sz="6" w:space="1"/>
        </w:pBdr>
        <w:tabs>
          <w:tab w:val="right" w:pos="9360"/>
        </w:tabs>
        <w:rPr>
          <w:rFonts w:ascii="Book Antiqua" w:hAnsi="Book Antiqua"/>
          <w:i/>
          <w:sz w:val="26"/>
        </w:rPr>
      </w:pPr>
      <w:r w:rsidRPr="0051439D">
        <w:rPr>
          <w:rFonts w:ascii="Book Antiqua" w:hAnsi="Book Antiqua"/>
          <w:sz w:val="16"/>
        </w:rPr>
        <w:t>STATE OF CALIFORNIA</w:t>
      </w:r>
      <w:r w:rsidRPr="0051439D">
        <w:rPr>
          <w:rFonts w:ascii="Book Antiqua" w:hAnsi="Book Antiqua"/>
          <w:sz w:val="26"/>
        </w:rPr>
        <w:tab/>
      </w:r>
      <w:r w:rsidRPr="0051439D">
        <w:rPr>
          <w:rFonts w:ascii="Book Antiqua" w:hAnsi="Book Antiqua"/>
          <w:sz w:val="16"/>
        </w:rPr>
        <w:t>GAVIN NEWSOM,</w:t>
      </w:r>
      <w:r w:rsidRPr="0051439D">
        <w:rPr>
          <w:rFonts w:ascii="Book Antiqua" w:hAnsi="Book Antiqua"/>
          <w:sz w:val="26"/>
        </w:rPr>
        <w:t xml:space="preserve"> </w:t>
      </w:r>
      <w:r w:rsidRPr="0051439D">
        <w:rPr>
          <w:rFonts w:ascii="Book Antiqua" w:hAnsi="Book Antiqua"/>
          <w:i/>
          <w:sz w:val="16"/>
        </w:rPr>
        <w:t>Governor</w:t>
      </w:r>
    </w:p>
    <w:p w:rsidRPr="0051439D" w:rsidR="002019FB" w:rsidP="002019FB" w:rsidRDefault="002019FB" w14:paraId="3B9FBCDF" w14:textId="77777777">
      <w:pPr>
        <w:tabs>
          <w:tab w:val="right" w:pos="11070"/>
        </w:tabs>
        <w:spacing w:before="80"/>
        <w:ind w:right="-306"/>
        <w:rPr>
          <w:rFonts w:ascii="Book Antiqua" w:hAnsi="Book Antiqua"/>
          <w:sz w:val="26"/>
        </w:rPr>
      </w:pPr>
      <w:r w:rsidRPr="0051439D">
        <w:rPr>
          <w:rFonts w:ascii="Book Antiqua" w:hAnsi="Book Antiqua"/>
          <w:sz w:val="26"/>
        </w:rPr>
        <w:t>PUBLIC UTILITIES COMMISSION</w:t>
      </w:r>
    </w:p>
    <w:p w:rsidRPr="0051439D" w:rsidR="002019FB" w:rsidP="002019FB" w:rsidRDefault="002019FB" w14:paraId="7A1D8BC1" w14:textId="77777777">
      <w:pPr>
        <w:tabs>
          <w:tab w:val="right" w:pos="11070"/>
        </w:tabs>
        <w:spacing w:before="80"/>
        <w:ind w:right="-306"/>
        <w:rPr>
          <w:rFonts w:ascii="Book Antiqua" w:hAnsi="Book Antiqua"/>
          <w:sz w:val="12"/>
        </w:rPr>
      </w:pPr>
      <w:r w:rsidRPr="0051439D">
        <w:rPr>
          <w:rFonts w:ascii="Book Antiqua" w:hAnsi="Book Antiqua"/>
          <w:sz w:val="12"/>
        </w:rPr>
        <w:t>505 VAN NESS AVENUE</w:t>
      </w:r>
    </w:p>
    <w:p w:rsidRPr="0051439D" w:rsidR="002019FB" w:rsidP="002019FB" w:rsidRDefault="002019FB" w14:paraId="5A8755A9" w14:textId="77777777">
      <w:pPr>
        <w:tabs>
          <w:tab w:val="right" w:pos="11070"/>
        </w:tabs>
        <w:spacing w:before="80"/>
        <w:ind w:right="-306"/>
        <w:rPr>
          <w:rFonts w:ascii="Book Antiqua" w:hAnsi="Book Antiqua"/>
          <w:sz w:val="12"/>
        </w:rPr>
      </w:pPr>
      <w:r w:rsidRPr="0051439D">
        <w:rPr>
          <w:rFonts w:ascii="Book Antiqua" w:hAnsi="Book Antiqua"/>
          <w:sz w:val="12"/>
        </w:rPr>
        <w:t>SAN FRANCISCO, CA 94102</w:t>
      </w:r>
      <w:r w:rsidRPr="0051439D">
        <w:rPr>
          <w:rFonts w:ascii="Book Antiqua" w:hAnsi="Book Antiqua"/>
          <w:sz w:val="12"/>
        </w:rPr>
        <w:noBreakHyphen/>
        <w:t>3298</w:t>
      </w:r>
    </w:p>
    <w:p w:rsidR="002019FB" w:rsidP="002019FB" w:rsidRDefault="002019FB" w14:paraId="737A6E4E" w14:textId="77777777">
      <w:pPr>
        <w:tabs>
          <w:tab w:val="left" w:pos="6930"/>
        </w:tabs>
        <w:ind w:right="1282"/>
        <w:rPr>
          <w:rFonts w:ascii="Book Antiqua" w:hAnsi="Book Antiqua"/>
          <w:szCs w:val="24"/>
        </w:rPr>
      </w:pPr>
    </w:p>
    <w:p w:rsidRPr="00943FFD" w:rsidR="002019FB" w:rsidP="002019FB" w:rsidRDefault="002019FB" w14:paraId="1C0AA617" w14:textId="77777777">
      <w:pPr>
        <w:tabs>
          <w:tab w:val="left" w:pos="6930"/>
        </w:tabs>
        <w:ind w:left="547" w:right="1282"/>
        <w:rPr>
          <w:rFonts w:ascii="Book Antiqua" w:hAnsi="Book Antiqua"/>
          <w:szCs w:val="24"/>
        </w:rPr>
      </w:pPr>
    </w:p>
    <w:p w:rsidRPr="00E3194D" w:rsidR="002019FB" w:rsidP="00E3194D" w:rsidRDefault="00E3194D" w14:paraId="148E94B8" w14:textId="6C41233A">
      <w:pPr>
        <w:rPr>
          <w:rFonts w:ascii="Book Antiqua" w:hAnsi="Book Antiqua"/>
          <w:b/>
          <w:bCs/>
          <w:szCs w:val="24"/>
        </w:rPr>
      </w:pPr>
      <w:r>
        <w:rPr>
          <w:rFonts w:ascii="Book Antiqua" w:hAnsi="Book Antiqua"/>
          <w:szCs w:val="24"/>
        </w:rPr>
        <w:t>March 30</w:t>
      </w:r>
      <w:r w:rsidRPr="00943FFD" w:rsidR="002019FB">
        <w:rPr>
          <w:rFonts w:ascii="Book Antiqua" w:hAnsi="Book Antiqua"/>
          <w:szCs w:val="24"/>
        </w:rPr>
        <w:t xml:space="preserve">, </w:t>
      </w:r>
      <w:proofErr w:type="gramStart"/>
      <w:r w:rsidRPr="00943FFD" w:rsidR="002019FB">
        <w:rPr>
          <w:rFonts w:ascii="Book Antiqua" w:hAnsi="Book Antiqua"/>
          <w:szCs w:val="24"/>
        </w:rPr>
        <w:t>202</w:t>
      </w:r>
      <w:r w:rsidR="002019FB">
        <w:rPr>
          <w:rFonts w:ascii="Book Antiqua" w:hAnsi="Book Antiqua"/>
          <w:szCs w:val="24"/>
        </w:rPr>
        <w:t>6</w:t>
      </w:r>
      <w:proofErr w:type="gramEnd"/>
      <w:r w:rsidRPr="00943FFD" w:rsidR="002019FB">
        <w:rPr>
          <w:rFonts w:ascii="Book Antiqua" w:hAnsi="Book Antiqua"/>
          <w:szCs w:val="24"/>
        </w:rPr>
        <w:tab/>
      </w:r>
      <w:r w:rsidRPr="00943FFD" w:rsidR="002019FB">
        <w:rPr>
          <w:rFonts w:ascii="Book Antiqua" w:hAnsi="Book Antiqua"/>
          <w:szCs w:val="24"/>
        </w:rPr>
        <w:tab/>
      </w:r>
      <w:r w:rsidRPr="00943FFD" w:rsidR="002019FB">
        <w:rPr>
          <w:rFonts w:ascii="Book Antiqua" w:hAnsi="Book Antiqua"/>
          <w:szCs w:val="24"/>
        </w:rPr>
        <w:tab/>
      </w:r>
      <w:r w:rsidRPr="00943FFD" w:rsidR="002019FB">
        <w:rPr>
          <w:rFonts w:ascii="Book Antiqua" w:hAnsi="Book Antiqua"/>
          <w:szCs w:val="24"/>
        </w:rPr>
        <w:tab/>
      </w:r>
      <w:r w:rsidRPr="00943FFD" w:rsidR="002019FB">
        <w:rPr>
          <w:rFonts w:ascii="Book Antiqua" w:hAnsi="Book Antiqua"/>
          <w:szCs w:val="24"/>
        </w:rPr>
        <w:tab/>
      </w:r>
      <w:r w:rsidRPr="00943FFD" w:rsidR="002019FB">
        <w:rPr>
          <w:rFonts w:ascii="Book Antiqua" w:hAnsi="Book Antiqua"/>
          <w:szCs w:val="24"/>
        </w:rPr>
        <w:tab/>
      </w:r>
      <w:r w:rsidRPr="00943FFD" w:rsidR="002019FB">
        <w:rPr>
          <w:rFonts w:ascii="Book Antiqua" w:hAnsi="Book Antiqua"/>
          <w:szCs w:val="24"/>
        </w:rPr>
        <w:tab/>
      </w:r>
      <w:r>
        <w:rPr>
          <w:rFonts w:ascii="Book Antiqua" w:hAnsi="Book Antiqua"/>
          <w:szCs w:val="24"/>
        </w:rPr>
        <w:t xml:space="preserve">              </w:t>
      </w:r>
      <w:r w:rsidRPr="00943FFD" w:rsidR="002019FB">
        <w:rPr>
          <w:rFonts w:ascii="Book Antiqua" w:hAnsi="Book Antiqua"/>
          <w:b/>
          <w:bCs/>
          <w:szCs w:val="24"/>
        </w:rPr>
        <w:t>Agenda ID #</w:t>
      </w:r>
      <w:r>
        <w:rPr>
          <w:rFonts w:ascii="Book Antiqua" w:hAnsi="Book Antiqua"/>
          <w:b/>
          <w:bCs/>
          <w:szCs w:val="24"/>
        </w:rPr>
        <w:t>24104</w:t>
      </w:r>
    </w:p>
    <w:p w:rsidRPr="00943FFD" w:rsidR="002019FB" w:rsidP="002019FB" w:rsidRDefault="002019FB" w14:paraId="3CEC2418" w14:textId="77777777">
      <w:pPr>
        <w:rPr>
          <w:rFonts w:ascii="Book Antiqua" w:hAnsi="Book Antiqua"/>
          <w:szCs w:val="24"/>
        </w:rPr>
      </w:pPr>
    </w:p>
    <w:p w:rsidRPr="00943FFD" w:rsidR="002019FB" w:rsidP="002019FB" w:rsidRDefault="002019FB" w14:paraId="4A3190F9" w14:textId="3B38CDE9">
      <w:pPr>
        <w:rPr>
          <w:rFonts w:ascii="Book Antiqua" w:hAnsi="Book Antiqua"/>
          <w:szCs w:val="24"/>
          <w:u w:val="single"/>
        </w:rPr>
      </w:pPr>
      <w:r w:rsidRPr="00943FFD">
        <w:rPr>
          <w:rFonts w:ascii="Book Antiqua" w:hAnsi="Book Antiqua"/>
          <w:szCs w:val="24"/>
        </w:rPr>
        <w:t xml:space="preserve">TO PARTIES OF RECORD IN DRAFT RESOLUTION ALJ- </w:t>
      </w:r>
      <w:r w:rsidR="00E3194D">
        <w:rPr>
          <w:rFonts w:ascii="Book Antiqua" w:hAnsi="Book Antiqua"/>
          <w:szCs w:val="24"/>
        </w:rPr>
        <w:t>492:</w:t>
      </w:r>
    </w:p>
    <w:p w:rsidRPr="00943FFD" w:rsidR="002019FB" w:rsidP="002019FB" w:rsidRDefault="002019FB" w14:paraId="6A937BA4" w14:textId="77777777">
      <w:pPr>
        <w:rPr>
          <w:rFonts w:ascii="Book Antiqua" w:hAnsi="Book Antiqua"/>
          <w:szCs w:val="24"/>
        </w:rPr>
      </w:pPr>
    </w:p>
    <w:p w:rsidRPr="00943FFD" w:rsidR="002019FB" w:rsidP="002019FB" w:rsidRDefault="002019FB" w14:paraId="36FB44F4" w14:textId="7E7467DC">
      <w:pPr>
        <w:rPr>
          <w:rFonts w:ascii="Book Antiqua" w:hAnsi="Book Antiqua"/>
          <w:szCs w:val="24"/>
        </w:rPr>
      </w:pPr>
      <w:r w:rsidRPr="00943FFD">
        <w:rPr>
          <w:rFonts w:ascii="Book Antiqua" w:hAnsi="Book Antiqua"/>
          <w:szCs w:val="24"/>
        </w:rPr>
        <w:t xml:space="preserve">This is the draft Resolution of Administrative Law Judge </w:t>
      </w:r>
      <w:r w:rsidR="00E05152">
        <w:rPr>
          <w:rFonts w:ascii="Book Antiqua" w:hAnsi="Book Antiqua"/>
          <w:szCs w:val="24"/>
        </w:rPr>
        <w:t xml:space="preserve">Suman </w:t>
      </w:r>
      <w:r w:rsidRPr="00E05152" w:rsidR="00E05152">
        <w:rPr>
          <w:rFonts w:ascii="Book Antiqua" w:hAnsi="Book Antiqua"/>
          <w:szCs w:val="24"/>
        </w:rPr>
        <w:t>Mathews</w:t>
      </w:r>
      <w:r w:rsidR="00E05152">
        <w:rPr>
          <w:rFonts w:ascii="Book Antiqua" w:hAnsi="Book Antiqua"/>
          <w:szCs w:val="24"/>
        </w:rPr>
        <w:t xml:space="preserve"> </w:t>
      </w:r>
      <w:r w:rsidRPr="00943FFD">
        <w:rPr>
          <w:rFonts w:ascii="Book Antiqua" w:hAnsi="Book Antiqua"/>
          <w:szCs w:val="24"/>
        </w:rPr>
        <w:t xml:space="preserve">resolving </w:t>
      </w:r>
      <w:r w:rsidRPr="00F971E2">
        <w:rPr>
          <w:rFonts w:ascii="Book Antiqua" w:hAnsi="Book Antiqua"/>
          <w:szCs w:val="24"/>
        </w:rPr>
        <w:t xml:space="preserve">the </w:t>
      </w:r>
      <w:r>
        <w:rPr>
          <w:rFonts w:ascii="Book Antiqua" w:hAnsi="Book Antiqua"/>
          <w:szCs w:val="24"/>
        </w:rPr>
        <w:t>K.25-06-021</w:t>
      </w:r>
      <w:r w:rsidRPr="00943FFD">
        <w:rPr>
          <w:rFonts w:ascii="Book Antiqua" w:hAnsi="Book Antiqua"/>
          <w:szCs w:val="24"/>
        </w:rPr>
        <w:t xml:space="preserve">.  This Draft Resolution will appear on the agenda at the next Commission meeting to be held </w:t>
      </w:r>
      <w:r>
        <w:rPr>
          <w:rFonts w:ascii="Book Antiqua" w:hAnsi="Book Antiqua"/>
          <w:szCs w:val="24"/>
        </w:rPr>
        <w:t>April 30, 2026</w:t>
      </w:r>
      <w:r w:rsidRPr="00943FFD">
        <w:rPr>
          <w:rFonts w:ascii="Book Antiqua" w:hAnsi="Book Antiqua"/>
          <w:szCs w:val="24"/>
        </w:rPr>
        <w:t>, which is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does the Resolution become binding on the parties.</w:t>
      </w:r>
    </w:p>
    <w:p w:rsidR="002019FB" w:rsidP="002019FB" w:rsidRDefault="002019FB" w14:paraId="52AB89F3" w14:textId="77777777">
      <w:pPr>
        <w:tabs>
          <w:tab w:val="left" w:pos="6930"/>
        </w:tabs>
        <w:overflowPunct w:val="0"/>
        <w:autoSpaceDE w:val="0"/>
        <w:autoSpaceDN w:val="0"/>
        <w:adjustRightInd w:val="0"/>
        <w:ind w:right="594"/>
        <w:textAlignment w:val="baseline"/>
        <w:rPr>
          <w:rFonts w:ascii="Book Antiqua" w:hAnsi="Book Antiqua"/>
          <w:szCs w:val="24"/>
        </w:rPr>
      </w:pPr>
    </w:p>
    <w:p w:rsidRPr="00943FFD" w:rsidR="002019FB" w:rsidP="002019FB" w:rsidRDefault="002019FB" w14:paraId="7FBEDF62" w14:textId="4A91B3CD">
      <w:pPr>
        <w:tabs>
          <w:tab w:val="left" w:pos="6930"/>
        </w:tabs>
        <w:overflowPunct w:val="0"/>
        <w:autoSpaceDE w:val="0"/>
        <w:autoSpaceDN w:val="0"/>
        <w:adjustRightInd w:val="0"/>
        <w:ind w:right="594"/>
        <w:textAlignment w:val="baseline"/>
        <w:rPr>
          <w:rFonts w:ascii="Book Antiqua" w:hAnsi="Book Antiqua"/>
          <w:szCs w:val="24"/>
        </w:rPr>
      </w:pPr>
      <w:r w:rsidRPr="00943FFD">
        <w:rPr>
          <w:rFonts w:ascii="Book Antiqua" w:hAnsi="Book Antiqua"/>
          <w:szCs w:val="24"/>
        </w:rPr>
        <w:t xml:space="preserve">Any member of the public may serve comments on the Draft Resolution as provided in Public Utilities Code § 311(g) and Rule 14.5 of the Commission’s Rules of Practice and Procedure (Rules). Comments shall focus on factual, legal, or technical errors in the proposed Draft Resolution.  Comments that merely reargue positions taken in the </w:t>
      </w:r>
      <w:r>
        <w:rPr>
          <w:rFonts w:ascii="Book Antiqua" w:hAnsi="Book Antiqua"/>
          <w:szCs w:val="24"/>
        </w:rPr>
        <w:t>proceeding</w:t>
      </w:r>
      <w:r w:rsidRPr="00943FFD">
        <w:rPr>
          <w:rFonts w:ascii="Book Antiqua" w:hAnsi="Book Antiqua"/>
          <w:szCs w:val="24"/>
        </w:rPr>
        <w:t xml:space="preserve"> will be accorded no weight and are not to be submitted. Comments should list the recommended changes to the Draft Resolution</w:t>
      </w:r>
      <w:r>
        <w:rPr>
          <w:rFonts w:ascii="Book Antiqua" w:hAnsi="Book Antiqua"/>
          <w:szCs w:val="24"/>
        </w:rPr>
        <w:t>.</w:t>
      </w:r>
    </w:p>
    <w:p w:rsidRPr="00943FFD" w:rsidR="002019FB" w:rsidP="002019FB" w:rsidRDefault="002019FB" w14:paraId="588CB1AE" w14:textId="77777777">
      <w:pPr>
        <w:rPr>
          <w:rFonts w:ascii="Book Antiqua" w:hAnsi="Book Antiqua"/>
          <w:szCs w:val="24"/>
        </w:rPr>
      </w:pPr>
    </w:p>
    <w:p w:rsidR="002019FB" w:rsidP="002019FB" w:rsidRDefault="002019FB" w14:paraId="34768C58" w14:textId="7C7BCF0D">
      <w:pPr>
        <w:pStyle w:val="Default"/>
      </w:pPr>
      <w:r w:rsidRPr="00943FFD">
        <w:t xml:space="preserve">Comments shall be served (but not filed) within 20 days of the date that the draft Resolution is first noticed in the Commission’s Daily Calendar, </w:t>
      </w:r>
      <w:hyperlink w:history="1" r:id="rId11">
        <w:r w:rsidRPr="00943FFD">
          <w:rPr>
            <w:rStyle w:val="Hyperlink"/>
          </w:rPr>
          <w:t>http://docs.cpuc.ca.gov/SearchRes.aspx?DocTypeID=9&amp;Latest=1</w:t>
        </w:r>
      </w:hyperlink>
      <w:r w:rsidRPr="00943FFD">
        <w:t xml:space="preserve">, as provided in Rule 14.5 of the Commission’s Rules of Practice and Procedure. Comments shall be served upon all persons on this proceeding’s service list and on ALJ </w:t>
      </w:r>
      <w:r w:rsidR="00E05152">
        <w:t>Mathews</w:t>
      </w:r>
      <w:r>
        <w:t xml:space="preserve"> </w:t>
      </w:r>
      <w:r w:rsidRPr="00943FFD">
        <w:t xml:space="preserve">at </w:t>
      </w:r>
      <w:hyperlink w:history="1" r:id="rId12">
        <w:r w:rsidRPr="00FA10C6">
          <w:rPr>
            <w:rStyle w:val="Hyperlink"/>
          </w:rPr>
          <w:t>srm@cpuc.ca.gov</w:t>
        </w:r>
      </w:hyperlink>
      <w:r w:rsidRPr="00943FFD">
        <w:t>.</w:t>
      </w:r>
    </w:p>
    <w:p w:rsidRPr="00943FFD" w:rsidR="002019FB" w:rsidP="002019FB" w:rsidRDefault="002019FB" w14:paraId="1EF7E1E0" w14:textId="77777777">
      <w:pPr>
        <w:pStyle w:val="Default"/>
      </w:pPr>
    </w:p>
    <w:p w:rsidRPr="00943FFD" w:rsidR="002019FB" w:rsidP="002019FB" w:rsidRDefault="002019FB" w14:paraId="42F2DA1E" w14:textId="59A2A186">
      <w:pPr>
        <w:outlineLvl w:val="0"/>
        <w:rPr>
          <w:rFonts w:ascii="Book Antiqua" w:hAnsi="Book Antiqua"/>
          <w:szCs w:val="24"/>
          <w:u w:val="single"/>
        </w:rPr>
      </w:pPr>
      <w:r>
        <w:rPr>
          <w:rFonts w:ascii="Book Antiqua" w:hAnsi="Book Antiqua"/>
          <w:szCs w:val="24"/>
          <w:u w:val="single"/>
        </w:rPr>
        <w:t>/s/  MICHELLE COOKE</w:t>
      </w:r>
      <w:r>
        <w:rPr>
          <w:rFonts w:ascii="Book Antiqua" w:hAnsi="Book Antiqua"/>
          <w:szCs w:val="24"/>
          <w:u w:val="single"/>
        </w:rPr>
        <w:tab/>
      </w:r>
      <w:r>
        <w:rPr>
          <w:rFonts w:ascii="Book Antiqua" w:hAnsi="Book Antiqua"/>
          <w:szCs w:val="24"/>
          <w:u w:val="single"/>
        </w:rPr>
        <w:tab/>
      </w:r>
    </w:p>
    <w:p w:rsidRPr="00943FFD" w:rsidR="002019FB" w:rsidP="002019FB" w:rsidRDefault="002019FB" w14:paraId="79A69C0B" w14:textId="77777777">
      <w:pPr>
        <w:outlineLvl w:val="0"/>
        <w:rPr>
          <w:rFonts w:ascii="Book Antiqua" w:hAnsi="Book Antiqua"/>
          <w:szCs w:val="24"/>
        </w:rPr>
      </w:pPr>
      <w:r w:rsidRPr="00943FFD">
        <w:rPr>
          <w:rFonts w:ascii="Book Antiqua" w:hAnsi="Book Antiqua"/>
          <w:szCs w:val="24"/>
        </w:rPr>
        <w:t>Michelle Cooke</w:t>
      </w:r>
      <w:r w:rsidRPr="00943FFD">
        <w:rPr>
          <w:rFonts w:ascii="Book Antiqua" w:hAnsi="Book Antiqua"/>
          <w:szCs w:val="24"/>
        </w:rPr>
        <w:br/>
        <w:t>Chief Administrative Law Judge</w:t>
      </w:r>
    </w:p>
    <w:p w:rsidRPr="00943FFD" w:rsidR="002019FB" w:rsidP="002019FB" w:rsidRDefault="002019FB" w14:paraId="03919117" w14:textId="2E0E9516">
      <w:pPr>
        <w:outlineLvl w:val="0"/>
        <w:rPr>
          <w:rFonts w:ascii="Book Antiqua" w:hAnsi="Book Antiqua"/>
          <w:szCs w:val="24"/>
          <w:u w:val="single"/>
        </w:rPr>
      </w:pPr>
      <w:proofErr w:type="spellStart"/>
      <w:r w:rsidRPr="00943FFD">
        <w:rPr>
          <w:rFonts w:ascii="Book Antiqua" w:hAnsi="Book Antiqua"/>
          <w:szCs w:val="24"/>
        </w:rPr>
        <w:t>MLC:</w:t>
      </w:r>
      <w:r>
        <w:rPr>
          <w:rFonts w:ascii="Book Antiqua" w:hAnsi="Book Antiqua"/>
          <w:szCs w:val="24"/>
        </w:rPr>
        <w:t>avs</w:t>
      </w:r>
      <w:proofErr w:type="spellEnd"/>
    </w:p>
    <w:p w:rsidR="00C47C2A" w:rsidP="002019FB" w:rsidRDefault="002019FB" w14:paraId="6D6D0C79" w14:textId="5B7A1230">
      <w:r w:rsidRPr="00943FFD">
        <w:rPr>
          <w:rFonts w:ascii="Book Antiqua" w:hAnsi="Book Antiqua"/>
          <w:szCs w:val="24"/>
        </w:rPr>
        <w:t>Attachment</w:t>
      </w:r>
    </w:p>
    <w:p w:rsidR="002019FB" w:rsidRDefault="002019FB" w14:paraId="0CB8B246" w14:textId="77777777">
      <w:pPr>
        <w:pStyle w:val="Title"/>
        <w:rPr>
          <w:rFonts w:ascii="Arial" w:hAnsi="Arial" w:cs="Arial"/>
        </w:rPr>
        <w:sectPr w:rsidR="002019FB">
          <w:headerReference w:type="default" r:id="rId13"/>
          <w:footerReference w:type="default" r:id="rId14"/>
          <w:headerReference w:type="first" r:id="rId15"/>
          <w:pgSz w:w="12240" w:h="15840" w:code="1"/>
          <w:pgMar w:top="1440" w:right="1440" w:bottom="1440" w:left="1440" w:header="720" w:footer="720" w:gutter="0"/>
          <w:pgNumType w:start="1"/>
          <w:cols w:space="720"/>
          <w:titlePg/>
        </w:sectPr>
      </w:pPr>
    </w:p>
    <w:p w:rsidRPr="00760409" w:rsidR="00C47C2A" w:rsidRDefault="00C47C2A" w14:paraId="0B848056" w14:textId="77777777">
      <w:pPr>
        <w:pStyle w:val="Title"/>
        <w:rPr>
          <w:rFonts w:ascii="Arial" w:hAnsi="Arial" w:cs="Arial"/>
        </w:rPr>
      </w:pPr>
      <w:r w:rsidRPr="00760409">
        <w:rPr>
          <w:rFonts w:ascii="Arial" w:hAnsi="Arial" w:cs="Arial"/>
        </w:rPr>
        <w:lastRenderedPageBreak/>
        <w:t>PUBLIC UTILITIES COMMISSION OF THE STATE OF CALIFORNIA</w:t>
      </w:r>
    </w:p>
    <w:p w:rsidR="00C47C2A" w:rsidRDefault="00C47C2A" w14:paraId="753C18D0" w14:textId="77777777"/>
    <w:p w:rsidRPr="00041C0A" w:rsidR="00C47C2A" w:rsidRDefault="00C47C2A" w14:paraId="1D90DEE6" w14:textId="77777777">
      <w:pPr>
        <w:rPr>
          <w:rFonts w:ascii="Book Antiqua" w:hAnsi="Book Antiqua"/>
          <w:sz w:val="26"/>
          <w:szCs w:val="26"/>
        </w:rPr>
      </w:pPr>
      <w:r>
        <w:tab/>
      </w:r>
      <w:r>
        <w:tab/>
      </w:r>
      <w:r>
        <w:tab/>
      </w:r>
      <w:r>
        <w:tab/>
      </w:r>
      <w:r>
        <w:tab/>
      </w:r>
      <w:r w:rsidRPr="00041C0A">
        <w:rPr>
          <w:rFonts w:ascii="Book Antiqua" w:hAnsi="Book Antiqua"/>
          <w:sz w:val="26"/>
          <w:szCs w:val="26"/>
        </w:rPr>
        <w:t>Resolution ALJ-</w:t>
      </w:r>
      <w:r w:rsidR="00851D07">
        <w:rPr>
          <w:rFonts w:ascii="Book Antiqua" w:hAnsi="Book Antiqua"/>
          <w:sz w:val="26"/>
          <w:szCs w:val="26"/>
        </w:rPr>
        <w:t>492</w:t>
      </w:r>
    </w:p>
    <w:p w:rsidRPr="00041C0A" w:rsidR="00C47C2A" w:rsidRDefault="00C47C2A" w14:paraId="59C3D06E" w14:textId="77777777">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t>Administrative Law Judge Division</w:t>
      </w:r>
    </w:p>
    <w:p w:rsidRPr="00041C0A" w:rsidR="00C47C2A" w:rsidRDefault="00C47C2A" w14:paraId="481FF29D" w14:textId="2DA0A9BF">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00E3194D">
        <w:rPr>
          <w:rFonts w:ascii="Book Antiqua" w:hAnsi="Book Antiqua"/>
          <w:sz w:val="26"/>
          <w:szCs w:val="26"/>
        </w:rPr>
        <w:t>[</w:t>
      </w:r>
      <w:r w:rsidR="00851D07">
        <w:rPr>
          <w:rFonts w:ascii="Book Antiqua" w:hAnsi="Book Antiqua"/>
          <w:sz w:val="26"/>
          <w:szCs w:val="26"/>
        </w:rPr>
        <w:t>DATE</w:t>
      </w:r>
      <w:r w:rsidR="00E3194D">
        <w:rPr>
          <w:rFonts w:ascii="Book Antiqua" w:hAnsi="Book Antiqua"/>
          <w:sz w:val="26"/>
          <w:szCs w:val="26"/>
        </w:rPr>
        <w:t>]</w:t>
      </w:r>
    </w:p>
    <w:p w:rsidR="00C47C2A" w:rsidRDefault="00C47C2A" w14:paraId="0CAB4509" w14:textId="77777777"/>
    <w:p w:rsidR="00C47C2A" w:rsidRDefault="00C47C2A" w14:paraId="21840F23" w14:textId="77777777"/>
    <w:p w:rsidRPr="00760409" w:rsidR="00C47C2A" w:rsidRDefault="00C47C2A" w14:paraId="62457346" w14:textId="77777777">
      <w:pPr>
        <w:jc w:val="center"/>
        <w:rPr>
          <w:rFonts w:ascii="Arial" w:hAnsi="Arial" w:cs="Arial"/>
          <w:b/>
          <w:u w:val="single"/>
        </w:rPr>
      </w:pPr>
      <w:r w:rsidRPr="00760409">
        <w:rPr>
          <w:rFonts w:ascii="Arial" w:hAnsi="Arial" w:cs="Arial"/>
          <w:b/>
          <w:u w:val="single"/>
        </w:rPr>
        <w:t>R</w:t>
      </w:r>
      <w:r w:rsidRPr="00760409">
        <w:rPr>
          <w:rFonts w:ascii="Arial" w:hAnsi="Arial" w:cs="Arial"/>
          <w:b/>
        </w:rPr>
        <w:t xml:space="preserve"> </w:t>
      </w:r>
      <w:r w:rsidRPr="00760409">
        <w:rPr>
          <w:rFonts w:ascii="Arial" w:hAnsi="Arial" w:cs="Arial"/>
          <w:b/>
          <w:u w:val="single"/>
        </w:rPr>
        <w:t>E</w:t>
      </w:r>
      <w:r w:rsidRPr="00760409">
        <w:rPr>
          <w:rFonts w:ascii="Arial" w:hAnsi="Arial" w:cs="Arial"/>
          <w:b/>
        </w:rPr>
        <w:t xml:space="preserve"> </w:t>
      </w:r>
      <w:r w:rsidRPr="00760409">
        <w:rPr>
          <w:rFonts w:ascii="Arial" w:hAnsi="Arial" w:cs="Arial"/>
          <w:b/>
          <w:u w:val="single"/>
        </w:rPr>
        <w:t>S</w:t>
      </w:r>
      <w:r w:rsidRPr="00760409">
        <w:rPr>
          <w:rFonts w:ascii="Arial" w:hAnsi="Arial" w:cs="Arial"/>
          <w:b/>
        </w:rPr>
        <w:t xml:space="preserve"> </w:t>
      </w:r>
      <w:r w:rsidRPr="00760409">
        <w:rPr>
          <w:rFonts w:ascii="Arial" w:hAnsi="Arial" w:cs="Arial"/>
          <w:b/>
          <w:u w:val="single"/>
        </w:rPr>
        <w:t>O</w:t>
      </w:r>
      <w:r w:rsidRPr="00760409">
        <w:rPr>
          <w:rFonts w:ascii="Arial" w:hAnsi="Arial" w:cs="Arial"/>
          <w:b/>
        </w:rPr>
        <w:t xml:space="preserve"> </w:t>
      </w:r>
      <w:r w:rsidRPr="00760409">
        <w:rPr>
          <w:rFonts w:ascii="Arial" w:hAnsi="Arial" w:cs="Arial"/>
          <w:b/>
          <w:u w:val="single"/>
        </w:rPr>
        <w:t>L</w:t>
      </w:r>
      <w:r w:rsidRPr="00760409">
        <w:rPr>
          <w:rFonts w:ascii="Arial" w:hAnsi="Arial" w:cs="Arial"/>
          <w:b/>
        </w:rPr>
        <w:t xml:space="preserve"> </w:t>
      </w:r>
      <w:r w:rsidRPr="00760409">
        <w:rPr>
          <w:rFonts w:ascii="Arial" w:hAnsi="Arial" w:cs="Arial"/>
          <w:b/>
          <w:u w:val="single"/>
        </w:rPr>
        <w:t>U</w:t>
      </w:r>
      <w:r w:rsidRPr="00760409">
        <w:rPr>
          <w:rFonts w:ascii="Arial" w:hAnsi="Arial" w:cs="Arial"/>
          <w:b/>
        </w:rPr>
        <w:t xml:space="preserve"> </w:t>
      </w:r>
      <w:r w:rsidRPr="00760409">
        <w:rPr>
          <w:rFonts w:ascii="Arial" w:hAnsi="Arial" w:cs="Arial"/>
          <w:b/>
          <w:u w:val="single"/>
        </w:rPr>
        <w:t>T</w:t>
      </w:r>
      <w:r w:rsidRPr="00760409">
        <w:rPr>
          <w:rFonts w:ascii="Arial" w:hAnsi="Arial" w:cs="Arial"/>
          <w:b/>
        </w:rPr>
        <w:t xml:space="preserve"> </w:t>
      </w:r>
      <w:r w:rsidRPr="00760409">
        <w:rPr>
          <w:rFonts w:ascii="Arial" w:hAnsi="Arial" w:cs="Arial"/>
          <w:b/>
          <w:u w:val="single"/>
        </w:rPr>
        <w:t>I</w:t>
      </w:r>
      <w:r w:rsidRPr="00760409">
        <w:rPr>
          <w:rFonts w:ascii="Arial" w:hAnsi="Arial" w:cs="Arial"/>
          <w:b/>
        </w:rPr>
        <w:t xml:space="preserve"> </w:t>
      </w:r>
      <w:r w:rsidRPr="00760409">
        <w:rPr>
          <w:rFonts w:ascii="Arial" w:hAnsi="Arial" w:cs="Arial"/>
          <w:b/>
          <w:u w:val="single"/>
        </w:rPr>
        <w:t>O</w:t>
      </w:r>
      <w:r w:rsidRPr="00760409">
        <w:rPr>
          <w:rFonts w:ascii="Arial" w:hAnsi="Arial" w:cs="Arial"/>
          <w:b/>
        </w:rPr>
        <w:t xml:space="preserve"> </w:t>
      </w:r>
      <w:r w:rsidRPr="00760409">
        <w:rPr>
          <w:rFonts w:ascii="Arial" w:hAnsi="Arial" w:cs="Arial"/>
          <w:b/>
          <w:u w:val="single"/>
        </w:rPr>
        <w:t>N</w:t>
      </w:r>
    </w:p>
    <w:p w:rsidR="00C47C2A" w:rsidRDefault="00C47C2A" w14:paraId="1D644229" w14:textId="77777777">
      <w:pPr>
        <w:jc w:val="center"/>
        <w:rPr>
          <w:b/>
        </w:rPr>
      </w:pPr>
    </w:p>
    <w:p w:rsidR="00C47C2A" w:rsidRDefault="00C47C2A" w14:paraId="2A4AF0CB" w14:textId="77777777"/>
    <w:p w:rsidR="00C47C2A" w:rsidP="00AF6654" w:rsidRDefault="00C47C2A" w14:paraId="180463AE" w14:textId="77777777">
      <w:pPr>
        <w:pStyle w:val="BlockText"/>
        <w:rPr>
          <w:rFonts w:ascii="Book Antiqua" w:hAnsi="Book Antiqua"/>
          <w:szCs w:val="24"/>
        </w:rPr>
      </w:pPr>
      <w:r w:rsidRPr="007763FF">
        <w:rPr>
          <w:rFonts w:ascii="Book Antiqua" w:hAnsi="Book Antiqua"/>
          <w:szCs w:val="24"/>
        </w:rPr>
        <w:t>RESOLUTION ALJ-</w:t>
      </w:r>
      <w:r w:rsidR="00851D07">
        <w:rPr>
          <w:rFonts w:ascii="Book Antiqua" w:hAnsi="Book Antiqua"/>
          <w:szCs w:val="24"/>
        </w:rPr>
        <w:t>492</w:t>
      </w:r>
      <w:r w:rsidR="00AF6654">
        <w:rPr>
          <w:rFonts w:ascii="Book Antiqua" w:hAnsi="Book Antiqua"/>
          <w:szCs w:val="24"/>
        </w:rPr>
        <w:t xml:space="preserve">:  Resolves K.25-06-021, the Appeal of </w:t>
      </w:r>
      <w:r w:rsidR="007243B8">
        <w:rPr>
          <w:rFonts w:ascii="Book Antiqua" w:hAnsi="Book Antiqua"/>
          <w:szCs w:val="24"/>
        </w:rPr>
        <w:t>WTI Communications</w:t>
      </w:r>
      <w:r w:rsidR="00AF6654">
        <w:rPr>
          <w:rFonts w:ascii="Book Antiqua" w:hAnsi="Book Antiqua"/>
          <w:szCs w:val="24"/>
        </w:rPr>
        <w:t xml:space="preserve"> U- </w:t>
      </w:r>
      <w:r w:rsidR="007243B8">
        <w:rPr>
          <w:rFonts w:ascii="Book Antiqua" w:hAnsi="Book Antiqua"/>
          <w:szCs w:val="24"/>
        </w:rPr>
        <w:t xml:space="preserve">1447-C from </w:t>
      </w:r>
      <w:r w:rsidR="00AF6654">
        <w:rPr>
          <w:rFonts w:ascii="Book Antiqua" w:hAnsi="Book Antiqua"/>
          <w:szCs w:val="24"/>
        </w:rPr>
        <w:t>Citation No. CD-2025-</w:t>
      </w:r>
      <w:r w:rsidR="007243B8">
        <w:rPr>
          <w:rFonts w:ascii="Book Antiqua" w:hAnsi="Book Antiqua"/>
          <w:szCs w:val="24"/>
        </w:rPr>
        <w:t xml:space="preserve">05-011 </w:t>
      </w:r>
      <w:r w:rsidR="00AF6654">
        <w:rPr>
          <w:rFonts w:ascii="Book Antiqua" w:hAnsi="Book Antiqua"/>
          <w:szCs w:val="24"/>
        </w:rPr>
        <w:t>issued by the Communications Divis</w:t>
      </w:r>
      <w:r w:rsidR="007243B8">
        <w:rPr>
          <w:rFonts w:ascii="Book Antiqua" w:hAnsi="Book Antiqua"/>
          <w:szCs w:val="24"/>
        </w:rPr>
        <w:t>i</w:t>
      </w:r>
      <w:r w:rsidR="00AF6654">
        <w:rPr>
          <w:rFonts w:ascii="Book Antiqua" w:hAnsi="Book Antiqua"/>
          <w:szCs w:val="24"/>
        </w:rPr>
        <w:t xml:space="preserve">on.  </w:t>
      </w:r>
    </w:p>
    <w:p w:rsidR="00AF6654" w:rsidP="00AF6654" w:rsidRDefault="00AF6654" w14:paraId="7B70CC12" w14:textId="77777777">
      <w:pPr>
        <w:pStyle w:val="BlockText"/>
        <w:rPr>
          <w:rFonts w:ascii="Book Antiqua" w:hAnsi="Book Antiqua"/>
          <w:szCs w:val="24"/>
        </w:rPr>
      </w:pPr>
    </w:p>
    <w:p w:rsidRPr="007763FF" w:rsidR="00AF6654" w:rsidP="00AF6654" w:rsidRDefault="00AF6654" w14:paraId="3151C1C8" w14:textId="77777777">
      <w:pPr>
        <w:pStyle w:val="BlockText"/>
        <w:rPr>
          <w:rFonts w:ascii="Book Antiqua" w:hAnsi="Book Antiqua"/>
          <w:szCs w:val="24"/>
        </w:rPr>
      </w:pPr>
    </w:p>
    <w:p w:rsidRPr="007763FF" w:rsidR="00C47C2A" w:rsidRDefault="00C47C2A" w14:paraId="2883D738" w14:textId="77777777">
      <w:pPr>
        <w:tabs>
          <w:tab w:val="right" w:pos="8550"/>
        </w:tabs>
        <w:ind w:left="720" w:right="720"/>
        <w:rPr>
          <w:rFonts w:ascii="Book Antiqua" w:hAnsi="Book Antiqua"/>
          <w:szCs w:val="24"/>
        </w:rPr>
      </w:pPr>
      <w:r w:rsidRPr="007763FF">
        <w:rPr>
          <w:rFonts w:ascii="Book Antiqua" w:hAnsi="Book Antiqua"/>
          <w:szCs w:val="24"/>
          <w:u w:val="single"/>
        </w:rPr>
        <w:tab/>
      </w:r>
    </w:p>
    <w:p w:rsidRPr="007763FF" w:rsidR="00C47C2A" w:rsidRDefault="00C47C2A" w14:paraId="64E456B5" w14:textId="77777777">
      <w:pPr>
        <w:rPr>
          <w:rFonts w:ascii="Book Antiqua" w:hAnsi="Book Antiqua"/>
          <w:szCs w:val="24"/>
        </w:rPr>
      </w:pPr>
    </w:p>
    <w:p w:rsidRPr="007763FF" w:rsidR="00C47C2A" w:rsidRDefault="00C47C2A" w14:paraId="26DF5604" w14:textId="77777777">
      <w:pPr>
        <w:rPr>
          <w:rFonts w:ascii="Book Antiqua" w:hAnsi="Book Antiqua"/>
          <w:b/>
          <w:szCs w:val="24"/>
          <w:u w:val="single"/>
        </w:rPr>
      </w:pPr>
      <w:r w:rsidRPr="007763FF">
        <w:rPr>
          <w:rFonts w:ascii="Book Antiqua" w:hAnsi="Book Antiqua"/>
          <w:b/>
          <w:szCs w:val="24"/>
          <w:u w:val="single"/>
        </w:rPr>
        <w:t>SUMMARY</w:t>
      </w:r>
    </w:p>
    <w:p w:rsidRPr="007763FF" w:rsidR="00C47C2A" w:rsidRDefault="00C47C2A" w14:paraId="60F39F62" w14:textId="77777777">
      <w:pPr>
        <w:rPr>
          <w:rFonts w:ascii="Book Antiqua" w:hAnsi="Book Antiqua"/>
          <w:szCs w:val="24"/>
        </w:rPr>
      </w:pPr>
    </w:p>
    <w:p w:rsidR="00AF6654" w:rsidRDefault="00AF6654" w14:paraId="7D365AD3" w14:textId="77777777">
      <w:pPr>
        <w:rPr>
          <w:rFonts w:ascii="Book Antiqua" w:hAnsi="Book Antiqua"/>
          <w:szCs w:val="24"/>
        </w:rPr>
      </w:pPr>
      <w:r w:rsidRPr="00AF6654">
        <w:rPr>
          <w:rFonts w:ascii="Book Antiqua" w:hAnsi="Book Antiqua"/>
          <w:szCs w:val="24"/>
        </w:rPr>
        <w:t>This resolution resolves the appeal of Citation No. CD-202</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by the California Public Utilities Commission’s (Commission</w:t>
      </w:r>
      <w:r w:rsidR="007427DC">
        <w:rPr>
          <w:rFonts w:ascii="Book Antiqua" w:hAnsi="Book Antiqua"/>
          <w:szCs w:val="24"/>
        </w:rPr>
        <w:t xml:space="preserve"> or CPUC</w:t>
      </w:r>
      <w:r w:rsidRPr="00AF6654">
        <w:rPr>
          <w:rFonts w:ascii="Book Antiqua" w:hAnsi="Book Antiqua"/>
          <w:szCs w:val="24"/>
        </w:rPr>
        <w:t xml:space="preserve">) Communication Division. </w:t>
      </w:r>
      <w:r w:rsidR="007243B8">
        <w:rPr>
          <w:rFonts w:ascii="Book Antiqua" w:hAnsi="Book Antiqua"/>
          <w:szCs w:val="24"/>
        </w:rPr>
        <w:t xml:space="preserve"> </w:t>
      </w:r>
      <w:r w:rsidRPr="00AF6654">
        <w:rPr>
          <w:rFonts w:ascii="Book Antiqua" w:hAnsi="Book Antiqua"/>
          <w:szCs w:val="24"/>
        </w:rPr>
        <w:t>Citation No. CD-20</w:t>
      </w:r>
      <w:r w:rsidR="007243B8">
        <w:rPr>
          <w:rFonts w:ascii="Book Antiqua" w:hAnsi="Book Antiqua"/>
          <w:szCs w:val="24"/>
        </w:rPr>
        <w:t>25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issues a fine of $1,000.00 to </w:t>
      </w:r>
      <w:r w:rsidR="007243B8">
        <w:rPr>
          <w:rFonts w:ascii="Book Antiqua" w:hAnsi="Book Antiqua"/>
          <w:szCs w:val="24"/>
        </w:rPr>
        <w:t>WTI Communications</w:t>
      </w:r>
      <w:r w:rsidR="003C567F">
        <w:rPr>
          <w:rFonts w:ascii="Book Antiqua" w:hAnsi="Book Antiqua"/>
          <w:szCs w:val="24"/>
        </w:rPr>
        <w:t>, Inc.</w:t>
      </w:r>
      <w:r w:rsidR="007243B8">
        <w:rPr>
          <w:rFonts w:ascii="Book Antiqua" w:hAnsi="Book Antiqua"/>
          <w:szCs w:val="24"/>
        </w:rPr>
        <w:t xml:space="preserve"> (WTI) </w:t>
      </w:r>
      <w:r w:rsidRPr="00AF6654">
        <w:rPr>
          <w:rFonts w:ascii="Book Antiqua" w:hAnsi="Book Antiqua"/>
          <w:szCs w:val="24"/>
        </w:rPr>
        <w:t xml:space="preserve">for non-compliance with reporting and remitting surcharges and/or user fees. </w:t>
      </w:r>
    </w:p>
    <w:p w:rsidRPr="007763FF" w:rsidR="00C47C2A" w:rsidRDefault="00C47C2A" w14:paraId="294743E5" w14:textId="77777777">
      <w:pPr>
        <w:rPr>
          <w:rFonts w:ascii="Book Antiqua" w:hAnsi="Book Antiqua"/>
          <w:szCs w:val="24"/>
        </w:rPr>
      </w:pPr>
    </w:p>
    <w:p w:rsidRPr="007763FF" w:rsidR="00C47C2A" w:rsidRDefault="00C47C2A" w14:paraId="2E0469C1" w14:textId="77777777">
      <w:pPr>
        <w:rPr>
          <w:rFonts w:ascii="Book Antiqua" w:hAnsi="Book Antiqua"/>
          <w:b/>
          <w:szCs w:val="24"/>
          <w:u w:val="single"/>
        </w:rPr>
      </w:pPr>
      <w:r w:rsidRPr="007763FF">
        <w:rPr>
          <w:rFonts w:ascii="Book Antiqua" w:hAnsi="Book Antiqua"/>
          <w:b/>
          <w:szCs w:val="24"/>
          <w:u w:val="single"/>
        </w:rPr>
        <w:t>BACKGROUND</w:t>
      </w:r>
    </w:p>
    <w:p w:rsidR="00D71985" w:rsidP="00D71985" w:rsidRDefault="00D71985" w14:paraId="7A59E87A" w14:textId="77777777">
      <w:pPr>
        <w:rPr>
          <w:rFonts w:ascii="Book Antiqua" w:hAnsi="Book Antiqua"/>
          <w:szCs w:val="24"/>
        </w:rPr>
      </w:pPr>
    </w:p>
    <w:p w:rsidR="00AF6654" w:rsidRDefault="00AF6654" w14:paraId="66388894" w14:textId="77777777">
      <w:pPr>
        <w:rPr>
          <w:rFonts w:ascii="Book Antiqua" w:hAnsi="Book Antiqua"/>
          <w:szCs w:val="24"/>
        </w:rPr>
      </w:pPr>
      <w:r w:rsidRPr="00AF6654">
        <w:rPr>
          <w:rFonts w:ascii="Book Antiqua" w:hAnsi="Book Antiqua"/>
          <w:szCs w:val="24"/>
        </w:rPr>
        <w:t xml:space="preserve">Pursuant to California Public Utilities Commission (Commission) Resolution T-17601, and Public Utilities Code (Pub. Util.) Code Sections 247.1, 285, 702, 2101, 2107, 2108, and Decision </w:t>
      </w:r>
      <w:r w:rsidR="007243B8">
        <w:rPr>
          <w:rFonts w:ascii="Book Antiqua" w:hAnsi="Book Antiqua"/>
          <w:szCs w:val="24"/>
        </w:rPr>
        <w:t>(D.) W</w:t>
      </w:r>
      <w:r w:rsidRPr="00AF6654">
        <w:rPr>
          <w:rFonts w:ascii="Book Antiqua" w:hAnsi="Book Antiqua"/>
          <w:szCs w:val="24"/>
        </w:rPr>
        <w:t xml:space="preserve">22-10-021, the Communications Division (CD) issued </w:t>
      </w:r>
      <w:r w:rsidR="007243B8">
        <w:rPr>
          <w:rFonts w:ascii="Book Antiqua" w:hAnsi="Book Antiqua"/>
          <w:szCs w:val="24"/>
        </w:rPr>
        <w:t xml:space="preserve">WTI </w:t>
      </w:r>
      <w:r w:rsidRPr="00AF6654">
        <w:rPr>
          <w:rFonts w:ascii="Book Antiqua" w:hAnsi="Book Antiqua"/>
          <w:szCs w:val="24"/>
        </w:rPr>
        <w:t xml:space="preserve">a citation assessing $1,000.00 for non-compliance in reporting and remitting surcharges and/or user fees. </w:t>
      </w:r>
    </w:p>
    <w:p w:rsidR="00AF6654" w:rsidRDefault="00AF6654" w14:paraId="21DC8423" w14:textId="77777777">
      <w:pPr>
        <w:rPr>
          <w:rFonts w:ascii="Book Antiqua" w:hAnsi="Book Antiqua"/>
          <w:szCs w:val="24"/>
        </w:rPr>
      </w:pPr>
    </w:p>
    <w:p w:rsidR="00AF6654" w:rsidRDefault="00AF6654" w14:paraId="23C5FB8C" w14:textId="77777777">
      <w:pPr>
        <w:rPr>
          <w:rFonts w:ascii="Book Antiqua" w:hAnsi="Book Antiqua"/>
          <w:szCs w:val="24"/>
        </w:rPr>
      </w:pPr>
      <w:r w:rsidRPr="00AF6654">
        <w:rPr>
          <w:rFonts w:ascii="Book Antiqua" w:hAnsi="Book Antiqua"/>
          <w:szCs w:val="24"/>
        </w:rPr>
        <w:t>Resolution T-17601 (Resolution) authorizes the CD Staff (Staff) to implement a citation program for enforcing compliance by telecommunications carriers with the Commission’s Resolutions, Decisions, Orders, and the Public Utilities Code.</w:t>
      </w:r>
    </w:p>
    <w:p w:rsidR="00AF6654" w:rsidRDefault="00AF6654" w14:paraId="7D4FF29D" w14:textId="77777777">
      <w:pPr>
        <w:rPr>
          <w:rFonts w:ascii="Book Antiqua" w:hAnsi="Book Antiqua"/>
          <w:szCs w:val="24"/>
        </w:rPr>
      </w:pPr>
      <w:r w:rsidRPr="00AF6654">
        <w:rPr>
          <w:rFonts w:ascii="Book Antiqua" w:hAnsi="Book Antiqua"/>
          <w:szCs w:val="24"/>
        </w:rPr>
        <w:t xml:space="preserve">The Resolution adopted a citation procedure, a list of specific violations, and the corresponding amount of each fine or penalty. Telephone corporations may accept the fine imposed or contest it through the process of appeal under Resolution ALJ-377. </w:t>
      </w:r>
    </w:p>
    <w:p w:rsidR="00AF6654" w:rsidRDefault="00AF6654" w14:paraId="7F1B592F" w14:textId="77777777">
      <w:pPr>
        <w:rPr>
          <w:rFonts w:ascii="Book Antiqua" w:hAnsi="Book Antiqua"/>
          <w:szCs w:val="24"/>
        </w:rPr>
      </w:pPr>
    </w:p>
    <w:p w:rsidRPr="007763FF" w:rsidR="00AF6654" w:rsidRDefault="00AF6654" w14:paraId="57394C7F" w14:textId="77777777">
      <w:pPr>
        <w:rPr>
          <w:rFonts w:ascii="Book Antiqua" w:hAnsi="Book Antiqua"/>
          <w:szCs w:val="24"/>
        </w:rPr>
      </w:pPr>
      <w:r w:rsidRPr="00AF6654">
        <w:rPr>
          <w:rFonts w:ascii="Book Antiqua" w:hAnsi="Book Antiqua"/>
          <w:szCs w:val="24"/>
        </w:rPr>
        <w:t xml:space="preserve">Telephone corporations or carriers operating in California are required to comply with annual reporting requirements. Staff contacts carriers before reporting requirements are </w:t>
      </w:r>
      <w:r w:rsidRPr="00AF6654">
        <w:rPr>
          <w:rFonts w:ascii="Book Antiqua" w:hAnsi="Book Antiqua"/>
          <w:szCs w:val="24"/>
        </w:rPr>
        <w:lastRenderedPageBreak/>
        <w:t>due. If carriers do not comply with the required reporting deadlines staff will send a citation to the address on record for that carrier.</w:t>
      </w:r>
    </w:p>
    <w:p w:rsidRPr="007763FF" w:rsidR="00C47C2A" w:rsidRDefault="00C47C2A" w14:paraId="4C3877AE" w14:textId="77777777">
      <w:pPr>
        <w:rPr>
          <w:rFonts w:ascii="Book Antiqua" w:hAnsi="Book Antiqua"/>
          <w:szCs w:val="24"/>
        </w:rPr>
      </w:pPr>
    </w:p>
    <w:p w:rsidRPr="007763FF" w:rsidR="00C47C2A" w:rsidRDefault="00C47C2A" w14:paraId="2D543C5B" w14:textId="77777777">
      <w:pPr>
        <w:keepNext/>
        <w:rPr>
          <w:rFonts w:ascii="Book Antiqua" w:hAnsi="Book Antiqua"/>
          <w:b/>
          <w:szCs w:val="24"/>
          <w:u w:val="single"/>
        </w:rPr>
      </w:pPr>
      <w:r w:rsidRPr="007763FF">
        <w:rPr>
          <w:rFonts w:ascii="Book Antiqua" w:hAnsi="Book Antiqua"/>
          <w:b/>
          <w:szCs w:val="24"/>
          <w:u w:val="single"/>
        </w:rPr>
        <w:t>DISCUSSION</w:t>
      </w:r>
    </w:p>
    <w:p w:rsidRPr="007763FF" w:rsidR="00C47C2A" w:rsidRDefault="00C47C2A" w14:paraId="139C495A" w14:textId="77777777">
      <w:pPr>
        <w:rPr>
          <w:rFonts w:ascii="Book Antiqua" w:hAnsi="Book Antiqua"/>
          <w:szCs w:val="24"/>
        </w:rPr>
      </w:pPr>
    </w:p>
    <w:p w:rsidR="00C47C2A" w:rsidRDefault="007243B8" w14:paraId="6DB6B073" w14:textId="77777777">
      <w:pPr>
        <w:rPr>
          <w:rFonts w:ascii="Book Antiqua" w:hAnsi="Book Antiqua"/>
          <w:bCs/>
          <w:szCs w:val="24"/>
        </w:rPr>
      </w:pPr>
      <w:r>
        <w:rPr>
          <w:rFonts w:ascii="Book Antiqua" w:hAnsi="Book Antiqua"/>
          <w:bCs/>
          <w:szCs w:val="24"/>
        </w:rPr>
        <w:t>WTI</w:t>
      </w:r>
      <w:r w:rsidRPr="007243B8">
        <w:rPr>
          <w:rFonts w:ascii="Book Antiqua" w:hAnsi="Book Antiqua"/>
          <w:bCs/>
          <w:szCs w:val="24"/>
        </w:rPr>
        <w:t xml:space="preserve"> </w:t>
      </w:r>
      <w:r w:rsidR="00D71985">
        <w:rPr>
          <w:rFonts w:ascii="Book Antiqua" w:hAnsi="Book Antiqua"/>
          <w:bCs/>
          <w:szCs w:val="24"/>
        </w:rPr>
        <w:t>appealed</w:t>
      </w:r>
      <w:r>
        <w:rPr>
          <w:rFonts w:ascii="Book Antiqua" w:hAnsi="Book Antiqua"/>
          <w:bCs/>
          <w:szCs w:val="24"/>
        </w:rPr>
        <w:t xml:space="preserve"> </w:t>
      </w:r>
      <w:r w:rsidRPr="00AF6654">
        <w:rPr>
          <w:rFonts w:ascii="Book Antiqua" w:hAnsi="Book Antiqua"/>
          <w:szCs w:val="24"/>
        </w:rPr>
        <w:t>Citation No. 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Pr="00AF6654">
        <w:rPr>
          <w:rFonts w:ascii="Book Antiqua" w:hAnsi="Book Antiqua"/>
          <w:szCs w:val="24"/>
        </w:rPr>
        <w:t xml:space="preserve"> </w:t>
      </w:r>
      <w:r w:rsidRPr="007243B8">
        <w:rPr>
          <w:rFonts w:ascii="Book Antiqua" w:hAnsi="Book Antiqua"/>
          <w:bCs/>
          <w:szCs w:val="24"/>
        </w:rPr>
        <w:t>and the Commission granted the request. A virtual hearing was held on</w:t>
      </w:r>
      <w:r w:rsidR="005236DE">
        <w:rPr>
          <w:rFonts w:ascii="Book Antiqua" w:hAnsi="Book Antiqua"/>
          <w:bCs/>
          <w:szCs w:val="24"/>
        </w:rPr>
        <w:t xml:space="preserve"> October 17, 2025.  </w:t>
      </w:r>
      <w:r>
        <w:rPr>
          <w:rFonts w:ascii="Book Antiqua" w:hAnsi="Book Antiqua"/>
          <w:bCs/>
          <w:szCs w:val="24"/>
        </w:rPr>
        <w:t xml:space="preserve">WTI and </w:t>
      </w:r>
      <w:r w:rsidRPr="007243B8">
        <w:rPr>
          <w:rFonts w:ascii="Book Antiqua" w:hAnsi="Book Antiqua"/>
          <w:bCs/>
          <w:szCs w:val="24"/>
        </w:rPr>
        <w:t xml:space="preserve">CD appeared as parties at the hearing. </w:t>
      </w:r>
      <w:r>
        <w:rPr>
          <w:rFonts w:ascii="Book Antiqua" w:hAnsi="Book Antiqua"/>
          <w:bCs/>
          <w:szCs w:val="24"/>
        </w:rPr>
        <w:t xml:space="preserve"> </w:t>
      </w:r>
      <w:r w:rsidRPr="007243B8">
        <w:rPr>
          <w:rFonts w:ascii="Book Antiqua" w:hAnsi="Book Antiqua"/>
          <w:bCs/>
          <w:szCs w:val="24"/>
        </w:rPr>
        <w:t xml:space="preserve">Staff </w:t>
      </w:r>
      <w:proofErr w:type="gramStart"/>
      <w:r w:rsidRPr="007243B8">
        <w:rPr>
          <w:rFonts w:ascii="Book Antiqua" w:hAnsi="Book Antiqua"/>
          <w:bCs/>
          <w:szCs w:val="24"/>
        </w:rPr>
        <w:t>offered into</w:t>
      </w:r>
      <w:proofErr w:type="gramEnd"/>
      <w:r w:rsidRPr="007243B8">
        <w:rPr>
          <w:rFonts w:ascii="Book Antiqua" w:hAnsi="Book Antiqua"/>
          <w:bCs/>
          <w:szCs w:val="24"/>
        </w:rPr>
        <w:t xml:space="preserve"> evidence Exhibits numbered 1 t</w:t>
      </w:r>
      <w:r w:rsidR="005236DE">
        <w:rPr>
          <w:rFonts w:ascii="Book Antiqua" w:hAnsi="Book Antiqua"/>
          <w:bCs/>
          <w:szCs w:val="24"/>
        </w:rPr>
        <w:t>h</w:t>
      </w:r>
      <w:r w:rsidRPr="007243B8">
        <w:rPr>
          <w:rFonts w:ascii="Book Antiqua" w:hAnsi="Book Antiqua"/>
          <w:bCs/>
          <w:szCs w:val="24"/>
        </w:rPr>
        <w:t>rough 1</w:t>
      </w:r>
      <w:r w:rsidR="005236DE">
        <w:rPr>
          <w:rFonts w:ascii="Book Antiqua" w:hAnsi="Book Antiqua"/>
          <w:bCs/>
          <w:szCs w:val="24"/>
        </w:rPr>
        <w:t>2</w:t>
      </w:r>
      <w:r w:rsidRPr="007243B8">
        <w:rPr>
          <w:rFonts w:ascii="Book Antiqua" w:hAnsi="Book Antiqua"/>
          <w:bCs/>
          <w:szCs w:val="24"/>
        </w:rPr>
        <w:t xml:space="preserve"> as follows:</w:t>
      </w:r>
    </w:p>
    <w:p w:rsidR="007243B8" w:rsidRDefault="007243B8" w14:paraId="149C12CF" w14:textId="77777777">
      <w:pPr>
        <w:rPr>
          <w:rFonts w:ascii="Book Antiqua" w:hAnsi="Book Antiqua"/>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8208"/>
      </w:tblGrid>
      <w:tr w:rsidR="00F0650F" w14:paraId="4BC8488E" w14:textId="77777777">
        <w:tc>
          <w:tcPr>
            <w:tcW w:w="9576" w:type="dxa"/>
            <w:gridSpan w:val="2"/>
          </w:tcPr>
          <w:p w:rsidR="00F0650F" w:rsidRDefault="00F0650F" w14:paraId="428A3962" w14:textId="77777777">
            <w:pPr>
              <w:jc w:val="center"/>
              <w:rPr>
                <w:rFonts w:ascii="Book Antiqua" w:hAnsi="Book Antiqua"/>
                <w:b/>
                <w:caps/>
                <w:szCs w:val="24"/>
              </w:rPr>
            </w:pPr>
            <w:r>
              <w:rPr>
                <w:rFonts w:ascii="Book Antiqua" w:hAnsi="Book Antiqua"/>
                <w:b/>
                <w:szCs w:val="24"/>
              </w:rPr>
              <w:t>Communications Division Exhibit List</w:t>
            </w:r>
          </w:p>
        </w:tc>
      </w:tr>
      <w:tr w:rsidR="00F0650F" w14:paraId="4240072E" w14:textId="77777777">
        <w:tc>
          <w:tcPr>
            <w:tcW w:w="1368" w:type="dxa"/>
          </w:tcPr>
          <w:p w:rsidR="00F0650F" w:rsidRDefault="00F0650F" w14:paraId="5D945543" w14:textId="77777777">
            <w:pPr>
              <w:rPr>
                <w:rFonts w:ascii="Book Antiqua" w:hAnsi="Book Antiqua"/>
                <w:bCs/>
                <w:caps/>
                <w:szCs w:val="24"/>
              </w:rPr>
            </w:pPr>
            <w:r>
              <w:rPr>
                <w:rFonts w:ascii="Book Antiqua" w:hAnsi="Book Antiqua"/>
                <w:bCs/>
                <w:szCs w:val="24"/>
              </w:rPr>
              <w:t xml:space="preserve">Exhibit 1:  </w:t>
            </w:r>
          </w:p>
        </w:tc>
        <w:tc>
          <w:tcPr>
            <w:tcW w:w="8208" w:type="dxa"/>
          </w:tcPr>
          <w:p w:rsidR="00F0650F" w:rsidRDefault="002D641A" w14:paraId="1E97D7D7" w14:textId="77777777">
            <w:pPr>
              <w:rPr>
                <w:rFonts w:ascii="Book Antiqua" w:hAnsi="Book Antiqua"/>
                <w:bCs/>
                <w:caps/>
                <w:szCs w:val="24"/>
              </w:rPr>
            </w:pPr>
            <w:r>
              <w:rPr>
                <w:rFonts w:ascii="Book Antiqua" w:hAnsi="Book Antiqua"/>
                <w:bCs/>
                <w:szCs w:val="24"/>
              </w:rPr>
              <w:t xml:space="preserve">10/13/16 - WTI Communication Inc.’s </w:t>
            </w:r>
            <w:r w:rsidR="00257996">
              <w:rPr>
                <w:rFonts w:ascii="Book Antiqua" w:hAnsi="Book Antiqua"/>
                <w:bCs/>
                <w:szCs w:val="24"/>
              </w:rPr>
              <w:t xml:space="preserve">VoIP </w:t>
            </w:r>
            <w:r>
              <w:rPr>
                <w:rFonts w:ascii="Book Antiqua" w:hAnsi="Book Antiqua"/>
                <w:bCs/>
                <w:szCs w:val="24"/>
              </w:rPr>
              <w:t>registration with the CPUC</w:t>
            </w:r>
          </w:p>
        </w:tc>
      </w:tr>
      <w:tr w:rsidR="00F0650F" w14:paraId="29C34622" w14:textId="77777777">
        <w:tc>
          <w:tcPr>
            <w:tcW w:w="1368" w:type="dxa"/>
          </w:tcPr>
          <w:p w:rsidR="00F0650F" w:rsidRDefault="00F0650F" w14:paraId="2D6052C5" w14:textId="77777777">
            <w:pPr>
              <w:rPr>
                <w:rFonts w:ascii="Book Antiqua" w:hAnsi="Book Antiqua"/>
                <w:bCs/>
                <w:caps/>
                <w:szCs w:val="24"/>
              </w:rPr>
            </w:pPr>
            <w:r>
              <w:rPr>
                <w:rFonts w:ascii="Book Antiqua" w:hAnsi="Book Antiqua"/>
                <w:bCs/>
                <w:szCs w:val="24"/>
              </w:rPr>
              <w:t xml:space="preserve">Exhibit 2:  </w:t>
            </w:r>
          </w:p>
        </w:tc>
        <w:tc>
          <w:tcPr>
            <w:tcW w:w="8208" w:type="dxa"/>
          </w:tcPr>
          <w:p w:rsidR="00F0650F" w:rsidRDefault="002D641A" w14:paraId="635407FC" w14:textId="77777777">
            <w:pPr>
              <w:rPr>
                <w:rFonts w:ascii="Book Antiqua" w:hAnsi="Book Antiqua"/>
                <w:bCs/>
                <w:caps/>
                <w:szCs w:val="24"/>
              </w:rPr>
            </w:pPr>
            <w:r>
              <w:rPr>
                <w:rFonts w:ascii="Book Antiqua" w:hAnsi="Book Antiqua"/>
                <w:bCs/>
                <w:szCs w:val="24"/>
              </w:rPr>
              <w:t>11/9/11 – Executive Director Letter for informal registration for DVS</w:t>
            </w:r>
          </w:p>
        </w:tc>
      </w:tr>
      <w:tr w:rsidR="00F0650F" w14:paraId="297BBE09" w14:textId="77777777">
        <w:tc>
          <w:tcPr>
            <w:tcW w:w="1368" w:type="dxa"/>
          </w:tcPr>
          <w:p w:rsidR="00F0650F" w:rsidRDefault="00F0650F" w14:paraId="43665C4B" w14:textId="77777777">
            <w:pPr>
              <w:rPr>
                <w:rFonts w:ascii="Book Antiqua" w:hAnsi="Book Antiqua"/>
                <w:bCs/>
                <w:caps/>
                <w:szCs w:val="24"/>
              </w:rPr>
            </w:pPr>
            <w:r>
              <w:rPr>
                <w:rFonts w:ascii="Book Antiqua" w:hAnsi="Book Antiqua"/>
                <w:bCs/>
                <w:szCs w:val="24"/>
              </w:rPr>
              <w:t xml:space="preserve">Exhibit 3:  </w:t>
            </w:r>
          </w:p>
        </w:tc>
        <w:tc>
          <w:tcPr>
            <w:tcW w:w="8208" w:type="dxa"/>
          </w:tcPr>
          <w:p w:rsidR="00F0650F" w:rsidRDefault="002D641A" w14:paraId="48EF9033" w14:textId="77777777">
            <w:pPr>
              <w:rPr>
                <w:rFonts w:ascii="Book Antiqua" w:hAnsi="Book Antiqua"/>
                <w:bCs/>
                <w:caps/>
                <w:szCs w:val="24"/>
              </w:rPr>
            </w:pPr>
            <w:r>
              <w:rPr>
                <w:rFonts w:ascii="Book Antiqua" w:hAnsi="Book Antiqua"/>
                <w:bCs/>
                <w:szCs w:val="24"/>
              </w:rPr>
              <w:t>12/7/22 – Letter from the Communications Division to all carriers about the new Telecommunications &amp; User Fees Filing System (TUFFS)</w:t>
            </w:r>
          </w:p>
        </w:tc>
      </w:tr>
      <w:tr w:rsidR="00F0650F" w14:paraId="0F4F673C" w14:textId="77777777">
        <w:tc>
          <w:tcPr>
            <w:tcW w:w="1368" w:type="dxa"/>
          </w:tcPr>
          <w:p w:rsidR="00F0650F" w:rsidRDefault="00F0650F" w14:paraId="0B361A04" w14:textId="77777777">
            <w:pPr>
              <w:rPr>
                <w:rFonts w:ascii="Book Antiqua" w:hAnsi="Book Antiqua"/>
                <w:bCs/>
                <w:caps/>
                <w:szCs w:val="24"/>
              </w:rPr>
            </w:pPr>
            <w:r>
              <w:rPr>
                <w:rFonts w:ascii="Book Antiqua" w:hAnsi="Book Antiqua"/>
                <w:bCs/>
                <w:szCs w:val="24"/>
              </w:rPr>
              <w:t xml:space="preserve">Exhibit 4:  </w:t>
            </w:r>
          </w:p>
        </w:tc>
        <w:tc>
          <w:tcPr>
            <w:tcW w:w="8208" w:type="dxa"/>
          </w:tcPr>
          <w:p w:rsidR="00F0650F" w:rsidRDefault="002D641A" w14:paraId="3590CE84" w14:textId="77777777">
            <w:pPr>
              <w:rPr>
                <w:rFonts w:ascii="Book Antiqua" w:hAnsi="Book Antiqua"/>
                <w:bCs/>
                <w:caps/>
                <w:szCs w:val="24"/>
              </w:rPr>
            </w:pPr>
            <w:r>
              <w:rPr>
                <w:rFonts w:ascii="Book Antiqua" w:hAnsi="Book Antiqua"/>
                <w:bCs/>
                <w:szCs w:val="24"/>
              </w:rPr>
              <w:t>2/7/24 – CD’s Citation No. CD-2024-02-</w:t>
            </w:r>
            <w:proofErr w:type="gramStart"/>
            <w:r>
              <w:rPr>
                <w:rFonts w:ascii="Book Antiqua" w:hAnsi="Book Antiqua"/>
                <w:bCs/>
                <w:szCs w:val="24"/>
              </w:rPr>
              <w:t>010,  with</w:t>
            </w:r>
            <w:proofErr w:type="gramEnd"/>
            <w:r>
              <w:rPr>
                <w:rFonts w:ascii="Book Antiqua" w:hAnsi="Book Antiqua"/>
                <w:bCs/>
                <w:szCs w:val="24"/>
              </w:rPr>
              <w:t xml:space="preserve"> cover letter and attachments </w:t>
            </w:r>
          </w:p>
        </w:tc>
      </w:tr>
      <w:tr w:rsidR="00F0650F" w14:paraId="1FC0EDC2" w14:textId="77777777">
        <w:tc>
          <w:tcPr>
            <w:tcW w:w="1368" w:type="dxa"/>
          </w:tcPr>
          <w:p w:rsidR="00F0650F" w:rsidRDefault="00F0650F" w14:paraId="743834FF" w14:textId="77777777">
            <w:pPr>
              <w:rPr>
                <w:rFonts w:ascii="Book Antiqua" w:hAnsi="Book Antiqua"/>
                <w:bCs/>
                <w:caps/>
                <w:szCs w:val="24"/>
              </w:rPr>
            </w:pPr>
            <w:r>
              <w:rPr>
                <w:rFonts w:ascii="Book Antiqua" w:hAnsi="Book Antiqua"/>
                <w:bCs/>
                <w:szCs w:val="24"/>
              </w:rPr>
              <w:t xml:space="preserve">Exhibit 5:  </w:t>
            </w:r>
          </w:p>
        </w:tc>
        <w:tc>
          <w:tcPr>
            <w:tcW w:w="8208" w:type="dxa"/>
          </w:tcPr>
          <w:p w:rsidR="00F0650F" w:rsidRDefault="005236DE" w14:paraId="2B56106D" w14:textId="77777777">
            <w:pPr>
              <w:rPr>
                <w:rFonts w:ascii="Book Antiqua" w:hAnsi="Book Antiqua"/>
                <w:bCs/>
                <w:caps/>
                <w:szCs w:val="24"/>
              </w:rPr>
            </w:pPr>
            <w:r>
              <w:rPr>
                <w:rFonts w:ascii="Book Antiqua" w:hAnsi="Book Antiqua"/>
                <w:bCs/>
                <w:szCs w:val="24"/>
              </w:rPr>
              <w:t>Spreadsheet showing WTI’s Access Line Reporting History in TUFFS (from April 2023 to present)</w:t>
            </w:r>
          </w:p>
        </w:tc>
      </w:tr>
      <w:tr w:rsidR="00F0650F" w14:paraId="7B77C8EE" w14:textId="77777777">
        <w:tc>
          <w:tcPr>
            <w:tcW w:w="1368" w:type="dxa"/>
          </w:tcPr>
          <w:p w:rsidR="00F0650F" w:rsidRDefault="00F0650F" w14:paraId="476DDBE1" w14:textId="77777777">
            <w:pPr>
              <w:rPr>
                <w:rFonts w:ascii="Book Antiqua" w:hAnsi="Book Antiqua"/>
                <w:bCs/>
                <w:caps/>
                <w:szCs w:val="24"/>
              </w:rPr>
            </w:pPr>
            <w:r>
              <w:rPr>
                <w:rFonts w:ascii="Book Antiqua" w:hAnsi="Book Antiqua"/>
                <w:bCs/>
                <w:szCs w:val="24"/>
              </w:rPr>
              <w:t xml:space="preserve">Exhibit 6:  </w:t>
            </w:r>
          </w:p>
        </w:tc>
        <w:tc>
          <w:tcPr>
            <w:tcW w:w="8208" w:type="dxa"/>
          </w:tcPr>
          <w:p w:rsidR="00F0650F" w:rsidRDefault="005236DE" w14:paraId="5C992D9D" w14:textId="77777777">
            <w:pPr>
              <w:rPr>
                <w:rFonts w:ascii="Book Antiqua" w:hAnsi="Book Antiqua"/>
                <w:bCs/>
                <w:caps/>
                <w:szCs w:val="24"/>
              </w:rPr>
            </w:pPr>
            <w:r>
              <w:rPr>
                <w:rFonts w:ascii="Book Antiqua" w:hAnsi="Book Antiqua"/>
                <w:bCs/>
                <w:szCs w:val="24"/>
              </w:rPr>
              <w:t>4/28/23 – CPUC Contact Update form to update primary regulatory contact’s email address</w:t>
            </w:r>
          </w:p>
        </w:tc>
      </w:tr>
      <w:tr w:rsidR="00F0650F" w14:paraId="1348B59B" w14:textId="77777777">
        <w:tc>
          <w:tcPr>
            <w:tcW w:w="1368" w:type="dxa"/>
          </w:tcPr>
          <w:p w:rsidR="00F0650F" w:rsidRDefault="00F0650F" w14:paraId="3D645E0E" w14:textId="77777777">
            <w:pPr>
              <w:rPr>
                <w:rFonts w:ascii="Book Antiqua" w:hAnsi="Book Antiqua"/>
                <w:bCs/>
                <w:caps/>
                <w:szCs w:val="24"/>
              </w:rPr>
            </w:pPr>
            <w:r>
              <w:rPr>
                <w:rFonts w:ascii="Book Antiqua" w:hAnsi="Book Antiqua"/>
                <w:bCs/>
                <w:szCs w:val="24"/>
              </w:rPr>
              <w:t xml:space="preserve">Exhibit 7:  </w:t>
            </w:r>
          </w:p>
        </w:tc>
        <w:tc>
          <w:tcPr>
            <w:tcW w:w="8208" w:type="dxa"/>
          </w:tcPr>
          <w:p w:rsidR="00F0650F" w:rsidRDefault="005236DE" w14:paraId="4E7901D9" w14:textId="77777777">
            <w:pPr>
              <w:rPr>
                <w:rFonts w:ascii="Book Antiqua" w:hAnsi="Book Antiqua"/>
                <w:bCs/>
                <w:caps/>
                <w:szCs w:val="24"/>
              </w:rPr>
            </w:pPr>
            <w:r>
              <w:rPr>
                <w:rFonts w:ascii="Book Antiqua" w:hAnsi="Book Antiqua"/>
                <w:bCs/>
                <w:szCs w:val="24"/>
              </w:rPr>
              <w:t>TUFFS Activity Log Screenshot, showing all the Notices were sent to “accounting@wticommunications.com”</w:t>
            </w:r>
          </w:p>
        </w:tc>
      </w:tr>
      <w:tr w:rsidR="00F0650F" w14:paraId="3CD5E589" w14:textId="77777777">
        <w:tc>
          <w:tcPr>
            <w:tcW w:w="1368" w:type="dxa"/>
          </w:tcPr>
          <w:p w:rsidR="00F0650F" w:rsidRDefault="00F0650F" w14:paraId="676BB1A1" w14:textId="77777777">
            <w:pPr>
              <w:rPr>
                <w:rFonts w:ascii="Book Antiqua" w:hAnsi="Book Antiqua"/>
                <w:bCs/>
                <w:caps/>
                <w:szCs w:val="24"/>
              </w:rPr>
            </w:pPr>
            <w:r>
              <w:rPr>
                <w:rFonts w:ascii="Book Antiqua" w:hAnsi="Book Antiqua"/>
                <w:bCs/>
                <w:szCs w:val="24"/>
              </w:rPr>
              <w:t xml:space="preserve">Exhibit 8:  </w:t>
            </w:r>
          </w:p>
        </w:tc>
        <w:tc>
          <w:tcPr>
            <w:tcW w:w="8208" w:type="dxa"/>
          </w:tcPr>
          <w:p w:rsidR="00F0650F" w:rsidRDefault="005236DE" w14:paraId="298A61C7" w14:textId="77777777">
            <w:pPr>
              <w:rPr>
                <w:rFonts w:ascii="Book Antiqua" w:hAnsi="Book Antiqua"/>
                <w:bCs/>
                <w:caps/>
                <w:szCs w:val="24"/>
              </w:rPr>
            </w:pPr>
            <w:r>
              <w:rPr>
                <w:rFonts w:ascii="Book Antiqua" w:hAnsi="Book Antiqua"/>
                <w:bCs/>
                <w:szCs w:val="24"/>
              </w:rPr>
              <w:t>1/31/25 – A Notice of Reminder of Surcharge Reporting/Remittance sent from TUFFS</w:t>
            </w:r>
          </w:p>
        </w:tc>
      </w:tr>
      <w:tr w:rsidR="00F0650F" w14:paraId="45344F9B" w14:textId="77777777">
        <w:tc>
          <w:tcPr>
            <w:tcW w:w="1368" w:type="dxa"/>
          </w:tcPr>
          <w:p w:rsidR="00F0650F" w:rsidRDefault="00F0650F" w14:paraId="74D3953A" w14:textId="77777777">
            <w:pPr>
              <w:rPr>
                <w:rFonts w:ascii="Book Antiqua" w:hAnsi="Book Antiqua"/>
                <w:bCs/>
                <w:caps/>
                <w:szCs w:val="24"/>
              </w:rPr>
            </w:pPr>
            <w:r>
              <w:rPr>
                <w:rFonts w:ascii="Book Antiqua" w:hAnsi="Book Antiqua"/>
                <w:bCs/>
                <w:szCs w:val="24"/>
              </w:rPr>
              <w:t xml:space="preserve">Exhibit 9:  </w:t>
            </w:r>
          </w:p>
        </w:tc>
        <w:tc>
          <w:tcPr>
            <w:tcW w:w="8208" w:type="dxa"/>
          </w:tcPr>
          <w:p w:rsidR="00F0650F" w:rsidRDefault="005236DE" w14:paraId="7410D7D1" w14:textId="77777777">
            <w:pPr>
              <w:rPr>
                <w:rFonts w:ascii="Book Antiqua" w:hAnsi="Book Antiqua"/>
                <w:bCs/>
                <w:caps/>
                <w:szCs w:val="24"/>
              </w:rPr>
            </w:pPr>
            <w:r>
              <w:rPr>
                <w:rFonts w:ascii="Book Antiqua" w:hAnsi="Book Antiqua"/>
                <w:bCs/>
                <w:szCs w:val="24"/>
              </w:rPr>
              <w:t>Emailed Three Non-Compliance Notices sent from February 18, 2025, to April 17, 2025</w:t>
            </w:r>
          </w:p>
        </w:tc>
      </w:tr>
      <w:tr w:rsidR="00C11290" w14:paraId="7E7B1F3F" w14:textId="77777777">
        <w:tc>
          <w:tcPr>
            <w:tcW w:w="1368" w:type="dxa"/>
          </w:tcPr>
          <w:p w:rsidR="00C11290" w:rsidRDefault="00C11290" w14:paraId="02DECFB2" w14:textId="77777777">
            <w:pPr>
              <w:rPr>
                <w:rFonts w:ascii="Book Antiqua" w:hAnsi="Book Antiqua"/>
                <w:bCs/>
                <w:caps/>
                <w:szCs w:val="24"/>
              </w:rPr>
            </w:pPr>
            <w:r>
              <w:rPr>
                <w:rFonts w:ascii="Book Antiqua" w:hAnsi="Book Antiqua"/>
                <w:bCs/>
                <w:szCs w:val="24"/>
              </w:rPr>
              <w:t xml:space="preserve">Exhibit 10:  </w:t>
            </w:r>
          </w:p>
        </w:tc>
        <w:tc>
          <w:tcPr>
            <w:tcW w:w="8208" w:type="dxa"/>
          </w:tcPr>
          <w:p w:rsidR="00C11290" w:rsidRDefault="005236DE" w14:paraId="38D27FBC" w14:textId="77777777">
            <w:pPr>
              <w:rPr>
                <w:rFonts w:ascii="Book Antiqua" w:hAnsi="Book Antiqua"/>
                <w:bCs/>
                <w:caps/>
                <w:szCs w:val="24"/>
              </w:rPr>
            </w:pPr>
            <w:r>
              <w:rPr>
                <w:rFonts w:ascii="Book Antiqua" w:hAnsi="Book Antiqua"/>
                <w:bCs/>
                <w:szCs w:val="24"/>
              </w:rPr>
              <w:t xml:space="preserve">Two Notices of Impending Citation sent from TUFFS, dated March 12, </w:t>
            </w:r>
            <w:proofErr w:type="gramStart"/>
            <w:r>
              <w:rPr>
                <w:rFonts w:ascii="Book Antiqua" w:hAnsi="Book Antiqua"/>
                <w:bCs/>
                <w:szCs w:val="24"/>
              </w:rPr>
              <w:t>2025</w:t>
            </w:r>
            <w:proofErr w:type="gramEnd"/>
            <w:r>
              <w:rPr>
                <w:rFonts w:ascii="Book Antiqua" w:hAnsi="Book Antiqua"/>
                <w:bCs/>
                <w:szCs w:val="24"/>
              </w:rPr>
              <w:t xml:space="preserve"> and April 17, 2025</w:t>
            </w:r>
          </w:p>
        </w:tc>
      </w:tr>
      <w:tr w:rsidR="00C11290" w14:paraId="1DABE2D3" w14:textId="77777777">
        <w:tc>
          <w:tcPr>
            <w:tcW w:w="1368" w:type="dxa"/>
          </w:tcPr>
          <w:p w:rsidR="00C11290" w:rsidRDefault="00C11290" w14:paraId="546A9D76" w14:textId="77777777">
            <w:pPr>
              <w:rPr>
                <w:rFonts w:ascii="Book Antiqua" w:hAnsi="Book Antiqua"/>
                <w:bCs/>
                <w:caps/>
                <w:szCs w:val="24"/>
              </w:rPr>
            </w:pPr>
            <w:r>
              <w:rPr>
                <w:rFonts w:ascii="Book Antiqua" w:hAnsi="Book Antiqua"/>
                <w:bCs/>
                <w:szCs w:val="24"/>
              </w:rPr>
              <w:t xml:space="preserve">Exhibit 11:  </w:t>
            </w:r>
          </w:p>
        </w:tc>
        <w:tc>
          <w:tcPr>
            <w:tcW w:w="8208" w:type="dxa"/>
          </w:tcPr>
          <w:p w:rsidR="00C11290" w:rsidRDefault="005236DE" w14:paraId="19278F29" w14:textId="77777777">
            <w:pPr>
              <w:rPr>
                <w:rFonts w:ascii="Book Antiqua" w:hAnsi="Book Antiqua"/>
                <w:bCs/>
                <w:caps/>
                <w:szCs w:val="24"/>
              </w:rPr>
            </w:pPr>
            <w:r>
              <w:rPr>
                <w:rFonts w:ascii="Book Antiqua" w:hAnsi="Book Antiqua"/>
                <w:bCs/>
                <w:szCs w:val="24"/>
              </w:rPr>
              <w:t>Excerpt of CD’s Compliance Filing with Citation No. 2025-05-011 and Certificate of Mailing</w:t>
            </w:r>
          </w:p>
        </w:tc>
      </w:tr>
      <w:tr w:rsidR="00C11290" w14:paraId="3D057BEC" w14:textId="77777777">
        <w:tc>
          <w:tcPr>
            <w:tcW w:w="1368" w:type="dxa"/>
          </w:tcPr>
          <w:p w:rsidR="00C11290" w:rsidRDefault="00C11290" w14:paraId="662984B4" w14:textId="77777777">
            <w:pPr>
              <w:rPr>
                <w:rFonts w:ascii="Book Antiqua" w:hAnsi="Book Antiqua"/>
                <w:bCs/>
                <w:caps/>
                <w:szCs w:val="24"/>
              </w:rPr>
            </w:pPr>
            <w:r>
              <w:rPr>
                <w:rFonts w:ascii="Book Antiqua" w:hAnsi="Book Antiqua"/>
                <w:bCs/>
                <w:szCs w:val="24"/>
              </w:rPr>
              <w:t xml:space="preserve">Exhibit 12:  </w:t>
            </w:r>
          </w:p>
        </w:tc>
        <w:tc>
          <w:tcPr>
            <w:tcW w:w="8208" w:type="dxa"/>
          </w:tcPr>
          <w:p w:rsidR="00C11290" w:rsidRDefault="005236DE" w14:paraId="61D4D53D" w14:textId="77777777">
            <w:pPr>
              <w:rPr>
                <w:rFonts w:ascii="Book Antiqua" w:hAnsi="Book Antiqua"/>
                <w:bCs/>
                <w:caps/>
                <w:szCs w:val="24"/>
              </w:rPr>
            </w:pPr>
            <w:r>
              <w:rPr>
                <w:rFonts w:ascii="Book Antiqua" w:hAnsi="Book Antiqua"/>
                <w:bCs/>
                <w:szCs w:val="24"/>
              </w:rPr>
              <w:t>6/22/18 - Excerpt of Resolution T-17601 cover page with Appendix A</w:t>
            </w:r>
          </w:p>
        </w:tc>
      </w:tr>
    </w:tbl>
    <w:p w:rsidR="00A1160B" w:rsidRDefault="00A1160B" w14:paraId="166FE2C1" w14:textId="77777777">
      <w:pPr>
        <w:rPr>
          <w:rFonts w:ascii="Book Antiqua" w:hAnsi="Book Antiqua"/>
          <w:bCs/>
          <w:caps/>
          <w:szCs w:val="24"/>
        </w:rPr>
      </w:pPr>
    </w:p>
    <w:p w:rsidR="00A1160B" w:rsidRDefault="00742EF3" w14:paraId="5D5ACDAB" w14:textId="77777777">
      <w:pPr>
        <w:rPr>
          <w:rFonts w:ascii="Book Antiqua" w:hAnsi="Book Antiqua"/>
          <w:bCs/>
          <w:szCs w:val="24"/>
        </w:rPr>
      </w:pPr>
      <w:r>
        <w:rPr>
          <w:rFonts w:ascii="Book Antiqua" w:hAnsi="Book Antiqua"/>
          <w:bCs/>
          <w:szCs w:val="24"/>
        </w:rPr>
        <w:t xml:space="preserve">WTI, represented by Mr. </w:t>
      </w:r>
      <w:r w:rsidR="003C567F">
        <w:rPr>
          <w:rFonts w:ascii="Book Antiqua" w:hAnsi="Book Antiqua"/>
          <w:bCs/>
          <w:szCs w:val="24"/>
        </w:rPr>
        <w:t xml:space="preserve">Tony </w:t>
      </w:r>
      <w:r>
        <w:rPr>
          <w:rFonts w:ascii="Book Antiqua" w:hAnsi="Book Antiqua"/>
          <w:bCs/>
          <w:szCs w:val="24"/>
        </w:rPr>
        <w:t>Rodriguez,</w:t>
      </w:r>
      <w:r w:rsidR="003C567F">
        <w:rPr>
          <w:rFonts w:ascii="Book Antiqua" w:hAnsi="Book Antiqua"/>
          <w:bCs/>
          <w:szCs w:val="24"/>
        </w:rPr>
        <w:t xml:space="preserve"> the Chief Executive Officer (CEO)</w:t>
      </w:r>
      <w:r w:rsidR="005C1AF5">
        <w:rPr>
          <w:rFonts w:ascii="Book Antiqua" w:hAnsi="Book Antiqua"/>
          <w:bCs/>
          <w:szCs w:val="24"/>
        </w:rPr>
        <w:t xml:space="preserve"> and President</w:t>
      </w:r>
      <w:r w:rsidR="003C567F">
        <w:rPr>
          <w:rFonts w:ascii="Book Antiqua" w:hAnsi="Book Antiqua"/>
          <w:bCs/>
          <w:szCs w:val="24"/>
        </w:rPr>
        <w:t xml:space="preserve"> of the company</w:t>
      </w:r>
      <w:r w:rsidR="003C567F">
        <w:rPr>
          <w:rStyle w:val="FootnoteReference"/>
          <w:rFonts w:ascii="Book Antiqua" w:hAnsi="Book Antiqua"/>
          <w:bCs/>
          <w:szCs w:val="24"/>
        </w:rPr>
        <w:footnoteReference w:id="1"/>
      </w:r>
      <w:r w:rsidR="003C567F">
        <w:rPr>
          <w:rFonts w:ascii="Book Antiqua" w:hAnsi="Book Antiqua"/>
          <w:bCs/>
          <w:szCs w:val="24"/>
        </w:rPr>
        <w:t>,</w:t>
      </w:r>
      <w:r>
        <w:rPr>
          <w:rFonts w:ascii="Book Antiqua" w:hAnsi="Book Antiqua"/>
          <w:bCs/>
          <w:szCs w:val="24"/>
        </w:rPr>
        <w:t xml:space="preserve"> </w:t>
      </w:r>
      <w:r w:rsidRPr="00A1160B" w:rsidR="00A1160B">
        <w:rPr>
          <w:rFonts w:ascii="Book Antiqua" w:hAnsi="Book Antiqua"/>
          <w:bCs/>
          <w:szCs w:val="24"/>
        </w:rPr>
        <w:t>introduced no exhibits at the</w:t>
      </w:r>
      <w:r>
        <w:rPr>
          <w:rFonts w:ascii="Book Antiqua" w:hAnsi="Book Antiqua"/>
          <w:bCs/>
          <w:szCs w:val="24"/>
        </w:rPr>
        <w:t xml:space="preserve"> October 17, </w:t>
      </w:r>
      <w:proofErr w:type="gramStart"/>
      <w:r>
        <w:rPr>
          <w:rFonts w:ascii="Book Antiqua" w:hAnsi="Book Antiqua"/>
          <w:bCs/>
          <w:szCs w:val="24"/>
        </w:rPr>
        <w:t>2025</w:t>
      </w:r>
      <w:proofErr w:type="gramEnd"/>
      <w:r>
        <w:rPr>
          <w:rFonts w:ascii="Book Antiqua" w:hAnsi="Book Antiqua"/>
          <w:bCs/>
          <w:szCs w:val="24"/>
        </w:rPr>
        <w:t xml:space="preserve"> hearing</w:t>
      </w:r>
      <w:r w:rsidRPr="00A1160B" w:rsidR="00A1160B">
        <w:rPr>
          <w:rFonts w:ascii="Book Antiqua" w:hAnsi="Book Antiqua"/>
          <w:bCs/>
          <w:szCs w:val="24"/>
        </w:rPr>
        <w:t>.</w:t>
      </w:r>
    </w:p>
    <w:p w:rsidR="003C567F" w:rsidRDefault="003C567F" w14:paraId="7F9104DD" w14:textId="77777777">
      <w:pPr>
        <w:rPr>
          <w:rFonts w:ascii="Book Antiqua" w:hAnsi="Book Antiqua"/>
          <w:bCs/>
          <w:caps/>
          <w:szCs w:val="24"/>
        </w:rPr>
      </w:pPr>
    </w:p>
    <w:p w:rsidRPr="007763FF" w:rsidR="009C4CAD" w:rsidP="009C4CAD" w:rsidRDefault="009C4CAD" w14:paraId="79749A21" w14:textId="77777777">
      <w:pPr>
        <w:rPr>
          <w:rFonts w:ascii="Book Antiqua" w:hAnsi="Book Antiqua"/>
          <w:b/>
          <w:szCs w:val="24"/>
          <w:u w:val="single"/>
        </w:rPr>
      </w:pPr>
      <w:r w:rsidRPr="007763FF">
        <w:rPr>
          <w:rFonts w:ascii="Book Antiqua" w:hAnsi="Book Antiqua"/>
          <w:b/>
          <w:szCs w:val="24"/>
          <w:u w:val="single"/>
        </w:rPr>
        <w:t>COMMENTS</w:t>
      </w:r>
    </w:p>
    <w:p w:rsidR="007243B8" w:rsidRDefault="007243B8" w14:paraId="0949C9F8" w14:textId="77777777">
      <w:pPr>
        <w:rPr>
          <w:rFonts w:ascii="Book Antiqua" w:hAnsi="Book Antiqua"/>
          <w:bCs/>
          <w:caps/>
          <w:szCs w:val="24"/>
        </w:rPr>
      </w:pPr>
    </w:p>
    <w:p w:rsidR="00C80338" w:rsidP="00C80338" w:rsidRDefault="009C4CAD" w14:paraId="6ED5EACF" w14:textId="77777777">
      <w:pPr>
        <w:rPr>
          <w:rFonts w:ascii="Book Antiqua" w:hAnsi="Book Antiqua"/>
          <w:bCs/>
          <w:szCs w:val="24"/>
        </w:rPr>
      </w:pPr>
      <w:r w:rsidRPr="009C4CAD">
        <w:rPr>
          <w:rFonts w:ascii="Book Antiqua" w:hAnsi="Book Antiqua"/>
          <w:bCs/>
          <w:szCs w:val="24"/>
        </w:rPr>
        <w:t>During the hearing, the</w:t>
      </w:r>
      <w:r w:rsidR="00742EF3">
        <w:rPr>
          <w:rFonts w:ascii="Book Antiqua" w:hAnsi="Book Antiqua"/>
          <w:bCs/>
          <w:szCs w:val="24"/>
        </w:rPr>
        <w:t xml:space="preserve"> CD</w:t>
      </w:r>
      <w:r w:rsidRPr="009C4CAD">
        <w:rPr>
          <w:rFonts w:ascii="Book Antiqua" w:hAnsi="Book Antiqua"/>
          <w:bCs/>
          <w:szCs w:val="24"/>
        </w:rPr>
        <w:t xml:space="preserve"> witness </w:t>
      </w:r>
      <w:r w:rsidR="00742EF3">
        <w:rPr>
          <w:rFonts w:ascii="Book Antiqua" w:hAnsi="Book Antiqua"/>
          <w:bCs/>
          <w:szCs w:val="24"/>
        </w:rPr>
        <w:t>presented exhibits showing that staff had repeatedly communicated with WTI to inform and alert the company about reporting deadlines.</w:t>
      </w:r>
      <w:r w:rsidR="003C567F">
        <w:rPr>
          <w:rFonts w:ascii="Book Antiqua" w:hAnsi="Book Antiqua"/>
          <w:bCs/>
          <w:szCs w:val="24"/>
        </w:rPr>
        <w:t xml:space="preserve">  CD</w:t>
      </w:r>
      <w:r w:rsidR="00D71985">
        <w:rPr>
          <w:rFonts w:ascii="Book Antiqua" w:hAnsi="Book Antiqua"/>
          <w:bCs/>
          <w:szCs w:val="24"/>
        </w:rPr>
        <w:t>’s</w:t>
      </w:r>
      <w:r w:rsidR="003C567F">
        <w:rPr>
          <w:rFonts w:ascii="Book Antiqua" w:hAnsi="Book Antiqua"/>
          <w:bCs/>
          <w:szCs w:val="24"/>
        </w:rPr>
        <w:t xml:space="preserve"> witness</w:t>
      </w:r>
      <w:r w:rsidR="00D71985">
        <w:rPr>
          <w:rFonts w:ascii="Book Antiqua" w:hAnsi="Book Antiqua"/>
          <w:bCs/>
          <w:szCs w:val="24"/>
        </w:rPr>
        <w:t xml:space="preserve"> testified that </w:t>
      </w:r>
      <w:r w:rsidR="003C567F">
        <w:rPr>
          <w:rFonts w:ascii="Book Antiqua" w:hAnsi="Book Antiqua"/>
          <w:bCs/>
          <w:szCs w:val="24"/>
        </w:rPr>
        <w:t xml:space="preserve">carriers </w:t>
      </w:r>
      <w:r w:rsidR="00D71985">
        <w:rPr>
          <w:rFonts w:ascii="Book Antiqua" w:hAnsi="Book Antiqua"/>
          <w:bCs/>
          <w:szCs w:val="24"/>
        </w:rPr>
        <w:t>must</w:t>
      </w:r>
      <w:r w:rsidR="003C567F">
        <w:rPr>
          <w:rFonts w:ascii="Book Antiqua" w:hAnsi="Book Antiqua"/>
          <w:bCs/>
          <w:szCs w:val="24"/>
        </w:rPr>
        <w:t xml:space="preserve"> report their business activity to the </w:t>
      </w:r>
      <w:r w:rsidR="003C567F">
        <w:rPr>
          <w:rFonts w:ascii="Book Antiqua" w:hAnsi="Book Antiqua"/>
          <w:bCs/>
          <w:szCs w:val="24"/>
        </w:rPr>
        <w:lastRenderedPageBreak/>
        <w:t xml:space="preserve">Commission each month through a database system.  On December 7, 2022, CD </w:t>
      </w:r>
      <w:r w:rsidR="00D71985">
        <w:rPr>
          <w:rFonts w:ascii="Book Antiqua" w:hAnsi="Book Antiqua"/>
          <w:bCs/>
          <w:szCs w:val="24"/>
        </w:rPr>
        <w:t xml:space="preserve">notified </w:t>
      </w:r>
      <w:r w:rsidR="003C567F">
        <w:rPr>
          <w:rFonts w:ascii="Book Antiqua" w:hAnsi="Book Antiqua"/>
          <w:bCs/>
          <w:szCs w:val="24"/>
        </w:rPr>
        <w:t xml:space="preserve">all carriers </w:t>
      </w:r>
      <w:r w:rsidR="00D71985">
        <w:rPr>
          <w:rFonts w:ascii="Book Antiqua" w:hAnsi="Book Antiqua"/>
          <w:bCs/>
          <w:szCs w:val="24"/>
        </w:rPr>
        <w:t xml:space="preserve">by letter </w:t>
      </w:r>
      <w:r w:rsidR="003C567F">
        <w:rPr>
          <w:rFonts w:ascii="Book Antiqua" w:hAnsi="Book Antiqua"/>
          <w:bCs/>
          <w:szCs w:val="24"/>
        </w:rPr>
        <w:t>that the Commission adopted a new sur</w:t>
      </w:r>
      <w:r w:rsidR="00C80338">
        <w:rPr>
          <w:rFonts w:ascii="Book Antiqua" w:hAnsi="Book Antiqua"/>
          <w:bCs/>
          <w:szCs w:val="24"/>
        </w:rPr>
        <w:t>ch</w:t>
      </w:r>
      <w:r w:rsidR="003C567F">
        <w:rPr>
          <w:rFonts w:ascii="Book Antiqua" w:hAnsi="Book Antiqua"/>
          <w:bCs/>
          <w:szCs w:val="24"/>
        </w:rPr>
        <w:t>arge mechanism to fund the state’s universal service Public Purpose Programs pursuant to Decision (D.) 22-10-021.</w:t>
      </w:r>
      <w:r w:rsidR="003C567F">
        <w:rPr>
          <w:rStyle w:val="FootnoteReference"/>
          <w:rFonts w:ascii="Book Antiqua" w:hAnsi="Book Antiqua"/>
          <w:bCs/>
          <w:szCs w:val="24"/>
        </w:rPr>
        <w:footnoteReference w:id="2"/>
      </w:r>
      <w:r w:rsidR="003C567F">
        <w:rPr>
          <w:rFonts w:ascii="Book Antiqua" w:hAnsi="Book Antiqua"/>
          <w:bCs/>
          <w:szCs w:val="24"/>
        </w:rPr>
        <w:t xml:space="preserve">  The letter detailed that the new mechanism would assess surcharges based on the number of access lines that a telephone </w:t>
      </w:r>
      <w:r w:rsidR="00C80338">
        <w:rPr>
          <w:rFonts w:ascii="Book Antiqua" w:hAnsi="Book Antiqua"/>
          <w:bCs/>
          <w:szCs w:val="24"/>
        </w:rPr>
        <w:t>corporation</w:t>
      </w:r>
      <w:r w:rsidR="003C567F">
        <w:rPr>
          <w:rFonts w:ascii="Book Antiqua" w:hAnsi="Book Antiqua"/>
          <w:bCs/>
          <w:szCs w:val="24"/>
        </w:rPr>
        <w:t xml:space="preserve"> serves in California.  </w:t>
      </w:r>
      <w:r w:rsidR="00C80338">
        <w:rPr>
          <w:rFonts w:ascii="Book Antiqua" w:hAnsi="Book Antiqua"/>
          <w:bCs/>
          <w:szCs w:val="24"/>
        </w:rPr>
        <w:t>In addition, the letter stated that, effe</w:t>
      </w:r>
      <w:r w:rsidR="003C567F">
        <w:rPr>
          <w:rFonts w:ascii="Book Antiqua" w:hAnsi="Book Antiqua"/>
          <w:bCs/>
          <w:szCs w:val="24"/>
        </w:rPr>
        <w:t xml:space="preserve">ctive April 1, 2023, all carriers would be required to report their access line data as defined in Section 5.2.2 of D.22-10-021.  </w:t>
      </w:r>
      <w:r w:rsidR="00FE478D">
        <w:rPr>
          <w:rFonts w:ascii="Book Antiqua" w:hAnsi="Book Antiqua"/>
          <w:bCs/>
          <w:szCs w:val="24"/>
        </w:rPr>
        <w:t xml:space="preserve">The letter also </w:t>
      </w:r>
      <w:r w:rsidR="00D71985">
        <w:rPr>
          <w:rFonts w:ascii="Book Antiqua" w:hAnsi="Book Antiqua"/>
          <w:bCs/>
          <w:szCs w:val="24"/>
        </w:rPr>
        <w:t xml:space="preserve">provided </w:t>
      </w:r>
      <w:r w:rsidR="00FE478D">
        <w:rPr>
          <w:rFonts w:ascii="Book Antiqua" w:hAnsi="Book Antiqua"/>
          <w:bCs/>
          <w:szCs w:val="24"/>
        </w:rPr>
        <w:t>that, b</w:t>
      </w:r>
      <w:r w:rsidRPr="00FE478D" w:rsidR="00FE478D">
        <w:rPr>
          <w:rFonts w:ascii="Book Antiqua" w:hAnsi="Book Antiqua"/>
          <w:bCs/>
          <w:szCs w:val="24"/>
        </w:rPr>
        <w:t>eginning May 1, 2023, carriers w</w:t>
      </w:r>
      <w:r w:rsidR="00FE478D">
        <w:rPr>
          <w:rFonts w:ascii="Book Antiqua" w:hAnsi="Book Antiqua"/>
          <w:bCs/>
          <w:szCs w:val="24"/>
        </w:rPr>
        <w:t>ould</w:t>
      </w:r>
      <w:r w:rsidRPr="00FE478D" w:rsidR="00FE478D">
        <w:rPr>
          <w:rFonts w:ascii="Book Antiqua" w:hAnsi="Book Antiqua"/>
          <w:bCs/>
          <w:szCs w:val="24"/>
        </w:rPr>
        <w:t xml:space="preserve"> be required to access newly created accounts to</w:t>
      </w:r>
      <w:r w:rsidR="00FE478D">
        <w:rPr>
          <w:rFonts w:ascii="Book Antiqua" w:hAnsi="Book Antiqua"/>
          <w:bCs/>
          <w:szCs w:val="24"/>
        </w:rPr>
        <w:t xml:space="preserve"> </w:t>
      </w:r>
      <w:r w:rsidRPr="00FE478D" w:rsidR="00FE478D">
        <w:rPr>
          <w:rFonts w:ascii="Book Antiqua" w:hAnsi="Book Antiqua"/>
          <w:bCs/>
          <w:szCs w:val="24"/>
        </w:rPr>
        <w:t>report their number of access lines for the April 2023 reporting period in the new</w:t>
      </w:r>
      <w:r w:rsidR="00FE478D">
        <w:rPr>
          <w:rFonts w:ascii="Book Antiqua" w:hAnsi="Book Antiqua"/>
          <w:bCs/>
          <w:szCs w:val="24"/>
        </w:rPr>
        <w:t xml:space="preserve"> Telecommunications and User Fees Filing System (TUFFS) launched by CD.</w:t>
      </w:r>
      <w:r w:rsidR="00FE478D">
        <w:rPr>
          <w:rStyle w:val="FootnoteReference"/>
          <w:rFonts w:ascii="Book Antiqua" w:hAnsi="Book Antiqua"/>
          <w:bCs/>
          <w:szCs w:val="24"/>
        </w:rPr>
        <w:footnoteReference w:id="3"/>
      </w:r>
      <w:r w:rsidR="00FE478D">
        <w:rPr>
          <w:rFonts w:ascii="Book Antiqua" w:hAnsi="Book Antiqua"/>
          <w:bCs/>
          <w:szCs w:val="24"/>
        </w:rPr>
        <w:t xml:space="preserve">  </w:t>
      </w:r>
      <w:r w:rsidR="00C80338">
        <w:rPr>
          <w:rFonts w:ascii="Book Antiqua" w:hAnsi="Book Antiqua"/>
          <w:bCs/>
          <w:szCs w:val="24"/>
        </w:rPr>
        <w:t xml:space="preserve">The letter made clear that the new TUFFS would process carriers’ access line data to calculate the resulting surcharges due and would redirect the carrier to the </w:t>
      </w:r>
      <w:r w:rsidRPr="00C80338" w:rsidR="00C80338">
        <w:rPr>
          <w:rFonts w:ascii="Book Antiqua" w:hAnsi="Book Antiqua"/>
          <w:bCs/>
          <w:szCs w:val="24"/>
        </w:rPr>
        <w:t>First Data Payment Portal</w:t>
      </w:r>
      <w:r w:rsidR="00C80338">
        <w:rPr>
          <w:rFonts w:ascii="Book Antiqua" w:hAnsi="Book Antiqua"/>
          <w:bCs/>
          <w:szCs w:val="24"/>
        </w:rPr>
        <w:t xml:space="preserve"> </w:t>
      </w:r>
      <w:r w:rsidRPr="00C80338" w:rsidR="00C80338">
        <w:rPr>
          <w:rFonts w:ascii="Book Antiqua" w:hAnsi="Book Antiqua"/>
          <w:bCs/>
          <w:szCs w:val="24"/>
        </w:rPr>
        <w:t>for payment remittance.</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4"/>
      </w:r>
      <w:r w:rsidR="00C80338">
        <w:rPr>
          <w:rFonts w:ascii="Book Antiqua" w:hAnsi="Book Antiqua"/>
          <w:bCs/>
          <w:szCs w:val="24"/>
        </w:rPr>
        <w:t xml:space="preserve">  </w:t>
      </w:r>
      <w:r w:rsidRPr="00C80338" w:rsidR="00C80338">
        <w:rPr>
          <w:rFonts w:ascii="Book Antiqua" w:hAnsi="Book Antiqua"/>
          <w:bCs/>
          <w:szCs w:val="24"/>
        </w:rPr>
        <w:t>To avoid interest charges, carriers must continue to report and</w:t>
      </w:r>
      <w:r w:rsidR="00C80338">
        <w:rPr>
          <w:rFonts w:ascii="Book Antiqua" w:hAnsi="Book Antiqua"/>
          <w:bCs/>
          <w:szCs w:val="24"/>
        </w:rPr>
        <w:t xml:space="preserve"> </w:t>
      </w:r>
      <w:r w:rsidRPr="00C80338" w:rsidR="00C80338">
        <w:rPr>
          <w:rFonts w:ascii="Book Antiqua" w:hAnsi="Book Antiqua"/>
          <w:bCs/>
          <w:szCs w:val="24"/>
        </w:rPr>
        <w:t>remit payment no later than 40 days following the close of a reporting period.</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5"/>
      </w:r>
    </w:p>
    <w:p w:rsidR="005D5DBA" w:rsidP="00C80338" w:rsidRDefault="005D5DBA" w14:paraId="1F9DFE7D" w14:textId="77777777">
      <w:pPr>
        <w:rPr>
          <w:rFonts w:ascii="Book Antiqua" w:hAnsi="Book Antiqua"/>
          <w:bCs/>
          <w:szCs w:val="24"/>
        </w:rPr>
      </w:pPr>
    </w:p>
    <w:p w:rsidR="005D5DBA" w:rsidP="005D5DBA" w:rsidRDefault="005D5DBA" w14:paraId="0B38BB7C" w14:textId="77777777">
      <w:pPr>
        <w:rPr>
          <w:rFonts w:ascii="Book Antiqua" w:hAnsi="Book Antiqua"/>
          <w:szCs w:val="24"/>
        </w:rPr>
      </w:pPr>
      <w:r>
        <w:rPr>
          <w:rFonts w:ascii="Book Antiqua" w:hAnsi="Book Antiqua"/>
          <w:szCs w:val="24"/>
        </w:rPr>
        <w:t xml:space="preserve">On April 28, 2023, WTI submitted its </w:t>
      </w:r>
      <w:r w:rsidR="007427DC">
        <w:rPr>
          <w:rFonts w:ascii="Book Antiqua" w:hAnsi="Book Antiqua"/>
          <w:szCs w:val="24"/>
        </w:rPr>
        <w:t xml:space="preserve">latest contact information to the </w:t>
      </w:r>
      <w:r w:rsidR="00D71985">
        <w:rPr>
          <w:rFonts w:ascii="Book Antiqua" w:hAnsi="Book Antiqua"/>
          <w:szCs w:val="24"/>
        </w:rPr>
        <w:t xml:space="preserve">Commission </w:t>
      </w:r>
      <w:r w:rsidR="007427DC">
        <w:rPr>
          <w:rFonts w:ascii="Book Antiqua" w:hAnsi="Book Antiqua"/>
          <w:szCs w:val="24"/>
        </w:rPr>
        <w:t>via the CPUC Communications Utility Contact Update Form.</w:t>
      </w:r>
      <w:r w:rsidR="007427DC">
        <w:rPr>
          <w:rStyle w:val="FootnoteReference"/>
          <w:rFonts w:ascii="Book Antiqua" w:hAnsi="Book Antiqua"/>
          <w:szCs w:val="24"/>
        </w:rPr>
        <w:footnoteReference w:id="6"/>
      </w:r>
      <w:r w:rsidR="007427DC">
        <w:rPr>
          <w:rFonts w:ascii="Book Antiqua" w:hAnsi="Book Antiqua"/>
          <w:szCs w:val="24"/>
        </w:rPr>
        <w:t xml:space="preserve">  </w:t>
      </w:r>
      <w:r w:rsidR="00D71985">
        <w:rPr>
          <w:rFonts w:ascii="Book Antiqua" w:hAnsi="Book Antiqua"/>
          <w:szCs w:val="24"/>
        </w:rPr>
        <w:t xml:space="preserve">The Commission </w:t>
      </w:r>
      <w:r w:rsidRPr="005D5DBA" w:rsidR="00D71985">
        <w:rPr>
          <w:rFonts w:ascii="Book Antiqua" w:hAnsi="Book Antiqua"/>
          <w:szCs w:val="24"/>
        </w:rPr>
        <w:t>require</w:t>
      </w:r>
      <w:r w:rsidR="00D71985">
        <w:rPr>
          <w:rFonts w:ascii="Book Antiqua" w:hAnsi="Book Antiqua"/>
          <w:szCs w:val="24"/>
        </w:rPr>
        <w:t>s</w:t>
      </w:r>
      <w:r w:rsidRPr="005D5DBA" w:rsidR="00D71985">
        <w:rPr>
          <w:rFonts w:ascii="Book Antiqua" w:hAnsi="Book Antiqua"/>
          <w:szCs w:val="24"/>
        </w:rPr>
        <w:t xml:space="preserve"> </w:t>
      </w:r>
      <w:r w:rsidRPr="005D5DBA">
        <w:rPr>
          <w:rFonts w:ascii="Book Antiqua" w:hAnsi="Book Antiqua"/>
          <w:szCs w:val="24"/>
        </w:rPr>
        <w:t xml:space="preserve">is that carriers </w:t>
      </w:r>
      <w:r w:rsidR="00D71985">
        <w:rPr>
          <w:rFonts w:ascii="Book Antiqua" w:hAnsi="Book Antiqua"/>
          <w:szCs w:val="24"/>
        </w:rPr>
        <w:t>to</w:t>
      </w:r>
      <w:r w:rsidRPr="005D5DBA" w:rsidR="00D71985">
        <w:rPr>
          <w:rFonts w:ascii="Book Antiqua" w:hAnsi="Book Antiqua"/>
          <w:szCs w:val="24"/>
        </w:rPr>
        <w:t xml:space="preserve"> </w:t>
      </w:r>
      <w:r w:rsidRPr="005D5DBA">
        <w:rPr>
          <w:rFonts w:ascii="Book Antiqua" w:hAnsi="Book Antiqua"/>
          <w:szCs w:val="24"/>
        </w:rPr>
        <w:t>update their contact</w:t>
      </w:r>
      <w:r w:rsidR="007427DC">
        <w:rPr>
          <w:rFonts w:ascii="Book Antiqua" w:hAnsi="Book Antiqua"/>
          <w:szCs w:val="24"/>
        </w:rPr>
        <w:t xml:space="preserve"> </w:t>
      </w:r>
      <w:r w:rsidRPr="005D5DBA">
        <w:rPr>
          <w:rFonts w:ascii="Book Antiqua" w:hAnsi="Book Antiqua"/>
          <w:szCs w:val="24"/>
        </w:rPr>
        <w:t>information within 30 days of any changes</w:t>
      </w:r>
      <w:r w:rsidR="007427DC">
        <w:rPr>
          <w:rFonts w:ascii="Book Antiqua" w:hAnsi="Book Antiqua"/>
          <w:szCs w:val="24"/>
        </w:rPr>
        <w:t xml:space="preserve">.  </w:t>
      </w:r>
      <w:r w:rsidRPr="005D5DBA" w:rsidR="00D71985">
        <w:rPr>
          <w:rFonts w:ascii="Book Antiqua" w:hAnsi="Book Antiqua"/>
          <w:szCs w:val="24"/>
        </w:rPr>
        <w:t>Th</w:t>
      </w:r>
      <w:r w:rsidR="00D71985">
        <w:rPr>
          <w:rFonts w:ascii="Book Antiqua" w:hAnsi="Book Antiqua"/>
          <w:szCs w:val="24"/>
        </w:rPr>
        <w:t>e form submitted by WTI</w:t>
      </w:r>
      <w:r w:rsidRPr="005D5DBA" w:rsidR="00D71985">
        <w:rPr>
          <w:rFonts w:ascii="Book Antiqua" w:hAnsi="Book Antiqua"/>
          <w:szCs w:val="24"/>
        </w:rPr>
        <w:t xml:space="preserve"> </w:t>
      </w:r>
      <w:r w:rsidRPr="005D5DBA">
        <w:rPr>
          <w:rFonts w:ascii="Book Antiqua" w:hAnsi="Book Antiqua"/>
          <w:szCs w:val="24"/>
        </w:rPr>
        <w:t xml:space="preserve">indicates that WTI updated </w:t>
      </w:r>
      <w:r w:rsidR="007427DC">
        <w:rPr>
          <w:rFonts w:ascii="Book Antiqua" w:hAnsi="Book Antiqua"/>
          <w:szCs w:val="24"/>
        </w:rPr>
        <w:t>its</w:t>
      </w:r>
      <w:r w:rsidRPr="005D5DBA">
        <w:rPr>
          <w:rFonts w:ascii="Book Antiqua" w:hAnsi="Book Antiqua"/>
          <w:szCs w:val="24"/>
        </w:rPr>
        <w:t xml:space="preserve"> email address</w:t>
      </w:r>
      <w:r w:rsidR="007427DC">
        <w:rPr>
          <w:rFonts w:ascii="Book Antiqua" w:hAnsi="Book Antiqua"/>
          <w:szCs w:val="24"/>
        </w:rPr>
        <w:t xml:space="preserve"> to </w:t>
      </w:r>
      <w:hyperlink w:history="1" r:id="rId16">
        <w:r w:rsidRPr="00242A3F" w:rsidR="007427DC">
          <w:rPr>
            <w:rStyle w:val="Hyperlink"/>
            <w:rFonts w:ascii="Book Antiqua" w:hAnsi="Book Antiqua"/>
            <w:szCs w:val="24"/>
          </w:rPr>
          <w:t>accounting@wticommunications.com</w:t>
        </w:r>
      </w:hyperlink>
      <w:r w:rsidR="00A90FB7">
        <w:rPr>
          <w:rFonts w:ascii="Book Antiqua" w:hAnsi="Book Antiqua"/>
          <w:szCs w:val="24"/>
        </w:rPr>
        <w:t xml:space="preserve">. </w:t>
      </w:r>
      <w:r w:rsidR="007427DC">
        <w:rPr>
          <w:rFonts w:ascii="Book Antiqua" w:hAnsi="Book Antiqua"/>
          <w:szCs w:val="24"/>
        </w:rPr>
        <w:t>CD</w:t>
      </w:r>
      <w:r w:rsidR="00874947">
        <w:rPr>
          <w:rFonts w:ascii="Book Antiqua" w:hAnsi="Book Antiqua"/>
          <w:szCs w:val="24"/>
        </w:rPr>
        <w:t xml:space="preserve"> </w:t>
      </w:r>
      <w:r w:rsidR="00A90FB7">
        <w:rPr>
          <w:rFonts w:ascii="Book Antiqua" w:hAnsi="Book Antiqua"/>
          <w:szCs w:val="24"/>
        </w:rPr>
        <w:t xml:space="preserve">directed </w:t>
      </w:r>
      <w:r w:rsidR="00874947">
        <w:rPr>
          <w:rFonts w:ascii="Book Antiqua" w:hAnsi="Book Antiqua"/>
          <w:szCs w:val="24"/>
        </w:rPr>
        <w:t>all subsequent communications with WTI</w:t>
      </w:r>
      <w:r w:rsidR="00A90FB7">
        <w:rPr>
          <w:rFonts w:ascii="Book Antiqua" w:hAnsi="Book Antiqua"/>
          <w:szCs w:val="24"/>
        </w:rPr>
        <w:t xml:space="preserve"> to accounting@wticommunications.com</w:t>
      </w:r>
      <w:r w:rsidRPr="005D5DBA">
        <w:rPr>
          <w:rFonts w:ascii="Book Antiqua" w:hAnsi="Book Antiqua"/>
          <w:szCs w:val="24"/>
        </w:rPr>
        <w:t>.</w:t>
      </w:r>
    </w:p>
    <w:p w:rsidR="00425CCE" w:rsidP="00C80338" w:rsidRDefault="00425CCE" w14:paraId="1A7D2EC2" w14:textId="77777777">
      <w:pPr>
        <w:rPr>
          <w:rFonts w:ascii="Book Antiqua" w:hAnsi="Book Antiqua"/>
          <w:bCs/>
          <w:szCs w:val="24"/>
        </w:rPr>
      </w:pPr>
    </w:p>
    <w:p w:rsidR="00FA7F88" w:rsidP="00C80338" w:rsidRDefault="00425CCE" w14:paraId="4F77907B" w14:textId="77777777">
      <w:pPr>
        <w:rPr>
          <w:rFonts w:ascii="Book Antiqua" w:hAnsi="Book Antiqua"/>
          <w:bCs/>
          <w:szCs w:val="24"/>
        </w:rPr>
      </w:pPr>
      <w:r>
        <w:rPr>
          <w:rFonts w:ascii="Book Antiqua" w:hAnsi="Book Antiqua"/>
          <w:bCs/>
          <w:szCs w:val="24"/>
        </w:rPr>
        <w:t>On February 7, 2024, CD issued Citation No. CD-2024-02-010 in the amount of $1,000 to WTI for violations related to noncompliance with reporting and remitting surcharges and/or user fees.</w:t>
      </w:r>
      <w:r>
        <w:rPr>
          <w:rStyle w:val="FootnoteReference"/>
          <w:rFonts w:ascii="Book Antiqua" w:hAnsi="Book Antiqua"/>
          <w:bCs/>
          <w:szCs w:val="24"/>
        </w:rPr>
        <w:footnoteReference w:id="7"/>
      </w:r>
      <w:r>
        <w:rPr>
          <w:rFonts w:ascii="Book Antiqua" w:hAnsi="Book Antiqua"/>
          <w:bCs/>
          <w:szCs w:val="24"/>
        </w:rPr>
        <w:t xml:space="preserve">  The citation states that the violation is for “[n]on-compliance with California Public Utilities Commission’s authority to require carriers to report intrastate revenue and remit Public Purpose Program surcharges (and user fees, if applicable).”</w:t>
      </w:r>
      <w:r w:rsidR="00FA7F88">
        <w:rPr>
          <w:rFonts w:ascii="Book Antiqua" w:hAnsi="Book Antiqua"/>
          <w:bCs/>
          <w:szCs w:val="24"/>
        </w:rPr>
        <w:t xml:space="preserve">  Specifically, the violation was for WTI’s failure to </w:t>
      </w:r>
      <w:proofErr w:type="gramStart"/>
      <w:r w:rsidRPr="00FA7F88" w:rsidR="00FA7F88">
        <w:rPr>
          <w:rFonts w:ascii="Book Antiqua" w:hAnsi="Book Antiqua"/>
          <w:bCs/>
          <w:szCs w:val="24"/>
        </w:rPr>
        <w:t>report</w:t>
      </w:r>
      <w:proofErr w:type="gramEnd"/>
      <w:r w:rsidRPr="00FA7F88" w:rsidR="00FA7F88">
        <w:rPr>
          <w:rFonts w:ascii="Book Antiqua" w:hAnsi="Book Antiqua"/>
          <w:bCs/>
          <w:szCs w:val="24"/>
        </w:rPr>
        <w:t xml:space="preserve"> its active number of access lines for over six months.</w:t>
      </w:r>
      <w:r w:rsidR="00FA7F88">
        <w:rPr>
          <w:rStyle w:val="FootnoteReference"/>
          <w:rFonts w:ascii="Book Antiqua" w:hAnsi="Book Antiqua"/>
          <w:bCs/>
          <w:szCs w:val="24"/>
        </w:rPr>
        <w:footnoteReference w:id="8"/>
      </w:r>
      <w:r w:rsidR="00FA7F88">
        <w:rPr>
          <w:rFonts w:ascii="Book Antiqua" w:hAnsi="Book Antiqua"/>
          <w:bCs/>
          <w:szCs w:val="24"/>
        </w:rPr>
        <w:t xml:space="preserve">  WTI paid the fine for this citation.</w:t>
      </w:r>
      <w:r w:rsidR="00FA7F88">
        <w:rPr>
          <w:rStyle w:val="FootnoteReference"/>
          <w:rFonts w:ascii="Book Antiqua" w:hAnsi="Book Antiqua"/>
          <w:bCs/>
          <w:szCs w:val="24"/>
        </w:rPr>
        <w:footnoteReference w:id="9"/>
      </w:r>
      <w:r w:rsidR="00FA7F88">
        <w:rPr>
          <w:rFonts w:ascii="Book Antiqua" w:hAnsi="Book Antiqua"/>
          <w:bCs/>
          <w:szCs w:val="24"/>
        </w:rPr>
        <w:t xml:space="preserve">  </w:t>
      </w:r>
    </w:p>
    <w:p w:rsidR="00FA7F88" w:rsidP="00C80338" w:rsidRDefault="00FA7F88" w14:paraId="38EEADE1" w14:textId="77777777">
      <w:pPr>
        <w:rPr>
          <w:rFonts w:ascii="Book Antiqua" w:hAnsi="Book Antiqua"/>
          <w:bCs/>
          <w:szCs w:val="24"/>
        </w:rPr>
      </w:pPr>
    </w:p>
    <w:p w:rsidRPr="00A06C57" w:rsidR="009A7724" w:rsidP="00512052" w:rsidRDefault="00FA7F88" w14:paraId="3791597F" w14:textId="77777777">
      <w:pPr>
        <w:spacing w:after="120"/>
        <w:rPr>
          <w:rFonts w:ascii="Book Antiqua" w:hAnsi="Book Antiqua"/>
          <w:bCs/>
          <w:szCs w:val="24"/>
        </w:rPr>
      </w:pPr>
      <w:r>
        <w:rPr>
          <w:rFonts w:ascii="Book Antiqua" w:hAnsi="Book Antiqua"/>
          <w:bCs/>
          <w:szCs w:val="24"/>
        </w:rPr>
        <w:t xml:space="preserve">After receiving the February 7, 2024 citation, WTI began reporting its number of access lines by the due date for a few months but then stopped reporting </w:t>
      </w:r>
      <w:r w:rsidR="00826259">
        <w:rPr>
          <w:rFonts w:ascii="Book Antiqua" w:hAnsi="Book Antiqua"/>
          <w:bCs/>
          <w:szCs w:val="24"/>
        </w:rPr>
        <w:t>in compliance with reporting requirements.</w:t>
      </w:r>
      <w:r w:rsidR="00826259">
        <w:rPr>
          <w:rStyle w:val="FootnoteReference"/>
          <w:rFonts w:ascii="Book Antiqua" w:hAnsi="Book Antiqua"/>
          <w:bCs/>
          <w:szCs w:val="24"/>
        </w:rPr>
        <w:footnoteReference w:id="10"/>
      </w:r>
      <w:r w:rsidR="00826259">
        <w:rPr>
          <w:rFonts w:ascii="Book Antiqua" w:hAnsi="Book Antiqua"/>
          <w:bCs/>
          <w:szCs w:val="24"/>
        </w:rPr>
        <w:t xml:space="preserve">  </w:t>
      </w:r>
      <w:r w:rsidR="00D50F4D">
        <w:rPr>
          <w:rFonts w:ascii="Book Antiqua" w:hAnsi="Book Antiqua"/>
          <w:bCs/>
          <w:szCs w:val="24"/>
        </w:rPr>
        <w:t>WTI last reported its number of access lines in Jun</w:t>
      </w:r>
      <w:r w:rsidR="009A7724">
        <w:rPr>
          <w:rFonts w:ascii="Book Antiqua" w:hAnsi="Book Antiqua"/>
          <w:bCs/>
          <w:szCs w:val="24"/>
        </w:rPr>
        <w:t>e 2024</w:t>
      </w:r>
      <w:r w:rsidR="00D50F4D">
        <w:rPr>
          <w:rFonts w:ascii="Book Antiqua" w:hAnsi="Book Antiqua"/>
          <w:bCs/>
          <w:szCs w:val="24"/>
        </w:rPr>
        <w:t>.</w:t>
      </w:r>
      <w:r w:rsidR="005D5DBA">
        <w:rPr>
          <w:rStyle w:val="FootnoteReference"/>
          <w:rFonts w:ascii="Book Antiqua" w:hAnsi="Book Antiqua"/>
          <w:bCs/>
          <w:szCs w:val="24"/>
        </w:rPr>
        <w:footnoteReference w:id="11"/>
      </w:r>
      <w:r w:rsidR="009A7724">
        <w:rPr>
          <w:rFonts w:ascii="Book Antiqua" w:hAnsi="Book Antiqua"/>
          <w:bCs/>
          <w:szCs w:val="24"/>
        </w:rPr>
        <w:t xml:space="preserve">  </w:t>
      </w:r>
      <w:r w:rsidR="009A7724">
        <w:rPr>
          <w:rFonts w:ascii="Book Antiqua" w:hAnsi="Book Antiqua"/>
          <w:bCs/>
          <w:szCs w:val="24"/>
        </w:rPr>
        <w:lastRenderedPageBreak/>
        <w:t>Subsequently</w:t>
      </w:r>
      <w:r w:rsidR="00BC4F28">
        <w:rPr>
          <w:rFonts w:ascii="Book Antiqua" w:hAnsi="Book Antiqua"/>
          <w:bCs/>
          <w:szCs w:val="24"/>
        </w:rPr>
        <w:t>,</w:t>
      </w:r>
      <w:r w:rsidR="009A7724">
        <w:rPr>
          <w:rFonts w:ascii="Book Antiqua" w:hAnsi="Book Antiqua"/>
          <w:bCs/>
          <w:szCs w:val="24"/>
        </w:rPr>
        <w:t xml:space="preserve"> CD sent multiple email notices to WTI notifying it of its reporting/remittance deadline, non-compliance</w:t>
      </w:r>
      <w:r w:rsidR="00A06C57">
        <w:rPr>
          <w:rFonts w:ascii="Book Antiqua" w:hAnsi="Book Antiqua"/>
          <w:bCs/>
          <w:szCs w:val="24"/>
        </w:rPr>
        <w:t xml:space="preserve"> with reporting and payment requirements</w:t>
      </w:r>
      <w:r w:rsidR="009A7724">
        <w:rPr>
          <w:rFonts w:ascii="Book Antiqua" w:hAnsi="Book Antiqua"/>
          <w:bCs/>
          <w:szCs w:val="24"/>
        </w:rPr>
        <w:t>, and impending citation.  The TUFFS activity log shows that t</w:t>
      </w:r>
      <w:r w:rsidR="00A06C57">
        <w:rPr>
          <w:rFonts w:ascii="Book Antiqua" w:hAnsi="Book Antiqua"/>
          <w:bCs/>
          <w:szCs w:val="24"/>
        </w:rPr>
        <w:t xml:space="preserve">he following CD notices were </w:t>
      </w:r>
      <w:r w:rsidR="00984BF5">
        <w:rPr>
          <w:rFonts w:ascii="Book Antiqua" w:hAnsi="Book Antiqua"/>
          <w:bCs/>
          <w:szCs w:val="24"/>
        </w:rPr>
        <w:t>e</w:t>
      </w:r>
      <w:r w:rsidR="00A06C57">
        <w:rPr>
          <w:rFonts w:ascii="Book Antiqua" w:hAnsi="Book Antiqua"/>
          <w:bCs/>
          <w:szCs w:val="24"/>
        </w:rPr>
        <w:t>mailed to WTI</w:t>
      </w:r>
      <w:r w:rsidR="00984BF5">
        <w:rPr>
          <w:rFonts w:ascii="Book Antiqua" w:hAnsi="Book Antiqua"/>
          <w:bCs/>
          <w:szCs w:val="24"/>
        </w:rPr>
        <w:t xml:space="preserve"> at </w:t>
      </w:r>
      <w:hyperlink w:history="1" r:id="rId17">
        <w:r w:rsidRPr="00242A3F" w:rsidR="00984BF5">
          <w:rPr>
            <w:rStyle w:val="Hyperlink"/>
            <w:rFonts w:ascii="Book Antiqua" w:hAnsi="Book Antiqua"/>
            <w:bCs/>
            <w:szCs w:val="24"/>
          </w:rPr>
          <w:t>accounting@wticommunications.com</w:t>
        </w:r>
      </w:hyperlink>
      <w:r w:rsidR="00984BF5">
        <w:rPr>
          <w:rFonts w:ascii="Book Antiqua" w:hAnsi="Book Antiqua"/>
          <w:bCs/>
          <w:szCs w:val="24"/>
        </w:rPr>
        <w:t xml:space="preserve"> </w:t>
      </w:r>
      <w:r w:rsidR="00BC4F28">
        <w:rPr>
          <w:rStyle w:val="FootnoteReference"/>
          <w:rFonts w:ascii="Book Antiqua" w:hAnsi="Book Antiqua"/>
          <w:bCs/>
          <w:szCs w:val="24"/>
        </w:rPr>
        <w:footnoteReference w:id="12"/>
      </w:r>
      <w:r w:rsidR="00BC4F28">
        <w:rPr>
          <w:rFonts w:ascii="Book Antiqua" w:hAnsi="Book Antiqua"/>
          <w:bCs/>
          <w:szCs w:val="24"/>
        </w:rPr>
        <w:t>:</w:t>
      </w:r>
    </w:p>
    <w:p w:rsidR="009A7724" w:rsidP="00851D07" w:rsidRDefault="009A7724" w14:paraId="5E231EEC" w14:textId="77777777">
      <w:pPr>
        <w:numPr>
          <w:ilvl w:val="0"/>
          <w:numId w:val="4"/>
        </w:numPr>
        <w:spacing w:after="120"/>
        <w:ind w:left="1080" w:right="1440"/>
        <w:rPr>
          <w:rFonts w:ascii="Book Antiqua" w:hAnsi="Book Antiqua"/>
          <w:bCs/>
          <w:szCs w:val="24"/>
        </w:rPr>
      </w:pPr>
      <w:r>
        <w:rPr>
          <w:rFonts w:ascii="Book Antiqua" w:hAnsi="Book Antiqua"/>
          <w:bCs/>
          <w:szCs w:val="24"/>
        </w:rPr>
        <w:t>Reminder of Surcharge Reporting/Remittance Deadline, sent January 2025</w:t>
      </w:r>
      <w:r w:rsidR="00006DCB">
        <w:rPr>
          <w:rStyle w:val="FootnoteReference"/>
          <w:rFonts w:ascii="Book Antiqua" w:hAnsi="Book Antiqua"/>
          <w:bCs/>
          <w:szCs w:val="24"/>
        </w:rPr>
        <w:footnoteReference w:id="13"/>
      </w:r>
      <w:r>
        <w:rPr>
          <w:rFonts w:ascii="Book Antiqua" w:hAnsi="Book Antiqua"/>
          <w:bCs/>
          <w:szCs w:val="24"/>
        </w:rPr>
        <w:t>;</w:t>
      </w:r>
    </w:p>
    <w:p w:rsidR="009A7724" w:rsidP="00851D07" w:rsidRDefault="009A7724" w14:paraId="0466300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 sent February 2025</w:t>
      </w:r>
      <w:r w:rsidR="00006DCB">
        <w:rPr>
          <w:rStyle w:val="FootnoteReference"/>
          <w:rFonts w:ascii="Book Antiqua" w:hAnsi="Book Antiqua"/>
          <w:bCs/>
          <w:szCs w:val="24"/>
        </w:rPr>
        <w:footnoteReference w:id="14"/>
      </w:r>
      <w:r w:rsidR="00006DCB">
        <w:rPr>
          <w:rFonts w:ascii="Book Antiqua" w:hAnsi="Book Antiqua"/>
          <w:bCs/>
          <w:szCs w:val="24"/>
        </w:rPr>
        <w:t xml:space="preserve">; </w:t>
      </w:r>
    </w:p>
    <w:p w:rsidR="009A7724" w:rsidP="00851D07" w:rsidRDefault="009A7724" w14:paraId="5F4C824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w:t>
      </w:r>
      <w:r w:rsidR="007D58C7">
        <w:rPr>
          <w:rFonts w:ascii="Book Antiqua" w:hAnsi="Book Antiqua"/>
          <w:bCs/>
          <w:szCs w:val="24"/>
        </w:rPr>
        <w:t>, sent March 2025</w:t>
      </w:r>
      <w:r w:rsidR="007D58C7">
        <w:rPr>
          <w:rStyle w:val="FootnoteReference"/>
          <w:rFonts w:ascii="Book Antiqua" w:hAnsi="Book Antiqua"/>
          <w:bCs/>
          <w:szCs w:val="24"/>
        </w:rPr>
        <w:footnoteReference w:id="15"/>
      </w:r>
      <w:r w:rsidR="00D73796">
        <w:rPr>
          <w:rFonts w:ascii="Book Antiqua" w:hAnsi="Book Antiqua"/>
          <w:bCs/>
          <w:szCs w:val="24"/>
        </w:rPr>
        <w:t>,</w:t>
      </w:r>
      <w:r>
        <w:rPr>
          <w:rFonts w:ascii="Book Antiqua" w:hAnsi="Book Antiqua"/>
          <w:bCs/>
          <w:szCs w:val="24"/>
        </w:rPr>
        <w:t xml:space="preserve"> and Notice of Impending Citation, sent March 2025</w:t>
      </w:r>
      <w:r w:rsidR="00006DCB">
        <w:rPr>
          <w:rStyle w:val="FootnoteReference"/>
          <w:rFonts w:ascii="Book Antiqua" w:hAnsi="Book Antiqua"/>
          <w:bCs/>
          <w:szCs w:val="24"/>
        </w:rPr>
        <w:footnoteReference w:id="16"/>
      </w:r>
      <w:r w:rsidR="00006DCB">
        <w:rPr>
          <w:rFonts w:ascii="Book Antiqua" w:hAnsi="Book Antiqua"/>
          <w:bCs/>
          <w:szCs w:val="24"/>
        </w:rPr>
        <w:t>; and</w:t>
      </w:r>
    </w:p>
    <w:p w:rsidR="009A7724" w:rsidP="00851D07" w:rsidRDefault="007D58C7" w14:paraId="152E0D66" w14:textId="77777777">
      <w:pPr>
        <w:numPr>
          <w:ilvl w:val="0"/>
          <w:numId w:val="4"/>
        </w:numPr>
        <w:spacing w:after="120"/>
        <w:ind w:left="1080" w:right="1440"/>
        <w:rPr>
          <w:rFonts w:ascii="Book Antiqua" w:hAnsi="Book Antiqua"/>
          <w:bCs/>
          <w:szCs w:val="24"/>
        </w:rPr>
      </w:pPr>
      <w:proofErr w:type="gramStart"/>
      <w:r>
        <w:rPr>
          <w:rFonts w:ascii="Book Antiqua" w:hAnsi="Book Antiqua"/>
          <w:bCs/>
          <w:szCs w:val="24"/>
        </w:rPr>
        <w:t>First</w:t>
      </w:r>
      <w:r w:rsidR="00D73796">
        <w:rPr>
          <w:rFonts w:ascii="Book Antiqua" w:hAnsi="Book Antiqua"/>
          <w:bCs/>
          <w:szCs w:val="24"/>
        </w:rPr>
        <w:t xml:space="preserve"> </w:t>
      </w:r>
      <w:r>
        <w:rPr>
          <w:rFonts w:ascii="Book Antiqua" w:hAnsi="Book Antiqua"/>
          <w:bCs/>
          <w:szCs w:val="24"/>
        </w:rPr>
        <w:t>Notice of Non-Compliance of Surcharge Reporting and Payment,</w:t>
      </w:r>
      <w:proofErr w:type="gramEnd"/>
      <w:r>
        <w:rPr>
          <w:rFonts w:ascii="Book Antiqua" w:hAnsi="Book Antiqua"/>
          <w:bCs/>
          <w:szCs w:val="24"/>
        </w:rPr>
        <w:t xml:space="preserve"> sent April 2025</w:t>
      </w:r>
      <w:r>
        <w:rPr>
          <w:rStyle w:val="FootnoteReference"/>
          <w:rFonts w:ascii="Book Antiqua" w:hAnsi="Book Antiqua"/>
          <w:bCs/>
          <w:szCs w:val="24"/>
        </w:rPr>
        <w:footnoteReference w:id="17"/>
      </w:r>
      <w:r w:rsidR="00D73796">
        <w:rPr>
          <w:rFonts w:ascii="Book Antiqua" w:hAnsi="Book Antiqua"/>
          <w:bCs/>
          <w:szCs w:val="24"/>
        </w:rPr>
        <w:t>,</w:t>
      </w:r>
      <w:r>
        <w:rPr>
          <w:rFonts w:ascii="Book Antiqua" w:hAnsi="Book Antiqua"/>
          <w:bCs/>
          <w:szCs w:val="24"/>
        </w:rPr>
        <w:t xml:space="preserve"> and Notice of Impending Citation, sent A</w:t>
      </w:r>
      <w:r w:rsidR="00A06C57">
        <w:rPr>
          <w:rFonts w:ascii="Book Antiqua" w:hAnsi="Book Antiqua"/>
          <w:bCs/>
          <w:szCs w:val="24"/>
        </w:rPr>
        <w:t>pril 2025</w:t>
      </w:r>
      <w:r>
        <w:rPr>
          <w:rStyle w:val="FootnoteReference"/>
          <w:rFonts w:ascii="Book Antiqua" w:hAnsi="Book Antiqua"/>
          <w:bCs/>
          <w:szCs w:val="24"/>
        </w:rPr>
        <w:footnoteReference w:id="18"/>
      </w:r>
      <w:r>
        <w:rPr>
          <w:rFonts w:ascii="Book Antiqua" w:hAnsi="Book Antiqua"/>
          <w:bCs/>
          <w:szCs w:val="24"/>
        </w:rPr>
        <w:t>.</w:t>
      </w:r>
    </w:p>
    <w:p w:rsidR="00512052" w:rsidP="00512052" w:rsidRDefault="00512052" w14:paraId="22C4B95B" w14:textId="77777777">
      <w:pPr>
        <w:rPr>
          <w:rFonts w:ascii="Book Antiqua" w:hAnsi="Book Antiqua"/>
          <w:bCs/>
          <w:szCs w:val="24"/>
        </w:rPr>
      </w:pPr>
    </w:p>
    <w:p w:rsidR="00006DCB" w:rsidP="00C80338" w:rsidRDefault="00512052" w14:paraId="70078D7B" w14:textId="77777777">
      <w:pPr>
        <w:rPr>
          <w:rFonts w:ascii="Book Antiqua" w:hAnsi="Book Antiqua"/>
          <w:bCs/>
          <w:szCs w:val="24"/>
        </w:rPr>
      </w:pPr>
      <w:r>
        <w:rPr>
          <w:rFonts w:ascii="Book Antiqua" w:hAnsi="Book Antiqua"/>
          <w:bCs/>
          <w:szCs w:val="24"/>
        </w:rPr>
        <w:t>The TUFFS activity log shows that the above-referenced CD notices were listed as “[u]</w:t>
      </w:r>
      <w:proofErr w:type="spellStart"/>
      <w:r>
        <w:rPr>
          <w:rFonts w:ascii="Book Antiqua" w:hAnsi="Book Antiqua"/>
          <w:bCs/>
          <w:szCs w:val="24"/>
        </w:rPr>
        <w:t>nopened</w:t>
      </w:r>
      <w:proofErr w:type="spellEnd"/>
      <w:r>
        <w:rPr>
          <w:rFonts w:ascii="Book Antiqua" w:hAnsi="Book Antiqua"/>
          <w:bCs/>
          <w:szCs w:val="24"/>
        </w:rPr>
        <w:t>” despite having been sent monthly from January 2025 through April 2025.</w:t>
      </w:r>
      <w:r w:rsidR="007D58C7">
        <w:rPr>
          <w:rStyle w:val="FootnoteReference"/>
          <w:rFonts w:ascii="Book Antiqua" w:hAnsi="Book Antiqua"/>
          <w:bCs/>
          <w:szCs w:val="24"/>
        </w:rPr>
        <w:footnoteReference w:id="19"/>
      </w:r>
      <w:r w:rsidR="00BC4F28">
        <w:rPr>
          <w:rFonts w:ascii="Book Antiqua" w:hAnsi="Book Antiqua"/>
          <w:bCs/>
          <w:szCs w:val="24"/>
        </w:rPr>
        <w:t xml:space="preserve">  </w:t>
      </w:r>
      <w:r w:rsidR="00AD6C73">
        <w:rPr>
          <w:rFonts w:ascii="Book Antiqua" w:hAnsi="Book Antiqua"/>
          <w:bCs/>
          <w:szCs w:val="24"/>
        </w:rPr>
        <w:t xml:space="preserve">The activity log also shows, however, that all notices were sent to </w:t>
      </w:r>
      <w:r w:rsidR="00984BF5">
        <w:rPr>
          <w:rFonts w:ascii="Book Antiqua" w:hAnsi="Book Antiqua"/>
          <w:bCs/>
          <w:szCs w:val="24"/>
        </w:rPr>
        <w:t xml:space="preserve">the email address that WTI provided to the </w:t>
      </w:r>
      <w:r w:rsidR="00A90FB7">
        <w:rPr>
          <w:rFonts w:ascii="Book Antiqua" w:hAnsi="Book Antiqua"/>
          <w:bCs/>
          <w:szCs w:val="24"/>
        </w:rPr>
        <w:t xml:space="preserve">Commission </w:t>
      </w:r>
      <w:r w:rsidR="00984BF5">
        <w:rPr>
          <w:rFonts w:ascii="Book Antiqua" w:hAnsi="Book Antiqua"/>
          <w:bCs/>
          <w:szCs w:val="24"/>
        </w:rPr>
        <w:t xml:space="preserve">as its </w:t>
      </w:r>
      <w:r w:rsidR="00D73796">
        <w:rPr>
          <w:rFonts w:ascii="Book Antiqua" w:hAnsi="Book Antiqua"/>
          <w:bCs/>
          <w:szCs w:val="24"/>
        </w:rPr>
        <w:t xml:space="preserve">current and/or latest </w:t>
      </w:r>
      <w:r w:rsidR="00984BF5">
        <w:rPr>
          <w:rFonts w:ascii="Book Antiqua" w:hAnsi="Book Antiqua"/>
          <w:bCs/>
          <w:szCs w:val="24"/>
        </w:rPr>
        <w:t xml:space="preserve">contact email address.  </w:t>
      </w:r>
    </w:p>
    <w:p w:rsidR="00006DCB" w:rsidP="00C80338" w:rsidRDefault="00006DCB" w14:paraId="6CCB9514" w14:textId="77777777">
      <w:pPr>
        <w:rPr>
          <w:rFonts w:ascii="Book Antiqua" w:hAnsi="Book Antiqua"/>
          <w:bCs/>
          <w:szCs w:val="24"/>
        </w:rPr>
      </w:pPr>
    </w:p>
    <w:p w:rsidR="00D50F4D" w:rsidP="00C80338" w:rsidRDefault="00D50F4D" w14:paraId="59230199" w14:textId="77777777">
      <w:pPr>
        <w:rPr>
          <w:rFonts w:ascii="Book Antiqua" w:hAnsi="Book Antiqua"/>
          <w:szCs w:val="24"/>
        </w:rPr>
      </w:pPr>
      <w:r>
        <w:rPr>
          <w:rFonts w:ascii="Book Antiqua" w:hAnsi="Book Antiqua"/>
          <w:bCs/>
          <w:szCs w:val="24"/>
        </w:rPr>
        <w:t xml:space="preserve">On May 7, 2025, CD issued Citation No. </w:t>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D73796">
        <w:rPr>
          <w:rFonts w:ascii="Book Antiqua" w:hAnsi="Book Antiqua"/>
          <w:szCs w:val="24"/>
        </w:rPr>
        <w:t>, the subject of the instant citation appeal,</w:t>
      </w:r>
      <w:r>
        <w:rPr>
          <w:rFonts w:ascii="Book Antiqua" w:hAnsi="Book Antiqua"/>
          <w:szCs w:val="24"/>
        </w:rPr>
        <w:t xml:space="preserve"> to WTI for </w:t>
      </w:r>
      <w:r>
        <w:rPr>
          <w:rFonts w:ascii="Book Antiqua" w:hAnsi="Book Antiqua"/>
          <w:bCs/>
          <w:szCs w:val="24"/>
        </w:rPr>
        <w:t xml:space="preserve">violations related to noncompliance with reporting and remitting surcharges and/or user fees.  As with the previous citation, Citation No. </w:t>
      </w:r>
      <w:r w:rsidR="00851D07">
        <w:rPr>
          <w:rFonts w:ascii="Book Antiqua" w:hAnsi="Book Antiqua"/>
          <w:bCs/>
          <w:szCs w:val="24"/>
        </w:rPr>
        <w:br/>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5D5DBA">
        <w:rPr>
          <w:rFonts w:ascii="Book Antiqua" w:hAnsi="Book Antiqua"/>
          <w:szCs w:val="24"/>
        </w:rPr>
        <w:t xml:space="preserve"> </w:t>
      </w:r>
      <w:r w:rsidR="005D5DBA">
        <w:rPr>
          <w:rFonts w:ascii="Book Antiqua" w:hAnsi="Book Antiqua"/>
          <w:bCs/>
          <w:szCs w:val="24"/>
        </w:rPr>
        <w:t>states that the violation is for “[n]on-compliance with California Public Utilities Commission’s authority to require carriers to report intrastate revenue and remit Public Purpose Program surcharges (and user fees, if applicable).”</w:t>
      </w:r>
      <w:r w:rsidR="00D73796">
        <w:rPr>
          <w:rStyle w:val="FootnoteReference"/>
          <w:rFonts w:ascii="Book Antiqua" w:hAnsi="Book Antiqua"/>
          <w:bCs/>
          <w:szCs w:val="24"/>
        </w:rPr>
        <w:footnoteReference w:id="20"/>
      </w:r>
      <w:r w:rsidR="00D73796">
        <w:rPr>
          <w:rFonts w:ascii="Book Antiqua" w:hAnsi="Book Antiqua"/>
          <w:bCs/>
          <w:szCs w:val="24"/>
        </w:rPr>
        <w:t xml:space="preserve">  CD </w:t>
      </w:r>
      <w:r w:rsidR="00F24E8D">
        <w:rPr>
          <w:rFonts w:ascii="Book Antiqua" w:hAnsi="Book Antiqua"/>
          <w:bCs/>
          <w:szCs w:val="24"/>
        </w:rPr>
        <w:t xml:space="preserve">sent </w:t>
      </w:r>
      <w:r w:rsidR="00D73796">
        <w:rPr>
          <w:rFonts w:ascii="Book Antiqua" w:hAnsi="Book Antiqua"/>
          <w:bCs/>
          <w:szCs w:val="24"/>
        </w:rPr>
        <w:t xml:space="preserve">Citation No. </w:t>
      </w:r>
      <w:r w:rsidRPr="00AF6654" w:rsidR="00D73796">
        <w:rPr>
          <w:rFonts w:ascii="Book Antiqua" w:hAnsi="Book Antiqua"/>
          <w:szCs w:val="24"/>
        </w:rPr>
        <w:t>CD-202</w:t>
      </w:r>
      <w:r w:rsidR="00D73796">
        <w:rPr>
          <w:rFonts w:ascii="Book Antiqua" w:hAnsi="Book Antiqua"/>
          <w:szCs w:val="24"/>
        </w:rPr>
        <w:t>5</w:t>
      </w:r>
      <w:r w:rsidRPr="00AF6654" w:rsidR="00D73796">
        <w:rPr>
          <w:rFonts w:ascii="Book Antiqua" w:hAnsi="Book Antiqua"/>
          <w:szCs w:val="24"/>
        </w:rPr>
        <w:t>-0</w:t>
      </w:r>
      <w:r w:rsidR="00D73796">
        <w:rPr>
          <w:rFonts w:ascii="Book Antiqua" w:hAnsi="Book Antiqua"/>
          <w:szCs w:val="24"/>
        </w:rPr>
        <w:t>5</w:t>
      </w:r>
      <w:r w:rsidRPr="00AF6654" w:rsidR="00D73796">
        <w:rPr>
          <w:rFonts w:ascii="Book Antiqua" w:hAnsi="Book Antiqua"/>
          <w:szCs w:val="24"/>
        </w:rPr>
        <w:t>-</w:t>
      </w:r>
      <w:r w:rsidR="00D73796">
        <w:rPr>
          <w:rFonts w:ascii="Book Antiqua" w:hAnsi="Book Antiqua"/>
          <w:szCs w:val="24"/>
        </w:rPr>
        <w:t xml:space="preserve">011 to WTI </w:t>
      </w:r>
      <w:r w:rsidR="00F24E8D">
        <w:rPr>
          <w:rFonts w:ascii="Book Antiqua" w:hAnsi="Book Antiqua"/>
          <w:szCs w:val="24"/>
        </w:rPr>
        <w:t xml:space="preserve">by certified mail to its address on record </w:t>
      </w:r>
      <w:r w:rsidR="00D73796">
        <w:rPr>
          <w:rFonts w:ascii="Book Antiqua" w:hAnsi="Book Antiqua"/>
          <w:szCs w:val="24"/>
        </w:rPr>
        <w:t>as evidenced by the certificate of mailing.</w:t>
      </w:r>
      <w:r w:rsidR="00D73796">
        <w:rPr>
          <w:rStyle w:val="FootnoteReference"/>
          <w:rFonts w:ascii="Book Antiqua" w:hAnsi="Book Antiqua"/>
          <w:szCs w:val="24"/>
        </w:rPr>
        <w:footnoteReference w:id="21"/>
      </w:r>
      <w:r w:rsidR="00D73796">
        <w:rPr>
          <w:rFonts w:ascii="Book Antiqua" w:hAnsi="Book Antiqua"/>
          <w:szCs w:val="24"/>
        </w:rPr>
        <w:t xml:space="preserve"> </w:t>
      </w:r>
    </w:p>
    <w:p w:rsidR="00F24E8D" w:rsidP="00C80338" w:rsidRDefault="00F24E8D" w14:paraId="2F0122A0" w14:textId="77777777">
      <w:pPr>
        <w:rPr>
          <w:rFonts w:ascii="Book Antiqua" w:hAnsi="Book Antiqua"/>
          <w:szCs w:val="24"/>
        </w:rPr>
      </w:pPr>
    </w:p>
    <w:p w:rsidR="008D1014" w:rsidP="00C80338" w:rsidRDefault="00F24E8D" w14:paraId="599A1802" w14:textId="77777777">
      <w:pPr>
        <w:rPr>
          <w:rFonts w:ascii="Book Antiqua" w:hAnsi="Book Antiqua"/>
          <w:szCs w:val="24"/>
        </w:rPr>
      </w:pPr>
      <w:r>
        <w:rPr>
          <w:rFonts w:ascii="Book Antiqua" w:hAnsi="Book Antiqua"/>
          <w:szCs w:val="24"/>
        </w:rPr>
        <w:t>During the hearing, Mr. Rodriguez, the CEO</w:t>
      </w:r>
      <w:r w:rsidR="005C1AF5">
        <w:rPr>
          <w:rFonts w:ascii="Book Antiqua" w:hAnsi="Book Antiqua"/>
          <w:szCs w:val="24"/>
        </w:rPr>
        <w:t xml:space="preserve"> and President</w:t>
      </w:r>
      <w:r>
        <w:rPr>
          <w:rFonts w:ascii="Book Antiqua" w:hAnsi="Book Antiqua"/>
          <w:szCs w:val="24"/>
        </w:rPr>
        <w:t xml:space="preserve"> of WTI, did not dispute that WTI had received the above-referenced CD notices regarding WTI’s non-compliance of surcharge reporting and payment as well as CD’s notices of impending citation.</w:t>
      </w:r>
      <w:r w:rsidR="003354B8">
        <w:rPr>
          <w:rFonts w:ascii="Book Antiqua" w:hAnsi="Book Antiqua"/>
          <w:szCs w:val="24"/>
        </w:rPr>
        <w:t xml:space="preserve">  In fact, Mr. Rodriguez </w:t>
      </w:r>
      <w:r w:rsidR="00475303">
        <w:rPr>
          <w:rFonts w:ascii="Book Antiqua" w:hAnsi="Book Antiqua"/>
          <w:szCs w:val="24"/>
        </w:rPr>
        <w:t>testified</w:t>
      </w:r>
      <w:r w:rsidR="003354B8">
        <w:rPr>
          <w:rFonts w:ascii="Book Antiqua" w:hAnsi="Book Antiqua"/>
          <w:szCs w:val="24"/>
        </w:rPr>
        <w:t xml:space="preserve"> that he did receive the notifications that had been going to WTI’s accounting department but that </w:t>
      </w:r>
      <w:r w:rsidR="004711DD">
        <w:rPr>
          <w:rFonts w:ascii="Book Antiqua" w:hAnsi="Book Antiqua"/>
          <w:szCs w:val="24"/>
        </w:rPr>
        <w:t xml:space="preserve">WTI’s failure to </w:t>
      </w:r>
      <w:r w:rsidR="00E1236F">
        <w:rPr>
          <w:rFonts w:ascii="Book Antiqua" w:hAnsi="Book Antiqua"/>
          <w:szCs w:val="24"/>
        </w:rPr>
        <w:t>respond was due to a “good-faith misunderstanding” by WTI’s accounting clerk who believed that WTI did not have to report anything to the Commission if WTI had no active lines to report.</w:t>
      </w:r>
      <w:r w:rsidR="00E1236F">
        <w:rPr>
          <w:rStyle w:val="FootnoteReference"/>
          <w:rFonts w:ascii="Book Antiqua" w:hAnsi="Book Antiqua"/>
          <w:szCs w:val="24"/>
        </w:rPr>
        <w:footnoteReference w:id="22"/>
      </w:r>
      <w:r w:rsidR="00E1236F">
        <w:rPr>
          <w:rFonts w:ascii="Book Antiqua" w:hAnsi="Book Antiqua"/>
          <w:szCs w:val="24"/>
        </w:rPr>
        <w:t xml:space="preserve">  Mr. Rodriguez also testified that it was </w:t>
      </w:r>
      <w:r w:rsidR="008D1014">
        <w:rPr>
          <w:rFonts w:ascii="Book Antiqua" w:hAnsi="Book Antiqua"/>
          <w:szCs w:val="24"/>
        </w:rPr>
        <w:t>the</w:t>
      </w:r>
      <w:r w:rsidR="00E1236F">
        <w:rPr>
          <w:rFonts w:ascii="Book Antiqua" w:hAnsi="Book Antiqua"/>
          <w:szCs w:val="24"/>
        </w:rPr>
        <w:t xml:space="preserve"> accounting clerk who </w:t>
      </w:r>
      <w:r w:rsidR="00470FAE">
        <w:rPr>
          <w:rFonts w:ascii="Book Antiqua" w:hAnsi="Book Antiqua"/>
          <w:szCs w:val="24"/>
        </w:rPr>
        <w:t xml:space="preserve">was “actually performing the job and wasn’t clear” on the reporting requirements, but that Mr. Rodriguez intends to ensure </w:t>
      </w:r>
      <w:r w:rsidR="00475303">
        <w:rPr>
          <w:rFonts w:ascii="Book Antiqua" w:hAnsi="Book Antiqua"/>
          <w:szCs w:val="24"/>
        </w:rPr>
        <w:t>“that doesn’t happen moving forward.”</w:t>
      </w:r>
      <w:r w:rsidR="00475303">
        <w:rPr>
          <w:rStyle w:val="FootnoteReference"/>
          <w:rFonts w:ascii="Book Antiqua" w:hAnsi="Book Antiqua"/>
          <w:szCs w:val="24"/>
        </w:rPr>
        <w:footnoteReference w:id="23"/>
      </w:r>
      <w:r w:rsidR="00475303">
        <w:rPr>
          <w:rFonts w:ascii="Book Antiqua" w:hAnsi="Book Antiqua"/>
          <w:szCs w:val="24"/>
        </w:rPr>
        <w:t xml:space="preserve">  </w:t>
      </w:r>
    </w:p>
    <w:p w:rsidR="008D1014" w:rsidP="00C80338" w:rsidRDefault="008D1014" w14:paraId="0797F44C" w14:textId="77777777">
      <w:pPr>
        <w:rPr>
          <w:rFonts w:ascii="Book Antiqua" w:hAnsi="Book Antiqua"/>
          <w:szCs w:val="24"/>
        </w:rPr>
      </w:pPr>
    </w:p>
    <w:p w:rsidR="00A90FB7" w:rsidP="00C80338" w:rsidRDefault="008D1014" w14:paraId="6B83CCD7" w14:textId="77777777">
      <w:pPr>
        <w:rPr>
          <w:rFonts w:ascii="Book Antiqua" w:hAnsi="Book Antiqua"/>
          <w:szCs w:val="24"/>
        </w:rPr>
      </w:pPr>
      <w:r>
        <w:rPr>
          <w:rFonts w:ascii="Book Antiqua" w:hAnsi="Book Antiqua"/>
          <w:szCs w:val="24"/>
        </w:rPr>
        <w:t xml:space="preserve">WTI is bound by the reporting requirements of the </w:t>
      </w:r>
      <w:r w:rsidR="00A90FB7">
        <w:rPr>
          <w:rFonts w:ascii="Book Antiqua" w:hAnsi="Book Antiqua"/>
          <w:szCs w:val="24"/>
        </w:rPr>
        <w:t xml:space="preserve">Certificate of </w:t>
      </w:r>
      <w:r w:rsidR="00856A89">
        <w:rPr>
          <w:rFonts w:ascii="Book Antiqua" w:hAnsi="Book Antiqua"/>
          <w:szCs w:val="24"/>
        </w:rPr>
        <w:t>Public Convenience and Necessity (CPCN) license it holds.  Ignorance of t</w:t>
      </w:r>
      <w:r w:rsidR="00D55E30">
        <w:rPr>
          <w:rFonts w:ascii="Book Antiqua" w:hAnsi="Book Antiqua"/>
          <w:szCs w:val="24"/>
        </w:rPr>
        <w:t>hose</w:t>
      </w:r>
      <w:r w:rsidR="00856A89">
        <w:rPr>
          <w:rFonts w:ascii="Book Antiqua" w:hAnsi="Book Antiqua"/>
          <w:szCs w:val="24"/>
        </w:rPr>
        <w:t xml:space="preserve"> reporting requirements </w:t>
      </w:r>
      <w:r w:rsidR="00A90FB7">
        <w:rPr>
          <w:rFonts w:ascii="Book Antiqua" w:hAnsi="Book Antiqua"/>
          <w:szCs w:val="24"/>
        </w:rPr>
        <w:t>does not justify the failure to meet its regulatory obligations</w:t>
      </w:r>
      <w:r w:rsidR="00856A89">
        <w:rPr>
          <w:rFonts w:ascii="Book Antiqua" w:hAnsi="Book Antiqua"/>
          <w:szCs w:val="24"/>
        </w:rPr>
        <w:t xml:space="preserve">.  </w:t>
      </w:r>
      <w:r w:rsidR="00D55E30">
        <w:rPr>
          <w:rFonts w:ascii="Book Antiqua" w:hAnsi="Book Antiqua"/>
          <w:szCs w:val="24"/>
        </w:rPr>
        <w:t xml:space="preserve">Moreover, </w:t>
      </w:r>
      <w:r w:rsidR="00274A47">
        <w:rPr>
          <w:rFonts w:ascii="Book Antiqua" w:hAnsi="Book Antiqua"/>
          <w:szCs w:val="24"/>
        </w:rPr>
        <w:t xml:space="preserve">over the course of several months, </w:t>
      </w:r>
      <w:r w:rsidR="00856A89">
        <w:rPr>
          <w:rFonts w:ascii="Book Antiqua" w:hAnsi="Book Antiqua"/>
          <w:szCs w:val="24"/>
        </w:rPr>
        <w:t>CD</w:t>
      </w:r>
      <w:r w:rsidR="00D55E30">
        <w:rPr>
          <w:rFonts w:ascii="Book Antiqua" w:hAnsi="Book Antiqua"/>
          <w:szCs w:val="24"/>
        </w:rPr>
        <w:t xml:space="preserve"> sent multiple reminder notices, non-compliance notices, and notices of impending citation to WTI</w:t>
      </w:r>
      <w:r w:rsidR="00274A47">
        <w:rPr>
          <w:rFonts w:ascii="Book Antiqua" w:hAnsi="Book Antiqua"/>
          <w:szCs w:val="24"/>
        </w:rPr>
        <w:t xml:space="preserve">’s email address on file to advise WTI of its </w:t>
      </w:r>
      <w:r w:rsidR="00D55E30">
        <w:rPr>
          <w:rFonts w:ascii="Book Antiqua" w:hAnsi="Book Antiqua"/>
          <w:szCs w:val="24"/>
        </w:rPr>
        <w:t>reporting and surcharge remittance obligations.</w:t>
      </w:r>
      <w:r w:rsidR="0032246D">
        <w:rPr>
          <w:rFonts w:ascii="Book Antiqua" w:hAnsi="Book Antiqua"/>
          <w:szCs w:val="24"/>
        </w:rPr>
        <w:t xml:space="preserve">  </w:t>
      </w:r>
    </w:p>
    <w:p w:rsidR="00851D07" w:rsidP="00C80338" w:rsidRDefault="00851D07" w14:paraId="3A564E04" w14:textId="77777777">
      <w:pPr>
        <w:rPr>
          <w:rFonts w:ascii="Book Antiqua" w:hAnsi="Book Antiqua"/>
          <w:szCs w:val="24"/>
        </w:rPr>
      </w:pPr>
      <w:r>
        <w:rPr>
          <w:rFonts w:ascii="Book Antiqua" w:hAnsi="Book Antiqua"/>
          <w:szCs w:val="24"/>
        </w:rPr>
        <w:br/>
      </w:r>
      <w:r w:rsidR="00A90FB7">
        <w:rPr>
          <w:rFonts w:ascii="Book Antiqua" w:hAnsi="Book Antiqua"/>
          <w:szCs w:val="24"/>
        </w:rPr>
        <w:t xml:space="preserve">WTI has failed to show any basis to reduce or dismiss the citation. </w:t>
      </w:r>
      <w:r w:rsidR="00856A89">
        <w:rPr>
          <w:rFonts w:ascii="Book Antiqua" w:hAnsi="Book Antiqua"/>
          <w:szCs w:val="24"/>
        </w:rPr>
        <w:t xml:space="preserve"> </w:t>
      </w:r>
      <w:r w:rsidR="00274A47">
        <w:rPr>
          <w:rFonts w:ascii="Book Antiqua" w:hAnsi="Book Antiqua"/>
          <w:szCs w:val="24"/>
        </w:rPr>
        <w:t xml:space="preserve">WTI’s appeal from Citation No. </w:t>
      </w:r>
      <w:r w:rsidR="00856A89">
        <w:rPr>
          <w:rFonts w:ascii="Book Antiqua" w:hAnsi="Book Antiqua"/>
          <w:szCs w:val="24"/>
        </w:rPr>
        <w:t>CD-2025-05-0</w:t>
      </w:r>
      <w:r w:rsidR="00274A47">
        <w:rPr>
          <w:rFonts w:ascii="Book Antiqua" w:hAnsi="Book Antiqua"/>
          <w:szCs w:val="24"/>
        </w:rPr>
        <w:t>1</w:t>
      </w:r>
      <w:r w:rsidR="00856A89">
        <w:rPr>
          <w:rFonts w:ascii="Book Antiqua" w:hAnsi="Book Antiqua"/>
          <w:szCs w:val="24"/>
        </w:rPr>
        <w:t xml:space="preserve">1 issued on May 7, </w:t>
      </w:r>
      <w:proofErr w:type="gramStart"/>
      <w:r w:rsidR="00856A89">
        <w:rPr>
          <w:rFonts w:ascii="Book Antiqua" w:hAnsi="Book Antiqua"/>
          <w:szCs w:val="24"/>
        </w:rPr>
        <w:t>2025</w:t>
      </w:r>
      <w:proofErr w:type="gramEnd"/>
      <w:r w:rsidR="00856A89">
        <w:rPr>
          <w:rFonts w:ascii="Book Antiqua" w:hAnsi="Book Antiqua"/>
          <w:szCs w:val="24"/>
        </w:rPr>
        <w:t xml:space="preserve"> by the California Public Utilities Commission’s Communications Division is </w:t>
      </w:r>
      <w:r w:rsidR="00D55E30">
        <w:rPr>
          <w:rFonts w:ascii="Book Antiqua" w:hAnsi="Book Antiqua"/>
          <w:szCs w:val="24"/>
        </w:rPr>
        <w:t>denied</w:t>
      </w:r>
      <w:r w:rsidR="00A90FB7">
        <w:rPr>
          <w:rFonts w:ascii="Book Antiqua" w:hAnsi="Book Antiqua"/>
          <w:szCs w:val="24"/>
        </w:rPr>
        <w:t xml:space="preserve"> and the penalty of $1,000.00 is sustained.</w:t>
      </w:r>
    </w:p>
    <w:p w:rsidR="00851D07" w:rsidP="00C80338" w:rsidRDefault="00851D07" w14:paraId="1BFBB750" w14:textId="77777777">
      <w:pPr>
        <w:rPr>
          <w:rFonts w:ascii="Book Antiqua" w:hAnsi="Book Antiqua"/>
          <w:szCs w:val="24"/>
        </w:rPr>
      </w:pPr>
    </w:p>
    <w:p w:rsidR="00D55E30" w:rsidP="00C80338" w:rsidRDefault="00D55E30" w14:paraId="22B432F5" w14:textId="77777777">
      <w:pPr>
        <w:rPr>
          <w:rFonts w:ascii="Book Antiqua" w:hAnsi="Book Antiqua"/>
          <w:szCs w:val="24"/>
        </w:rPr>
      </w:pPr>
      <w:r>
        <w:rPr>
          <w:rFonts w:ascii="Book Antiqua" w:hAnsi="Book Antiqua"/>
          <w:b/>
          <w:bCs/>
          <w:szCs w:val="24"/>
          <w:u w:val="single"/>
        </w:rPr>
        <w:t>COMMENTS</w:t>
      </w:r>
    </w:p>
    <w:p w:rsidR="00D55E30" w:rsidP="00C80338" w:rsidRDefault="00D55E30" w14:paraId="7613B200" w14:textId="77777777">
      <w:pPr>
        <w:rPr>
          <w:rFonts w:ascii="Book Antiqua" w:hAnsi="Book Antiqua"/>
          <w:szCs w:val="24"/>
        </w:rPr>
      </w:pPr>
    </w:p>
    <w:p w:rsidR="00A90FB7" w:rsidP="00A90FB7" w:rsidRDefault="00A90FB7" w14:paraId="6CA09166" w14:textId="08D65A04">
      <w:pPr>
        <w:rPr>
          <w:rFonts w:ascii="Book Antiqua" w:hAnsi="Book Antiqua"/>
          <w:szCs w:val="24"/>
        </w:rPr>
      </w:pPr>
      <w:r>
        <w:rPr>
          <w:rFonts w:ascii="Book Antiqua" w:hAnsi="Book Antiqua"/>
          <w:szCs w:val="24"/>
        </w:rPr>
        <w:t xml:space="preserve">Comments are allowed on this Resolution pursuant to Public Utilities Code section 311(g) and Commission Rule of Practice and Procedure 14.5. A draft of this resolution was distributed for comment on </w:t>
      </w:r>
      <w:r w:rsidR="00A4376C">
        <w:rPr>
          <w:rFonts w:ascii="Book Antiqua" w:hAnsi="Book Antiqua"/>
          <w:szCs w:val="24"/>
        </w:rPr>
        <w:t>March 30</w:t>
      </w:r>
      <w:r>
        <w:rPr>
          <w:rFonts w:ascii="Book Antiqua" w:hAnsi="Book Antiqua"/>
          <w:szCs w:val="24"/>
        </w:rPr>
        <w:t>, 2026.</w:t>
      </w:r>
    </w:p>
    <w:p w:rsidR="00DE4415" w:rsidP="00C80338" w:rsidRDefault="00DE4415" w14:paraId="66F6E95E" w14:textId="77777777">
      <w:pPr>
        <w:rPr>
          <w:rFonts w:ascii="Book Antiqua" w:hAnsi="Book Antiqua"/>
          <w:szCs w:val="24"/>
        </w:rPr>
      </w:pPr>
    </w:p>
    <w:p w:rsidR="00D55E30" w:rsidP="00C80338" w:rsidRDefault="00D55E30" w14:paraId="2963A9F8" w14:textId="77777777">
      <w:pPr>
        <w:rPr>
          <w:rFonts w:ascii="Book Antiqua" w:hAnsi="Book Antiqua"/>
          <w:b/>
          <w:bCs/>
          <w:szCs w:val="24"/>
        </w:rPr>
      </w:pPr>
      <w:r>
        <w:rPr>
          <w:rFonts w:ascii="Book Antiqua" w:hAnsi="Book Antiqua"/>
          <w:b/>
          <w:bCs/>
          <w:szCs w:val="24"/>
          <w:u w:val="single"/>
        </w:rPr>
        <w:t>ASSIGNMENT OF PROCEEDING</w:t>
      </w:r>
    </w:p>
    <w:p w:rsidR="00D55E30" w:rsidP="00C80338" w:rsidRDefault="00D55E30" w14:paraId="6F7C5B5E" w14:textId="77777777">
      <w:pPr>
        <w:rPr>
          <w:rFonts w:ascii="Book Antiqua" w:hAnsi="Book Antiqua"/>
          <w:b/>
          <w:bCs/>
          <w:szCs w:val="24"/>
        </w:rPr>
      </w:pPr>
    </w:p>
    <w:p w:rsidR="00D55E30" w:rsidP="00C80338" w:rsidRDefault="00D55E30" w14:paraId="10CA21E8" w14:textId="77777777">
      <w:pPr>
        <w:rPr>
          <w:rFonts w:ascii="Book Antiqua" w:hAnsi="Book Antiqua"/>
          <w:szCs w:val="24"/>
        </w:rPr>
      </w:pPr>
      <w:r>
        <w:rPr>
          <w:rFonts w:ascii="Book Antiqua" w:hAnsi="Book Antiqua"/>
          <w:szCs w:val="24"/>
        </w:rPr>
        <w:t>Suman Mathews is the assigned Administrative Law Judge for this citation appeal.</w:t>
      </w:r>
    </w:p>
    <w:p w:rsidR="00D55E30" w:rsidP="00C80338" w:rsidRDefault="00D55E30" w14:paraId="35838564" w14:textId="77777777">
      <w:pPr>
        <w:rPr>
          <w:rFonts w:ascii="Book Antiqua" w:hAnsi="Book Antiqua"/>
          <w:szCs w:val="24"/>
        </w:rPr>
      </w:pPr>
    </w:p>
    <w:p w:rsidR="00D55E30" w:rsidP="00C80338" w:rsidRDefault="00D55E30" w14:paraId="11A12B71" w14:textId="77777777">
      <w:pPr>
        <w:rPr>
          <w:rFonts w:ascii="Book Antiqua" w:hAnsi="Book Antiqua"/>
          <w:szCs w:val="24"/>
        </w:rPr>
      </w:pPr>
      <w:r>
        <w:rPr>
          <w:rFonts w:ascii="Book Antiqua" w:hAnsi="Book Antiqua"/>
          <w:b/>
          <w:bCs/>
          <w:szCs w:val="24"/>
          <w:u w:val="single"/>
        </w:rPr>
        <w:t>FINDINGS AND CONCLUSIONS</w:t>
      </w:r>
    </w:p>
    <w:p w:rsidR="00D55E30" w:rsidP="00C80338" w:rsidRDefault="00D55E30" w14:paraId="6F0C46EB" w14:textId="77777777">
      <w:pPr>
        <w:rPr>
          <w:rFonts w:ascii="Book Antiqua" w:hAnsi="Book Antiqua"/>
          <w:szCs w:val="24"/>
        </w:rPr>
      </w:pPr>
    </w:p>
    <w:p w:rsidRPr="00615DA6" w:rsidR="00615DA6" w:rsidP="00851D07" w:rsidRDefault="00D55E30" w14:paraId="4509A067" w14:textId="77777777">
      <w:pPr>
        <w:numPr>
          <w:ilvl w:val="0"/>
          <w:numId w:val="5"/>
        </w:numPr>
        <w:spacing w:after="120"/>
        <w:ind w:left="1080" w:right="1440"/>
        <w:rPr>
          <w:rFonts w:ascii="Book Antiqua" w:hAnsi="Book Antiqua"/>
          <w:szCs w:val="24"/>
        </w:rPr>
      </w:pPr>
      <w:r w:rsidRPr="00615DA6">
        <w:rPr>
          <w:rFonts w:ascii="Book Antiqua" w:hAnsi="Book Antiqua"/>
          <w:szCs w:val="24"/>
        </w:rPr>
        <w:t xml:space="preserve">WTI violated Resolution T-17601 by failing to </w:t>
      </w:r>
      <w:r w:rsidRPr="00615DA6" w:rsidR="00615DA6">
        <w:rPr>
          <w:rFonts w:ascii="Book Antiqua" w:hAnsi="Book Antiqua"/>
          <w:szCs w:val="24"/>
        </w:rPr>
        <w:t xml:space="preserve">comply with surcharge reporting and payment requirements.  </w:t>
      </w:r>
    </w:p>
    <w:p w:rsidR="00D55E30" w:rsidP="00851D07" w:rsidRDefault="00D55E30" w14:paraId="1D5B7326" w14:textId="77777777">
      <w:pPr>
        <w:numPr>
          <w:ilvl w:val="0"/>
          <w:numId w:val="5"/>
        </w:numPr>
        <w:spacing w:after="120"/>
        <w:ind w:left="1080" w:right="1440"/>
        <w:rPr>
          <w:rFonts w:ascii="Book Antiqua" w:hAnsi="Book Antiqua"/>
          <w:szCs w:val="24"/>
        </w:rPr>
      </w:pPr>
      <w:r>
        <w:rPr>
          <w:rFonts w:ascii="Book Antiqua" w:hAnsi="Book Antiqua"/>
          <w:szCs w:val="24"/>
        </w:rPr>
        <w:lastRenderedPageBreak/>
        <w:t xml:space="preserve">CD issued a citation on May 7, </w:t>
      </w:r>
      <w:proofErr w:type="gramStart"/>
      <w:r>
        <w:rPr>
          <w:rFonts w:ascii="Book Antiqua" w:hAnsi="Book Antiqua"/>
          <w:szCs w:val="24"/>
        </w:rPr>
        <w:t>2025</w:t>
      </w:r>
      <w:proofErr w:type="gramEnd"/>
      <w:r>
        <w:rPr>
          <w:rFonts w:ascii="Book Antiqua" w:hAnsi="Book Antiqua"/>
          <w:szCs w:val="24"/>
        </w:rPr>
        <w:t xml:space="preserve"> with a penalty in the amount of $1,000.00.</w:t>
      </w:r>
    </w:p>
    <w:p w:rsidRPr="00E42BAE" w:rsidR="0043488E" w:rsidP="00851D07" w:rsidRDefault="0043488E" w14:paraId="585D4994" w14:textId="77777777">
      <w:pPr>
        <w:numPr>
          <w:ilvl w:val="0"/>
          <w:numId w:val="5"/>
        </w:numPr>
        <w:spacing w:after="120"/>
        <w:ind w:left="1080" w:right="1440"/>
        <w:rPr>
          <w:rFonts w:ascii="Book Antiqua" w:hAnsi="Book Antiqua"/>
          <w:szCs w:val="24"/>
        </w:rPr>
      </w:pPr>
      <w:r>
        <w:rPr>
          <w:rFonts w:ascii="Book Antiqua" w:hAnsi="Book Antiqua"/>
          <w:szCs w:val="24"/>
        </w:rPr>
        <w:t xml:space="preserve">CD properly sent all notices to WTI at the email address and mailing address that WTI provided on the California Public Utilities Commission Communications Utility Contact Update Form.   </w:t>
      </w:r>
    </w:p>
    <w:p w:rsidRPr="003D75A5" w:rsidR="003D75A5" w:rsidP="00851D07" w:rsidRDefault="00D55E30" w14:paraId="0DDC8544" w14:textId="77777777">
      <w:pPr>
        <w:numPr>
          <w:ilvl w:val="0"/>
          <w:numId w:val="5"/>
        </w:numPr>
        <w:spacing w:after="120"/>
        <w:ind w:left="1080" w:right="1440"/>
        <w:rPr>
          <w:rFonts w:ascii="Book Antiqua" w:hAnsi="Book Antiqua"/>
          <w:bCs/>
          <w:szCs w:val="24"/>
        </w:rPr>
      </w:pPr>
      <w:r w:rsidRPr="003D75A5">
        <w:rPr>
          <w:rFonts w:ascii="Book Antiqua" w:hAnsi="Book Antiqua"/>
          <w:szCs w:val="24"/>
        </w:rPr>
        <w:t xml:space="preserve">Mr. Rodriguez, the CEO and President of WTI, did not dispute that </w:t>
      </w:r>
      <w:r w:rsidR="003D75A5">
        <w:rPr>
          <w:rFonts w:ascii="Book Antiqua" w:hAnsi="Book Antiqua"/>
          <w:szCs w:val="24"/>
        </w:rPr>
        <w:t xml:space="preserve">WTI had received </w:t>
      </w:r>
      <w:r w:rsidRPr="003D75A5">
        <w:rPr>
          <w:rFonts w:ascii="Book Antiqua" w:hAnsi="Book Antiqua"/>
          <w:szCs w:val="24"/>
        </w:rPr>
        <w:t xml:space="preserve">CD’s </w:t>
      </w:r>
      <w:r w:rsidR="003D75A5">
        <w:rPr>
          <w:rFonts w:ascii="Book Antiqua" w:hAnsi="Book Antiqua"/>
          <w:szCs w:val="24"/>
        </w:rPr>
        <w:t xml:space="preserve">multiple notices regarding WTI’s surcharge reporting and payment obligations.   </w:t>
      </w:r>
    </w:p>
    <w:p w:rsidR="00615DA6" w:rsidP="00615DA6" w:rsidRDefault="00615DA6" w14:paraId="5FF134A7" w14:textId="77777777">
      <w:pPr>
        <w:rPr>
          <w:rFonts w:ascii="Book Antiqua" w:hAnsi="Book Antiqua"/>
          <w:szCs w:val="24"/>
        </w:rPr>
      </w:pPr>
    </w:p>
    <w:p w:rsidR="00615DA6" w:rsidP="00615DA6" w:rsidRDefault="00615DA6" w14:paraId="437DD84A" w14:textId="77777777">
      <w:pPr>
        <w:rPr>
          <w:rFonts w:ascii="Book Antiqua" w:hAnsi="Book Antiqua"/>
          <w:szCs w:val="24"/>
        </w:rPr>
      </w:pPr>
      <w:r>
        <w:rPr>
          <w:rFonts w:ascii="Book Antiqua" w:hAnsi="Book Antiqua"/>
          <w:b/>
          <w:bCs/>
          <w:szCs w:val="24"/>
        </w:rPr>
        <w:t xml:space="preserve">THEREFORE, IT IS ORDERED </w:t>
      </w:r>
      <w:r>
        <w:rPr>
          <w:rFonts w:ascii="Book Antiqua" w:hAnsi="Book Antiqua"/>
          <w:szCs w:val="24"/>
        </w:rPr>
        <w:t>that:</w:t>
      </w:r>
    </w:p>
    <w:p w:rsidR="00615DA6" w:rsidP="00615DA6" w:rsidRDefault="00615DA6" w14:paraId="4DDF5EC1" w14:textId="77777777">
      <w:pPr>
        <w:rPr>
          <w:rFonts w:ascii="Book Antiqua" w:hAnsi="Book Antiqua"/>
          <w:szCs w:val="24"/>
        </w:rPr>
      </w:pPr>
    </w:p>
    <w:p w:rsidR="00D55E30" w:rsidP="002019FB" w:rsidRDefault="002019FB" w14:paraId="0D430415" w14:textId="3E24000A">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w:t>
      </w:r>
      <w:r w:rsidRPr="002019FB" w:rsidR="00177D5A">
        <w:rPr>
          <w:rFonts w:ascii="Book Antiqua" w:hAnsi="Book Antiqua"/>
        </w:rPr>
        <w:t>Appeal</w:t>
      </w:r>
      <w:r w:rsidR="00177D5A">
        <w:rPr>
          <w:rFonts w:ascii="Book Antiqua" w:hAnsi="Book Antiqua"/>
          <w:szCs w:val="24"/>
        </w:rPr>
        <w:t xml:space="preserve"> of </w:t>
      </w:r>
      <w:r w:rsidR="00E42BAE">
        <w:rPr>
          <w:rFonts w:ascii="Book Antiqua" w:hAnsi="Book Antiqua"/>
          <w:szCs w:val="24"/>
        </w:rPr>
        <w:t xml:space="preserve">WTI Communications, Inc. is denied.  </w:t>
      </w:r>
    </w:p>
    <w:p w:rsidR="00177D5A" w:rsidP="002019FB" w:rsidRDefault="002019FB" w14:paraId="5F0057AB" w14:textId="6536876C">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violation and penalty set </w:t>
      </w:r>
      <w:r w:rsidR="00E42BAE">
        <w:rPr>
          <w:rFonts w:ascii="Book Antiqua" w:hAnsi="Book Antiqua"/>
          <w:szCs w:val="24"/>
        </w:rPr>
        <w:t>in Citation No. CD-2025-05-011</w:t>
      </w:r>
      <w:r w:rsidR="00177D5A">
        <w:rPr>
          <w:rFonts w:ascii="Book Antiqua" w:hAnsi="Book Antiqua"/>
          <w:szCs w:val="24"/>
        </w:rPr>
        <w:t xml:space="preserve"> is affirmed.</w:t>
      </w:r>
    </w:p>
    <w:p w:rsidR="00177D5A" w:rsidP="002019FB" w:rsidRDefault="00E42BAE" w14:paraId="2B30243F" w14:textId="40FC36A5">
      <w:pPr>
        <w:numPr>
          <w:ilvl w:val="0"/>
          <w:numId w:val="6"/>
        </w:numPr>
        <w:spacing w:after="240"/>
        <w:ind w:left="720"/>
        <w:rPr>
          <w:rFonts w:ascii="Book Antiqua" w:hAnsi="Book Antiqua"/>
          <w:szCs w:val="24"/>
        </w:rPr>
      </w:pPr>
      <w:r>
        <w:rPr>
          <w:rFonts w:ascii="Book Antiqua" w:hAnsi="Book Antiqua"/>
          <w:szCs w:val="24"/>
        </w:rPr>
        <w:t xml:space="preserve">WTI </w:t>
      </w:r>
      <w:proofErr w:type="gramStart"/>
      <w:r>
        <w:rPr>
          <w:rFonts w:ascii="Book Antiqua" w:hAnsi="Book Antiqua"/>
          <w:szCs w:val="24"/>
        </w:rPr>
        <w:t>Communications,</w:t>
      </w:r>
      <w:proofErr w:type="gramEnd"/>
      <w:r>
        <w:rPr>
          <w:rFonts w:ascii="Book Antiqua" w:hAnsi="Book Antiqua"/>
          <w:szCs w:val="24"/>
        </w:rPr>
        <w:t xml:space="preserve"> Inc.</w:t>
      </w:r>
      <w:r w:rsidR="00177D5A">
        <w:rPr>
          <w:rFonts w:ascii="Book Antiqua" w:hAnsi="Book Antiqua"/>
          <w:szCs w:val="24"/>
        </w:rPr>
        <w:t xml:space="preserve"> must pay the penalty of </w:t>
      </w:r>
      <w:r>
        <w:rPr>
          <w:rFonts w:ascii="Book Antiqua" w:hAnsi="Book Antiqua"/>
          <w:szCs w:val="24"/>
        </w:rPr>
        <w:t xml:space="preserve">$1,000.00.  Payment must be </w:t>
      </w:r>
      <w:r w:rsidR="00337033">
        <w:rPr>
          <w:rFonts w:ascii="Book Antiqua" w:hAnsi="Book Antiqua"/>
          <w:szCs w:val="24"/>
        </w:rPr>
        <w:t xml:space="preserve">  </w:t>
      </w:r>
      <w:r>
        <w:rPr>
          <w:rFonts w:ascii="Book Antiqua" w:hAnsi="Book Antiqua"/>
          <w:szCs w:val="24"/>
        </w:rPr>
        <w:t xml:space="preserve">made by check or money order payable to the California Public Utilities Commission and mailed or delivered to the Commission’s Fiscal Office at 505 Van Ness Avenue, San Francisco, CA 94102-3298.  WTI Communications, Inc. shall write on the face of the check or money order “For deposit to the California General Fund per Resolution </w:t>
      </w:r>
      <w:r w:rsidR="00874947">
        <w:rPr>
          <w:rFonts w:ascii="Book Antiqua" w:hAnsi="Book Antiqua"/>
          <w:szCs w:val="24"/>
        </w:rPr>
        <w:t>ALJ-</w:t>
      </w:r>
      <w:r w:rsidR="00851D07">
        <w:rPr>
          <w:rFonts w:ascii="Book Antiqua" w:hAnsi="Book Antiqua"/>
          <w:szCs w:val="24"/>
        </w:rPr>
        <w:t>492</w:t>
      </w:r>
      <w:r w:rsidR="00874947">
        <w:rPr>
          <w:rFonts w:ascii="Book Antiqua" w:hAnsi="Book Antiqua"/>
          <w:szCs w:val="24"/>
        </w:rPr>
        <w:t>.”</w:t>
      </w:r>
    </w:p>
    <w:p w:rsidRPr="002019FB" w:rsidR="00337033" w:rsidP="002019FB" w:rsidRDefault="00874947" w14:paraId="0FB501B9" w14:textId="14474941">
      <w:pPr>
        <w:numPr>
          <w:ilvl w:val="0"/>
          <w:numId w:val="6"/>
        </w:numPr>
        <w:spacing w:after="240"/>
        <w:ind w:left="720"/>
        <w:rPr>
          <w:rFonts w:ascii="Book Antiqua" w:hAnsi="Book Antiqua"/>
          <w:szCs w:val="24"/>
        </w:rPr>
      </w:pPr>
      <w:r>
        <w:rPr>
          <w:rFonts w:ascii="Book Antiqua" w:hAnsi="Book Antiqua"/>
          <w:szCs w:val="24"/>
        </w:rPr>
        <w:t xml:space="preserve">Proceeding K.25-06-021 is closed. </w:t>
      </w:r>
    </w:p>
    <w:p w:rsidR="00874947" w:rsidP="002019FB" w:rsidRDefault="002019FB" w14:paraId="2E0FBDD8" w14:textId="4DAFBF89">
      <w:pPr>
        <w:ind w:left="360" w:hanging="360"/>
        <w:rPr>
          <w:rFonts w:ascii="Book Antiqua" w:hAnsi="Book Antiqua"/>
          <w:szCs w:val="24"/>
        </w:rPr>
      </w:pPr>
      <w:r>
        <w:rPr>
          <w:rFonts w:ascii="Book Antiqua" w:hAnsi="Book Antiqua"/>
          <w:szCs w:val="24"/>
        </w:rPr>
        <w:t>T</w:t>
      </w:r>
      <w:r w:rsidR="00874947">
        <w:rPr>
          <w:rFonts w:ascii="Book Antiqua" w:hAnsi="Book Antiqua"/>
          <w:szCs w:val="24"/>
        </w:rPr>
        <w:t>his resolution is effective today.</w:t>
      </w:r>
    </w:p>
    <w:p w:rsidR="00874947" w:rsidP="00874947" w:rsidRDefault="00874947" w14:paraId="2CF2E4AE" w14:textId="77777777">
      <w:pPr>
        <w:rPr>
          <w:rFonts w:ascii="Book Antiqua" w:hAnsi="Book Antiqua"/>
          <w:szCs w:val="24"/>
        </w:rPr>
      </w:pPr>
    </w:p>
    <w:p w:rsidR="00E3194D" w:rsidRDefault="005C5F6C" w14:paraId="246DA61A" w14:textId="77777777">
      <w:pPr>
        <w:rPr>
          <w:rFonts w:ascii="Book Antiqua" w:hAnsi="Book Antiqua"/>
          <w:szCs w:val="24"/>
        </w:rPr>
        <w:sectPr w:rsidR="00E3194D">
          <w:headerReference w:type="first" r:id="rId18"/>
          <w:footerReference w:type="first" r:id="rId19"/>
          <w:pgSz w:w="12240" w:h="15840" w:code="1"/>
          <w:pgMar w:top="1440" w:right="1440" w:bottom="1440" w:left="1440" w:header="720" w:footer="720" w:gutter="0"/>
          <w:pgNumType w:start="1"/>
          <w:cols w:space="720"/>
          <w:titlePg/>
        </w:sectPr>
      </w:pPr>
      <w:r>
        <w:rPr>
          <w:rFonts w:ascii="Book Antiqua" w:hAnsi="Book Antiqua"/>
          <w:szCs w:val="24"/>
        </w:rPr>
        <w:t xml:space="preserve">The </w:t>
      </w:r>
      <w:r w:rsidR="00874947">
        <w:rPr>
          <w:rFonts w:ascii="Book Antiqua" w:hAnsi="Book Antiqua"/>
          <w:szCs w:val="24"/>
        </w:rPr>
        <w:t xml:space="preserve">foregoing resolution was duly introduced, passed, and adopted at a conference of the Public Utilities Commission of the State of California held on </w:t>
      </w:r>
      <w:r w:rsidRPr="00E3194D" w:rsidR="00874947">
        <w:rPr>
          <w:rFonts w:ascii="Book Antiqua" w:hAnsi="Book Antiqua"/>
          <w:szCs w:val="24"/>
        </w:rPr>
        <w:t>April X</w:t>
      </w:r>
      <w:r w:rsidR="00874947">
        <w:rPr>
          <w:rFonts w:ascii="Book Antiqua" w:hAnsi="Book Antiqua"/>
          <w:szCs w:val="24"/>
        </w:rPr>
        <w:t xml:space="preserve">, </w:t>
      </w:r>
      <w:proofErr w:type="gramStart"/>
      <w:r w:rsidR="005C1AF5">
        <w:rPr>
          <w:rFonts w:ascii="Book Antiqua" w:hAnsi="Book Antiqua"/>
          <w:szCs w:val="24"/>
        </w:rPr>
        <w:t>202</w:t>
      </w:r>
      <w:r>
        <w:rPr>
          <w:rFonts w:ascii="Book Antiqua" w:hAnsi="Book Antiqua"/>
          <w:szCs w:val="24"/>
        </w:rPr>
        <w:t>6</w:t>
      </w:r>
      <w:proofErr w:type="gramEnd"/>
      <w:r>
        <w:rPr>
          <w:rFonts w:ascii="Book Antiqua" w:hAnsi="Book Antiqua"/>
          <w:szCs w:val="24"/>
        </w:rPr>
        <w:t xml:space="preserve"> at San</w:t>
      </w:r>
      <w:r w:rsidR="00E55722">
        <w:rPr>
          <w:rFonts w:ascii="Book Antiqua" w:hAnsi="Book Antiqua"/>
          <w:szCs w:val="24"/>
        </w:rPr>
        <w:t> </w:t>
      </w:r>
      <w:r>
        <w:rPr>
          <w:rFonts w:ascii="Book Antiqua" w:hAnsi="Book Antiqua"/>
          <w:szCs w:val="24"/>
        </w:rPr>
        <w:t xml:space="preserve">Francisco, California; </w:t>
      </w:r>
      <w:r w:rsidR="005C1AF5">
        <w:rPr>
          <w:rFonts w:ascii="Book Antiqua" w:hAnsi="Book Antiqua"/>
          <w:szCs w:val="24"/>
        </w:rPr>
        <w:t>the following Commissioners voting favorably thereon:</w:t>
      </w:r>
    </w:p>
    <w:p w:rsidRPr="00E3194D" w:rsidR="00E3194D" w:rsidP="00E3194D" w:rsidRDefault="00E3194D" w14:paraId="523F2286" w14:textId="1AF6A758">
      <w:pPr>
        <w:widowControl w:val="0"/>
        <w:tabs>
          <w:tab w:val="center" w:pos="4320"/>
          <w:tab w:val="right" w:pos="8640"/>
        </w:tabs>
        <w:rPr>
          <w:rFonts w:ascii="Book Antiqua" w:hAnsi="Book Antiqua"/>
          <w:szCs w:val="24"/>
        </w:rPr>
      </w:pPr>
      <w:r w:rsidRPr="00E3194D">
        <w:rPr>
          <w:rFonts w:ascii="Book Antiqua" w:hAnsi="Book Antiqua"/>
          <w:szCs w:val="24"/>
        </w:rPr>
        <w:lastRenderedPageBreak/>
        <w:t>ALJ/SRM/</w:t>
      </w:r>
      <w:proofErr w:type="spellStart"/>
      <w:r w:rsidRPr="00E3194D">
        <w:rPr>
          <w:rFonts w:ascii="Book Antiqua" w:hAnsi="Book Antiqua"/>
          <w:szCs w:val="24"/>
        </w:rPr>
        <w:t>avs</w:t>
      </w:r>
      <w:proofErr w:type="spellEnd"/>
    </w:p>
    <w:p w:rsidRPr="00E3194D" w:rsidR="00E3194D" w:rsidP="00E3194D" w:rsidRDefault="00E3194D" w14:paraId="5B1C5914" w14:textId="77777777">
      <w:pPr>
        <w:widowControl w:val="0"/>
        <w:tabs>
          <w:tab w:val="center" w:pos="4320"/>
          <w:tab w:val="right" w:pos="8640"/>
        </w:tabs>
        <w:rPr>
          <w:szCs w:val="24"/>
        </w:rPr>
      </w:pPr>
    </w:p>
    <w:p w:rsidRPr="00E3194D" w:rsidR="00E3194D" w:rsidP="00E3194D" w:rsidRDefault="00E3194D" w14:paraId="69922B68" w14:textId="77777777">
      <w:pPr>
        <w:widowControl w:val="0"/>
        <w:tabs>
          <w:tab w:val="center" w:pos="4320"/>
          <w:tab w:val="right" w:pos="8640"/>
        </w:tabs>
        <w:rPr>
          <w:szCs w:val="24"/>
        </w:rPr>
      </w:pPr>
    </w:p>
    <w:p w:rsidRPr="00E3194D" w:rsidR="00E3194D" w:rsidP="00E3194D" w:rsidRDefault="00E3194D" w14:paraId="27981823" w14:textId="77777777">
      <w:pPr>
        <w:suppressAutoHyphens/>
        <w:rPr>
          <w:rFonts w:ascii="Arial" w:hAnsi="Arial" w:cs="Arial"/>
          <w:b/>
          <w:szCs w:val="24"/>
        </w:rPr>
      </w:pPr>
      <w:r w:rsidRPr="00E3194D">
        <w:rPr>
          <w:rFonts w:ascii="Arial" w:hAnsi="Arial" w:cs="Arial"/>
          <w:b/>
          <w:szCs w:val="24"/>
        </w:rPr>
        <w:t>BEFORE THE PUBLIC UTILITIES COMMISSION OF THE STATE OF CALIFORNIA</w:t>
      </w:r>
    </w:p>
    <w:p w:rsidRPr="00E3194D" w:rsidR="00E3194D" w:rsidP="00E3194D" w:rsidRDefault="00E3194D" w14:paraId="10E2CB03" w14:textId="77777777">
      <w:pPr>
        <w:suppressAutoHyphens/>
        <w:rPr>
          <w:szCs w:val="24"/>
        </w:rPr>
      </w:pPr>
    </w:p>
    <w:p w:rsidRPr="00E3194D" w:rsidR="00E3194D" w:rsidP="00E3194D" w:rsidRDefault="00E3194D" w14:paraId="243D7454" w14:textId="77777777">
      <w:pPr>
        <w:pStyle w:val="BlockText"/>
        <w:rPr>
          <w:rFonts w:ascii="Book Antiqua" w:hAnsi="Book Antiqua"/>
          <w:szCs w:val="24"/>
        </w:rPr>
      </w:pPr>
      <w:r w:rsidRPr="00E3194D">
        <w:rPr>
          <w:rFonts w:ascii="Book Antiqua" w:hAnsi="Book Antiqua"/>
          <w:szCs w:val="24"/>
        </w:rPr>
        <w:t>RESOLUTION ALJ-492</w:t>
      </w:r>
      <w:proofErr w:type="gramStart"/>
      <w:r w:rsidRPr="00E3194D">
        <w:rPr>
          <w:rFonts w:ascii="Book Antiqua" w:hAnsi="Book Antiqua"/>
          <w:szCs w:val="24"/>
        </w:rPr>
        <w:t>:  Resolves</w:t>
      </w:r>
      <w:proofErr w:type="gramEnd"/>
      <w:r w:rsidRPr="00E3194D">
        <w:rPr>
          <w:rFonts w:ascii="Book Antiqua" w:hAnsi="Book Antiqua"/>
          <w:szCs w:val="24"/>
        </w:rPr>
        <w:t xml:space="preserve"> K.25-06-021, the Appeal of WTI Communications U- 1447-C from Citation No. CD-2025-05-011 issued by the Communications Division.  </w:t>
      </w:r>
    </w:p>
    <w:p w:rsidRPr="00E3194D" w:rsidR="00E3194D" w:rsidP="00E3194D" w:rsidRDefault="00E3194D" w14:paraId="0B7A8676" w14:textId="77777777">
      <w:pPr>
        <w:suppressAutoHyphens/>
        <w:rPr>
          <w:szCs w:val="24"/>
        </w:rPr>
      </w:pPr>
    </w:p>
    <w:p w:rsidRPr="00E3194D" w:rsidR="00E3194D" w:rsidP="00E3194D" w:rsidRDefault="00E3194D" w14:paraId="76850F5E" w14:textId="77777777">
      <w:pPr>
        <w:jc w:val="center"/>
        <w:rPr>
          <w:rFonts w:ascii="Arial" w:hAnsi="Arial" w:cs="Arial"/>
          <w:b/>
          <w:szCs w:val="24"/>
        </w:rPr>
      </w:pPr>
      <w:r w:rsidRPr="00E3194D">
        <w:rPr>
          <w:rFonts w:ascii="Arial" w:hAnsi="Arial" w:cs="Arial"/>
          <w:b/>
          <w:szCs w:val="24"/>
        </w:rPr>
        <w:t>INFORMATION REGARDING SERVICE</w:t>
      </w:r>
    </w:p>
    <w:p w:rsidRPr="00E3194D" w:rsidR="00E3194D" w:rsidP="00E3194D" w:rsidRDefault="00E3194D" w14:paraId="69AB7352" w14:textId="77777777">
      <w:pPr>
        <w:suppressAutoHyphens/>
        <w:rPr>
          <w:szCs w:val="24"/>
        </w:rPr>
      </w:pPr>
    </w:p>
    <w:p w:rsidRPr="00E3194D" w:rsidR="00E3194D" w:rsidP="00E3194D" w:rsidRDefault="00E3194D" w14:paraId="7173F976" w14:textId="2CF627BF">
      <w:pPr>
        <w:spacing w:line="360" w:lineRule="auto"/>
        <w:ind w:firstLine="720"/>
        <w:rPr>
          <w:rFonts w:ascii="Book Antiqua" w:hAnsi="Book Antiqua"/>
          <w:szCs w:val="24"/>
        </w:rPr>
      </w:pPr>
      <w:r w:rsidRPr="00E3194D">
        <w:rPr>
          <w:rFonts w:ascii="Book Antiqua" w:hAnsi="Book Antiqua"/>
          <w:szCs w:val="24"/>
        </w:rPr>
        <w:t xml:space="preserve">I have electronically served all </w:t>
      </w:r>
      <w:proofErr w:type="gramStart"/>
      <w:r w:rsidRPr="00E3194D">
        <w:rPr>
          <w:rFonts w:ascii="Book Antiqua" w:hAnsi="Book Antiqua"/>
          <w:szCs w:val="24"/>
        </w:rPr>
        <w:t>persons</w:t>
      </w:r>
      <w:proofErr w:type="gramEnd"/>
      <w:r w:rsidRPr="00E3194D">
        <w:rPr>
          <w:rFonts w:ascii="Book Antiqua" w:hAnsi="Book Antiqua"/>
          <w:szCs w:val="24"/>
        </w:rPr>
        <w:t xml:space="preserve"> on the attached official service list who have provided an e-mail address for K.25-06-021</w:t>
      </w:r>
    </w:p>
    <w:p w:rsidRPr="00E3194D" w:rsidR="00E3194D" w:rsidP="00E3194D" w:rsidRDefault="00E3194D" w14:paraId="09361A8F" w14:textId="77777777">
      <w:pPr>
        <w:spacing w:line="360" w:lineRule="auto"/>
        <w:ind w:firstLine="720"/>
        <w:rPr>
          <w:rFonts w:ascii="Book Antiqua" w:hAnsi="Book Antiqua"/>
          <w:szCs w:val="24"/>
        </w:rPr>
      </w:pPr>
      <w:r w:rsidRPr="00E3194D">
        <w:rPr>
          <w:rFonts w:ascii="Book Antiqua" w:hAnsi="Book Antiqua"/>
          <w:szCs w:val="24"/>
        </w:rPr>
        <w:t>Upon confirmation of this document’s acceptance for filing, I will cause a copy of the filed document to be served by U.S. mail on all parties listed in the “Party” category of the official service list for whom no e-mail address is provided.</w:t>
      </w:r>
    </w:p>
    <w:p w:rsidRPr="00E3194D" w:rsidR="00E3194D" w:rsidP="00E3194D" w:rsidRDefault="00E3194D" w14:paraId="7BA588A2" w14:textId="7910E0BD">
      <w:pPr>
        <w:spacing w:line="360" w:lineRule="auto"/>
        <w:ind w:firstLine="720"/>
        <w:rPr>
          <w:rFonts w:ascii="Book Antiqua" w:hAnsi="Book Antiqua"/>
          <w:szCs w:val="24"/>
        </w:rPr>
      </w:pPr>
      <w:r w:rsidRPr="00E3194D">
        <w:rPr>
          <w:rFonts w:ascii="Book Antiqua" w:hAnsi="Book Antiqua"/>
          <w:szCs w:val="24"/>
        </w:rPr>
        <w:t xml:space="preserve">Dated </w:t>
      </w:r>
      <w:r>
        <w:rPr>
          <w:rFonts w:ascii="Book Antiqua" w:hAnsi="Book Antiqua"/>
          <w:szCs w:val="24"/>
        </w:rPr>
        <w:t xml:space="preserve">March 30, </w:t>
      </w:r>
      <w:proofErr w:type="gramStart"/>
      <w:r>
        <w:rPr>
          <w:rFonts w:ascii="Book Antiqua" w:hAnsi="Book Antiqua"/>
          <w:szCs w:val="24"/>
        </w:rPr>
        <w:t>2026</w:t>
      </w:r>
      <w:proofErr w:type="gramEnd"/>
      <w:r w:rsidRPr="00E3194D">
        <w:rPr>
          <w:rFonts w:ascii="Book Antiqua" w:hAnsi="Book Antiqua"/>
          <w:szCs w:val="24"/>
        </w:rPr>
        <w:t xml:space="preserve"> at San Francisco, California.</w:t>
      </w:r>
    </w:p>
    <w:p w:rsidRPr="00070884" w:rsidR="00E3194D" w:rsidP="00E3194D" w:rsidRDefault="00E3194D" w14:paraId="1877A0E5" w14:textId="77777777">
      <w:pPr>
        <w:rPr>
          <w:rFonts w:ascii="Book Antiqua" w:hAnsi="Book Antiqua"/>
          <w:sz w:val="26"/>
        </w:rPr>
      </w:pPr>
    </w:p>
    <w:p w:rsidRPr="00070884" w:rsidR="00E3194D" w:rsidP="00E3194D" w:rsidRDefault="00E3194D" w14:paraId="4064365A" w14:textId="77777777">
      <w:pPr>
        <w:rPr>
          <w:rFonts w:ascii="Book Antiqua" w:hAnsi="Book Antiqua"/>
          <w:sz w:val="26"/>
        </w:rPr>
      </w:pPr>
    </w:p>
    <w:tbl>
      <w:tblPr>
        <w:tblW w:w="8928" w:type="dxa"/>
        <w:tblLayout w:type="fixed"/>
        <w:tblLook w:val="0000" w:firstRow="0" w:lastRow="0" w:firstColumn="0" w:lastColumn="0" w:noHBand="0" w:noVBand="0"/>
      </w:tblPr>
      <w:tblGrid>
        <w:gridCol w:w="4248"/>
        <w:gridCol w:w="4680"/>
      </w:tblGrid>
      <w:tr w:rsidRPr="00070884" w:rsidR="00E3194D" w:rsidTr="00892D6D" w14:paraId="1C127ACC" w14:textId="77777777">
        <w:tc>
          <w:tcPr>
            <w:tcW w:w="4248" w:type="dxa"/>
          </w:tcPr>
          <w:p w:rsidRPr="00070884" w:rsidR="00E3194D" w:rsidP="00892D6D" w:rsidRDefault="00E3194D" w14:paraId="5F85E745" w14:textId="77777777">
            <w:pPr>
              <w:jc w:val="center"/>
              <w:rPr>
                <w:rFonts w:ascii="Book Antiqua" w:hAnsi="Book Antiqua"/>
                <w:sz w:val="26"/>
                <w:szCs w:val="26"/>
              </w:rPr>
            </w:pPr>
            <w:r>
              <w:rPr>
                <w:rFonts w:ascii="Book Antiqua" w:hAnsi="Book Antiqua"/>
                <w:sz w:val="26"/>
                <w:szCs w:val="26"/>
              </w:rPr>
              <w:t xml:space="preserve">             </w:t>
            </w:r>
          </w:p>
        </w:tc>
        <w:tc>
          <w:tcPr>
            <w:tcW w:w="4680" w:type="dxa"/>
            <w:tcBorders>
              <w:bottom w:val="single" w:color="auto" w:sz="4" w:space="0"/>
            </w:tcBorders>
          </w:tcPr>
          <w:p w:rsidRPr="00070884" w:rsidR="00E3194D" w:rsidP="00892D6D" w:rsidRDefault="00E3194D" w14:paraId="2F063455" w14:textId="77777777">
            <w:pPr>
              <w:jc w:val="center"/>
              <w:rPr>
                <w:rFonts w:ascii="Book Antiqua" w:hAnsi="Book Antiqua"/>
                <w:sz w:val="26"/>
                <w:szCs w:val="26"/>
              </w:rPr>
            </w:pPr>
            <w:r>
              <w:rPr>
                <w:rFonts w:ascii="Book Antiqua" w:hAnsi="Book Antiqua"/>
                <w:sz w:val="26"/>
                <w:szCs w:val="26"/>
              </w:rPr>
              <w:t>/s</w:t>
            </w:r>
            <w:proofErr w:type="gramStart"/>
            <w:r>
              <w:rPr>
                <w:rFonts w:ascii="Book Antiqua" w:hAnsi="Book Antiqua"/>
                <w:sz w:val="26"/>
                <w:szCs w:val="26"/>
              </w:rPr>
              <w:t>/  SHANE</w:t>
            </w:r>
            <w:proofErr w:type="gramEnd"/>
            <w:r>
              <w:rPr>
                <w:rFonts w:ascii="Book Antiqua" w:hAnsi="Book Antiqua"/>
                <w:sz w:val="26"/>
                <w:szCs w:val="26"/>
              </w:rPr>
              <w:t xml:space="preserve"> GUTTO</w:t>
            </w:r>
          </w:p>
        </w:tc>
      </w:tr>
      <w:tr w:rsidRPr="00070884" w:rsidR="00E3194D" w:rsidTr="00892D6D" w14:paraId="1B5DB166" w14:textId="77777777">
        <w:trPr>
          <w:trHeight w:val="345"/>
        </w:trPr>
        <w:tc>
          <w:tcPr>
            <w:tcW w:w="4248" w:type="dxa"/>
          </w:tcPr>
          <w:p w:rsidRPr="00070884" w:rsidR="00E3194D" w:rsidP="00892D6D" w:rsidRDefault="00E3194D" w14:paraId="0BFD9664" w14:textId="77777777">
            <w:pPr>
              <w:jc w:val="center"/>
              <w:rPr>
                <w:rFonts w:ascii="Book Antiqua" w:hAnsi="Book Antiqua"/>
                <w:sz w:val="26"/>
                <w:szCs w:val="26"/>
              </w:rPr>
            </w:pPr>
          </w:p>
        </w:tc>
        <w:tc>
          <w:tcPr>
            <w:tcW w:w="4680" w:type="dxa"/>
            <w:tcBorders>
              <w:top w:val="single" w:color="auto" w:sz="4" w:space="0"/>
            </w:tcBorders>
          </w:tcPr>
          <w:p w:rsidRPr="00070884" w:rsidR="00E3194D" w:rsidP="00892D6D" w:rsidRDefault="00E3194D" w14:paraId="1A7F293C" w14:textId="77777777">
            <w:pPr>
              <w:jc w:val="center"/>
              <w:rPr>
                <w:rFonts w:ascii="Book Antiqua" w:hAnsi="Book Antiqua"/>
                <w:sz w:val="26"/>
                <w:szCs w:val="26"/>
              </w:rPr>
            </w:pPr>
            <w:r>
              <w:rPr>
                <w:rFonts w:ascii="Book Antiqua" w:hAnsi="Book Antiqua"/>
                <w:sz w:val="26"/>
                <w:szCs w:val="26"/>
              </w:rPr>
              <w:t>Shane Gutto</w:t>
            </w:r>
          </w:p>
        </w:tc>
      </w:tr>
    </w:tbl>
    <w:p w:rsidRPr="00070884" w:rsidR="00E3194D" w:rsidP="00E3194D" w:rsidRDefault="00E3194D" w14:paraId="746B5E48" w14:textId="77777777">
      <w:pPr>
        <w:autoSpaceDE w:val="0"/>
        <w:autoSpaceDN w:val="0"/>
        <w:adjustRightInd w:val="0"/>
        <w:jc w:val="center"/>
        <w:rPr>
          <w:rFonts w:ascii="Book Antiqua" w:hAnsi="Book Antiqua" w:cs="Helvetica"/>
          <w:b/>
          <w:bCs/>
          <w:spacing w:val="120"/>
          <w:sz w:val="26"/>
          <w:szCs w:val="26"/>
        </w:rPr>
        <w:sectPr w:rsidRPr="00070884" w:rsidR="00E3194D" w:rsidSect="00E3194D">
          <w:headerReference w:type="default" r:id="rId20"/>
          <w:footerReference w:type="default" r:id="rId21"/>
          <w:headerReference w:type="first" r:id="rId22"/>
          <w:footerReference w:type="first" r:id="rId23"/>
          <w:pgSz w:w="12240" w:h="15840"/>
          <w:pgMar w:top="1728" w:right="1440" w:bottom="1440" w:left="1440" w:header="720" w:footer="720" w:gutter="0"/>
          <w:pgNumType w:fmt="numberInDash" w:start="2"/>
          <w:cols w:space="720"/>
          <w:titlePg/>
          <w:docGrid w:linePitch="360"/>
        </w:sectPr>
      </w:pPr>
    </w:p>
    <w:p w:rsidRPr="00070884" w:rsidR="00E3194D" w:rsidP="00E3194D" w:rsidRDefault="00E3194D" w14:paraId="560CF441" w14:textId="77777777">
      <w:pPr>
        <w:autoSpaceDE w:val="0"/>
        <w:autoSpaceDN w:val="0"/>
        <w:adjustRightInd w:val="0"/>
        <w:jc w:val="center"/>
        <w:rPr>
          <w:rFonts w:ascii="Book Antiqua" w:hAnsi="Book Antiqua" w:cs="Helvetica"/>
          <w:b/>
          <w:bCs/>
          <w:spacing w:val="120"/>
          <w:sz w:val="26"/>
          <w:szCs w:val="26"/>
        </w:rPr>
        <w:sectPr w:rsidRPr="00070884" w:rsidR="00E3194D" w:rsidSect="00E3194D">
          <w:headerReference w:type="first" r:id="rId24"/>
          <w:footerReference w:type="first" r:id="rId25"/>
          <w:type w:val="continuous"/>
          <w:pgSz w:w="12240" w:h="15840"/>
          <w:pgMar w:top="1728" w:right="1440" w:bottom="1440" w:left="1440" w:header="720" w:footer="720" w:gutter="0"/>
          <w:pgNumType w:fmt="numberInDash" w:start="1"/>
          <w:cols w:space="720"/>
          <w:titlePg/>
          <w:docGrid w:linePitch="360"/>
        </w:sectPr>
      </w:pPr>
    </w:p>
    <w:p w:rsidRPr="00070884" w:rsidR="00E3194D" w:rsidP="00E3194D" w:rsidRDefault="00E3194D" w14:paraId="4A034472" w14:textId="77777777">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lastRenderedPageBreak/>
        <w:t>NOTICE</w:t>
      </w:r>
    </w:p>
    <w:p w:rsidRPr="00070884" w:rsidR="00E3194D" w:rsidP="00E3194D" w:rsidRDefault="00E3194D" w14:paraId="7A65934A" w14:textId="77777777">
      <w:pPr>
        <w:autoSpaceDE w:val="0"/>
        <w:autoSpaceDN w:val="0"/>
        <w:adjustRightInd w:val="0"/>
        <w:rPr>
          <w:rFonts w:ascii="Helvetica" w:hAnsi="Helvetica" w:cs="Helvetica"/>
          <w:szCs w:val="24"/>
        </w:rPr>
      </w:pPr>
    </w:p>
    <w:p w:rsidRPr="00070884" w:rsidR="00E3194D" w:rsidP="00E3194D" w:rsidRDefault="00E3194D" w14:paraId="25D081D5"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E3194D" w:rsidP="00E3194D" w:rsidRDefault="00E3194D" w14:paraId="4B119D46" w14:textId="77777777">
      <w:pPr>
        <w:autoSpaceDE w:val="0"/>
        <w:autoSpaceDN w:val="0"/>
        <w:adjustRightInd w:val="0"/>
        <w:ind w:left="720" w:right="1080"/>
        <w:rPr>
          <w:rFonts w:ascii="Arial" w:hAnsi="Arial" w:cs="Arial"/>
          <w:szCs w:val="24"/>
        </w:rPr>
      </w:pPr>
    </w:p>
    <w:p w:rsidRPr="00070884" w:rsidR="00E3194D" w:rsidP="00E3194D" w:rsidRDefault="00E3194D" w14:paraId="7DCB588C" w14:textId="77777777">
      <w:pPr>
        <w:tabs>
          <w:tab w:val="left" w:pos="0"/>
        </w:tabs>
        <w:autoSpaceDE w:val="0"/>
        <w:autoSpaceDN w:val="0"/>
        <w:adjustRightInd w:val="0"/>
        <w:ind w:left="720" w:right="1080"/>
        <w:rPr>
          <w:rFonts w:ascii="Arial" w:hAnsi="Arial" w:cs="Arial"/>
          <w:szCs w:val="24"/>
        </w:rPr>
      </w:pPr>
      <w:proofErr w:type="gramStart"/>
      <w:r w:rsidRPr="00070884">
        <w:rPr>
          <w:rFonts w:ascii="Arial" w:hAnsi="Arial" w:cs="Arial"/>
          <w:szCs w:val="24"/>
        </w:rPr>
        <w:t xml:space="preserve">* * * * * * * * * * * * * * * * * * * * * * * * * * * * * * * * * * * * * * * * * * * * * </w:t>
      </w:r>
      <w:proofErr w:type="gramEnd"/>
      <w:r w:rsidRPr="00070884">
        <w:rPr>
          <w:rFonts w:ascii="Arial" w:hAnsi="Arial" w:cs="Arial"/>
          <w:szCs w:val="24"/>
        </w:rPr>
        <w:t xml:space="preserve">* </w:t>
      </w:r>
    </w:p>
    <w:p w:rsidRPr="00070884" w:rsidR="00E3194D" w:rsidP="00E3194D" w:rsidRDefault="00E3194D" w14:paraId="7D10F60E" w14:textId="77777777">
      <w:pPr>
        <w:tabs>
          <w:tab w:val="left" w:pos="0"/>
        </w:tabs>
        <w:autoSpaceDE w:val="0"/>
        <w:autoSpaceDN w:val="0"/>
        <w:adjustRightInd w:val="0"/>
        <w:ind w:left="720" w:right="1440"/>
        <w:rPr>
          <w:rFonts w:ascii="Arial" w:hAnsi="Arial" w:cs="Arial"/>
          <w:sz w:val="18"/>
          <w:szCs w:val="18"/>
        </w:rPr>
      </w:pPr>
    </w:p>
    <w:p w:rsidRPr="00070884" w:rsidR="00E3194D" w:rsidP="00E3194D" w:rsidRDefault="00E3194D" w14:paraId="0EBC7964"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E3194D" w:rsidP="00E3194D" w:rsidRDefault="00E3194D" w14:paraId="6F89A002" w14:textId="77777777">
      <w:pPr>
        <w:tabs>
          <w:tab w:val="left" w:pos="0"/>
        </w:tabs>
        <w:autoSpaceDE w:val="0"/>
        <w:autoSpaceDN w:val="0"/>
        <w:adjustRightInd w:val="0"/>
        <w:ind w:left="720" w:right="900"/>
        <w:rPr>
          <w:rFonts w:ascii="Arial" w:hAnsi="Arial" w:cs="Arial"/>
          <w:szCs w:val="24"/>
        </w:rPr>
      </w:pPr>
    </w:p>
    <w:p w:rsidRPr="00070884" w:rsidR="00E3194D" w:rsidP="00E3194D" w:rsidRDefault="00E3194D" w14:paraId="0DCC4CCA" w14:textId="77777777">
      <w:pPr>
        <w:tabs>
          <w:tab w:val="left" w:pos="0"/>
        </w:tabs>
        <w:autoSpaceDE w:val="0"/>
        <w:autoSpaceDN w:val="0"/>
        <w:adjustRightInd w:val="0"/>
        <w:ind w:left="720" w:right="900"/>
        <w:rPr>
          <w:rFonts w:ascii="Arial" w:hAnsi="Arial" w:cs="Arial"/>
          <w:szCs w:val="24"/>
        </w:rPr>
        <w:sectPr w:rsidRPr="00070884" w:rsidR="00E3194D" w:rsidSect="00E3194D">
          <w:headerReference w:type="first" r:id="rId26"/>
          <w:footerReference w:type="first" r:id="rId27"/>
          <w:pgSz w:w="12240" w:h="15840"/>
          <w:pgMar w:top="1728" w:right="1440" w:bottom="1440" w:left="1440" w:header="720" w:footer="720" w:gutter="0"/>
          <w:pgNumType w:fmt="numberInDash" w:start="2"/>
          <w:cols w:space="720"/>
          <w:titlePg/>
          <w:docGrid w:linePitch="360"/>
        </w:sect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00323166" w:rsidTr="004749B6" w14:paraId="04A33664" w14:textId="77777777">
        <w:tc>
          <w:tcPr>
            <w:tcW w:w="5400" w:type="dxa"/>
            <w:tcBorders>
              <w:top w:val="nil"/>
              <w:left w:val="nil"/>
              <w:bottom w:val="nil"/>
              <w:right w:val="nil"/>
            </w:tcBorders>
          </w:tcPr>
          <w:p w:rsidR="00323166" w:rsidP="004749B6" w:rsidRDefault="00323166" w14:paraId="714ED303" w14:textId="7523B676">
            <w:pPr>
              <w:rPr>
                <w:sz w:val="18"/>
                <w:szCs w:val="18"/>
              </w:rPr>
            </w:pPr>
            <w:r>
              <w:rPr>
                <w:b/>
                <w:bCs/>
                <w:sz w:val="18"/>
                <w:szCs w:val="18"/>
              </w:rPr>
              <w:lastRenderedPageBreak/>
              <w:t xml:space="preserve">************** PARTIES ************** </w:t>
            </w:r>
            <w:r>
              <w:rPr>
                <w:sz w:val="18"/>
                <w:szCs w:val="18"/>
              </w:rPr>
              <w:br/>
            </w:r>
            <w:r>
              <w:rPr>
                <w:b/>
                <w:bCs/>
              </w:rPr>
              <w:t>************ SERVICE LIST ***********</w:t>
            </w:r>
            <w:r>
              <w:rPr>
                <w:b/>
                <w:bCs/>
              </w:rPr>
              <w:br/>
              <w:t xml:space="preserve">Last Updated on 30-MAR-2026 by: AMT </w:t>
            </w:r>
            <w:r>
              <w:br/>
            </w:r>
            <w:r>
              <w:rPr>
                <w:b/>
                <w:bCs/>
              </w:rPr>
              <w:t>K2506021 LIST</w:t>
            </w:r>
            <w:r>
              <w:rPr>
                <w:sz w:val="18"/>
                <w:szCs w:val="18"/>
              </w:rPr>
              <w:br/>
              <w:t xml:space="preserve">Saraf Tarannum                               </w:t>
            </w:r>
            <w:r>
              <w:rPr>
                <w:sz w:val="18"/>
                <w:szCs w:val="18"/>
              </w:rPr>
              <w:br/>
              <w:t xml:space="preserve">Communications Division                      </w:t>
            </w:r>
            <w:r>
              <w:rPr>
                <w:sz w:val="18"/>
                <w:szCs w:val="18"/>
              </w:rPr>
              <w:br/>
              <w:t xml:space="preserve">505 Van Ness Avenue                          </w:t>
            </w:r>
            <w:r>
              <w:rPr>
                <w:sz w:val="18"/>
                <w:szCs w:val="18"/>
              </w:rPr>
              <w:br/>
              <w:t xml:space="preserve">San Francisco CA 94102 3298                  </w:t>
            </w:r>
            <w:r>
              <w:rPr>
                <w:sz w:val="18"/>
                <w:szCs w:val="18"/>
              </w:rPr>
              <w:br/>
              <w:t xml:space="preserve">st1@cpuc.ca.gov                              </w:t>
            </w:r>
            <w:r>
              <w:rPr>
                <w:sz w:val="18"/>
                <w:szCs w:val="18"/>
              </w:rPr>
              <w:br/>
              <w:t xml:space="preserve">For: Communication Division                                                                                                                                                                                                                                                                                                                                                                                                                                                                                                                                                                                                                                                                                                                                                                                                     </w:t>
            </w:r>
            <w:r>
              <w:rPr>
                <w:sz w:val="18"/>
                <w:szCs w:val="18"/>
              </w:rPr>
              <w:br/>
            </w:r>
            <w:r>
              <w:rPr>
                <w:sz w:val="18"/>
                <w:szCs w:val="18"/>
              </w:rPr>
              <w:br/>
              <w:t xml:space="preserve">Tony Rodriguez                               </w:t>
            </w:r>
            <w:r>
              <w:rPr>
                <w:sz w:val="18"/>
                <w:szCs w:val="18"/>
              </w:rPr>
              <w:br/>
              <w:t xml:space="preserve">President                                    </w:t>
            </w:r>
            <w:r>
              <w:rPr>
                <w:sz w:val="18"/>
                <w:szCs w:val="18"/>
              </w:rPr>
              <w:br/>
              <w:t xml:space="preserve">WTI COMMUNICATIONS                           </w:t>
            </w:r>
            <w:r>
              <w:rPr>
                <w:sz w:val="18"/>
                <w:szCs w:val="18"/>
              </w:rPr>
              <w:br/>
              <w:t xml:space="preserve">26050 ACERO                                  </w:t>
            </w:r>
            <w:r>
              <w:rPr>
                <w:sz w:val="18"/>
                <w:szCs w:val="18"/>
              </w:rPr>
              <w:br/>
              <w:t xml:space="preserve">MISSION VIEJO CA 92692                       </w:t>
            </w:r>
            <w:r>
              <w:rPr>
                <w:sz w:val="18"/>
                <w:szCs w:val="18"/>
              </w:rPr>
              <w:br/>
              <w:t xml:space="preserve">(949) 338-8669                               </w:t>
            </w:r>
            <w:r>
              <w:rPr>
                <w:sz w:val="18"/>
                <w:szCs w:val="18"/>
              </w:rPr>
              <w:br/>
              <w:t xml:space="preserve">TonyR@WTIcommunications.com                  </w:t>
            </w:r>
            <w:r>
              <w:rPr>
                <w:sz w:val="18"/>
                <w:szCs w:val="18"/>
              </w:rPr>
              <w:br/>
              <w:t>For: WTI Communications                                                                                                                                                                                                                                                                                                                                                                                                                                                                                                                                                                                                                                                                                                                                                                                                         ____________________________________________</w:t>
            </w:r>
            <w:r>
              <w:rPr>
                <w:sz w:val="18"/>
                <w:szCs w:val="18"/>
              </w:rPr>
              <w:br/>
            </w:r>
            <w:r>
              <w:rPr>
                <w:sz w:val="18"/>
                <w:szCs w:val="18"/>
              </w:rPr>
              <w:br/>
            </w:r>
            <w:r>
              <w:rPr>
                <w:b/>
                <w:bCs/>
                <w:sz w:val="18"/>
                <w:szCs w:val="18"/>
              </w:rPr>
              <w:t xml:space="preserve">********** STATE EMPLOYEE *********** </w:t>
            </w:r>
            <w:r>
              <w:rPr>
                <w:sz w:val="18"/>
                <w:szCs w:val="18"/>
              </w:rPr>
              <w:br/>
            </w:r>
            <w:r>
              <w:rPr>
                <w:sz w:val="18"/>
                <w:szCs w:val="18"/>
              </w:rPr>
              <w:br/>
            </w:r>
            <w:r>
              <w:rPr>
                <w:b/>
                <w:bCs/>
                <w:sz w:val="18"/>
                <w:szCs w:val="18"/>
              </w:rPr>
              <w:t xml:space="preserve">********* INFORMATION ONLY ********** </w:t>
            </w:r>
            <w:r>
              <w:rPr>
                <w:sz w:val="18"/>
                <w:szCs w:val="18"/>
              </w:rPr>
              <w:br/>
            </w:r>
            <w:r>
              <w:rPr>
                <w:sz w:val="18"/>
                <w:szCs w:val="18"/>
              </w:rPr>
              <w:br/>
              <w:t xml:space="preserve">Dorris Chow                                  </w:t>
            </w:r>
            <w:r>
              <w:rPr>
                <w:sz w:val="18"/>
                <w:szCs w:val="18"/>
              </w:rPr>
              <w:br/>
              <w:t xml:space="preserve">Communications Division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703-2182                               </w:t>
            </w:r>
            <w:r>
              <w:rPr>
                <w:sz w:val="18"/>
                <w:szCs w:val="18"/>
              </w:rPr>
              <w:br/>
              <w:t xml:space="preserve">dnl@cpuc.ca.gov                              </w:t>
            </w:r>
            <w:r>
              <w:rPr>
                <w:sz w:val="18"/>
                <w:szCs w:val="18"/>
              </w:rPr>
              <w:br/>
            </w:r>
            <w:r>
              <w:rPr>
                <w:sz w:val="18"/>
                <w:szCs w:val="18"/>
              </w:rPr>
              <w:br/>
              <w:t xml:space="preserve">Enrique Gallardo                             </w:t>
            </w:r>
            <w:r>
              <w:rPr>
                <w:sz w:val="18"/>
                <w:szCs w:val="18"/>
              </w:rPr>
              <w:br/>
              <w:t xml:space="preserve">Legal Division                               </w:t>
            </w:r>
            <w:r>
              <w:rPr>
                <w:sz w:val="18"/>
                <w:szCs w:val="18"/>
              </w:rPr>
              <w:br/>
              <w:t xml:space="preserve">505 Van Ness Avenue                          </w:t>
            </w:r>
            <w:r>
              <w:rPr>
                <w:sz w:val="18"/>
                <w:szCs w:val="18"/>
              </w:rPr>
              <w:br/>
              <w:t xml:space="preserve">San Francisco CA 94102 3298                  </w:t>
            </w:r>
            <w:r>
              <w:rPr>
                <w:sz w:val="18"/>
                <w:szCs w:val="18"/>
              </w:rPr>
              <w:br/>
              <w:t xml:space="preserve">(415) 703-1420                               </w:t>
            </w:r>
            <w:r>
              <w:rPr>
                <w:sz w:val="18"/>
                <w:szCs w:val="18"/>
              </w:rPr>
              <w:br/>
              <w:t xml:space="preserve">eg2@cpuc.ca.gov                              </w:t>
            </w:r>
            <w:r>
              <w:rPr>
                <w:sz w:val="18"/>
                <w:szCs w:val="18"/>
              </w:rPr>
              <w:br/>
            </w:r>
            <w:r>
              <w:rPr>
                <w:sz w:val="18"/>
                <w:szCs w:val="18"/>
              </w:rPr>
              <w:br/>
              <w:t xml:space="preserve">Roderick Hill                                </w:t>
            </w:r>
            <w:r>
              <w:rPr>
                <w:sz w:val="18"/>
                <w:szCs w:val="18"/>
              </w:rPr>
              <w:br/>
              <w:t xml:space="preserve">Legal Division                               </w:t>
            </w:r>
            <w:r>
              <w:rPr>
                <w:sz w:val="18"/>
                <w:szCs w:val="18"/>
              </w:rPr>
              <w:br/>
              <w:t xml:space="preserve">RM. 4300                                     </w:t>
            </w:r>
            <w:r>
              <w:rPr>
                <w:sz w:val="18"/>
                <w:szCs w:val="18"/>
              </w:rPr>
              <w:br/>
              <w:t xml:space="preserve">505 Van Ness Avenue                          </w:t>
            </w:r>
            <w:r>
              <w:rPr>
                <w:sz w:val="18"/>
                <w:szCs w:val="18"/>
              </w:rPr>
              <w:br/>
              <w:t xml:space="preserve">San Francisco CA 94102 3298                  </w:t>
            </w:r>
            <w:r>
              <w:rPr>
                <w:sz w:val="18"/>
                <w:szCs w:val="18"/>
              </w:rPr>
              <w:br/>
              <w:t xml:space="preserve">(415) 703-4478                               </w:t>
            </w:r>
            <w:r>
              <w:rPr>
                <w:sz w:val="18"/>
                <w:szCs w:val="18"/>
              </w:rPr>
              <w:br/>
              <w:t xml:space="preserve">rhi@cpuc.ca.gov                              </w:t>
            </w:r>
            <w:r>
              <w:rPr>
                <w:sz w:val="18"/>
                <w:szCs w:val="18"/>
              </w:rPr>
              <w:br/>
            </w:r>
            <w:r>
              <w:rPr>
                <w:sz w:val="18"/>
                <w:szCs w:val="18"/>
              </w:rPr>
              <w:br/>
            </w:r>
            <w:r>
              <w:rPr>
                <w:sz w:val="18"/>
                <w:szCs w:val="18"/>
              </w:rPr>
              <w:br/>
            </w:r>
          </w:p>
        </w:tc>
        <w:tc>
          <w:tcPr>
            <w:tcW w:w="5400" w:type="dxa"/>
            <w:tcBorders>
              <w:top w:val="nil"/>
              <w:left w:val="nil"/>
              <w:bottom w:val="nil"/>
              <w:right w:val="nil"/>
            </w:tcBorders>
          </w:tcPr>
          <w:p w:rsidR="00323166" w:rsidP="004749B6" w:rsidRDefault="00323166" w14:paraId="7802206F" w14:textId="761BC25A">
            <w:pPr>
              <w:rPr>
                <w:sz w:val="18"/>
                <w:szCs w:val="18"/>
              </w:rPr>
            </w:pPr>
            <w:r>
              <w:rPr>
                <w:sz w:val="18"/>
                <w:szCs w:val="18"/>
              </w:rPr>
              <w:t xml:space="preserve">Suman Mathews                                </w:t>
            </w:r>
            <w:r>
              <w:rPr>
                <w:sz w:val="18"/>
                <w:szCs w:val="18"/>
              </w:rPr>
              <w:br/>
              <w:t xml:space="preserve">Administrative Law Judge Division            </w:t>
            </w:r>
            <w:r>
              <w:rPr>
                <w:sz w:val="18"/>
                <w:szCs w:val="18"/>
              </w:rPr>
              <w:br/>
              <w:t xml:space="preserve">300 Capitol Mall                             </w:t>
            </w:r>
            <w:r>
              <w:rPr>
                <w:sz w:val="18"/>
                <w:szCs w:val="18"/>
              </w:rPr>
              <w:br/>
              <w:t xml:space="preserve">Sacramento CA 95814 4309                     </w:t>
            </w:r>
            <w:r>
              <w:rPr>
                <w:sz w:val="18"/>
                <w:szCs w:val="18"/>
              </w:rPr>
              <w:br/>
              <w:t xml:space="preserve">(415) 703-1534                               </w:t>
            </w:r>
            <w:r>
              <w:rPr>
                <w:sz w:val="18"/>
                <w:szCs w:val="18"/>
              </w:rPr>
              <w:br/>
              <w:t xml:space="preserve">srm@cpuc.ca.gov                              </w:t>
            </w:r>
            <w:r>
              <w:rPr>
                <w:sz w:val="18"/>
                <w:szCs w:val="18"/>
              </w:rPr>
              <w:br/>
            </w:r>
            <w:r>
              <w:rPr>
                <w:sz w:val="18"/>
                <w:szCs w:val="18"/>
              </w:rPr>
              <w:br/>
              <w:t xml:space="preserve">Catherine Rucker                             </w:t>
            </w:r>
            <w:r>
              <w:rPr>
                <w:sz w:val="18"/>
                <w:szCs w:val="18"/>
              </w:rPr>
              <w:br/>
              <w:t xml:space="preserve">Legal Division                               </w:t>
            </w:r>
            <w:r>
              <w:rPr>
                <w:sz w:val="18"/>
                <w:szCs w:val="18"/>
              </w:rPr>
              <w:br/>
              <w:t xml:space="preserve">505 Van Ness Avenue                          </w:t>
            </w:r>
            <w:r>
              <w:rPr>
                <w:sz w:val="18"/>
                <w:szCs w:val="18"/>
              </w:rPr>
              <w:br/>
              <w:t xml:space="preserve">San Francisco CA 94102 3298                  </w:t>
            </w:r>
            <w:r>
              <w:rPr>
                <w:sz w:val="18"/>
                <w:szCs w:val="18"/>
              </w:rPr>
              <w:br/>
              <w:t xml:space="preserve">(415) 703-1755                               </w:t>
            </w:r>
            <w:r>
              <w:rPr>
                <w:sz w:val="18"/>
                <w:szCs w:val="18"/>
              </w:rPr>
              <w:br/>
              <w:t xml:space="preserve">crk@cpuc.ca.gov                              </w:t>
            </w:r>
            <w:r>
              <w:rPr>
                <w:sz w:val="18"/>
                <w:szCs w:val="18"/>
              </w:rPr>
              <w:br/>
            </w:r>
            <w:r>
              <w:rPr>
                <w:sz w:val="18"/>
                <w:szCs w:val="18"/>
              </w:rPr>
              <w:br/>
              <w:t xml:space="preserve">Amy Lau                                      </w:t>
            </w:r>
            <w:r>
              <w:rPr>
                <w:sz w:val="18"/>
                <w:szCs w:val="18"/>
              </w:rPr>
              <w:br/>
              <w:t xml:space="preserve">Communications Division                      </w:t>
            </w:r>
            <w:r>
              <w:rPr>
                <w:sz w:val="18"/>
                <w:szCs w:val="18"/>
              </w:rPr>
              <w:br/>
              <w:t xml:space="preserve">RM. 3-16                                     </w:t>
            </w:r>
            <w:r>
              <w:rPr>
                <w:sz w:val="18"/>
                <w:szCs w:val="18"/>
              </w:rPr>
              <w:br/>
              <w:t xml:space="preserve">505 Van Ness Avenue                          </w:t>
            </w:r>
            <w:r>
              <w:rPr>
                <w:sz w:val="18"/>
                <w:szCs w:val="18"/>
              </w:rPr>
              <w:br/>
              <w:t xml:space="preserve">San Francisco CA 94102 3298                  </w:t>
            </w:r>
            <w:r>
              <w:rPr>
                <w:sz w:val="18"/>
                <w:szCs w:val="18"/>
              </w:rPr>
              <w:br/>
              <w:t xml:space="preserve">(415) 696-7310                               </w:t>
            </w:r>
            <w:r>
              <w:rPr>
                <w:sz w:val="18"/>
                <w:szCs w:val="18"/>
              </w:rPr>
              <w:br/>
              <w:t xml:space="preserve">al6@cpuc.ca.gov                              </w:t>
            </w:r>
          </w:p>
        </w:tc>
      </w:tr>
    </w:tbl>
    <w:p w:rsidRPr="007763FF" w:rsidR="005E3875" w:rsidRDefault="005E3875" w14:paraId="7D3BBF8C" w14:textId="6ACC9B7B">
      <w:pPr>
        <w:rPr>
          <w:rFonts w:ascii="Book Antiqua" w:hAnsi="Book Antiqua"/>
          <w:szCs w:val="24"/>
        </w:rPr>
      </w:pPr>
    </w:p>
    <w:sectPr w:rsidRPr="007763FF" w:rsidR="005E3875">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2185" w14:textId="77777777" w:rsidR="000F08A6" w:rsidRDefault="000F08A6">
      <w:r>
        <w:separator/>
      </w:r>
    </w:p>
  </w:endnote>
  <w:endnote w:type="continuationSeparator" w:id="0">
    <w:p w14:paraId="0062B952" w14:textId="77777777" w:rsidR="000F08A6" w:rsidRDefault="000F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E65F" w14:textId="77777777" w:rsidR="00C47C2A" w:rsidRPr="00EF6622" w:rsidRDefault="00C47C2A">
    <w:pPr>
      <w:pStyle w:val="Footer"/>
      <w:rPr>
        <w:rFonts w:ascii="Book Antiqua" w:hAnsi="Book Antiqua"/>
        <w:sz w:val="26"/>
        <w:szCs w:val="26"/>
      </w:rPr>
    </w:pPr>
    <w:r>
      <w:tab/>
    </w:r>
    <w:r w:rsidRPr="00EF6622">
      <w:rPr>
        <w:rFonts w:ascii="Book Antiqua" w:hAnsi="Book Antiqua"/>
        <w:sz w:val="26"/>
        <w:szCs w:val="26"/>
      </w:rPr>
      <w:t xml:space="preserve">- </w:t>
    </w:r>
    <w:r w:rsidRPr="00EF6622">
      <w:rPr>
        <w:rStyle w:val="PageNumber"/>
        <w:rFonts w:ascii="Book Antiqua" w:hAnsi="Book Antiqua"/>
        <w:sz w:val="26"/>
        <w:szCs w:val="26"/>
      </w:rPr>
      <w:fldChar w:fldCharType="begin"/>
    </w:r>
    <w:r w:rsidRPr="00EF6622">
      <w:rPr>
        <w:rStyle w:val="PageNumber"/>
        <w:rFonts w:ascii="Book Antiqua" w:hAnsi="Book Antiqua"/>
        <w:sz w:val="26"/>
        <w:szCs w:val="26"/>
      </w:rPr>
      <w:instrText xml:space="preserve"> PAGE </w:instrText>
    </w:r>
    <w:r w:rsidRPr="00EF6622">
      <w:rPr>
        <w:rStyle w:val="PageNumber"/>
        <w:rFonts w:ascii="Book Antiqua" w:hAnsi="Book Antiqua"/>
        <w:sz w:val="26"/>
        <w:szCs w:val="26"/>
      </w:rPr>
      <w:fldChar w:fldCharType="separate"/>
    </w:r>
    <w:r w:rsidR="00FF004B" w:rsidRPr="00EF6622">
      <w:rPr>
        <w:rStyle w:val="PageNumber"/>
        <w:rFonts w:ascii="Book Antiqua" w:hAnsi="Book Antiqua"/>
        <w:noProof/>
        <w:sz w:val="26"/>
        <w:szCs w:val="26"/>
      </w:rPr>
      <w:t>2</w:t>
    </w:r>
    <w:r w:rsidRPr="00EF6622">
      <w:rPr>
        <w:rStyle w:val="PageNumber"/>
        <w:rFonts w:ascii="Book Antiqua" w:hAnsi="Book Antiqua"/>
        <w:sz w:val="26"/>
        <w:szCs w:val="26"/>
      </w:rPr>
      <w:fldChar w:fldCharType="end"/>
    </w:r>
    <w:r w:rsidRPr="00EF6622">
      <w:rPr>
        <w:rFonts w:ascii="Book Antiqua" w:hAnsi="Book Antiqua"/>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77B9" w14:textId="5965C608" w:rsidR="002019FB" w:rsidRDefault="008A730F" w:rsidP="00F96B83">
    <w:pPr>
      <w:pStyle w:val="Footer"/>
    </w:pPr>
    <w:r w:rsidRPr="008A730F">
      <w:rPr>
        <w:rFonts w:ascii="Book Antiqua" w:hAnsi="Book Antiqua"/>
        <w:sz w:val="16"/>
        <w:szCs w:val="16"/>
      </w:rPr>
      <w:t>603838667</w:t>
    </w:r>
    <w:r w:rsidR="002019FB">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2F85" w14:textId="77777777" w:rsidR="00E3194D" w:rsidRPr="00070884" w:rsidRDefault="00E3194D" w:rsidP="00070884">
    <w:pPr>
      <w:pStyle w:val="Footer"/>
      <w:jc w:val="center"/>
      <w:rPr>
        <w:rFonts w:ascii="Book Antiqua" w:hAnsi="Book Antiqua"/>
      </w:rPr>
    </w:pPr>
    <w:r w:rsidRPr="00070884">
      <w:rPr>
        <w:rFonts w:ascii="Book Antiqua" w:hAnsi="Book Antiqua"/>
      </w:rPr>
      <w:fldChar w:fldCharType="begin"/>
    </w:r>
    <w:r w:rsidRPr="00070884">
      <w:rPr>
        <w:rFonts w:ascii="Book Antiqua" w:hAnsi="Book Antiqua"/>
      </w:rPr>
      <w:instrText xml:space="preserve"> PAGE   \* MERGEFORMAT </w:instrText>
    </w:r>
    <w:r w:rsidRPr="00070884">
      <w:rPr>
        <w:rFonts w:ascii="Book Antiqua" w:hAnsi="Book Antiqua"/>
      </w:rPr>
      <w:fldChar w:fldCharType="separate"/>
    </w:r>
    <w:r w:rsidRPr="00070884">
      <w:rPr>
        <w:rFonts w:ascii="Book Antiqua" w:hAnsi="Book Antiqua"/>
        <w:noProof/>
      </w:rPr>
      <w:t>2</w:t>
    </w:r>
    <w:r w:rsidRPr="00070884">
      <w:rPr>
        <w:rFonts w:ascii="Book Antiqua" w:hAnsi="Book Antiqu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4FD" w14:textId="77777777" w:rsidR="00E3194D" w:rsidRPr="00AF0F82" w:rsidRDefault="00E3194D" w:rsidP="00070884">
    <w:pPr>
      <w:pStyle w:val="Footer"/>
      <w:tabs>
        <w:tab w:val="clear" w:pos="4320"/>
        <w:tab w:val="clear" w:pos="8640"/>
        <w:tab w:val="right" w:pos="9360"/>
      </w:tabs>
      <w:ind w:left="648"/>
      <w:jc w:val="center"/>
      <w:rPr>
        <w:rFonts w:ascii="Book Antiqua" w:hAnsi="Book Antiqua"/>
      </w:rPr>
    </w:pPr>
    <w:r w:rsidRPr="00AF0F82">
      <w:rPr>
        <w:rFonts w:ascii="Book Antiqua" w:hAnsi="Book Antiqua"/>
      </w:rPr>
      <w:t>- 1 -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A26" w14:textId="77777777" w:rsidR="00E3194D" w:rsidRDefault="00E3194D" w:rsidP="002F4E62">
    <w:pPr>
      <w:pStyle w:val="Footer"/>
    </w:pPr>
    <w:r>
      <w:fldChar w:fldCharType="begin"/>
    </w:r>
    <w:r>
      <w:instrText xml:space="preserve"> PAGE   \* MERGEFORMAT </w:instrText>
    </w:r>
    <w:r>
      <w:fldChar w:fldCharType="separate"/>
    </w:r>
    <w:r>
      <w:rPr>
        <w:noProof/>
      </w:rPr>
      <w:t>- 1 -</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AA9A" w14:textId="46E983BD" w:rsidR="00E3194D" w:rsidRPr="00AF0F82" w:rsidRDefault="00E3194D" w:rsidP="00E3194D">
    <w:pPr>
      <w:pStyle w:val="Footer"/>
      <w:ind w:left="720"/>
      <w:rPr>
        <w:rFonts w:ascii="Book Antiqua" w:hAnsi="Book Antiqua"/>
      </w:rPr>
    </w:pPr>
    <w:r>
      <w:rPr>
        <w:rFonts w:ascii="Book Antiqua" w:hAnsi="Book Antiqua"/>
      </w:rPr>
      <w:tab/>
    </w:r>
    <w:r w:rsidR="008A2A8C">
      <w:rPr>
        <w:rFonts w:ascii="Book Antiqua" w:hAnsi="Book Antiqua"/>
      </w:rPr>
      <w:t>-</w:t>
    </w:r>
    <w:r>
      <w:rPr>
        <w:rFonts w:ascii="Book Antiqua" w:hAnsi="Book Antiqua"/>
      </w:rPr>
      <w:t xml:space="preserve"> </w:t>
    </w: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r>
      <w:rPr>
        <w:rFonts w:ascii="Book Antiqua" w:hAnsi="Book Antiqua"/>
        <w:noProof/>
      </w:rPr>
      <w:t xml:space="preserve"> </w:t>
    </w:r>
    <w:r w:rsidR="008A2A8C">
      <w:rPr>
        <w:rFonts w:ascii="Book Antiqua" w:hAnsi="Book Antiqua"/>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8256" w14:textId="77777777" w:rsidR="000F08A6" w:rsidRDefault="000F08A6">
      <w:r>
        <w:separator/>
      </w:r>
    </w:p>
  </w:footnote>
  <w:footnote w:type="continuationSeparator" w:id="0">
    <w:p w14:paraId="3C23B9C0" w14:textId="77777777" w:rsidR="000F08A6" w:rsidRDefault="000F08A6">
      <w:r>
        <w:continuationSeparator/>
      </w:r>
    </w:p>
  </w:footnote>
  <w:footnote w:id="1">
    <w:p w14:paraId="0DB39774" w14:textId="77777777" w:rsidR="003C567F" w:rsidRPr="00CE08FF" w:rsidRDefault="003C567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w:t>
      </w:r>
      <w:r w:rsidR="005C1AF5" w:rsidRPr="00CE08FF">
        <w:rPr>
          <w:rFonts w:ascii="Book Antiqua" w:hAnsi="Book Antiqua"/>
          <w:sz w:val="22"/>
          <w:szCs w:val="22"/>
        </w:rPr>
        <w:t>; CD-6</w:t>
      </w:r>
    </w:p>
  </w:footnote>
  <w:footnote w:id="2">
    <w:p w14:paraId="3DC605BF" w14:textId="77777777" w:rsidR="003C567F" w:rsidRPr="00CE08FF" w:rsidRDefault="003C567F"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CD-3</w:t>
      </w:r>
    </w:p>
  </w:footnote>
  <w:footnote w:id="3">
    <w:p w14:paraId="70D74A99" w14:textId="77777777" w:rsidR="00FE478D" w:rsidRPr="00CE08FF" w:rsidRDefault="00FE478D"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4">
    <w:p w14:paraId="0E55C419"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5">
    <w:p w14:paraId="0B50B7F2"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6">
    <w:p w14:paraId="32AD6F9E" w14:textId="77777777" w:rsidR="007427DC" w:rsidRPr="00CE08FF" w:rsidRDefault="007427DC"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CD-6</w:t>
      </w:r>
    </w:p>
  </w:footnote>
  <w:footnote w:id="7">
    <w:p w14:paraId="429FDCC9" w14:textId="77777777" w:rsidR="00425CCE" w:rsidRPr="00CE08FF" w:rsidRDefault="00425CCE"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CD-4</w:t>
      </w:r>
    </w:p>
  </w:footnote>
  <w:footnote w:id="8">
    <w:p w14:paraId="09E5E370"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Reporter’s Transcript (“RT”), p. 18, lines 5-7.)</w:t>
      </w:r>
    </w:p>
  </w:footnote>
  <w:footnote w:id="9">
    <w:p w14:paraId="5353000D"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18, lines 7-8. </w:t>
      </w:r>
    </w:p>
  </w:footnote>
  <w:footnote w:id="10">
    <w:p w14:paraId="3235CDB0" w14:textId="77777777" w:rsidR="00826259" w:rsidRDefault="00826259">
      <w:pPr>
        <w:pStyle w:val="FootnoteText"/>
      </w:pPr>
      <w:r>
        <w:rPr>
          <w:rStyle w:val="FootnoteReference"/>
        </w:rPr>
        <w:footnoteRef/>
      </w:r>
      <w:r>
        <w:t xml:space="preserve"> RT, p. 18, lines </w:t>
      </w:r>
      <w:r w:rsidR="005D5DBA">
        <w:t>9</w:t>
      </w:r>
      <w:r>
        <w:t xml:space="preserve">-14. </w:t>
      </w:r>
    </w:p>
  </w:footnote>
  <w:footnote w:id="11">
    <w:p w14:paraId="5520A00B" w14:textId="77777777" w:rsidR="005D5DBA" w:rsidRPr="00CE08FF" w:rsidRDefault="005D5DBA">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r w:rsidRPr="00CE08FF">
        <w:rPr>
          <w:rFonts w:ascii="Book Antiqua" w:hAnsi="Book Antiqua"/>
          <w:sz w:val="22"/>
          <w:szCs w:val="22"/>
        </w:rPr>
        <w:t>; CD-5</w:t>
      </w:r>
    </w:p>
  </w:footnote>
  <w:footnote w:id="12">
    <w:p w14:paraId="5FA8AE4B" w14:textId="77777777" w:rsidR="00BC4F28" w:rsidRPr="00CE08FF" w:rsidRDefault="00BC4F28">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CD-7</w:t>
      </w:r>
    </w:p>
  </w:footnote>
  <w:footnote w:id="13">
    <w:p w14:paraId="65336D74"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14">
    <w:p w14:paraId="00FADECD"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w:t>
      </w:r>
      <w:r w:rsidR="007D58C7" w:rsidRPr="00CE08FF">
        <w:rPr>
          <w:rFonts w:ascii="Book Antiqua" w:hAnsi="Book Antiqua"/>
          <w:sz w:val="22"/>
          <w:szCs w:val="22"/>
        </w:rPr>
        <w:t>a</w:t>
      </w:r>
    </w:p>
  </w:footnote>
  <w:footnote w:id="15">
    <w:p w14:paraId="334201EA"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CD-9b</w:t>
      </w:r>
    </w:p>
  </w:footnote>
  <w:footnote w:id="16">
    <w:p w14:paraId="065044A1"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007D58C7" w:rsidRPr="00CE08FF">
        <w:rPr>
          <w:rFonts w:ascii="Book Antiqua" w:hAnsi="Book Antiqua"/>
          <w:sz w:val="22"/>
          <w:szCs w:val="22"/>
        </w:rPr>
        <w:t>CD-10a</w:t>
      </w:r>
    </w:p>
  </w:footnote>
  <w:footnote w:id="17">
    <w:p w14:paraId="50659291"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CD-9c</w:t>
      </w:r>
    </w:p>
  </w:footnote>
  <w:footnote w:id="18">
    <w:p w14:paraId="63B49E1A"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CD-10b</w:t>
      </w:r>
    </w:p>
  </w:footnote>
  <w:footnote w:id="19">
    <w:p w14:paraId="2322304D"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20">
    <w:p w14:paraId="71A3C02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CD-11</w:t>
      </w:r>
    </w:p>
  </w:footnote>
  <w:footnote w:id="21">
    <w:p w14:paraId="3210861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22">
    <w:p w14:paraId="3EF60BD5" w14:textId="77777777" w:rsidR="00E1236F" w:rsidRPr="00CE08FF" w:rsidRDefault="00E1236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22, lines 15-23. </w:t>
      </w:r>
    </w:p>
  </w:footnote>
  <w:footnote w:id="23">
    <w:p w14:paraId="0030C98B" w14:textId="77777777" w:rsidR="00475303" w:rsidRDefault="00475303">
      <w:pPr>
        <w:pStyle w:val="FootnoteText"/>
      </w:pPr>
      <w:r w:rsidRPr="00CE08FF">
        <w:rPr>
          <w:rStyle w:val="FootnoteReference"/>
          <w:rFonts w:ascii="Book Antiqua" w:hAnsi="Book Antiqua"/>
          <w:sz w:val="22"/>
          <w:szCs w:val="22"/>
        </w:rPr>
        <w:footnoteRef/>
      </w:r>
      <w:r w:rsidRPr="00CE08FF">
        <w:rPr>
          <w:rFonts w:ascii="Book Antiqua" w:hAnsi="Book Antiqua"/>
          <w:sz w:val="22"/>
          <w:szCs w:val="22"/>
        </w:rPr>
        <w:t xml:space="preserve"> RT, p. 24, lines 15-21.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2C86" w14:textId="77777777" w:rsidR="00C47C2A" w:rsidRPr="00851D07" w:rsidRDefault="00C47C2A">
    <w:pPr>
      <w:pStyle w:val="Header"/>
      <w:rPr>
        <w:rFonts w:ascii="Book Antiqua" w:hAnsi="Book Antiqua"/>
        <w:b/>
        <w:szCs w:val="24"/>
      </w:rPr>
    </w:pPr>
    <w:r w:rsidRPr="00851D07">
      <w:rPr>
        <w:rFonts w:ascii="Book Antiqua" w:hAnsi="Book Antiqua"/>
      </w:rPr>
      <w:t>Resolution ALJ-</w:t>
    </w:r>
    <w:proofErr w:type="gramStart"/>
    <w:r w:rsidR="00851D07" w:rsidRPr="00851D07">
      <w:rPr>
        <w:rFonts w:ascii="Book Antiqua" w:hAnsi="Book Antiqua"/>
      </w:rPr>
      <w:t>492  ALJ</w:t>
    </w:r>
    <w:proofErr w:type="gramEnd"/>
    <w:r w:rsidR="00851D07" w:rsidRPr="00851D07">
      <w:rPr>
        <w:rFonts w:ascii="Book Antiqua" w:hAnsi="Book Antiqua"/>
      </w:rPr>
      <w:t>/SRM/</w:t>
    </w:r>
    <w:proofErr w:type="spellStart"/>
    <w:r w:rsidR="00851D07" w:rsidRPr="00851D07">
      <w:rPr>
        <w:rFonts w:ascii="Book Antiqua" w:hAnsi="Book Antiqua"/>
      </w:rPr>
      <w:t>avs</w:t>
    </w:r>
    <w:proofErr w:type="spellEnd"/>
    <w:r w:rsidRPr="00851D07">
      <w:rPr>
        <w:rFonts w:ascii="Book Antiqua" w:hAnsi="Book Antiqua"/>
        <w:szCs w:val="24"/>
      </w:rPr>
      <w:tab/>
    </w:r>
    <w:r w:rsidRPr="00851D07">
      <w:rPr>
        <w:rFonts w:ascii="Book Antiqua" w:hAnsi="Book Antiqua"/>
        <w:szCs w:val="24"/>
      </w:rPr>
      <w:tab/>
    </w:r>
    <w:r w:rsidRPr="00851D07">
      <w:rPr>
        <w:rFonts w:ascii="Book Antiqua" w:hAnsi="Book Antiqua"/>
        <w:b/>
        <w:szCs w:val="24"/>
      </w:rPr>
      <w:t>DRAFT</w:t>
    </w:r>
  </w:p>
  <w:p w14:paraId="16DCE9D9" w14:textId="77777777" w:rsidR="00C47C2A" w:rsidRDefault="00C47C2A">
    <w:pPr>
      <w:pStyle w:val="Header"/>
    </w:pPr>
  </w:p>
  <w:p w14:paraId="3403E327" w14:textId="77777777" w:rsidR="00C47C2A" w:rsidRDefault="00C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63F9" w14:textId="78BD8E15" w:rsidR="00C47C2A" w:rsidRPr="00EF6622" w:rsidRDefault="00C47C2A">
    <w:pPr>
      <w:pStyle w:val="Header"/>
      <w:rPr>
        <w:b/>
        <w:sz w:val="26"/>
        <w:szCs w:val="26"/>
      </w:rPr>
    </w:pPr>
  </w:p>
  <w:p w14:paraId="65503DEB" w14:textId="77777777" w:rsidR="00C47C2A" w:rsidRPr="00EF6622" w:rsidRDefault="00C47C2A">
    <w:pPr>
      <w:pStyle w:val="Header"/>
      <w:rPr>
        <w:b/>
        <w:sz w:val="26"/>
        <w:szCs w:val="26"/>
      </w:rPr>
    </w:pPr>
  </w:p>
  <w:p w14:paraId="526440E1" w14:textId="77777777" w:rsidR="00C47C2A" w:rsidRDefault="00C47C2A">
    <w:pPr>
      <w:pStyle w:val="Header"/>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165" w14:textId="40A6F38D" w:rsidR="002019FB" w:rsidRPr="00E3194D" w:rsidRDefault="002019FB">
    <w:pPr>
      <w:pStyle w:val="Header"/>
      <w:rPr>
        <w:rFonts w:ascii="Book Antiqua" w:hAnsi="Book Antiqua"/>
        <w:b/>
        <w:szCs w:val="24"/>
      </w:rPr>
    </w:pPr>
    <w:r w:rsidRPr="00E3194D">
      <w:rPr>
        <w:rFonts w:ascii="Book Antiqua" w:hAnsi="Book Antiqua"/>
        <w:szCs w:val="24"/>
      </w:rPr>
      <w:t>ALJ/SRM/</w:t>
    </w:r>
    <w:proofErr w:type="spellStart"/>
    <w:r w:rsidRPr="00E3194D">
      <w:rPr>
        <w:rFonts w:ascii="Book Antiqua" w:hAnsi="Book Antiqua"/>
        <w:szCs w:val="24"/>
      </w:rPr>
      <w:t>avs</w:t>
    </w:r>
    <w:proofErr w:type="spellEnd"/>
    <w:r w:rsidRPr="00E3194D">
      <w:rPr>
        <w:rFonts w:ascii="Book Antiqua" w:hAnsi="Book Antiqua"/>
        <w:szCs w:val="24"/>
      </w:rPr>
      <w:tab/>
    </w:r>
    <w:r w:rsidRPr="00E3194D">
      <w:rPr>
        <w:rFonts w:ascii="Book Antiqua" w:hAnsi="Book Antiqua"/>
        <w:b/>
        <w:szCs w:val="24"/>
      </w:rPr>
      <w:t>DRAFT</w:t>
    </w:r>
    <w:r w:rsidRPr="00E3194D">
      <w:rPr>
        <w:rFonts w:ascii="Book Antiqua" w:hAnsi="Book Antiqua"/>
        <w:b/>
        <w:szCs w:val="24"/>
      </w:rPr>
      <w:tab/>
      <w:t>Agenda ID #24104</w:t>
    </w:r>
  </w:p>
  <w:p w14:paraId="17D7AAD9" w14:textId="77777777" w:rsidR="002019FB" w:rsidRPr="00EF6622" w:rsidRDefault="002019FB">
    <w:pPr>
      <w:pStyle w:val="Header"/>
      <w:rPr>
        <w:b/>
        <w:sz w:val="26"/>
        <w:szCs w:val="26"/>
      </w:rPr>
    </w:pPr>
  </w:p>
  <w:p w14:paraId="47C2016D" w14:textId="77777777" w:rsidR="002019FB" w:rsidRDefault="002019FB">
    <w:pPr>
      <w:pStyle w:val="Header"/>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75D9" w14:textId="77777777" w:rsidR="00E3194D" w:rsidRPr="00E7690F" w:rsidRDefault="00E3194D" w:rsidP="009A2693">
    <w:pPr>
      <w:jc w:val="center"/>
      <w:rPr>
        <w:sz w:val="22"/>
        <w:szCs w:val="22"/>
      </w:rPr>
    </w:pPr>
    <w:r w:rsidRPr="00E7690F">
      <w:rPr>
        <w:sz w:val="22"/>
        <w:szCs w:val="22"/>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4864" w14:textId="77777777" w:rsidR="00E3194D" w:rsidRDefault="00E3194D">
    <w:pPr>
      <w:pStyle w:val="Header"/>
      <w:rPr>
        <w:b/>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AAE" w14:textId="77777777" w:rsidR="00E3194D" w:rsidRDefault="00E319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175" w14:textId="3A6EA74C" w:rsidR="00E3194D" w:rsidRPr="00E3194D" w:rsidRDefault="00E3194D" w:rsidP="00E3194D">
    <w:pPr>
      <w:pStyle w:val="Header"/>
    </w:pPr>
    <w:r w:rsidRPr="00851D07">
      <w:rPr>
        <w:rFonts w:ascii="Book Antiqua" w:hAnsi="Book Antiqua"/>
      </w:rPr>
      <w:t>Resolution ALJ-</w:t>
    </w:r>
    <w:proofErr w:type="gramStart"/>
    <w:r w:rsidRPr="00851D07">
      <w:rPr>
        <w:rFonts w:ascii="Book Antiqua" w:hAnsi="Book Antiqua"/>
      </w:rPr>
      <w:t>492  ALJ</w:t>
    </w:r>
    <w:proofErr w:type="gramEnd"/>
    <w:r w:rsidRPr="00851D07">
      <w:rPr>
        <w:rFonts w:ascii="Book Antiqua" w:hAnsi="Book Antiqua"/>
      </w:rPr>
      <w:t>/SRM/</w:t>
    </w:r>
    <w:proofErr w:type="spellStart"/>
    <w:r w:rsidRPr="00851D07">
      <w:rPr>
        <w:rFonts w:ascii="Book Antiqua" w:hAnsi="Book Antiqua"/>
      </w:rPr>
      <w:t>avs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4EBD"/>
    <w:multiLevelType w:val="hybridMultilevel"/>
    <w:tmpl w:val="F6ACD4FA"/>
    <w:lvl w:ilvl="0" w:tplc="CEB22698">
      <w:start w:val="40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4C35"/>
    <w:multiLevelType w:val="hybridMultilevel"/>
    <w:tmpl w:val="83EA47A6"/>
    <w:lvl w:ilvl="0" w:tplc="0409000F">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E0719"/>
    <w:multiLevelType w:val="hybridMultilevel"/>
    <w:tmpl w:val="DA44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7770D"/>
    <w:multiLevelType w:val="hybridMultilevel"/>
    <w:tmpl w:val="E2D0009E"/>
    <w:lvl w:ilvl="0" w:tplc="3160787E">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72877">
    <w:abstractNumId w:val="3"/>
  </w:num>
  <w:num w:numId="2" w16cid:durableId="1629043018">
    <w:abstractNumId w:val="5"/>
  </w:num>
  <w:num w:numId="3" w16cid:durableId="2052995159">
    <w:abstractNumId w:val="2"/>
  </w:num>
  <w:num w:numId="4" w16cid:durableId="439641373">
    <w:abstractNumId w:val="0"/>
  </w:num>
  <w:num w:numId="5" w16cid:durableId="1638028786">
    <w:abstractNumId w:val="4"/>
  </w:num>
  <w:num w:numId="6" w16cid:durableId="1736971720">
    <w:abstractNumId w:val="1"/>
  </w:num>
  <w:num w:numId="7" w16cid:durableId="1934239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609"/>
    <w:rsid w:val="00006DCB"/>
    <w:rsid w:val="00041524"/>
    <w:rsid w:val="00041C0A"/>
    <w:rsid w:val="00090C34"/>
    <w:rsid w:val="000F08A6"/>
    <w:rsid w:val="00142C90"/>
    <w:rsid w:val="00177D5A"/>
    <w:rsid w:val="00190582"/>
    <w:rsid w:val="00193663"/>
    <w:rsid w:val="002019FB"/>
    <w:rsid w:val="00235A66"/>
    <w:rsid w:val="00257996"/>
    <w:rsid w:val="00274A47"/>
    <w:rsid w:val="002D641A"/>
    <w:rsid w:val="0032246D"/>
    <w:rsid w:val="00323166"/>
    <w:rsid w:val="003354B8"/>
    <w:rsid w:val="00337033"/>
    <w:rsid w:val="00364039"/>
    <w:rsid w:val="0039130D"/>
    <w:rsid w:val="003C567F"/>
    <w:rsid w:val="003D75A5"/>
    <w:rsid w:val="00421CE4"/>
    <w:rsid w:val="00425CCE"/>
    <w:rsid w:val="0043488E"/>
    <w:rsid w:val="004628F9"/>
    <w:rsid w:val="00470FAE"/>
    <w:rsid w:val="004711DD"/>
    <w:rsid w:val="00475303"/>
    <w:rsid w:val="00476F58"/>
    <w:rsid w:val="004B783C"/>
    <w:rsid w:val="004E7748"/>
    <w:rsid w:val="00512052"/>
    <w:rsid w:val="005236DE"/>
    <w:rsid w:val="0055457D"/>
    <w:rsid w:val="005A0CBC"/>
    <w:rsid w:val="005C1AF5"/>
    <w:rsid w:val="005C5F6C"/>
    <w:rsid w:val="005D5DBA"/>
    <w:rsid w:val="005E3875"/>
    <w:rsid w:val="005F1943"/>
    <w:rsid w:val="00610F6A"/>
    <w:rsid w:val="00615DA6"/>
    <w:rsid w:val="00625301"/>
    <w:rsid w:val="00690800"/>
    <w:rsid w:val="006A1653"/>
    <w:rsid w:val="006F2208"/>
    <w:rsid w:val="007243B8"/>
    <w:rsid w:val="007248A9"/>
    <w:rsid w:val="007427DC"/>
    <w:rsid w:val="00742EF3"/>
    <w:rsid w:val="00760409"/>
    <w:rsid w:val="007650A8"/>
    <w:rsid w:val="007717DB"/>
    <w:rsid w:val="007721F8"/>
    <w:rsid w:val="007763FF"/>
    <w:rsid w:val="007C1B63"/>
    <w:rsid w:val="007D58C7"/>
    <w:rsid w:val="007F37D4"/>
    <w:rsid w:val="008012D1"/>
    <w:rsid w:val="00826259"/>
    <w:rsid w:val="008357A4"/>
    <w:rsid w:val="00851D07"/>
    <w:rsid w:val="00856A89"/>
    <w:rsid w:val="00874947"/>
    <w:rsid w:val="00880C09"/>
    <w:rsid w:val="008A2A8C"/>
    <w:rsid w:val="008A730F"/>
    <w:rsid w:val="008C3ACC"/>
    <w:rsid w:val="008C777A"/>
    <w:rsid w:val="008D1014"/>
    <w:rsid w:val="00905FE6"/>
    <w:rsid w:val="00984BF5"/>
    <w:rsid w:val="009A7724"/>
    <w:rsid w:val="009C4CAD"/>
    <w:rsid w:val="009D2167"/>
    <w:rsid w:val="009F763D"/>
    <w:rsid w:val="00A0514C"/>
    <w:rsid w:val="00A06C57"/>
    <w:rsid w:val="00A1160B"/>
    <w:rsid w:val="00A4376C"/>
    <w:rsid w:val="00A86550"/>
    <w:rsid w:val="00A90FB7"/>
    <w:rsid w:val="00AD6C73"/>
    <w:rsid w:val="00AE0382"/>
    <w:rsid w:val="00AF6654"/>
    <w:rsid w:val="00B21317"/>
    <w:rsid w:val="00B51590"/>
    <w:rsid w:val="00B64F93"/>
    <w:rsid w:val="00B778C1"/>
    <w:rsid w:val="00BC4F28"/>
    <w:rsid w:val="00BD14E5"/>
    <w:rsid w:val="00BE2184"/>
    <w:rsid w:val="00C11290"/>
    <w:rsid w:val="00C268E0"/>
    <w:rsid w:val="00C47C2A"/>
    <w:rsid w:val="00C60F76"/>
    <w:rsid w:val="00C80338"/>
    <w:rsid w:val="00C92965"/>
    <w:rsid w:val="00CB5609"/>
    <w:rsid w:val="00CD7970"/>
    <w:rsid w:val="00CE08FF"/>
    <w:rsid w:val="00CE35B4"/>
    <w:rsid w:val="00D0406C"/>
    <w:rsid w:val="00D102C3"/>
    <w:rsid w:val="00D50F4D"/>
    <w:rsid w:val="00D55E30"/>
    <w:rsid w:val="00D71985"/>
    <w:rsid w:val="00D7352E"/>
    <w:rsid w:val="00D73796"/>
    <w:rsid w:val="00DD57E7"/>
    <w:rsid w:val="00DE4415"/>
    <w:rsid w:val="00E05152"/>
    <w:rsid w:val="00E1236F"/>
    <w:rsid w:val="00E140A2"/>
    <w:rsid w:val="00E3194D"/>
    <w:rsid w:val="00E40098"/>
    <w:rsid w:val="00E42BAE"/>
    <w:rsid w:val="00E44335"/>
    <w:rsid w:val="00E541AD"/>
    <w:rsid w:val="00E55722"/>
    <w:rsid w:val="00EF6622"/>
    <w:rsid w:val="00F004E4"/>
    <w:rsid w:val="00F0650F"/>
    <w:rsid w:val="00F102AF"/>
    <w:rsid w:val="00F24E8D"/>
    <w:rsid w:val="00F557A1"/>
    <w:rsid w:val="00F96B83"/>
    <w:rsid w:val="00F97671"/>
    <w:rsid w:val="00FA7F88"/>
    <w:rsid w:val="00FC21B0"/>
    <w:rsid w:val="00FD1587"/>
    <w:rsid w:val="00FE478D"/>
    <w:rsid w:val="00FF004B"/>
    <w:rsid w:val="00F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F1D7A"/>
  <w15:chartTrackingRefBased/>
  <w15:docId w15:val="{CBDB54BD-7F64-4634-9CFC-64AABEC2011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paragraph" w:customStyle="1" w:styleId="10sp0">
    <w:name w:val="_1.0sp 0&quot;"/>
    <w:basedOn w:val="Normal"/>
    <w:rsid w:val="005E3875"/>
    <w:pPr>
      <w:suppressAutoHyphens/>
      <w:spacing w:after="240"/>
    </w:pPr>
    <w:rPr>
      <w:rFonts w:ascii="Times New Roman" w:eastAsia="SimSun" w:hAnsi="Times New Roman"/>
    </w:rPr>
  </w:style>
  <w:style w:type="table" w:styleId="TableGrid">
    <w:name w:val="Table Grid"/>
    <w:basedOn w:val="TableNormal"/>
    <w:rsid w:val="0072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27DC"/>
    <w:rPr>
      <w:color w:val="467886"/>
      <w:u w:val="single"/>
    </w:rPr>
  </w:style>
  <w:style w:type="character" w:styleId="UnresolvedMention">
    <w:name w:val="Unresolved Mention"/>
    <w:uiPriority w:val="99"/>
    <w:semiHidden/>
    <w:unhideWhenUsed/>
    <w:rsid w:val="007427DC"/>
    <w:rPr>
      <w:color w:val="605E5C"/>
      <w:shd w:val="clear" w:color="auto" w:fill="E1DFDD"/>
    </w:rPr>
  </w:style>
  <w:style w:type="character" w:styleId="CommentReference">
    <w:name w:val="annotation reference"/>
    <w:rsid w:val="0039130D"/>
    <w:rPr>
      <w:sz w:val="16"/>
      <w:szCs w:val="16"/>
    </w:rPr>
  </w:style>
  <w:style w:type="paragraph" w:styleId="CommentText">
    <w:name w:val="annotation text"/>
    <w:basedOn w:val="Normal"/>
    <w:link w:val="CommentTextChar"/>
    <w:rsid w:val="0039130D"/>
    <w:rPr>
      <w:sz w:val="20"/>
    </w:rPr>
  </w:style>
  <w:style w:type="character" w:customStyle="1" w:styleId="CommentTextChar">
    <w:name w:val="Comment Text Char"/>
    <w:link w:val="CommentText"/>
    <w:rsid w:val="0039130D"/>
    <w:rPr>
      <w:rFonts w:ascii="Palatino" w:hAnsi="Palatino"/>
    </w:rPr>
  </w:style>
  <w:style w:type="paragraph" w:styleId="CommentSubject">
    <w:name w:val="annotation subject"/>
    <w:basedOn w:val="CommentText"/>
    <w:next w:val="CommentText"/>
    <w:link w:val="CommentSubjectChar"/>
    <w:rsid w:val="0039130D"/>
    <w:rPr>
      <w:b/>
      <w:bCs/>
    </w:rPr>
  </w:style>
  <w:style w:type="character" w:customStyle="1" w:styleId="CommentSubjectChar">
    <w:name w:val="Comment Subject Char"/>
    <w:link w:val="CommentSubject"/>
    <w:rsid w:val="0039130D"/>
    <w:rPr>
      <w:rFonts w:ascii="Palatino" w:hAnsi="Palatino"/>
      <w:b/>
      <w:bCs/>
    </w:rPr>
  </w:style>
  <w:style w:type="paragraph" w:customStyle="1" w:styleId="Default">
    <w:name w:val="Default"/>
    <w:rsid w:val="002019FB"/>
    <w:pPr>
      <w:autoSpaceDE w:val="0"/>
      <w:autoSpaceDN w:val="0"/>
      <w:adjustRightInd w:val="0"/>
    </w:pPr>
    <w:rPr>
      <w:rFonts w:ascii="Book Antiqua" w:eastAsia="Calibri" w:hAnsi="Book Antiqua" w:cs="Book Antiqua"/>
      <w:color w:val="000000"/>
      <w:sz w:val="24"/>
      <w:szCs w:val="24"/>
    </w:rPr>
  </w:style>
  <w:style w:type="character" w:customStyle="1" w:styleId="HeaderChar">
    <w:name w:val="Header Char"/>
    <w:link w:val="Header"/>
    <w:rsid w:val="00E3194D"/>
    <w:rPr>
      <w:rFonts w:ascii="Palatino" w:hAnsi="Palatino"/>
      <w:sz w:val="24"/>
    </w:rPr>
  </w:style>
  <w:style w:type="character" w:customStyle="1" w:styleId="FooterChar">
    <w:name w:val="Footer Char"/>
    <w:link w:val="Footer"/>
    <w:uiPriority w:val="99"/>
    <w:rsid w:val="00E3194D"/>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rm@cpuc.ca.gov" TargetMode="External"/><Relationship Id="rId17" Type="http://schemas.openxmlformats.org/officeDocument/2006/relationships/hyperlink" Target="mailto:accounting@wticommunications.co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ccounting@wticommunications.com"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puc.ca.gov/SearchRes.aspx?DocTypeID=9&amp;Latest=1"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2e18d1b84c9b28b434b49f302dd12808">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66a1d182d6677462f154974d7942b57"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Props1.xml><?xml version="1.0" encoding="utf-8"?>
<ds:datastoreItem xmlns:ds="http://schemas.openxmlformats.org/officeDocument/2006/customXml" ds:itemID="{E7945A05-14B9-4A1E-B61E-7CA4B5A67607}">
  <ds:schemaRefs>
    <ds:schemaRef ds:uri="http://schemas.microsoft.com/sharepoint/v3/contenttype/forms"/>
  </ds:schemaRefs>
</ds:datastoreItem>
</file>

<file path=customXml/itemProps2.xml><?xml version="1.0" encoding="utf-8"?>
<ds:datastoreItem xmlns:ds="http://schemas.openxmlformats.org/officeDocument/2006/customXml" ds:itemID="{E2159508-FE31-4D31-8D77-0E3173F9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0860E-B30B-4EF1-9506-05328956ABE6}">
  <ds:schemaRefs>
    <ds:schemaRef ds:uri="http://schemas.openxmlformats.org/officeDocument/2006/bibliography"/>
  </ds:schemaRefs>
</ds:datastoreItem>
</file>

<file path=customXml/itemProps4.xml><?xml version="1.0" encoding="utf-8"?>
<ds:datastoreItem xmlns:ds="http://schemas.openxmlformats.org/officeDocument/2006/customXml" ds:itemID="{268205E2-AAF2-49C8-B7C2-ECB58D5D4609}">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2892</ap:Words>
  <ap:Characters>16487</ap:Characters>
  <ap:Application>Microsoft Office Word</ap:Application>
  <ap:DocSecurity>0</ap:DocSecurity>
  <ap:Lines>137</ap:Lines>
  <ap:Paragraphs>38</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19341</ap:CharactersWithSpaces>
  <ap:SharedDoc>false</ap:SharedDoc>
  <ap:HLinks>
    <vt:vector baseType="variant" size="12">
      <vt:variant>
        <vt:i4>917564</vt:i4>
      </vt:variant>
      <vt:variant>
        <vt:i4>3</vt:i4>
      </vt:variant>
      <vt:variant>
        <vt:i4>0</vt:i4>
      </vt:variant>
      <vt:variant>
        <vt:i4>5</vt:i4>
      </vt:variant>
      <vt:variant>
        <vt:lpwstr>mailto:accounting@wticommunications.com</vt:lpwstr>
      </vt:variant>
      <vt:variant>
        <vt:lpwstr/>
      </vt:variant>
      <vt:variant>
        <vt:i4>917564</vt:i4>
      </vt:variant>
      <vt:variant>
        <vt:i4>0</vt:i4>
      </vt:variant>
      <vt:variant>
        <vt:i4>0</vt:i4>
      </vt:variant>
      <vt:variant>
        <vt:i4>5</vt:i4>
      </vt:variant>
      <vt:variant>
        <vt:lpwstr>mailto:accounting@wticommunications.com</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2026-03-30T14:00:08Z</dcterms:created>
  <dcterms:modified xsi:type="dcterms:W3CDTF">2026-03-30T14:00:08Z</dcterms:modified>
</cp:coreProperties>
</file>