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42922F3">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C37B41">
        <w:rPr>
          <w:b/>
          <w:bCs/>
          <w:szCs w:val="24"/>
        </w:rPr>
        <w:tab/>
        <w:t xml:space="preserve"> </w:t>
      </w:r>
      <w:r w:rsidR="00C37B41">
        <w:rPr>
          <w:b/>
          <w:bCs/>
          <w:szCs w:val="24"/>
        </w:rPr>
        <w:tab/>
      </w:r>
      <w:r w:rsidR="0070320C">
        <w:rPr>
          <w:b/>
          <w:bCs/>
          <w:szCs w:val="24"/>
        </w:rPr>
        <w:tab/>
      </w:r>
      <w:r w:rsidR="00BE1AE5">
        <w:rPr>
          <w:szCs w:val="24"/>
        </w:rPr>
        <w:tab/>
        <w:t xml:space="preserve">         </w:t>
      </w:r>
      <w:r>
        <w:rPr>
          <w:b/>
          <w:szCs w:val="24"/>
        </w:rPr>
        <w:t>PRESS RELEASE</w:t>
      </w:r>
    </w:p>
    <w:p w:rsidRPr="000372AB" w:rsidR="000964E3" w:rsidP="000964E3" w:rsidRDefault="000964E3" w14:paraId="728853A2" w14:textId="3FFA0E96">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C37B41">
        <w:rPr>
          <w:color w:val="FF0000"/>
          <w:szCs w:val="24"/>
        </w:rPr>
        <w:t xml:space="preserve">    </w:t>
      </w:r>
      <w:r w:rsidRPr="00C33199" w:rsidR="00C644FC">
        <w:rPr>
          <w:szCs w:val="24"/>
        </w:rPr>
        <w:t>Docket #:</w:t>
      </w:r>
      <w:bookmarkEnd w:id="1"/>
      <w:r w:rsidRPr="00C33199" w:rsidR="00C33199">
        <w:rPr>
          <w:szCs w:val="24"/>
        </w:rPr>
        <w:t xml:space="preserve"> </w:t>
      </w:r>
      <w:r w:rsidRPr="00CF04CD" w:rsidR="00CF04CD">
        <w:rPr>
          <w:szCs w:val="24"/>
        </w:rPr>
        <w:t>R.20-10-002</w:t>
      </w:r>
    </w:p>
    <w:p w:rsidRPr="009C47C3" w:rsidR="000964E3" w:rsidP="009C47C3" w:rsidRDefault="000964E3" w14:paraId="72FD6044" w14:textId="77777777">
      <w:pPr>
        <w:pStyle w:val="ReleaseHead"/>
        <w:rPr>
          <w:b/>
          <w:bCs/>
          <w:i w:val="0"/>
          <w:iCs w:val="0"/>
          <w:sz w:val="28"/>
          <w:szCs w:val="28"/>
        </w:rPr>
      </w:pPr>
    </w:p>
    <w:p w:rsidR="000964E3" w:rsidP="009C47C3" w:rsidRDefault="00CF04CD" w14:paraId="7D62F8A0" w14:textId="6C9A44FE">
      <w:pPr>
        <w:pStyle w:val="ReleaseHead"/>
        <w:rPr>
          <w:b/>
          <w:bCs/>
          <w:i w:val="0"/>
          <w:iCs w:val="0"/>
          <w:sz w:val="28"/>
          <w:szCs w:val="28"/>
        </w:rPr>
      </w:pPr>
      <w:r w:rsidRPr="0D62ABF4">
        <w:rPr>
          <w:b/>
          <w:bCs/>
          <w:i w:val="0"/>
          <w:iCs w:val="0"/>
          <w:sz w:val="28"/>
          <w:szCs w:val="28"/>
        </w:rPr>
        <w:t>CPUC Adopts Permanent Rate Relief for Calling Services</w:t>
      </w:r>
      <w:r w:rsidRPr="0D62ABF4" w:rsidR="005C4CB8">
        <w:rPr>
          <w:b/>
          <w:bCs/>
          <w:i w:val="0"/>
          <w:iCs w:val="0"/>
          <w:sz w:val="28"/>
          <w:szCs w:val="28"/>
        </w:rPr>
        <w:t xml:space="preserve"> for Incarcerated Persons</w:t>
      </w:r>
    </w:p>
    <w:p w:rsidR="0D62ABF4" w:rsidP="0D62ABF4" w:rsidRDefault="0D62ABF4" w14:paraId="4F972B0E" w14:textId="28B688A4">
      <w:pPr>
        <w:pStyle w:val="ReleaseHead"/>
        <w:rPr>
          <w:b/>
          <w:bCs/>
          <w:i w:val="0"/>
          <w:iCs w:val="0"/>
          <w:sz w:val="28"/>
          <w:szCs w:val="28"/>
        </w:rPr>
      </w:pPr>
    </w:p>
    <w:p w:rsidR="0D62ABF4" w:rsidP="0070320C" w:rsidRDefault="09041BF9" w14:paraId="7032D744" w14:textId="251684E5">
      <w:pPr>
        <w:pStyle w:val="NormalWeb"/>
      </w:pPr>
      <w:r>
        <w:t xml:space="preserve">SAN FRANCISCO, </w:t>
      </w:r>
      <w:r w:rsidR="0070320C">
        <w:t xml:space="preserve">April </w:t>
      </w:r>
      <w:r w:rsidR="00B00A03">
        <w:t>9</w:t>
      </w:r>
      <w:r>
        <w:t>, 202</w:t>
      </w:r>
      <w:r w:rsidR="3DCE1C7A">
        <w:t>6</w:t>
      </w:r>
      <w:r>
        <w:t xml:space="preserve"> – </w:t>
      </w:r>
      <w:r w:rsidR="00CF04CD">
        <w:t>The California Public Utilities Commission (CPUC) today establish</w:t>
      </w:r>
      <w:r w:rsidR="000B662B">
        <w:t>ed</w:t>
      </w:r>
      <w:r w:rsidR="00CF04CD">
        <w:t xml:space="preserve"> permanent rate caps for incarcerated persons calling services in California, helping ensure that individuals in correctional facilities and their families have access to more affordable communication.</w:t>
      </w:r>
    </w:p>
    <w:p w:rsidR="0D62ABF4" w:rsidP="0070320C" w:rsidRDefault="00CF04CD" w14:paraId="2C357728" w14:textId="412080D9">
      <w:pPr>
        <w:pStyle w:val="NormalWeb"/>
      </w:pPr>
      <w:r>
        <w:t xml:space="preserve">The decision caps intrastate calling rates for </w:t>
      </w:r>
      <w:r w:rsidR="0080145A">
        <w:t xml:space="preserve">incarcerated persons calling services </w:t>
      </w:r>
      <w:r>
        <w:t>at $0.045 per minute for debit, prepaid, and collect calls</w:t>
      </w:r>
      <w:r w:rsidR="2170F079">
        <w:t>,</w:t>
      </w:r>
      <w:r>
        <w:t xml:space="preserve"> and maintains existing protections limiting ancillary fees associated with these services.</w:t>
      </w:r>
      <w:r w:rsidR="07CF0C35">
        <w:t xml:space="preserve"> </w:t>
      </w:r>
      <w:r>
        <w:t xml:space="preserve">These protections apply to all telephone </w:t>
      </w:r>
      <w:r w:rsidR="00D44DE8">
        <w:t>companies</w:t>
      </w:r>
      <w:r>
        <w:t xml:space="preserve"> that provide intrastate calling services to incarcerated individuals in California facilities not covered by separate state policies providing free calls.</w:t>
      </w:r>
    </w:p>
    <w:p w:rsidRPr="0070320C" w:rsidR="0D62ABF4" w:rsidP="0D62ABF4" w:rsidRDefault="00CF04CD" w14:paraId="4C5CC47F" w14:textId="6BF50E2B">
      <w:pPr>
        <w:pStyle w:val="NormalWeb"/>
        <w:spacing w:before="0" w:beforeAutospacing="0" w:after="0" w:afterAutospacing="0"/>
        <w:rPr>
          <w:b/>
          <w:bCs/>
        </w:rPr>
      </w:pPr>
      <w:r w:rsidRPr="0D62ABF4">
        <w:rPr>
          <w:b/>
          <w:bCs/>
        </w:rPr>
        <w:t>Key Consumer Protections</w:t>
      </w:r>
      <w:r>
        <w:br/>
      </w:r>
      <w:r w:rsidR="00D44DE8">
        <w:t>I</w:t>
      </w:r>
      <w:r w:rsidR="0080145A">
        <w:t xml:space="preserve">ncarcerated persons calling services </w:t>
      </w:r>
      <w:r>
        <w:t>providers must comply with the following requirements:</w:t>
      </w:r>
    </w:p>
    <w:p w:rsidR="00D44DE8" w:rsidP="00DF0D63" w:rsidRDefault="00D44DE8" w14:paraId="08B6B38B" w14:textId="77777777">
      <w:pPr>
        <w:pStyle w:val="NormalWeb"/>
        <w:numPr>
          <w:ilvl w:val="0"/>
          <w:numId w:val="13"/>
        </w:numPr>
        <w:spacing w:before="0" w:beforeAutospacing="0" w:after="0" w:afterAutospacing="0"/>
        <w:rPr>
          <w:b/>
          <w:bCs/>
        </w:rPr>
      </w:pPr>
      <w:r>
        <w:t>P</w:t>
      </w:r>
      <w:r w:rsidR="00CF04CD">
        <w:t>ermanent rate cap of $0.045 per minute for intrastate voice calls made by incarcerated persons</w:t>
      </w:r>
      <w:r>
        <w:rPr>
          <w:b/>
          <w:bCs/>
        </w:rPr>
        <w:t>.</w:t>
      </w:r>
    </w:p>
    <w:p w:rsidR="00D44DE8" w:rsidP="00D44DE8" w:rsidRDefault="00CF04CD" w14:paraId="61775CAA" w14:textId="77777777">
      <w:pPr>
        <w:pStyle w:val="NormalWeb"/>
        <w:numPr>
          <w:ilvl w:val="0"/>
          <w:numId w:val="13"/>
        </w:numPr>
        <w:rPr>
          <w:b/>
          <w:bCs/>
        </w:rPr>
      </w:pPr>
      <w:r>
        <w:t>Continued prohibition on single-call, paper bill, live agent, and automated payment fees</w:t>
      </w:r>
      <w:r w:rsidR="00D44DE8">
        <w:rPr>
          <w:b/>
          <w:bCs/>
        </w:rPr>
        <w:t>.</w:t>
      </w:r>
    </w:p>
    <w:p w:rsidR="00D44DE8" w:rsidP="00D44DE8" w:rsidRDefault="00CF04CD" w14:paraId="068E321E" w14:textId="77777777">
      <w:pPr>
        <w:pStyle w:val="NormalWeb"/>
        <w:numPr>
          <w:ilvl w:val="0"/>
          <w:numId w:val="13"/>
        </w:numPr>
        <w:rPr>
          <w:b/>
          <w:bCs/>
        </w:rPr>
      </w:pPr>
      <w:r>
        <w:t>Third-party financial transaction fees limited to pass-through costs, capped at $6.95 per transaction</w:t>
      </w:r>
      <w:r w:rsidR="00D44DE8">
        <w:rPr>
          <w:b/>
          <w:bCs/>
        </w:rPr>
        <w:t>.</w:t>
      </w:r>
    </w:p>
    <w:p w:rsidR="00D44DE8" w:rsidP="00D44DE8" w:rsidRDefault="00CF04CD" w14:paraId="33EEA139" w14:textId="77777777">
      <w:pPr>
        <w:pStyle w:val="NormalWeb"/>
        <w:numPr>
          <w:ilvl w:val="0"/>
          <w:numId w:val="13"/>
        </w:numPr>
        <w:rPr>
          <w:b/>
          <w:bCs/>
        </w:rPr>
      </w:pPr>
      <w:r>
        <w:t>Government taxes and fees allowed only as pass-through charges with no markup</w:t>
      </w:r>
      <w:r w:rsidR="00D44DE8">
        <w:rPr>
          <w:b/>
          <w:bCs/>
        </w:rPr>
        <w:t>.</w:t>
      </w:r>
    </w:p>
    <w:p w:rsidRPr="0070320C" w:rsidR="0D62ABF4" w:rsidP="0D62ABF4" w:rsidRDefault="00CF04CD" w14:paraId="534C7ECA" w14:textId="62038B83">
      <w:pPr>
        <w:pStyle w:val="NormalWeb"/>
        <w:numPr>
          <w:ilvl w:val="0"/>
          <w:numId w:val="13"/>
        </w:numPr>
        <w:rPr>
          <w:b/>
          <w:bCs/>
        </w:rPr>
      </w:pPr>
      <w:r>
        <w:t>Prohibition on any additional ancillary service charges not explicitly approved by the CPUC</w:t>
      </w:r>
      <w:r w:rsidR="00D44DE8">
        <w:t>.</w:t>
      </w:r>
    </w:p>
    <w:p w:rsidR="00CF04CD" w:rsidP="00CF04CD" w:rsidRDefault="00CF04CD" w14:paraId="4584D303" w14:textId="4BBCFDA7">
      <w:pPr>
        <w:pStyle w:val="NormalWeb"/>
      </w:pPr>
      <w:r>
        <w:t>These rules are intended to ensure that incarcerated individuals and their families are not subject to excessive rates or hidden fees when maintaining communication.</w:t>
      </w:r>
    </w:p>
    <w:p w:rsidR="0D62ABF4" w:rsidP="0D62ABF4" w:rsidRDefault="0D62ABF4" w14:paraId="462F2424" w14:textId="6C778A73">
      <w:pPr>
        <w:pStyle w:val="NormalWeb"/>
      </w:pPr>
    </w:p>
    <w:p w:rsidR="0D62ABF4" w:rsidP="0D62ABF4" w:rsidRDefault="00CF04CD" w14:paraId="4BDBE18A" w14:textId="3D0C1B9F">
      <w:pPr>
        <w:pStyle w:val="NormalWeb"/>
      </w:pPr>
      <w:r w:rsidRPr="0D62ABF4">
        <w:rPr>
          <w:b/>
          <w:bCs/>
        </w:rPr>
        <w:lastRenderedPageBreak/>
        <w:t>Supporting Family Connections</w:t>
      </w:r>
      <w:r>
        <w:br/>
      </w:r>
      <w:r w:rsidR="00F37D27">
        <w:t xml:space="preserve">A study submitted in the Federal Communications Commission’s (FCC) proceeding to address high calling rates and fees associated with incarcerated persons communication services showed </w:t>
      </w:r>
      <w:r>
        <w:t>that maintaining contact with family members can improve outcomes for incarcerated individuals after release and reduce recidivism.</w:t>
      </w:r>
    </w:p>
    <w:p w:rsidR="001925A6" w:rsidP="0D62ABF4" w:rsidRDefault="004D70FD" w14:paraId="7A5D39E5" w14:textId="53A74358">
      <w:pPr>
        <w:pStyle w:val="NormalWeb"/>
      </w:pPr>
      <w:r>
        <w:t>“Maintaining communication with family members is critical for rehabilitation and successful reentry into society,” said CPUC Commissioner Darcie L. Houck, who is assigned to the proceeding. “By establishing permanent rate protections, the CPUC is helping ensure that incarcerated Californians and their loved ones can stay connected without facing unreasonable costs.</w:t>
      </w:r>
      <w:r w:rsidR="00237CFC">
        <w:t xml:space="preserve"> This decision </w:t>
      </w:r>
      <w:r w:rsidR="00E25892">
        <w:t>extends rate protections to</w:t>
      </w:r>
      <w:r w:rsidR="00227D32">
        <w:t xml:space="preserve"> all</w:t>
      </w:r>
      <w:r w:rsidR="00E25892">
        <w:t xml:space="preserve"> local and federal </w:t>
      </w:r>
      <w:r w:rsidR="00AE1827">
        <w:t>facilities</w:t>
      </w:r>
      <w:r w:rsidR="00227D32">
        <w:t xml:space="preserve"> in California, ensuring that people held in these facilities </w:t>
      </w:r>
      <w:r w:rsidR="00D054FE">
        <w:t>are charged just and reasonable rates.</w:t>
      </w:r>
      <w:r>
        <w:t>”</w:t>
      </w:r>
    </w:p>
    <w:p w:rsidRPr="001925A6" w:rsidR="001925A6" w:rsidP="0D62ABF4" w:rsidRDefault="001925A6" w14:paraId="6E2EC74C" w14:textId="52CF5EC9">
      <w:pPr>
        <w:pStyle w:val="NormalWeb"/>
      </w:pPr>
      <w:r w:rsidRPr="001925A6">
        <w:t>“For too long, the families of incarcerated Californians have faced unnecessarily high costs just to stay in touch with their loved ones,” said CPUC President John Reynolds. “This decision establishes clear, permanent safeguards that prevent excessive rates and hidden fees while ensuring that communication services remain accessible and fair for the people who rely on them most.”</w:t>
      </w:r>
    </w:p>
    <w:p w:rsidRPr="0070320C" w:rsidR="0D62ABF4" w:rsidP="0D62ABF4" w:rsidRDefault="00CF04CD" w14:paraId="420DEFDD" w14:textId="6E0AA0CD">
      <w:pPr>
        <w:pStyle w:val="NormalWeb"/>
        <w:rPr>
          <w:b/>
          <w:bCs/>
        </w:rPr>
      </w:pPr>
      <w:r w:rsidRPr="0D62ABF4">
        <w:rPr>
          <w:b/>
          <w:bCs/>
        </w:rPr>
        <w:t>Background</w:t>
      </w:r>
      <w:r>
        <w:br/>
        <w:t xml:space="preserve">The </w:t>
      </w:r>
      <w:r w:rsidR="00C421C0">
        <w:t>CPUC</w:t>
      </w:r>
      <w:r>
        <w:t xml:space="preserve"> opened </w:t>
      </w:r>
      <w:r w:rsidR="007C3973">
        <w:t>this proceeding</w:t>
      </w:r>
      <w:r>
        <w:t xml:space="preserve"> in 2020 to examine the rates and conditions under which telecommunications services are provided to incarcerated people in California. The proceeding builds on </w:t>
      </w:r>
      <w:r w:rsidR="00F37D27">
        <w:t xml:space="preserve">the </w:t>
      </w:r>
      <w:r>
        <w:t xml:space="preserve">efforts by the </w:t>
      </w:r>
      <w:r w:rsidR="00F37D27">
        <w:t>FCC</w:t>
      </w:r>
      <w:r>
        <w:t>.</w:t>
      </w:r>
    </w:p>
    <w:p w:rsidRPr="000D79E9" w:rsidR="0D62ABF4" w:rsidP="0D62ABF4" w:rsidRDefault="00CF04CD" w14:paraId="3DEF03CE" w14:textId="0E076256">
      <w:pPr>
        <w:pStyle w:val="NormalWeb"/>
      </w:pPr>
      <w:r>
        <w:t xml:space="preserve">In 2021, the CPUC </w:t>
      </w:r>
      <w:hyperlink r:id="rId13">
        <w:r w:rsidRPr="0D62ABF4">
          <w:rPr>
            <w:rStyle w:val="Hyperlink"/>
          </w:rPr>
          <w:t>ad</w:t>
        </w:r>
        <w:r w:rsidRPr="0D62ABF4">
          <w:rPr>
            <w:rStyle w:val="Hyperlink"/>
          </w:rPr>
          <w:t>o</w:t>
        </w:r>
        <w:r w:rsidRPr="0D62ABF4">
          <w:rPr>
            <w:rStyle w:val="Hyperlink"/>
          </w:rPr>
          <w:t>pted</w:t>
        </w:r>
      </w:hyperlink>
      <w:r>
        <w:t xml:space="preserve"> interim rate caps of $0.07 per minute for these calls while the </w:t>
      </w:r>
      <w:r w:rsidR="00F37D27">
        <w:t>CPUC</w:t>
      </w:r>
      <w:r>
        <w:t xml:space="preserve"> gathered additional information on provider costs and market conditions.</w:t>
      </w:r>
      <w:r w:rsidR="53ADC88A">
        <w:t xml:space="preserve"> </w:t>
      </w:r>
      <w:r>
        <w:t>Today’s decision establishes a permanent statewide framework for intrastate calling services in facilities where calls are not already provided free of charge under California law.</w:t>
      </w:r>
      <w:r w:rsidR="000D79E9">
        <w:br/>
      </w:r>
      <w:r>
        <w:br/>
      </w:r>
      <w:r w:rsidR="0080145A">
        <w:t xml:space="preserve">Incarcerated persons calling services </w:t>
      </w:r>
      <w:r>
        <w:t xml:space="preserve">providers must implement the adopted rate caps and fee requirements and submit compliance filings </w:t>
      </w:r>
      <w:r w:rsidR="004D70FD">
        <w:t>to</w:t>
      </w:r>
      <w:r>
        <w:t xml:space="preserve"> the CPUC. Providers must also notify facilities, customers, and account holders about the new rates and consumer protections.</w:t>
      </w:r>
    </w:p>
    <w:p w:rsidRPr="00B00A03" w:rsidR="009C6C1D" w:rsidP="00B00A03" w:rsidRDefault="000372AB" w14:paraId="7C7B38C6" w14:textId="24E2286F">
      <w:pPr>
        <w:pStyle w:val="NormalWeb"/>
        <w:spacing w:before="0" w:beforeAutospacing="0" w:after="0" w:afterAutospacing="0"/>
        <w:rPr>
          <w:b/>
          <w:bCs/>
        </w:rPr>
      </w:pPr>
      <w:r w:rsidRPr="002A1FEF">
        <w:rPr>
          <w:b/>
          <w:bCs/>
        </w:rPr>
        <w:t>More Information</w:t>
      </w:r>
    </w:p>
    <w:p w:rsidR="00CC3136" w:rsidP="00CF04CD" w:rsidRDefault="0070320C" w14:paraId="2C26B868" w14:textId="1F4E720C">
      <w:pPr>
        <w:pStyle w:val="NormalWeb"/>
        <w:numPr>
          <w:ilvl w:val="0"/>
          <w:numId w:val="4"/>
        </w:numPr>
        <w:spacing w:before="0" w:beforeAutospacing="0" w:after="0" w:afterAutospacing="0"/>
      </w:pPr>
      <w:hyperlink w:history="1" r:id="rId14">
        <w:r w:rsidRPr="0070320C" w:rsidR="00B00A03">
          <w:rPr>
            <w:rStyle w:val="Hyperlink"/>
          </w:rPr>
          <w:t>Proposal Ap</w:t>
        </w:r>
        <w:r w:rsidRPr="0070320C" w:rsidR="00B00A03">
          <w:rPr>
            <w:rStyle w:val="Hyperlink"/>
          </w:rPr>
          <w:t>p</w:t>
        </w:r>
        <w:r w:rsidRPr="0070320C" w:rsidR="00B00A03">
          <w:rPr>
            <w:rStyle w:val="Hyperlink"/>
          </w:rPr>
          <w:t>roved</w:t>
        </w:r>
      </w:hyperlink>
    </w:p>
    <w:p w:rsidR="006D259D" w:rsidP="00CF04CD" w:rsidRDefault="006D259D" w14:paraId="26BDD3CB" w14:textId="0A0DA8D3">
      <w:pPr>
        <w:pStyle w:val="NormalWeb"/>
        <w:numPr>
          <w:ilvl w:val="0"/>
          <w:numId w:val="4"/>
        </w:numPr>
        <w:spacing w:before="0" w:beforeAutospacing="0" w:after="0" w:afterAutospacing="0"/>
      </w:pPr>
      <w:hyperlink w:history="1" r:id="rId15">
        <w:r w:rsidRPr="006D259D">
          <w:rPr>
            <w:rStyle w:val="Hyperlink"/>
          </w:rPr>
          <w:t xml:space="preserve">Proceeding Docket </w:t>
        </w:r>
        <w:r w:rsidRPr="006D259D">
          <w:rPr>
            <w:rStyle w:val="Hyperlink"/>
          </w:rPr>
          <w:t>C</w:t>
        </w:r>
        <w:r w:rsidRPr="006D259D">
          <w:rPr>
            <w:rStyle w:val="Hyperlink"/>
          </w:rPr>
          <w:t>ard</w:t>
        </w:r>
      </w:hyperlink>
    </w:p>
    <w:p w:rsidRPr="00CF04CD" w:rsidR="006D259D" w:rsidP="00CF04CD" w:rsidRDefault="006D259D" w14:paraId="1E7D1B10" w14:textId="681F1F7D">
      <w:pPr>
        <w:pStyle w:val="NormalWeb"/>
        <w:numPr>
          <w:ilvl w:val="0"/>
          <w:numId w:val="4"/>
        </w:numPr>
        <w:spacing w:before="0" w:beforeAutospacing="0" w:after="0" w:afterAutospacing="0"/>
        <w:rPr>
          <w:rStyle w:val="Hyperlink"/>
          <w:color w:val="auto"/>
          <w:u w:val="none"/>
        </w:rPr>
      </w:pPr>
      <w:hyperlink w:history="1" r:id="rId16">
        <w:r w:rsidRPr="006D259D">
          <w:rPr>
            <w:rStyle w:val="Hyperlink"/>
          </w:rPr>
          <w:t>Proceeding Web</w:t>
        </w:r>
        <w:r w:rsidRPr="006D259D">
          <w:rPr>
            <w:rStyle w:val="Hyperlink"/>
          </w:rPr>
          <w:t>p</w:t>
        </w:r>
        <w:r w:rsidRPr="006D259D">
          <w:rPr>
            <w:rStyle w:val="Hyperlink"/>
          </w:rPr>
          <w:t>age</w:t>
        </w:r>
      </w:hyperlink>
    </w:p>
    <w:p w:rsidR="0A11ECF3" w:rsidP="0A11ECF3" w:rsidRDefault="0A11ECF3" w14:paraId="4666DCEA" w14:textId="3D96BFDC">
      <w:pPr>
        <w:pStyle w:val="NormalWeb"/>
        <w:spacing w:before="0" w:beforeAutospacing="0" w:after="0" w:afterAutospacing="0"/>
        <w:ind w:left="720"/>
      </w:pPr>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7">
        <w:r w:rsidRPr="008953A8" w:rsidR="006C256F">
          <w:rPr>
            <w:rStyle w:val="Hyperlink"/>
          </w:rPr>
          <w:t>www.cpuc</w:t>
        </w:r>
        <w:r w:rsidRPr="008953A8" w:rsidR="006C256F">
          <w:rPr>
            <w:rStyle w:val="Hyperlink"/>
          </w:rPr>
          <w:t>.</w:t>
        </w:r>
        <w:r w:rsidRPr="008953A8" w:rsidR="006C256F">
          <w:rPr>
            <w:rStyle w:val="Hyperlink"/>
          </w:rPr>
          <w:t>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4831" w14:textId="77777777" w:rsidR="001B0C78" w:rsidRDefault="001B0C78">
      <w:pPr>
        <w:spacing w:line="240" w:lineRule="auto"/>
      </w:pPr>
      <w:r>
        <w:separator/>
      </w:r>
    </w:p>
    <w:p w14:paraId="13BF6422" w14:textId="77777777" w:rsidR="001B0C78" w:rsidRDefault="001B0C78"/>
  </w:endnote>
  <w:endnote w:type="continuationSeparator" w:id="0">
    <w:p w14:paraId="001DEB56" w14:textId="77777777" w:rsidR="001B0C78" w:rsidRDefault="001B0C78">
      <w:pPr>
        <w:spacing w:line="240" w:lineRule="auto"/>
      </w:pPr>
      <w:r>
        <w:continuationSeparator/>
      </w:r>
    </w:p>
    <w:p w14:paraId="16D9F832" w14:textId="77777777" w:rsidR="001B0C78" w:rsidRDefault="001B0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E2FA" w14:textId="77777777" w:rsidR="001B0C78" w:rsidRDefault="001B0C78">
      <w:pPr>
        <w:spacing w:line="240" w:lineRule="auto"/>
      </w:pPr>
      <w:r>
        <w:separator/>
      </w:r>
    </w:p>
    <w:p w14:paraId="53795EAC" w14:textId="77777777" w:rsidR="001B0C78" w:rsidRDefault="001B0C78"/>
  </w:footnote>
  <w:footnote w:type="continuationSeparator" w:id="0">
    <w:p w14:paraId="78FCE20E" w14:textId="77777777" w:rsidR="001B0C78" w:rsidRDefault="001B0C78">
      <w:pPr>
        <w:spacing w:line="240" w:lineRule="auto"/>
      </w:pPr>
      <w:r>
        <w:continuationSeparator/>
      </w:r>
    </w:p>
    <w:p w14:paraId="18793889" w14:textId="77777777" w:rsidR="001B0C78" w:rsidRDefault="001B0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26712"/>
    <w:multiLevelType w:val="hybridMultilevel"/>
    <w:tmpl w:val="93965C48"/>
    <w:lvl w:ilvl="0" w:tplc="9DEE600E">
      <w:start w:val="1"/>
      <w:numFmt w:val="bullet"/>
      <w:lvlText w:val=""/>
      <w:lvlJc w:val="left"/>
      <w:pPr>
        <w:ind w:left="720" w:hanging="360"/>
      </w:pPr>
      <w:rPr>
        <w:rFonts w:ascii="Symbol" w:hAnsi="Symbol" w:hint="default"/>
      </w:rPr>
    </w:lvl>
    <w:lvl w:ilvl="1" w:tplc="646E5254">
      <w:start w:val="1"/>
      <w:numFmt w:val="bullet"/>
      <w:lvlText w:val="o"/>
      <w:lvlJc w:val="left"/>
      <w:pPr>
        <w:ind w:left="1440" w:hanging="360"/>
      </w:pPr>
      <w:rPr>
        <w:rFonts w:ascii="Courier New" w:hAnsi="Courier New" w:hint="default"/>
      </w:rPr>
    </w:lvl>
    <w:lvl w:ilvl="2" w:tplc="C5BAEAB2">
      <w:start w:val="1"/>
      <w:numFmt w:val="bullet"/>
      <w:lvlText w:val=""/>
      <w:lvlJc w:val="left"/>
      <w:pPr>
        <w:ind w:left="2160" w:hanging="360"/>
      </w:pPr>
      <w:rPr>
        <w:rFonts w:ascii="Wingdings" w:hAnsi="Wingdings" w:hint="default"/>
      </w:rPr>
    </w:lvl>
    <w:lvl w:ilvl="3" w:tplc="5472249E">
      <w:start w:val="1"/>
      <w:numFmt w:val="bullet"/>
      <w:lvlText w:val=""/>
      <w:lvlJc w:val="left"/>
      <w:pPr>
        <w:ind w:left="2880" w:hanging="360"/>
      </w:pPr>
      <w:rPr>
        <w:rFonts w:ascii="Symbol" w:hAnsi="Symbol" w:hint="default"/>
      </w:rPr>
    </w:lvl>
    <w:lvl w:ilvl="4" w:tplc="1B96A890">
      <w:start w:val="1"/>
      <w:numFmt w:val="bullet"/>
      <w:lvlText w:val="o"/>
      <w:lvlJc w:val="left"/>
      <w:pPr>
        <w:ind w:left="3600" w:hanging="360"/>
      </w:pPr>
      <w:rPr>
        <w:rFonts w:ascii="Courier New" w:hAnsi="Courier New" w:hint="default"/>
      </w:rPr>
    </w:lvl>
    <w:lvl w:ilvl="5" w:tplc="1AD24F8A">
      <w:start w:val="1"/>
      <w:numFmt w:val="bullet"/>
      <w:lvlText w:val=""/>
      <w:lvlJc w:val="left"/>
      <w:pPr>
        <w:ind w:left="4320" w:hanging="360"/>
      </w:pPr>
      <w:rPr>
        <w:rFonts w:ascii="Wingdings" w:hAnsi="Wingdings" w:hint="default"/>
      </w:rPr>
    </w:lvl>
    <w:lvl w:ilvl="6" w:tplc="B61E2280">
      <w:start w:val="1"/>
      <w:numFmt w:val="bullet"/>
      <w:lvlText w:val=""/>
      <w:lvlJc w:val="left"/>
      <w:pPr>
        <w:ind w:left="5040" w:hanging="360"/>
      </w:pPr>
      <w:rPr>
        <w:rFonts w:ascii="Symbol" w:hAnsi="Symbol" w:hint="default"/>
      </w:rPr>
    </w:lvl>
    <w:lvl w:ilvl="7" w:tplc="123837E4">
      <w:start w:val="1"/>
      <w:numFmt w:val="bullet"/>
      <w:lvlText w:val="o"/>
      <w:lvlJc w:val="left"/>
      <w:pPr>
        <w:ind w:left="5760" w:hanging="360"/>
      </w:pPr>
      <w:rPr>
        <w:rFonts w:ascii="Courier New" w:hAnsi="Courier New" w:hint="default"/>
      </w:rPr>
    </w:lvl>
    <w:lvl w:ilvl="8" w:tplc="935A826A">
      <w:start w:val="1"/>
      <w:numFmt w:val="bullet"/>
      <w:lvlText w:val=""/>
      <w:lvlJc w:val="left"/>
      <w:pPr>
        <w:ind w:left="6480" w:hanging="360"/>
      </w:pPr>
      <w:rPr>
        <w:rFonts w:ascii="Wingdings" w:hAnsi="Wingdings" w:hint="default"/>
      </w:rPr>
    </w:lvl>
  </w:abstractNum>
  <w:abstractNum w:abstractNumId="2"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52C59"/>
    <w:multiLevelType w:val="hybridMultilevel"/>
    <w:tmpl w:val="296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4691B"/>
    <w:multiLevelType w:val="multilevel"/>
    <w:tmpl w:val="F70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52CB6"/>
    <w:multiLevelType w:val="hybridMultilevel"/>
    <w:tmpl w:val="515EDD1E"/>
    <w:lvl w:ilvl="0" w:tplc="0C78D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C09E3"/>
    <w:multiLevelType w:val="hybridMultilevel"/>
    <w:tmpl w:val="FBC2CCFA"/>
    <w:lvl w:ilvl="0" w:tplc="0B3A1A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C314C"/>
    <w:multiLevelType w:val="hybridMultilevel"/>
    <w:tmpl w:val="CCD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21083"/>
    <w:multiLevelType w:val="hybridMultilevel"/>
    <w:tmpl w:val="9AC4B5FE"/>
    <w:lvl w:ilvl="0" w:tplc="62524B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31649"/>
    <w:multiLevelType w:val="hybridMultilevel"/>
    <w:tmpl w:val="3BEE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98630">
    <w:abstractNumId w:val="1"/>
  </w:num>
  <w:num w:numId="2" w16cid:durableId="117994637">
    <w:abstractNumId w:val="2"/>
  </w:num>
  <w:num w:numId="3" w16cid:durableId="1083062485">
    <w:abstractNumId w:val="0"/>
  </w:num>
  <w:num w:numId="4" w16cid:durableId="130027463">
    <w:abstractNumId w:val="11"/>
  </w:num>
  <w:num w:numId="5" w16cid:durableId="1324746911">
    <w:abstractNumId w:val="9"/>
  </w:num>
  <w:num w:numId="6" w16cid:durableId="1740515815">
    <w:abstractNumId w:val="6"/>
  </w:num>
  <w:num w:numId="7" w16cid:durableId="1261837000">
    <w:abstractNumId w:val="3"/>
  </w:num>
  <w:num w:numId="8" w16cid:durableId="242493030">
    <w:abstractNumId w:val="5"/>
  </w:num>
  <w:num w:numId="9" w16cid:durableId="2015254133">
    <w:abstractNumId w:val="12"/>
  </w:num>
  <w:num w:numId="10" w16cid:durableId="1003968807">
    <w:abstractNumId w:val="7"/>
  </w:num>
  <w:num w:numId="11" w16cid:durableId="323976234">
    <w:abstractNumId w:val="4"/>
  </w:num>
  <w:num w:numId="12" w16cid:durableId="1274901681">
    <w:abstractNumId w:val="8"/>
  </w:num>
  <w:num w:numId="13" w16cid:durableId="978000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0789B"/>
    <w:rsid w:val="00015A8C"/>
    <w:rsid w:val="00027F62"/>
    <w:rsid w:val="00032DF2"/>
    <w:rsid w:val="00034C07"/>
    <w:rsid w:val="000372AB"/>
    <w:rsid w:val="000511DF"/>
    <w:rsid w:val="000527AF"/>
    <w:rsid w:val="00064C9B"/>
    <w:rsid w:val="00065488"/>
    <w:rsid w:val="000671F7"/>
    <w:rsid w:val="00067BC8"/>
    <w:rsid w:val="00073C0D"/>
    <w:rsid w:val="00084919"/>
    <w:rsid w:val="00096318"/>
    <w:rsid w:val="000964E3"/>
    <w:rsid w:val="000A17C9"/>
    <w:rsid w:val="000A6282"/>
    <w:rsid w:val="000B035D"/>
    <w:rsid w:val="000B3734"/>
    <w:rsid w:val="000B3D43"/>
    <w:rsid w:val="000B5979"/>
    <w:rsid w:val="000B662B"/>
    <w:rsid w:val="000B7BD1"/>
    <w:rsid w:val="000C437C"/>
    <w:rsid w:val="000C4CAC"/>
    <w:rsid w:val="000D695E"/>
    <w:rsid w:val="000D79E9"/>
    <w:rsid w:val="000E0857"/>
    <w:rsid w:val="001103D7"/>
    <w:rsid w:val="001121D2"/>
    <w:rsid w:val="00122992"/>
    <w:rsid w:val="00140CFB"/>
    <w:rsid w:val="00165298"/>
    <w:rsid w:val="00166728"/>
    <w:rsid w:val="001700B6"/>
    <w:rsid w:val="001925A6"/>
    <w:rsid w:val="001B0C78"/>
    <w:rsid w:val="001C6E1C"/>
    <w:rsid w:val="001D2C18"/>
    <w:rsid w:val="001D355F"/>
    <w:rsid w:val="001E434A"/>
    <w:rsid w:val="001E44E0"/>
    <w:rsid w:val="00200D54"/>
    <w:rsid w:val="002059CC"/>
    <w:rsid w:val="00211BF7"/>
    <w:rsid w:val="002171EF"/>
    <w:rsid w:val="00227D32"/>
    <w:rsid w:val="00237CFC"/>
    <w:rsid w:val="0024175B"/>
    <w:rsid w:val="00241CE3"/>
    <w:rsid w:val="002557D4"/>
    <w:rsid w:val="00260757"/>
    <w:rsid w:val="00260E9E"/>
    <w:rsid w:val="00265714"/>
    <w:rsid w:val="00287B7E"/>
    <w:rsid w:val="002931FB"/>
    <w:rsid w:val="002A1FEF"/>
    <w:rsid w:val="002A209F"/>
    <w:rsid w:val="002A7716"/>
    <w:rsid w:val="002B27B4"/>
    <w:rsid w:val="002C649D"/>
    <w:rsid w:val="002C7075"/>
    <w:rsid w:val="002D1E41"/>
    <w:rsid w:val="002E08B7"/>
    <w:rsid w:val="002E2EEB"/>
    <w:rsid w:val="002E3C91"/>
    <w:rsid w:val="002F7D6C"/>
    <w:rsid w:val="003055DE"/>
    <w:rsid w:val="00305629"/>
    <w:rsid w:val="00310B9B"/>
    <w:rsid w:val="00313D21"/>
    <w:rsid w:val="00314343"/>
    <w:rsid w:val="003164F0"/>
    <w:rsid w:val="00325DA9"/>
    <w:rsid w:val="003402D8"/>
    <w:rsid w:val="0034482F"/>
    <w:rsid w:val="003546B1"/>
    <w:rsid w:val="00362D44"/>
    <w:rsid w:val="003666E8"/>
    <w:rsid w:val="003A68A1"/>
    <w:rsid w:val="003A7882"/>
    <w:rsid w:val="003B1208"/>
    <w:rsid w:val="003B32A6"/>
    <w:rsid w:val="003C232E"/>
    <w:rsid w:val="003D5ECD"/>
    <w:rsid w:val="003E212A"/>
    <w:rsid w:val="003E2832"/>
    <w:rsid w:val="003E2DF6"/>
    <w:rsid w:val="003E6BAB"/>
    <w:rsid w:val="003E6DB2"/>
    <w:rsid w:val="003F07C4"/>
    <w:rsid w:val="003F7190"/>
    <w:rsid w:val="00412D3E"/>
    <w:rsid w:val="004151E4"/>
    <w:rsid w:val="00427583"/>
    <w:rsid w:val="004327DC"/>
    <w:rsid w:val="00465E73"/>
    <w:rsid w:val="004718FF"/>
    <w:rsid w:val="00475AE3"/>
    <w:rsid w:val="0048184C"/>
    <w:rsid w:val="00494763"/>
    <w:rsid w:val="004A6C2D"/>
    <w:rsid w:val="004A77EE"/>
    <w:rsid w:val="004D70FD"/>
    <w:rsid w:val="00503BDC"/>
    <w:rsid w:val="00503C35"/>
    <w:rsid w:val="00504AE3"/>
    <w:rsid w:val="00510C78"/>
    <w:rsid w:val="00510E1D"/>
    <w:rsid w:val="005119F2"/>
    <w:rsid w:val="00511AD4"/>
    <w:rsid w:val="00516C98"/>
    <w:rsid w:val="00517157"/>
    <w:rsid w:val="00520CC7"/>
    <w:rsid w:val="00523267"/>
    <w:rsid w:val="005257DC"/>
    <w:rsid w:val="00546BD0"/>
    <w:rsid w:val="00550EE0"/>
    <w:rsid w:val="00560114"/>
    <w:rsid w:val="00565E23"/>
    <w:rsid w:val="0057182E"/>
    <w:rsid w:val="005947A0"/>
    <w:rsid w:val="005A12F2"/>
    <w:rsid w:val="005A367B"/>
    <w:rsid w:val="005A4882"/>
    <w:rsid w:val="005B53C9"/>
    <w:rsid w:val="005C025C"/>
    <w:rsid w:val="005C4CB8"/>
    <w:rsid w:val="005C4F9F"/>
    <w:rsid w:val="005E3ECB"/>
    <w:rsid w:val="005E5942"/>
    <w:rsid w:val="005E657A"/>
    <w:rsid w:val="00605487"/>
    <w:rsid w:val="00636239"/>
    <w:rsid w:val="00637220"/>
    <w:rsid w:val="00654243"/>
    <w:rsid w:val="006614A9"/>
    <w:rsid w:val="006624D7"/>
    <w:rsid w:val="00662A7E"/>
    <w:rsid w:val="006809B6"/>
    <w:rsid w:val="00681F83"/>
    <w:rsid w:val="00684FF5"/>
    <w:rsid w:val="006905CA"/>
    <w:rsid w:val="00693F98"/>
    <w:rsid w:val="006B4BF5"/>
    <w:rsid w:val="006B7FE3"/>
    <w:rsid w:val="006C256F"/>
    <w:rsid w:val="006C29FE"/>
    <w:rsid w:val="006C3B01"/>
    <w:rsid w:val="006D259D"/>
    <w:rsid w:val="006E484B"/>
    <w:rsid w:val="006E525A"/>
    <w:rsid w:val="006E64A0"/>
    <w:rsid w:val="006E65E3"/>
    <w:rsid w:val="00700210"/>
    <w:rsid w:val="0070320C"/>
    <w:rsid w:val="007170B6"/>
    <w:rsid w:val="00724BB7"/>
    <w:rsid w:val="00726E07"/>
    <w:rsid w:val="00727998"/>
    <w:rsid w:val="007516EE"/>
    <w:rsid w:val="00754FE0"/>
    <w:rsid w:val="0075765F"/>
    <w:rsid w:val="00773D0D"/>
    <w:rsid w:val="007748F0"/>
    <w:rsid w:val="00775BF7"/>
    <w:rsid w:val="007818E9"/>
    <w:rsid w:val="00795ADC"/>
    <w:rsid w:val="007A3960"/>
    <w:rsid w:val="007A621F"/>
    <w:rsid w:val="007A7A68"/>
    <w:rsid w:val="007B3B9B"/>
    <w:rsid w:val="007B7FB7"/>
    <w:rsid w:val="007C3973"/>
    <w:rsid w:val="007E1B99"/>
    <w:rsid w:val="0080145A"/>
    <w:rsid w:val="008079F6"/>
    <w:rsid w:val="00825427"/>
    <w:rsid w:val="00825BF6"/>
    <w:rsid w:val="008352EF"/>
    <w:rsid w:val="008635F6"/>
    <w:rsid w:val="008642F2"/>
    <w:rsid w:val="008678B1"/>
    <w:rsid w:val="00872530"/>
    <w:rsid w:val="00877625"/>
    <w:rsid w:val="0088061E"/>
    <w:rsid w:val="00881D75"/>
    <w:rsid w:val="00882D9F"/>
    <w:rsid w:val="008A0FA8"/>
    <w:rsid w:val="008A43BB"/>
    <w:rsid w:val="008B1830"/>
    <w:rsid w:val="008B3D3C"/>
    <w:rsid w:val="008B6201"/>
    <w:rsid w:val="008B631C"/>
    <w:rsid w:val="008B796C"/>
    <w:rsid w:val="008C38F6"/>
    <w:rsid w:val="008C7F07"/>
    <w:rsid w:val="008D247E"/>
    <w:rsid w:val="008E25C0"/>
    <w:rsid w:val="008F1159"/>
    <w:rsid w:val="008F553B"/>
    <w:rsid w:val="00900D0D"/>
    <w:rsid w:val="00901F00"/>
    <w:rsid w:val="00904842"/>
    <w:rsid w:val="00916768"/>
    <w:rsid w:val="00936CE9"/>
    <w:rsid w:val="009422DC"/>
    <w:rsid w:val="009456D3"/>
    <w:rsid w:val="00947748"/>
    <w:rsid w:val="00952356"/>
    <w:rsid w:val="0095374D"/>
    <w:rsid w:val="00963365"/>
    <w:rsid w:val="00973CB7"/>
    <w:rsid w:val="00974B95"/>
    <w:rsid w:val="00982B42"/>
    <w:rsid w:val="009915DC"/>
    <w:rsid w:val="009A094A"/>
    <w:rsid w:val="009A0DF7"/>
    <w:rsid w:val="009A2082"/>
    <w:rsid w:val="009C47C3"/>
    <w:rsid w:val="009C6C1D"/>
    <w:rsid w:val="009E2DA5"/>
    <w:rsid w:val="009E4971"/>
    <w:rsid w:val="009E4EBA"/>
    <w:rsid w:val="00A06F87"/>
    <w:rsid w:val="00A21E9A"/>
    <w:rsid w:val="00A3512C"/>
    <w:rsid w:val="00A36204"/>
    <w:rsid w:val="00A4490A"/>
    <w:rsid w:val="00A53A78"/>
    <w:rsid w:val="00A54C6D"/>
    <w:rsid w:val="00A73384"/>
    <w:rsid w:val="00A8400C"/>
    <w:rsid w:val="00A87FF5"/>
    <w:rsid w:val="00AA186B"/>
    <w:rsid w:val="00AA2945"/>
    <w:rsid w:val="00AB48E3"/>
    <w:rsid w:val="00AB5C38"/>
    <w:rsid w:val="00AE1827"/>
    <w:rsid w:val="00AE2C34"/>
    <w:rsid w:val="00B00A03"/>
    <w:rsid w:val="00B0491A"/>
    <w:rsid w:val="00B072CF"/>
    <w:rsid w:val="00B12683"/>
    <w:rsid w:val="00B2336C"/>
    <w:rsid w:val="00B24057"/>
    <w:rsid w:val="00B25B6D"/>
    <w:rsid w:val="00B328FE"/>
    <w:rsid w:val="00B35180"/>
    <w:rsid w:val="00B41618"/>
    <w:rsid w:val="00B46AF6"/>
    <w:rsid w:val="00B61D69"/>
    <w:rsid w:val="00B774FA"/>
    <w:rsid w:val="00B807CA"/>
    <w:rsid w:val="00B82F89"/>
    <w:rsid w:val="00B948C7"/>
    <w:rsid w:val="00B960ED"/>
    <w:rsid w:val="00B97CD7"/>
    <w:rsid w:val="00BA2810"/>
    <w:rsid w:val="00BA3F99"/>
    <w:rsid w:val="00BA6001"/>
    <w:rsid w:val="00BA63D7"/>
    <w:rsid w:val="00BA7935"/>
    <w:rsid w:val="00BA7C1C"/>
    <w:rsid w:val="00BB30D3"/>
    <w:rsid w:val="00BC54BE"/>
    <w:rsid w:val="00BD08C6"/>
    <w:rsid w:val="00BE0F70"/>
    <w:rsid w:val="00BE1014"/>
    <w:rsid w:val="00BE10C4"/>
    <w:rsid w:val="00BE1AE5"/>
    <w:rsid w:val="00BF3EDD"/>
    <w:rsid w:val="00C145F8"/>
    <w:rsid w:val="00C33199"/>
    <w:rsid w:val="00C37B41"/>
    <w:rsid w:val="00C421C0"/>
    <w:rsid w:val="00C644FC"/>
    <w:rsid w:val="00C66C0E"/>
    <w:rsid w:val="00C877C9"/>
    <w:rsid w:val="00C91349"/>
    <w:rsid w:val="00CC3136"/>
    <w:rsid w:val="00CD3AA8"/>
    <w:rsid w:val="00CE4FFC"/>
    <w:rsid w:val="00CE71A1"/>
    <w:rsid w:val="00CF04CD"/>
    <w:rsid w:val="00CF2404"/>
    <w:rsid w:val="00D00FD1"/>
    <w:rsid w:val="00D02210"/>
    <w:rsid w:val="00D054FE"/>
    <w:rsid w:val="00D13DF3"/>
    <w:rsid w:val="00D14A00"/>
    <w:rsid w:val="00D427B0"/>
    <w:rsid w:val="00D42CD4"/>
    <w:rsid w:val="00D44DE8"/>
    <w:rsid w:val="00D64B45"/>
    <w:rsid w:val="00D81466"/>
    <w:rsid w:val="00D820A1"/>
    <w:rsid w:val="00D861FF"/>
    <w:rsid w:val="00D879A8"/>
    <w:rsid w:val="00D92AD2"/>
    <w:rsid w:val="00D964B0"/>
    <w:rsid w:val="00D96B56"/>
    <w:rsid w:val="00DA1186"/>
    <w:rsid w:val="00DA1B3D"/>
    <w:rsid w:val="00DB6396"/>
    <w:rsid w:val="00DC0683"/>
    <w:rsid w:val="00DD5DE5"/>
    <w:rsid w:val="00DD700F"/>
    <w:rsid w:val="00DE7181"/>
    <w:rsid w:val="00DF0D63"/>
    <w:rsid w:val="00DF4C25"/>
    <w:rsid w:val="00E0316C"/>
    <w:rsid w:val="00E07B5E"/>
    <w:rsid w:val="00E10C42"/>
    <w:rsid w:val="00E246C1"/>
    <w:rsid w:val="00E25892"/>
    <w:rsid w:val="00E26C03"/>
    <w:rsid w:val="00E2786E"/>
    <w:rsid w:val="00E33909"/>
    <w:rsid w:val="00E35835"/>
    <w:rsid w:val="00E46C3D"/>
    <w:rsid w:val="00E53723"/>
    <w:rsid w:val="00E96318"/>
    <w:rsid w:val="00EA409A"/>
    <w:rsid w:val="00EC6158"/>
    <w:rsid w:val="00ED4643"/>
    <w:rsid w:val="00ED4CAE"/>
    <w:rsid w:val="00EE06DC"/>
    <w:rsid w:val="00EE25B3"/>
    <w:rsid w:val="00EF0B74"/>
    <w:rsid w:val="00F0057A"/>
    <w:rsid w:val="00F0113C"/>
    <w:rsid w:val="00F06E27"/>
    <w:rsid w:val="00F132D9"/>
    <w:rsid w:val="00F37D27"/>
    <w:rsid w:val="00F448FD"/>
    <w:rsid w:val="00F50CA0"/>
    <w:rsid w:val="00F51D8E"/>
    <w:rsid w:val="00F5295D"/>
    <w:rsid w:val="00F663E3"/>
    <w:rsid w:val="00F703B4"/>
    <w:rsid w:val="00F713B1"/>
    <w:rsid w:val="00F750A6"/>
    <w:rsid w:val="00F826F2"/>
    <w:rsid w:val="00F90ED9"/>
    <w:rsid w:val="00FA081B"/>
    <w:rsid w:val="00FD0A4E"/>
    <w:rsid w:val="00FD3A07"/>
    <w:rsid w:val="00FE272C"/>
    <w:rsid w:val="00FE4159"/>
    <w:rsid w:val="00FF2710"/>
    <w:rsid w:val="010D9642"/>
    <w:rsid w:val="0150D5B3"/>
    <w:rsid w:val="025B17E2"/>
    <w:rsid w:val="0372A4E7"/>
    <w:rsid w:val="0383495F"/>
    <w:rsid w:val="050E7CDB"/>
    <w:rsid w:val="051DA533"/>
    <w:rsid w:val="0637DC9E"/>
    <w:rsid w:val="07CF0C35"/>
    <w:rsid w:val="0821A65B"/>
    <w:rsid w:val="085443F1"/>
    <w:rsid w:val="09041BF9"/>
    <w:rsid w:val="096207D9"/>
    <w:rsid w:val="0A11ECF3"/>
    <w:rsid w:val="0B206D3E"/>
    <w:rsid w:val="0D62ABF4"/>
    <w:rsid w:val="0EDE8105"/>
    <w:rsid w:val="119D59B3"/>
    <w:rsid w:val="11EB409F"/>
    <w:rsid w:val="12200BEC"/>
    <w:rsid w:val="122773D4"/>
    <w:rsid w:val="123F5468"/>
    <w:rsid w:val="16760F4A"/>
    <w:rsid w:val="17FB29DA"/>
    <w:rsid w:val="1888E890"/>
    <w:rsid w:val="191F60AA"/>
    <w:rsid w:val="19D3C5BB"/>
    <w:rsid w:val="1D975477"/>
    <w:rsid w:val="1E099C65"/>
    <w:rsid w:val="1F599C54"/>
    <w:rsid w:val="1F8A18CC"/>
    <w:rsid w:val="1FFFC79F"/>
    <w:rsid w:val="2170F079"/>
    <w:rsid w:val="2246EFE8"/>
    <w:rsid w:val="23992478"/>
    <w:rsid w:val="23A90824"/>
    <w:rsid w:val="2510728A"/>
    <w:rsid w:val="25468C57"/>
    <w:rsid w:val="25CA7246"/>
    <w:rsid w:val="26DB818B"/>
    <w:rsid w:val="2B1D2CB4"/>
    <w:rsid w:val="2BE2460F"/>
    <w:rsid w:val="32C1DCB0"/>
    <w:rsid w:val="348D47A1"/>
    <w:rsid w:val="384A1677"/>
    <w:rsid w:val="3908BADE"/>
    <w:rsid w:val="39D15DDC"/>
    <w:rsid w:val="3CE2FB45"/>
    <w:rsid w:val="3CEE2FE8"/>
    <w:rsid w:val="3DAFAF20"/>
    <w:rsid w:val="3DCE1C7A"/>
    <w:rsid w:val="3FCE0402"/>
    <w:rsid w:val="40E2DD64"/>
    <w:rsid w:val="44C90BF0"/>
    <w:rsid w:val="474270EF"/>
    <w:rsid w:val="47C6B083"/>
    <w:rsid w:val="49054D45"/>
    <w:rsid w:val="497912BD"/>
    <w:rsid w:val="4A1A4A7B"/>
    <w:rsid w:val="4B9D697E"/>
    <w:rsid w:val="4C547966"/>
    <w:rsid w:val="4C7F21FE"/>
    <w:rsid w:val="4D1C5CAE"/>
    <w:rsid w:val="4F5C04B7"/>
    <w:rsid w:val="4F7D1176"/>
    <w:rsid w:val="50ED4ACE"/>
    <w:rsid w:val="50FEC27F"/>
    <w:rsid w:val="52DA1BEB"/>
    <w:rsid w:val="53ADC88A"/>
    <w:rsid w:val="548C7144"/>
    <w:rsid w:val="557CD28D"/>
    <w:rsid w:val="55EABD13"/>
    <w:rsid w:val="584BDAAB"/>
    <w:rsid w:val="5BA6300E"/>
    <w:rsid w:val="5CE3FA09"/>
    <w:rsid w:val="5E4B291B"/>
    <w:rsid w:val="63234312"/>
    <w:rsid w:val="6648F241"/>
    <w:rsid w:val="664C75C7"/>
    <w:rsid w:val="6796D382"/>
    <w:rsid w:val="68410CB5"/>
    <w:rsid w:val="693E2695"/>
    <w:rsid w:val="7117A5AB"/>
    <w:rsid w:val="724C652D"/>
    <w:rsid w:val="7425A41F"/>
    <w:rsid w:val="7462EF68"/>
    <w:rsid w:val="75C4741D"/>
    <w:rsid w:val="76F2BFC8"/>
    <w:rsid w:val="7751BFA2"/>
    <w:rsid w:val="77810676"/>
    <w:rsid w:val="7841A64D"/>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16D4BD17-9D89-44D7-AA08-5C0981BB2DB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E031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news-and-updates/all-news/cpuc-caps-phone-rates-for-those-incarcerat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industries-and-topics/internet-and-phone/rulemaking-considering-regulation-of-telecommunication-services-used-by-incarcerated-peop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cpuc.ca.gov/apex/f?p=401:56::::RP,57,RIR:P5_PROCEEDING_SELECT:R201000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604/K013/604013713.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731</ap:Words>
  <ap:Characters>4167</ap:Characters>
  <ap:Application>Microsoft Office Word</ap:Application>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4889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2026-02-24T23:16:00Z</cp:lastPrinted>
  <dcterms:created xsi:type="dcterms:W3CDTF">2026-04-09T14:37:19Z</dcterms:created>
  <dcterms:modified xsi:type="dcterms:W3CDTF">2026-04-09T14:37:19Z</dcterms:modified>
</cp:coreProperties>
</file>