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2919" w:rsidR="00BA4A77" w:rsidP="00BA4A77" w:rsidRDefault="00BA4A77" w14:paraId="46DA5F9D" w14:textId="77777777">
      <w:pPr>
        <w:tabs>
          <w:tab w:val="center" w:pos="4680"/>
          <w:tab w:val="right" w:pos="9360"/>
        </w:tabs>
        <w:spacing w:line="240" w:lineRule="auto"/>
        <w:ind w:firstLine="0"/>
        <w:rPr>
          <w:rFonts w:eastAsia="Times New Roman" w:cs="Times New Roman"/>
          <w:b/>
          <w:bCs/>
          <w:szCs w:val="26"/>
        </w:rPr>
      </w:pPr>
      <w:r>
        <w:rPr>
          <w:rFonts w:eastAsia="Times New Roman" w:cs="Times New Roman"/>
          <w:szCs w:val="26"/>
        </w:rPr>
        <w:t>ALJ</w:t>
      </w:r>
      <w:r w:rsidRPr="00762919">
        <w:rPr>
          <w:rFonts w:eastAsia="Times New Roman" w:cs="Times New Roman"/>
          <w:szCs w:val="26"/>
        </w:rPr>
        <w:t>/</w:t>
      </w:r>
      <w:r>
        <w:rPr>
          <w:rFonts w:eastAsia="Times New Roman" w:cs="Times New Roman"/>
          <w:szCs w:val="26"/>
        </w:rPr>
        <w:t>GT2</w:t>
      </w:r>
      <w:r w:rsidRPr="00762919">
        <w:rPr>
          <w:rFonts w:eastAsia="Times New Roman" w:cs="Times New Roman"/>
          <w:szCs w:val="26"/>
        </w:rPr>
        <w:t>/</w:t>
      </w:r>
      <w:proofErr w:type="spellStart"/>
      <w:r w:rsidRPr="00762919">
        <w:rPr>
          <w:rFonts w:eastAsia="Times New Roman" w:cs="Times New Roman"/>
          <w:szCs w:val="26"/>
        </w:rPr>
        <w:t>jds</w:t>
      </w:r>
      <w:proofErr w:type="spellEnd"/>
      <w:r w:rsidRPr="00762919">
        <w:rPr>
          <w:rFonts w:eastAsia="Times New Roman" w:cs="Times New Roman"/>
          <w:szCs w:val="26"/>
        </w:rPr>
        <w:tab/>
      </w:r>
      <w:r w:rsidRPr="00762919">
        <w:rPr>
          <w:rFonts w:eastAsia="Times New Roman" w:cs="Times New Roman"/>
          <w:szCs w:val="26"/>
        </w:rPr>
        <w:tab/>
      </w:r>
      <w:r w:rsidRPr="00762919">
        <w:rPr>
          <w:rFonts w:eastAsia="Times New Roman" w:cs="Times New Roman"/>
          <w:b/>
          <w:bCs/>
          <w:szCs w:val="26"/>
        </w:rPr>
        <w:t>Date of Issuance 4/1</w:t>
      </w:r>
      <w:r>
        <w:rPr>
          <w:rFonts w:eastAsia="Times New Roman" w:cs="Times New Roman"/>
          <w:b/>
          <w:bCs/>
          <w:szCs w:val="26"/>
        </w:rPr>
        <w:t>7</w:t>
      </w:r>
      <w:r w:rsidRPr="00762919">
        <w:rPr>
          <w:rFonts w:eastAsia="Times New Roman" w:cs="Times New Roman"/>
          <w:b/>
          <w:bCs/>
          <w:szCs w:val="26"/>
        </w:rPr>
        <w:t>/2026</w:t>
      </w:r>
    </w:p>
    <w:p w:rsidRPr="00762919" w:rsidR="00BA4A77" w:rsidP="00BA4A77" w:rsidRDefault="00BA4A77" w14:paraId="4292D5DD" w14:textId="77777777">
      <w:pPr>
        <w:tabs>
          <w:tab w:val="center" w:pos="4680"/>
          <w:tab w:val="right" w:pos="9360"/>
        </w:tabs>
        <w:spacing w:line="240" w:lineRule="auto"/>
        <w:ind w:firstLine="0"/>
        <w:rPr>
          <w:rFonts w:eastAsia="Times New Roman" w:cs="Times New Roman"/>
          <w:szCs w:val="26"/>
        </w:rPr>
      </w:pPr>
    </w:p>
    <w:p w:rsidRPr="00762919" w:rsidR="00BA4A77" w:rsidP="00BA4A77" w:rsidRDefault="00BA4A77" w14:paraId="1623523C" w14:textId="77777777">
      <w:pPr>
        <w:tabs>
          <w:tab w:val="center" w:pos="4680"/>
          <w:tab w:val="right" w:pos="9360"/>
        </w:tabs>
        <w:spacing w:line="240" w:lineRule="auto"/>
        <w:ind w:firstLine="0"/>
        <w:rPr>
          <w:rFonts w:eastAsia="Times New Roman" w:cs="Times New Roman"/>
          <w:szCs w:val="26"/>
        </w:rPr>
      </w:pPr>
    </w:p>
    <w:p w:rsidRPr="00762919" w:rsidR="00BA4A77" w:rsidP="00BA4A77" w:rsidRDefault="00BA4A77" w14:paraId="64167E31" w14:textId="77777777">
      <w:pPr>
        <w:tabs>
          <w:tab w:val="center" w:pos="4680"/>
          <w:tab w:val="right" w:pos="9360"/>
        </w:tabs>
        <w:spacing w:line="240" w:lineRule="auto"/>
        <w:ind w:firstLine="0"/>
        <w:rPr>
          <w:rFonts w:eastAsia="Times New Roman" w:cs="Times New Roman"/>
          <w:szCs w:val="26"/>
        </w:rPr>
      </w:pPr>
      <w:r w:rsidRPr="00762919">
        <w:rPr>
          <w:rFonts w:eastAsia="Times New Roman" w:cs="Times New Roman"/>
          <w:szCs w:val="26"/>
        </w:rPr>
        <w:t>Decision 26-04-</w:t>
      </w:r>
      <w:proofErr w:type="gramStart"/>
      <w:r w:rsidRPr="00762919">
        <w:rPr>
          <w:rFonts w:eastAsia="Times New Roman" w:cs="Times New Roman"/>
          <w:szCs w:val="26"/>
        </w:rPr>
        <w:t>00</w:t>
      </w:r>
      <w:r>
        <w:rPr>
          <w:rFonts w:eastAsia="Times New Roman" w:cs="Times New Roman"/>
          <w:szCs w:val="26"/>
        </w:rPr>
        <w:t>8</w:t>
      </w:r>
      <w:r w:rsidRPr="00762919">
        <w:rPr>
          <w:rFonts w:eastAsia="Times New Roman" w:cs="Times New Roman"/>
          <w:szCs w:val="26"/>
        </w:rPr>
        <w:t xml:space="preserve">  April</w:t>
      </w:r>
      <w:proofErr w:type="gramEnd"/>
      <w:r w:rsidRPr="00762919">
        <w:rPr>
          <w:rFonts w:eastAsia="Times New Roman" w:cs="Times New Roman"/>
          <w:szCs w:val="26"/>
        </w:rPr>
        <w:t xml:space="preserve"> 9, 2026</w:t>
      </w:r>
    </w:p>
    <w:p w:rsidRPr="00762919" w:rsidR="00BA4A77" w:rsidP="00BA4A77" w:rsidRDefault="00BA4A77" w14:paraId="4DF4190F" w14:textId="77777777">
      <w:pPr>
        <w:tabs>
          <w:tab w:val="center" w:pos="4680"/>
          <w:tab w:val="right" w:pos="9360"/>
        </w:tabs>
        <w:spacing w:line="240" w:lineRule="auto"/>
        <w:ind w:firstLine="0"/>
        <w:rPr>
          <w:rFonts w:eastAsia="Times New Roman" w:cs="Times New Roman"/>
          <w:szCs w:val="26"/>
        </w:rPr>
      </w:pPr>
    </w:p>
    <w:p w:rsidR="00BA4A77" w:rsidP="00BA4A77" w:rsidRDefault="00BA4A77" w14:paraId="2872269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BA4A77" w:rsidP="00BA4A77" w:rsidRDefault="00BA4A77" w14:paraId="3E3E8BE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C2415A" w:rsidR="00BA4A77" w:rsidTr="005C07ED" w14:paraId="483647A6" w14:textId="77777777">
        <w:trPr>
          <w:jc w:val="center"/>
        </w:trPr>
        <w:tc>
          <w:tcPr>
            <w:tcW w:w="5040" w:type="dxa"/>
            <w:tcBorders>
              <w:top w:val="nil"/>
              <w:left w:val="nil"/>
              <w:bottom w:val="single" w:color="auto" w:sz="4" w:space="0"/>
              <w:right w:val="single" w:color="auto" w:sz="4" w:space="0"/>
            </w:tcBorders>
          </w:tcPr>
          <w:p w:rsidRPr="00C2415A" w:rsidR="00BA4A77" w:rsidP="005C07ED" w:rsidRDefault="00BA4A77" w14:paraId="0088EC3E" w14:textId="77777777">
            <w:pPr>
              <w:spacing w:line="240" w:lineRule="auto"/>
              <w:ind w:firstLine="0"/>
              <w:rPr>
                <w:rFonts w:cs="Arial"/>
                <w:szCs w:val="26"/>
              </w:rPr>
            </w:pPr>
            <w:r w:rsidRPr="00C2415A">
              <w:rPr>
                <w:rFonts w:cs="Arial"/>
                <w:szCs w:val="26"/>
              </w:rPr>
              <w:t>In the Matter of the Application of PACIFICORP (U</w:t>
            </w:r>
            <w:r>
              <w:rPr>
                <w:rFonts w:cs="Arial"/>
                <w:szCs w:val="26"/>
              </w:rPr>
              <w:t>-</w:t>
            </w:r>
            <w:r w:rsidRPr="00C2415A">
              <w:rPr>
                <w:rFonts w:cs="Arial"/>
                <w:szCs w:val="26"/>
              </w:rPr>
              <w:t>901E), for an Order Authorizing a General Rate Increase Effective January 1, 2023.</w:t>
            </w:r>
          </w:p>
          <w:p w:rsidRPr="00C2415A" w:rsidR="00BA4A77" w:rsidP="005C07ED" w:rsidRDefault="00BA4A77" w14:paraId="1FDBAE2A"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C2415A" w:rsidR="00BA4A77" w:rsidP="005C07ED" w:rsidRDefault="00BA4A77" w14:paraId="49B5381B" w14:textId="77777777">
            <w:pPr>
              <w:spacing w:line="240" w:lineRule="auto"/>
              <w:ind w:firstLine="0"/>
              <w:jc w:val="center"/>
              <w:rPr>
                <w:rFonts w:cs="Arial"/>
                <w:szCs w:val="26"/>
              </w:rPr>
            </w:pPr>
            <w:r w:rsidRPr="00C2415A">
              <w:rPr>
                <w:rFonts w:cs="Arial"/>
                <w:szCs w:val="26"/>
              </w:rPr>
              <w:t>Application 22-05-006</w:t>
            </w:r>
          </w:p>
        </w:tc>
      </w:tr>
    </w:tbl>
    <w:p w:rsidR="00BA4A77" w:rsidP="00BA4A77" w:rsidRDefault="00BA4A77" w14:paraId="656799BF" w14:textId="77777777">
      <w:pPr>
        <w:spacing w:line="240" w:lineRule="auto"/>
        <w:ind w:firstLine="0"/>
        <w:rPr>
          <w:rFonts w:ascii="Arial" w:hAnsi="Arial" w:cs="Arial"/>
          <w:sz w:val="24"/>
          <w:szCs w:val="24"/>
        </w:rPr>
      </w:pPr>
    </w:p>
    <w:p w:rsidR="00BA4A77" w:rsidP="00BA4A77" w:rsidRDefault="00BA4A77" w14:paraId="52822A8C" w14:textId="77777777">
      <w:pPr>
        <w:pStyle w:val="Dummy"/>
        <w:spacing w:after="240"/>
        <w:jc w:val="center"/>
      </w:pPr>
      <w:r>
        <w:t xml:space="preserve">DECISION GRANTING PETITION FOR </w:t>
      </w:r>
      <w:r>
        <w:br/>
        <w:t xml:space="preserve">MODIFICATION OF DECISION 25-06-052 </w:t>
      </w:r>
    </w:p>
    <w:p w:rsidR="00BA4A77" w:rsidP="00BA4A77" w:rsidRDefault="00BA4A77" w14:paraId="66A727DB" w14:textId="77777777">
      <w:pPr>
        <w:pStyle w:val="Dummy"/>
      </w:pPr>
      <w:bookmarkStart w:name="_Toc8123714" w:id="0"/>
      <w:bookmarkStart w:name="_Toc12866683" w:id="1"/>
      <w:r>
        <w:t>Summary</w:t>
      </w:r>
      <w:bookmarkEnd w:id="0"/>
      <w:bookmarkEnd w:id="1"/>
    </w:p>
    <w:p w:rsidRPr="008F4B43" w:rsidR="00BA4A77" w:rsidP="00BA4A77" w:rsidRDefault="00BA4A77" w14:paraId="35B0E516" w14:textId="77777777">
      <w:pPr>
        <w:pStyle w:val="Standard"/>
      </w:pPr>
      <w:r>
        <w:t>This decision grants the Petition for Modification filed on December 15, 2025, by PacifiCorp, seeking to modify Decision 25-06-052 to allow PacifiCorp to a</w:t>
      </w:r>
      <w:r w:rsidRPr="008F4B43">
        <w:t xml:space="preserve">llow PacifiCorp to file a Tier 2 Advice Letter to implement its 2025 </w:t>
      </w:r>
      <w:proofErr w:type="gramStart"/>
      <w:r w:rsidRPr="008F4B43">
        <w:t>Post-Test</w:t>
      </w:r>
      <w:proofErr w:type="gramEnd"/>
    </w:p>
    <w:p w:rsidR="00BA4A77" w:rsidP="00BA4A77" w:rsidRDefault="00BA4A77" w14:paraId="5E513F61" w14:textId="77777777">
      <w:pPr>
        <w:pStyle w:val="Standard"/>
        <w:ind w:firstLine="0"/>
      </w:pPr>
      <w:r w:rsidRPr="008F4B43">
        <w:t xml:space="preserve">Year Adjustment Mechanism (“PTAM”) Attrition Factor </w:t>
      </w:r>
      <w:r>
        <w:t>within 30 days</w:t>
      </w:r>
      <w:r w:rsidRPr="008F4B43">
        <w:t xml:space="preserve"> following the effective date of this decision</w:t>
      </w:r>
      <w:r>
        <w:t>. This proceeding is closed.</w:t>
      </w:r>
    </w:p>
    <w:p w:rsidRPr="00121089" w:rsidR="00BA4A77" w:rsidP="00BA4A77" w:rsidRDefault="00BA4A77" w14:paraId="6DF94387" w14:textId="77777777">
      <w:pPr>
        <w:pStyle w:val="Heading1"/>
        <w:numPr>
          <w:ilvl w:val="0"/>
          <w:numId w:val="18"/>
        </w:numPr>
      </w:pPr>
      <w:bookmarkStart w:name="_Toc8123715" w:id="2"/>
      <w:bookmarkStart w:name="_Toc12866684" w:id="3"/>
      <w:r w:rsidRPr="00121089">
        <w:t>Background</w:t>
      </w:r>
      <w:bookmarkEnd w:id="2"/>
      <w:bookmarkEnd w:id="3"/>
    </w:p>
    <w:p w:rsidR="00BA4A77" w:rsidP="00BA4A77" w:rsidRDefault="00BA4A77" w14:paraId="0EA08356" w14:textId="77777777">
      <w:pPr>
        <w:pStyle w:val="Standard"/>
        <w:rPr>
          <w:bCs/>
        </w:rPr>
      </w:pPr>
      <w:bookmarkStart w:name="_Toc495917407" w:id="4"/>
      <w:bookmarkStart w:name="_Toc496263520" w:id="5"/>
      <w:r>
        <w:rPr>
          <w:bCs/>
        </w:rPr>
        <w:t xml:space="preserve">On May 5, 2022, PacifiCorp filed Application (A.) 22-05-006, a general rate case (GRC) application, seeking rate increases for Test Year 2023. An amended application was filed on May 13, 2022.  The initial Assigned Commissioner’s Scoping Ruling was issued on August 9, 2022.  The proceeding schedule was bifurcated into two tracks via a March 13, 2023, Administrative Law Judge (ALJ) Ruling (March 2023 ALJ Ruling).  Track 1, dealing with the 2023 GRC application generally, was resolved in Decision (D.) 23-12-016, which established the revenue requirements and rates for Test Year 2023.  Track 2 was established so that PacifiCorp could obtain an independent audit of the costs tracked in the Wildfire </w:t>
      </w:r>
      <w:r>
        <w:rPr>
          <w:bCs/>
        </w:rPr>
        <w:lastRenderedPageBreak/>
        <w:t xml:space="preserve">Mitigation Plan Memorandum Account (WMPMA), Fire Risk Mitigation Memorandum Account (FRMMA), and Fire Hazard Prevention Memorandum Account (FHPMA) (collectively, the Wildfire Mitigation Memorandum Accounts) though December 31, 2022, given the magnitude of the potential rate increase to customers from those accounts as well as the novelty of the charges recorded in those memorandum accounts for PacifiCorp.  On February 26, 2025, D.25-02-008 issued, resolving Phase 2 and granting PacifiCorp recovery for wildfire costs while also directing PacifiCorp to take further steps to document and justify its wildfire mitigation costs going forward. </w:t>
      </w:r>
    </w:p>
    <w:p w:rsidR="00BA4A77" w:rsidP="00BA4A77" w:rsidRDefault="00BA4A77" w14:paraId="3EDB464B" w14:textId="77777777">
      <w:pPr>
        <w:pStyle w:val="Standard"/>
        <w:rPr>
          <w:bCs/>
        </w:rPr>
      </w:pPr>
      <w:r>
        <w:rPr>
          <w:bCs/>
        </w:rPr>
        <w:t>On May 5, 2025, PacifiCorp filed a Petition for Modification of D.23-12-016, requesting that the Commission modify the decision to allow PacifiCorp to file its next general rate case (GRC) in 2027 as opposed to 2026.  The PFM also asked for other changes to the decision that would allow the current GRC decision to cover Test Year 2026.  Decision (D.) 25-06-052 granted this initial Petition.</w:t>
      </w:r>
    </w:p>
    <w:p w:rsidRPr="009422D1" w:rsidR="00BA4A77" w:rsidP="00BA4A77" w:rsidRDefault="00BA4A77" w14:paraId="7D249318" w14:textId="77777777">
      <w:pPr>
        <w:pStyle w:val="Standard"/>
        <w:rPr>
          <w:bCs/>
        </w:rPr>
      </w:pPr>
      <w:r>
        <w:rPr>
          <w:bCs/>
        </w:rPr>
        <w:t>On December 15, 2026, PacifiCorp submitted another Petition for Modification (Petition), to D.25-06-052.  In this Petition, PacifiCorp asked that Ordering Paragraph 1 of D.25-06-052 be modified to allow PacifiCorp to submit its Tier 2 Advice Letter (AL)</w:t>
      </w:r>
      <w:r w:rsidRPr="00E47741">
        <w:rPr>
          <w:rFonts w:ascii="TimesNewRomanPSMT" w:hAnsi="TimesNewRomanPSMT" w:cs="TimesNewRomanPSMT"/>
          <w:sz w:val="24"/>
          <w:szCs w:val="24"/>
        </w:rPr>
        <w:t xml:space="preserve"> </w:t>
      </w:r>
      <w:r w:rsidRPr="00E47741">
        <w:rPr>
          <w:bCs/>
        </w:rPr>
        <w:t>to implement its 2025 Post-Test</w:t>
      </w:r>
      <w:r>
        <w:rPr>
          <w:bCs/>
        </w:rPr>
        <w:t xml:space="preserve"> </w:t>
      </w:r>
      <w:r w:rsidRPr="00E47741">
        <w:rPr>
          <w:bCs/>
        </w:rPr>
        <w:t>Year Adjustment Mechanism (“PTAM”) Attrition Factor</w:t>
      </w:r>
      <w:r>
        <w:rPr>
          <w:bCs/>
        </w:rPr>
        <w:t xml:space="preserve"> as soon as reasonably possible, as opposed to by October 15, as dictated by D.25-06-052.  The Commission’s Public Advocates Office (Cal Advocates) submitted a Response to the Petition on January 14, 2026, and PacifiCorp filed a Reply to Cal Advocates’ Response on January 20, 2026.</w:t>
      </w:r>
    </w:p>
    <w:p w:rsidR="00BA4A77" w:rsidP="00BA4A77" w:rsidRDefault="00BA4A77" w14:paraId="7F2BF67A" w14:textId="77777777">
      <w:pPr>
        <w:pStyle w:val="Heading1"/>
        <w:numPr>
          <w:ilvl w:val="0"/>
          <w:numId w:val="18"/>
        </w:numPr>
      </w:pPr>
      <w:r>
        <w:lastRenderedPageBreak/>
        <w:t>Issues Before the Commission</w:t>
      </w:r>
    </w:p>
    <w:p w:rsidRPr="00F23AC7" w:rsidR="00BA4A77" w:rsidP="00BA4A77" w:rsidRDefault="00BA4A77" w14:paraId="549BA2C6" w14:textId="77777777">
      <w:pPr>
        <w:pStyle w:val="Standard"/>
      </w:pPr>
      <w:r>
        <w:t>The Commission must determine whether to grant the Petition and make modifications to D.25-06-52 as requested, make some of the modifications requested, or deny the Petition.</w:t>
      </w:r>
    </w:p>
    <w:p w:rsidRPr="005850E3" w:rsidR="00BA4A77" w:rsidP="00BA4A77" w:rsidRDefault="00BA4A77" w14:paraId="71C07AE4" w14:textId="77777777">
      <w:pPr>
        <w:pStyle w:val="Heading1"/>
        <w:numPr>
          <w:ilvl w:val="0"/>
          <w:numId w:val="18"/>
        </w:numPr>
      </w:pPr>
      <w:r w:rsidRPr="005850E3">
        <w:t>P</w:t>
      </w:r>
      <w:r>
        <w:t>etition and P</w:t>
      </w:r>
      <w:r w:rsidRPr="005850E3">
        <w:t>rocedural Requirements Under Rule 16.4</w:t>
      </w:r>
      <w:bookmarkEnd w:id="4"/>
      <w:bookmarkEnd w:id="5"/>
    </w:p>
    <w:p w:rsidR="00BA4A77" w:rsidP="00BA4A77" w:rsidRDefault="00BA4A77" w14:paraId="00376B6D" w14:textId="77777777">
      <w:pPr>
        <w:pStyle w:val="Standard"/>
      </w:pPr>
      <w:r w:rsidRPr="003658B3">
        <w:t>Rule 16.4</w:t>
      </w:r>
      <w:r>
        <w:rPr>
          <w:rStyle w:val="FootnoteReference"/>
        </w:rPr>
        <w:footnoteReference w:id="2"/>
      </w:r>
      <w:r w:rsidRPr="003658B3">
        <w:t xml:space="preserve"> governs the process for the filing and consideration of petitions for modification. Rule 16.4(b) requires that a petition for modification concisely </w:t>
      </w:r>
      <w:proofErr w:type="gramStart"/>
      <w:r w:rsidRPr="003658B3">
        <w:t>state</w:t>
      </w:r>
      <w:proofErr w:type="gramEnd"/>
      <w:r w:rsidRPr="003658B3">
        <w:t xml:space="preserve"> the justification for the proposed relief and propose specific wording for all requested modifications.</w:t>
      </w:r>
      <w:r>
        <w:t xml:space="preserve"> </w:t>
      </w:r>
      <w:r w:rsidRPr="00C81595">
        <w:t>Any factual allegations must be supported with specific citations to the record in the proceeding or to matters that may be officially noticed. Allegations of new or changed facts must be supported by an appropriate declaration or affidavit.</w:t>
      </w:r>
    </w:p>
    <w:p w:rsidRPr="00497EF8" w:rsidR="00BA4A77" w:rsidP="00BA4A77" w:rsidRDefault="00BA4A77" w14:paraId="6920EBF8" w14:textId="77777777">
      <w:pPr>
        <w:pStyle w:val="Standard"/>
      </w:pPr>
      <w:r>
        <w:t xml:space="preserve">PacifiCorp states that the filing of the Petition is </w:t>
      </w:r>
      <w:proofErr w:type="gramStart"/>
      <w:r>
        <w:t>due to the fact that</w:t>
      </w:r>
      <w:proofErr w:type="gramEnd"/>
      <w:r>
        <w:t xml:space="preserve"> </w:t>
      </w:r>
      <w:r>
        <w:br/>
        <w:t xml:space="preserve">it did not timely submit its </w:t>
      </w:r>
      <w:r w:rsidRPr="00497EF8">
        <w:t>2025 PTAM Attrition Factor Tier 2 Advice Letter</w:t>
      </w:r>
    </w:p>
    <w:p w:rsidR="00BA4A77" w:rsidP="00BA4A77" w:rsidRDefault="00BA4A77" w14:paraId="2F096BDA" w14:textId="77777777">
      <w:pPr>
        <w:pStyle w:val="Standard"/>
        <w:ind w:firstLine="0"/>
      </w:pPr>
      <w:r w:rsidRPr="00497EF8">
        <w:t>by October 15, 2025, due to an administrative oversight</w:t>
      </w:r>
      <w:r>
        <w:t xml:space="preserve">.  The Petition asks that the Commission modify D.25-06-052 to allow PacifiCorp to submit the AL as soon as reasonably </w:t>
      </w:r>
      <w:proofErr w:type="gramStart"/>
      <w:r>
        <w:t>feasible, and</w:t>
      </w:r>
      <w:proofErr w:type="gramEnd"/>
      <w:r>
        <w:t xml:space="preserve"> provides suggested language.  We find that the Petition satisfies Commission Rule 16.4.</w:t>
      </w:r>
    </w:p>
    <w:p w:rsidR="00BA4A77" w:rsidP="00BA4A77" w:rsidRDefault="00BA4A77" w14:paraId="177B5B7F" w14:textId="77777777">
      <w:pPr>
        <w:pStyle w:val="Heading1"/>
        <w:numPr>
          <w:ilvl w:val="0"/>
          <w:numId w:val="18"/>
        </w:numPr>
      </w:pPr>
      <w:r>
        <w:t>Petition</w:t>
      </w:r>
    </w:p>
    <w:p w:rsidR="00BA4A77" w:rsidP="00BA4A77" w:rsidRDefault="00BA4A77" w14:paraId="7271CDAF" w14:textId="77777777">
      <w:pPr>
        <w:pStyle w:val="Standard"/>
      </w:pPr>
      <w:r>
        <w:t>The Petition states that the PTAM Attrition Factor allows PacifiCorp to accurately set rates and recovery costs that PacifiCorp has prudently incurred, by preventing shortfalls in expenses due to the impact of inflation.</w:t>
      </w:r>
      <w:r>
        <w:rPr>
          <w:rStyle w:val="FootnoteReference"/>
        </w:rPr>
        <w:footnoteReference w:id="3"/>
      </w:r>
      <w:r>
        <w:t xml:space="preserve">  </w:t>
      </w:r>
      <w:proofErr w:type="spellStart"/>
      <w:r>
        <w:t>PacifCorp</w:t>
      </w:r>
      <w:proofErr w:type="spellEnd"/>
      <w:r>
        <w:t xml:space="preserve"> cites </w:t>
      </w:r>
      <w:r>
        <w:lastRenderedPageBreak/>
        <w:t xml:space="preserve">an administrative error in not submitting the updating AL by October 15, as dictated by D.25-06-052.  PacifiCorp in the Petition seeks authority to submit the AL </w:t>
      </w:r>
      <w:proofErr w:type="gramStart"/>
      <w:r>
        <w:t>at a later time</w:t>
      </w:r>
      <w:proofErr w:type="gramEnd"/>
      <w:r>
        <w:t xml:space="preserve">.   </w:t>
      </w:r>
      <w:proofErr w:type="gramStart"/>
      <w:r>
        <w:t>In particular, PacifiCorp</w:t>
      </w:r>
      <w:proofErr w:type="gramEnd"/>
      <w:r>
        <w:t xml:space="preserve"> asks that Ordering Paragraph 1.b of D.25-06-052 be modified to read:</w:t>
      </w:r>
    </w:p>
    <w:p w:rsidR="00BA4A77" w:rsidP="00B912C8" w:rsidRDefault="00BA4A77" w14:paraId="12EC9568" w14:textId="77777777">
      <w:pPr>
        <w:pStyle w:val="BlockQuote"/>
        <w:ind w:right="1440"/>
      </w:pPr>
      <w:r>
        <w:t>“</w:t>
      </w:r>
      <w:r w:rsidRPr="00BA4A77">
        <w:t>Ordering</w:t>
      </w:r>
      <w:r w:rsidRPr="00B51A82">
        <w:t xml:space="preserve"> Paragraph 5: PacifiCorp, doing business as Pacific Power may</w:t>
      </w:r>
      <w:r>
        <w:t xml:space="preserve"> </w:t>
      </w:r>
      <w:proofErr w:type="gramStart"/>
      <w:r w:rsidRPr="00B51A82">
        <w:t xml:space="preserve">continue </w:t>
      </w:r>
      <w:r>
        <w:t xml:space="preserve"> </w:t>
      </w:r>
      <w:r w:rsidRPr="00B51A82">
        <w:t>the</w:t>
      </w:r>
      <w:proofErr w:type="gramEnd"/>
      <w:r w:rsidRPr="00B51A82">
        <w:t xml:space="preserve"> use of the Energy Cost Adjustment Clause and Post-Year</w:t>
      </w:r>
      <w:r>
        <w:t xml:space="preserve"> </w:t>
      </w:r>
      <w:r w:rsidRPr="00B51A82">
        <w:t>Adjustment Mechanism (PTAM) for the years 2023-2026, and the PTAM</w:t>
      </w:r>
      <w:r>
        <w:t xml:space="preserve"> </w:t>
      </w:r>
      <w:r w:rsidRPr="00B51A82">
        <w:t>Attrition Factor may</w:t>
      </w:r>
      <w:r>
        <w:t xml:space="preserve"> </w:t>
      </w:r>
      <w:r w:rsidRPr="00B51A82">
        <w:t>continue to be filed for 2025 and 2026 as a Tier 2 Advice Letter. PacifiCorp may file its 2025 PTAM</w:t>
      </w:r>
      <w:r>
        <w:t xml:space="preserve"> </w:t>
      </w:r>
      <w:r w:rsidRPr="00B51A82">
        <w:t>Attrition Factor Tier 2 Advice Letter as soon as reasonably feasibl</w:t>
      </w:r>
      <w:r>
        <w:t xml:space="preserve">e </w:t>
      </w:r>
      <w:r w:rsidRPr="00B51A82">
        <w:t>following the effective date of this decision.</w:t>
      </w:r>
      <w:r>
        <w:t>”</w:t>
      </w:r>
    </w:p>
    <w:p w:rsidR="00BA4A77" w:rsidP="00BA4A77" w:rsidRDefault="00BA4A77" w14:paraId="192C80BD" w14:textId="77777777">
      <w:pPr>
        <w:pStyle w:val="Standard"/>
      </w:pPr>
      <w:r>
        <w:t xml:space="preserve"> Attached to the Petition is a draft copy of the AL that PacifiCorp intends to submit, should it be granted authority to do so.</w:t>
      </w:r>
    </w:p>
    <w:p w:rsidR="00BA4A77" w:rsidP="00BA4A77" w:rsidRDefault="00BA4A77" w14:paraId="5B5390D9" w14:textId="77777777">
      <w:pPr>
        <w:pStyle w:val="Heading1"/>
        <w:numPr>
          <w:ilvl w:val="0"/>
          <w:numId w:val="18"/>
        </w:numPr>
      </w:pPr>
      <w:r>
        <w:t>Comments on Petition</w:t>
      </w:r>
    </w:p>
    <w:p w:rsidRPr="009B4625" w:rsidR="00BA4A77" w:rsidP="00BA4A77" w:rsidRDefault="00BA4A77" w14:paraId="2FE8CBE5" w14:textId="77777777">
      <w:pPr>
        <w:pStyle w:val="Standard"/>
      </w:pPr>
      <w:r>
        <w:t>Cal Advocates was the only party that submitted a Response. Cal Advocates did not oppose allowing PacifiCorp authority to submit the AL again, but states that PacifiCorp be required to submit the update within 30 days after issuance of this decision, to give ratepayers cost certainty.</w:t>
      </w:r>
      <w:r>
        <w:rPr>
          <w:rStyle w:val="FootnoteReference"/>
        </w:rPr>
        <w:footnoteReference w:id="4"/>
      </w:r>
      <w:r>
        <w:t xml:space="preserve">  PacifiCorp in Reply to Cal Advocates’ Response did not oppose this change.</w:t>
      </w:r>
    </w:p>
    <w:p w:rsidR="00BA4A77" w:rsidP="00BA4A77" w:rsidRDefault="00BA4A77" w14:paraId="10E2DBB9" w14:textId="77777777">
      <w:pPr>
        <w:pStyle w:val="Heading1"/>
        <w:numPr>
          <w:ilvl w:val="0"/>
          <w:numId w:val="18"/>
        </w:numPr>
      </w:pPr>
      <w:r>
        <w:t>Analysis</w:t>
      </w:r>
    </w:p>
    <w:p w:rsidR="00BA4A77" w:rsidP="00BA4A77" w:rsidRDefault="00BA4A77" w14:paraId="6A13FF47" w14:textId="77777777">
      <w:pPr>
        <w:pStyle w:val="Standard"/>
      </w:pPr>
      <w:r>
        <w:t xml:space="preserve">For reasons stated in the Petition, it is reasonable to allow PacifiCorp authority to update its PTAM Attrition Factor for 2025.  No party highlighted </w:t>
      </w:r>
      <w:proofErr w:type="gramStart"/>
      <w:r>
        <w:t>harms</w:t>
      </w:r>
      <w:proofErr w:type="gramEnd"/>
      <w:r>
        <w:t xml:space="preserve"> to ratepayers due to approval of this Petition.  The PTAM Attrition Factor ensures that PacifiCorp is not unjustly burdened due to inflationary costs.  As </w:t>
      </w:r>
      <w:r>
        <w:lastRenderedPageBreak/>
        <w:t>argued by Cal Advocates, PacifiCorp should be given only 30 days to file the update.</w:t>
      </w:r>
    </w:p>
    <w:p w:rsidR="00BA4A77" w:rsidP="00BA4A77" w:rsidRDefault="00BA4A77" w14:paraId="1C35340A" w14:textId="77777777">
      <w:pPr>
        <w:pStyle w:val="Standard"/>
      </w:pPr>
      <w:proofErr w:type="gramStart"/>
      <w:r>
        <w:t>The Petition</w:t>
      </w:r>
      <w:proofErr w:type="gramEnd"/>
      <w:r>
        <w:t xml:space="preserve"> is therefore granted.  Ordering Paragraph 1.b on page 8 of D.25-06-052 is modified to read:</w:t>
      </w:r>
    </w:p>
    <w:p w:rsidRPr="00A35D12" w:rsidR="00BA4A77" w:rsidP="00BA4A77" w:rsidRDefault="00BA4A77" w14:paraId="401A3707" w14:textId="77777777">
      <w:pPr>
        <w:pStyle w:val="BlockQuote"/>
      </w:pPr>
      <w:r>
        <w:t>“</w:t>
      </w:r>
      <w:r w:rsidRPr="002B2783">
        <w:t xml:space="preserve">PacifiCorp, doing business as Pacific Power, may </w:t>
      </w:r>
      <w:r w:rsidRPr="00BA4A77">
        <w:t>continue</w:t>
      </w:r>
      <w:r w:rsidRPr="002B2783">
        <w:t xml:space="preserve"> the use of the Energy Cost Adjustment Clause and Post-Test Year Adjustment Mechanism (PTAM) for the years 2023-2026, and the PTAM Attrition Factor </w:t>
      </w:r>
      <w:r w:rsidRPr="00B51A82">
        <w:t>may</w:t>
      </w:r>
      <w:r>
        <w:t xml:space="preserve"> </w:t>
      </w:r>
      <w:r w:rsidRPr="00B51A82">
        <w:t>continue to be filed for 2025 and 2026 as a Tier 2 Advice Letter. PacifiCorp may file its 2025 PTAM</w:t>
      </w:r>
      <w:r>
        <w:t xml:space="preserve"> </w:t>
      </w:r>
      <w:r w:rsidRPr="00B51A82">
        <w:t xml:space="preserve">Attrition Factor Tier 2 Advice Letter </w:t>
      </w:r>
      <w:r>
        <w:t>by May 11, 2026.  PacifiCorp shall file its 2026 PTAM Attrition Factor by October 15, 2026.”</w:t>
      </w:r>
    </w:p>
    <w:p w:rsidR="00BA4A77" w:rsidP="00BA4A77" w:rsidRDefault="00BA4A77" w14:paraId="48BDE7C0" w14:textId="77777777">
      <w:pPr>
        <w:pStyle w:val="Heading1"/>
        <w:numPr>
          <w:ilvl w:val="0"/>
          <w:numId w:val="18"/>
        </w:numPr>
      </w:pPr>
      <w:r>
        <w:t>Summary of Public Comment</w:t>
      </w:r>
    </w:p>
    <w:p w:rsidRPr="000A531D" w:rsidR="00BA4A77" w:rsidP="00BA4A77" w:rsidRDefault="00BA4A77" w14:paraId="38709348" w14:textId="77777777">
      <w:pPr>
        <w:pStyle w:val="Standard"/>
      </w:pPr>
      <w:r>
        <w:t xml:space="preserve">No public comments have been received related to the Petition. </w:t>
      </w:r>
    </w:p>
    <w:p w:rsidR="00BA4A77" w:rsidP="00BA4A77" w:rsidRDefault="00BA4A77" w14:paraId="51CF0586" w14:textId="77777777">
      <w:pPr>
        <w:pStyle w:val="Heading1"/>
        <w:numPr>
          <w:ilvl w:val="0"/>
          <w:numId w:val="18"/>
        </w:numPr>
      </w:pPr>
      <w:r>
        <w:t>Waiver of Comments Period</w:t>
      </w:r>
    </w:p>
    <w:p w:rsidRPr="006E6574" w:rsidR="00BA4A77" w:rsidP="00BA4A77" w:rsidRDefault="00BA4A77" w14:paraId="0E13D3C1" w14:textId="77777777">
      <w:pPr>
        <w:pStyle w:val="Standard"/>
      </w:pPr>
      <w:r w:rsidRPr="00123192">
        <w:t>This is an uncontested matter in which the decision grants the relief requested. Accordingly, as provided in Rule 14.6(c)(2), the otherwise applicable 30-day public review and comment period for this decision is waived.</w:t>
      </w:r>
    </w:p>
    <w:p w:rsidR="00BA4A77" w:rsidP="00BA4A77" w:rsidRDefault="00BA4A77" w14:paraId="29AF4012" w14:textId="77777777">
      <w:pPr>
        <w:pStyle w:val="Heading1"/>
        <w:numPr>
          <w:ilvl w:val="0"/>
          <w:numId w:val="18"/>
        </w:numPr>
      </w:pPr>
      <w:bookmarkStart w:name="_Toc8123724" w:id="6"/>
      <w:bookmarkStart w:name="_Toc12866694" w:id="7"/>
      <w:r>
        <w:t>Assignment of Proceeding</w:t>
      </w:r>
      <w:bookmarkEnd w:id="6"/>
      <w:bookmarkEnd w:id="7"/>
    </w:p>
    <w:p w:rsidR="00BA4A77" w:rsidP="00BA4A77" w:rsidRDefault="00BA4A77" w14:paraId="4339CBC7" w14:textId="77777777">
      <w:pPr>
        <w:pStyle w:val="Standard"/>
      </w:pPr>
      <w:r>
        <w:t>Alice Reynolds is the assigned Commissioner and Garrett Toy is the assigned ALJ in this proceeding.</w:t>
      </w:r>
    </w:p>
    <w:p w:rsidR="00BA4A77" w:rsidP="00BA4A77" w:rsidRDefault="00BA4A77" w14:paraId="1B4B77F3" w14:textId="77777777">
      <w:pPr>
        <w:pStyle w:val="Dummy"/>
      </w:pPr>
      <w:bookmarkStart w:name="_Toc8123725" w:id="8"/>
      <w:bookmarkStart w:name="_Toc12866695" w:id="9"/>
      <w:r w:rsidRPr="00084453">
        <w:t>Findings</w:t>
      </w:r>
      <w:r>
        <w:t xml:space="preserve"> of Fact</w:t>
      </w:r>
      <w:bookmarkEnd w:id="8"/>
      <w:bookmarkEnd w:id="9"/>
    </w:p>
    <w:p w:rsidRPr="005E6BB8" w:rsidR="00BA4A77" w:rsidP="00BA4A77" w:rsidRDefault="00BA4A77" w14:paraId="394552E9" w14:textId="77777777">
      <w:pPr>
        <w:pStyle w:val="FoF"/>
      </w:pPr>
      <w:r w:rsidRPr="005E6BB8">
        <w:t xml:space="preserve">PacifiCorp’s PTAM Attrition Factor allows for reasonable </w:t>
      </w:r>
      <w:proofErr w:type="gramStart"/>
      <w:r w:rsidRPr="005E6BB8">
        <w:t>recovery of</w:t>
      </w:r>
      <w:proofErr w:type="gramEnd"/>
      <w:r w:rsidRPr="005E6BB8">
        <w:t xml:space="preserve"> inflation costs.</w:t>
      </w:r>
    </w:p>
    <w:p w:rsidRPr="005E6BB8" w:rsidR="00BA4A77" w:rsidP="00BA4A77" w:rsidRDefault="00BA4A77" w14:paraId="338A7FE0" w14:textId="77777777">
      <w:pPr>
        <w:pStyle w:val="FoF"/>
      </w:pPr>
      <w:r w:rsidRPr="005E6BB8">
        <w:t>Requiring PacifiCorp to submit its PTAM Attrition Factor Advice Letter within 30 days reduces ratepayer rate uncertainty.</w:t>
      </w:r>
    </w:p>
    <w:p w:rsidRPr="005E6BB8" w:rsidR="00BA4A77" w:rsidP="00BA4A77" w:rsidRDefault="00BA4A77" w14:paraId="635875EF" w14:textId="77777777">
      <w:pPr>
        <w:pStyle w:val="FoF"/>
      </w:pPr>
      <w:r w:rsidRPr="005E6BB8">
        <w:t xml:space="preserve">No party filed </w:t>
      </w:r>
      <w:proofErr w:type="gramStart"/>
      <w:r w:rsidRPr="005E6BB8">
        <w:t>an opposition</w:t>
      </w:r>
      <w:proofErr w:type="gramEnd"/>
      <w:r w:rsidRPr="005E6BB8">
        <w:t xml:space="preserve"> to PacifiCorp’s Petition.</w:t>
      </w:r>
    </w:p>
    <w:p w:rsidR="00BA4A77" w:rsidP="00BA4A77" w:rsidRDefault="00BA4A77" w14:paraId="53B14F8E" w14:textId="77777777">
      <w:pPr>
        <w:pStyle w:val="Dummy"/>
      </w:pPr>
      <w:bookmarkStart w:name="_Toc8123726" w:id="10"/>
      <w:bookmarkStart w:name="_Toc12866696" w:id="11"/>
      <w:r>
        <w:t>Conclusions of Law</w:t>
      </w:r>
      <w:bookmarkEnd w:id="10"/>
      <w:bookmarkEnd w:id="11"/>
    </w:p>
    <w:p w:rsidRPr="005E6BB8" w:rsidR="00BA4A77" w:rsidP="00BA4A77" w:rsidRDefault="00BA4A77" w14:paraId="5445CC7B" w14:textId="77777777">
      <w:pPr>
        <w:pStyle w:val="CoL"/>
      </w:pPr>
      <w:r w:rsidRPr="005E6BB8">
        <w:t>The Petition complies with Rules of Practice and Procedure 16.4.</w:t>
      </w:r>
    </w:p>
    <w:p w:rsidRPr="005E6BB8" w:rsidR="00BA4A77" w:rsidP="00BA4A77" w:rsidRDefault="00BA4A77" w14:paraId="14C278FB" w14:textId="77777777">
      <w:pPr>
        <w:pStyle w:val="CoL"/>
      </w:pPr>
      <w:r w:rsidRPr="005E6BB8">
        <w:lastRenderedPageBreak/>
        <w:t>It is reasonable to allow PacifiCorp an extension to submit its 2025 PTAM Attrition Factor.</w:t>
      </w:r>
    </w:p>
    <w:p w:rsidRPr="005E6BB8" w:rsidR="00BA4A77" w:rsidP="00BA4A77" w:rsidRDefault="00BA4A77" w14:paraId="03A7F70D" w14:textId="77777777">
      <w:pPr>
        <w:pStyle w:val="CoL"/>
      </w:pPr>
      <w:r w:rsidRPr="005E6BB8">
        <w:t>PacifiCorp should be given 30 days to submit its 2025 PTAM Attrition Factor</w:t>
      </w:r>
    </w:p>
    <w:p w:rsidR="00BA4A77" w:rsidP="00BA4A77" w:rsidRDefault="00BA4A77" w14:paraId="5DBD543C" w14:textId="77777777">
      <w:pPr>
        <w:pStyle w:val="CoL"/>
      </w:pPr>
      <w:r w:rsidRPr="005E6BB8">
        <w:t>Since no party filed a response opposing PacifiCorp's petition to modify D.25-06-052, and because this decision grants the relief requested, the comment period for this decision is waived pursuant to Rule 14.6(c)(2).</w:t>
      </w:r>
    </w:p>
    <w:p w:rsidR="00BA4A77" w:rsidP="00BA4A77" w:rsidRDefault="00BA4A77" w14:paraId="43556993" w14:textId="77777777">
      <w:pPr>
        <w:pStyle w:val="Mainex"/>
        <w:spacing w:before="240"/>
      </w:pPr>
      <w:bookmarkStart w:name="_Toc12866697" w:id="12"/>
      <w:r>
        <w:t>ORDER</w:t>
      </w:r>
      <w:bookmarkEnd w:id="12"/>
    </w:p>
    <w:p w:rsidR="00BA4A77" w:rsidP="00BA4A77" w:rsidRDefault="00BA4A77" w14:paraId="3EBFF5D5" w14:textId="77777777">
      <w:pPr>
        <w:keepNext/>
      </w:pPr>
      <w:r w:rsidRPr="00BB0243">
        <w:rPr>
          <w:b/>
        </w:rPr>
        <w:t>IT IS ORDERED</w:t>
      </w:r>
      <w:r>
        <w:t xml:space="preserve"> that:</w:t>
      </w:r>
    </w:p>
    <w:p w:rsidR="00BA4A77" w:rsidP="00BA4A77" w:rsidRDefault="00BA4A77" w14:paraId="6546C684" w14:textId="77777777">
      <w:pPr>
        <w:pStyle w:val="OP"/>
      </w:pPr>
      <w:r>
        <w:t>The Petition for Modification of Decision 23-12-016, filed by PacifiCorp on December 15, 2026, is granted.</w:t>
      </w:r>
      <w:r w:rsidRPr="0077503A">
        <w:rPr>
          <w:rFonts w:ascii="Lato" w:hAnsi="Lato"/>
          <w:color w:val="CAD6E1"/>
          <w:sz w:val="27"/>
          <w:szCs w:val="27"/>
        </w:rPr>
        <w:t xml:space="preserve"> </w:t>
      </w:r>
      <w:r>
        <w:t>Fo</w:t>
      </w:r>
      <w:r w:rsidRPr="0077503A">
        <w:t xml:space="preserve">r the reasons stated herein, Decision </w:t>
      </w:r>
      <w:r>
        <w:t>25-06-052</w:t>
      </w:r>
      <w:r w:rsidRPr="0077503A">
        <w:t xml:space="preserve"> is modified </w:t>
      </w:r>
      <w:proofErr w:type="gramStart"/>
      <w:r>
        <w:t>with</w:t>
      </w:r>
      <w:proofErr w:type="gramEnd"/>
      <w:r>
        <w:t xml:space="preserve"> </w:t>
      </w:r>
      <w:r w:rsidRPr="0077503A">
        <w:t>the following language:</w:t>
      </w:r>
    </w:p>
    <w:p w:rsidR="00BA4A77" w:rsidP="00BA4A77" w:rsidRDefault="00BA4A77" w14:paraId="673AA37F" w14:textId="77777777">
      <w:pPr>
        <w:pStyle w:val="BlockQuote"/>
      </w:pPr>
      <w:r>
        <w:t>Ordering Paragraph 1.b: “</w:t>
      </w:r>
      <w:r w:rsidRPr="00755196">
        <w:t xml:space="preserve">PacifiCorp, doing business as Pacific Power, may continue the use of the Energy Cost Adjustment Clause and Post-Test Year Adjustment Mechanism (PTAM) for the years 2023-2026, and the PTAM Attrition Factor may continue to be filed for 2025 and 2026 as a Tier 2 Advice Letter. </w:t>
      </w:r>
      <w:r w:rsidRPr="00B51A82">
        <w:t>PacifiCorp may file its 2025 PTAM</w:t>
      </w:r>
      <w:r>
        <w:t xml:space="preserve"> </w:t>
      </w:r>
      <w:r w:rsidRPr="00B51A82">
        <w:t xml:space="preserve">Attrition Factor Tier 2 Advice Letter </w:t>
      </w:r>
      <w:r>
        <w:t>by May 11, 2026.  PacifiCorp shall file its 2026 PTAM Attrition Factor by October 15, 2026.”</w:t>
      </w:r>
    </w:p>
    <w:p w:rsidR="00BA4A77" w:rsidP="00BA4A77" w:rsidRDefault="00BA4A77" w14:paraId="3FF98A61" w14:textId="7D23D310">
      <w:pPr>
        <w:pStyle w:val="OP"/>
        <w:keepNext/>
        <w:spacing w:after="120" w:line="240" w:lineRule="auto"/>
        <w:ind w:firstLine="547"/>
      </w:pPr>
      <w:r w:rsidRPr="001E2A62">
        <w:t>Application</w:t>
      </w:r>
      <w:r>
        <w:t xml:space="preserve"> 22-05-006 is </w:t>
      </w:r>
      <w:r w:rsidRPr="001E2A62">
        <w:t>closed.</w:t>
      </w:r>
    </w:p>
    <w:p w:rsidRPr="00BA4A77" w:rsidR="00BA4A77" w:rsidP="00BA4A77" w:rsidRDefault="00BA4A77" w14:paraId="429AA89F" w14:textId="77777777">
      <w:pPr>
        <w:pStyle w:val="Standard"/>
      </w:pPr>
      <w:r w:rsidRPr="00BA4A77">
        <w:t>This order is effective today.</w:t>
      </w:r>
    </w:p>
    <w:p w:rsidR="00BA4A77" w:rsidP="00BA4A77" w:rsidRDefault="00BA4A77" w14:paraId="1834E456" w14:textId="419628DF">
      <w:pPr>
        <w:pStyle w:val="Standard"/>
        <w:spacing w:after="120" w:line="240" w:lineRule="auto"/>
      </w:pPr>
      <w:r w:rsidRPr="0076429B">
        <w:t xml:space="preserve">Dated </w:t>
      </w:r>
      <w:r>
        <w:t xml:space="preserve">April </w:t>
      </w:r>
      <w:r w:rsidRPr="0076429B">
        <w:t>9, 2026, at Sa</w:t>
      </w:r>
      <w:r>
        <w:t>n Francisco</w:t>
      </w:r>
      <w:r w:rsidRPr="0076429B">
        <w:t>, California.</w:t>
      </w:r>
    </w:p>
    <w:p w:rsidRPr="00BA4A77" w:rsidR="00BA4A77" w:rsidP="00BA4A77" w:rsidRDefault="00BA4A77" w14:paraId="5F3ED2B1" w14:textId="77777777">
      <w:pPr>
        <w:autoSpaceDE w:val="0"/>
        <w:autoSpaceDN w:val="0"/>
        <w:adjustRightInd w:val="0"/>
        <w:spacing w:line="240" w:lineRule="auto"/>
        <w:ind w:left="3600"/>
        <w:jc w:val="both"/>
        <w:rPr>
          <w:rFonts w:cs="Times New Roman"/>
          <w:szCs w:val="26"/>
        </w:rPr>
      </w:pPr>
      <w:r w:rsidRPr="00BA4A77">
        <w:rPr>
          <w:rFonts w:cs="Times New Roman"/>
          <w:szCs w:val="26"/>
        </w:rPr>
        <w:t>JOHN REYNOLDS</w:t>
      </w:r>
    </w:p>
    <w:p w:rsidRPr="00BA4A77" w:rsidR="00BA4A77" w:rsidP="00BA4A77" w:rsidRDefault="00BA4A77" w14:paraId="0825B964" w14:textId="77777777">
      <w:pPr>
        <w:autoSpaceDE w:val="0"/>
        <w:autoSpaceDN w:val="0"/>
        <w:adjustRightInd w:val="0"/>
        <w:spacing w:line="240" w:lineRule="auto"/>
        <w:jc w:val="both"/>
        <w:rPr>
          <w:rFonts w:cs="Times New Roman"/>
          <w:szCs w:val="26"/>
        </w:rPr>
      </w:pPr>
      <w:r w:rsidRPr="00BA4A77">
        <w:rPr>
          <w:rFonts w:cs="Times New Roman"/>
          <w:szCs w:val="26"/>
        </w:rPr>
        <w:tab/>
      </w:r>
      <w:r w:rsidRPr="00BA4A77">
        <w:rPr>
          <w:rFonts w:cs="Times New Roman"/>
          <w:szCs w:val="26"/>
        </w:rPr>
        <w:tab/>
      </w:r>
      <w:r w:rsidRPr="00BA4A77">
        <w:rPr>
          <w:rFonts w:cs="Times New Roman"/>
          <w:szCs w:val="26"/>
        </w:rPr>
        <w:tab/>
      </w:r>
      <w:r w:rsidRPr="00BA4A77">
        <w:rPr>
          <w:rFonts w:cs="Times New Roman"/>
          <w:szCs w:val="26"/>
        </w:rPr>
        <w:tab/>
      </w:r>
      <w:r w:rsidRPr="00BA4A77">
        <w:rPr>
          <w:rFonts w:cs="Times New Roman"/>
          <w:szCs w:val="26"/>
        </w:rPr>
        <w:tab/>
        <w:t xml:space="preserve">                       President</w:t>
      </w:r>
    </w:p>
    <w:p w:rsidRPr="00BA4A77" w:rsidR="00BA4A77" w:rsidP="00BA4A77" w:rsidRDefault="00BA4A77" w14:paraId="2A45EE79" w14:textId="77777777">
      <w:pPr>
        <w:autoSpaceDE w:val="0"/>
        <w:autoSpaceDN w:val="0"/>
        <w:adjustRightInd w:val="0"/>
        <w:spacing w:line="240" w:lineRule="auto"/>
        <w:ind w:left="3600"/>
        <w:jc w:val="both"/>
        <w:rPr>
          <w:rFonts w:cs="Times New Roman"/>
          <w:szCs w:val="26"/>
        </w:rPr>
      </w:pPr>
      <w:r w:rsidRPr="00BA4A77">
        <w:rPr>
          <w:rFonts w:cs="Times New Roman"/>
          <w:szCs w:val="26"/>
        </w:rPr>
        <w:t>DARCIE L. HOUCK</w:t>
      </w:r>
    </w:p>
    <w:p w:rsidRPr="00BA4A77" w:rsidR="00BA4A77" w:rsidP="00BA4A77" w:rsidRDefault="00BA4A77" w14:paraId="57DA53D3" w14:textId="77777777">
      <w:pPr>
        <w:autoSpaceDE w:val="0"/>
        <w:autoSpaceDN w:val="0"/>
        <w:adjustRightInd w:val="0"/>
        <w:spacing w:line="240" w:lineRule="auto"/>
        <w:ind w:left="3600"/>
        <w:jc w:val="both"/>
        <w:rPr>
          <w:rFonts w:eastAsia="Times New Roman" w:cs="Calibri"/>
          <w:color w:val="000000"/>
          <w:szCs w:val="26"/>
        </w:rPr>
      </w:pPr>
      <w:r w:rsidRPr="00BA4A77">
        <w:rPr>
          <w:rFonts w:eastAsia="Times New Roman" w:cs="Calibri"/>
          <w:color w:val="000000"/>
          <w:szCs w:val="26"/>
        </w:rPr>
        <w:t>KAREN DOUGLAS</w:t>
      </w:r>
    </w:p>
    <w:p w:rsidRPr="00BA4A77" w:rsidR="00BA4A77" w:rsidP="00BA4A77" w:rsidRDefault="00BA4A77" w14:paraId="6DCEA482" w14:textId="77777777">
      <w:pPr>
        <w:autoSpaceDE w:val="0"/>
        <w:autoSpaceDN w:val="0"/>
        <w:adjustRightInd w:val="0"/>
        <w:spacing w:line="240" w:lineRule="auto"/>
        <w:ind w:left="3600"/>
        <w:jc w:val="both"/>
        <w:rPr>
          <w:rFonts w:cs="Times New Roman"/>
          <w:szCs w:val="26"/>
        </w:rPr>
      </w:pPr>
      <w:r w:rsidRPr="00BA4A77">
        <w:rPr>
          <w:rFonts w:cs="Times New Roman"/>
          <w:szCs w:val="26"/>
        </w:rPr>
        <w:t>CHRISTINE HARADA</w:t>
      </w:r>
    </w:p>
    <w:p w:rsidRPr="00BA4A77" w:rsidR="00BA4A77" w:rsidP="00BA4A77" w:rsidRDefault="00BA4A77" w14:paraId="2B8A0DC8" w14:textId="77777777">
      <w:pPr>
        <w:autoSpaceDE w:val="0"/>
        <w:autoSpaceDN w:val="0"/>
        <w:adjustRightInd w:val="0"/>
        <w:spacing w:after="120" w:line="240" w:lineRule="auto"/>
        <w:ind w:left="4320"/>
        <w:jc w:val="both"/>
        <w:rPr>
          <w:rFonts w:cs="Times New Roman"/>
          <w:szCs w:val="26"/>
        </w:rPr>
      </w:pPr>
      <w:r w:rsidRPr="00BA4A77">
        <w:rPr>
          <w:rFonts w:cs="Times New Roman"/>
          <w:szCs w:val="26"/>
        </w:rPr>
        <w:t xml:space="preserve">            Commissioners</w:t>
      </w:r>
    </w:p>
    <w:p w:rsidRPr="00BA4A77" w:rsidR="00BA4A77" w:rsidP="00BA4A77" w:rsidRDefault="00BA4A77" w14:paraId="21A6A685" w14:textId="77777777">
      <w:pPr>
        <w:keepNext/>
        <w:keepLines/>
        <w:autoSpaceDE w:val="0"/>
        <w:autoSpaceDN w:val="0"/>
        <w:adjustRightInd w:val="0"/>
        <w:spacing w:line="240" w:lineRule="auto"/>
        <w:ind w:left="4380" w:firstLine="0"/>
        <w:rPr>
          <w:rFonts w:cs="Times New Roman"/>
          <w:szCs w:val="26"/>
        </w:rPr>
      </w:pPr>
      <w:r w:rsidRPr="00BA4A77">
        <w:rPr>
          <w:rFonts w:cs="Times New Roman"/>
          <w:szCs w:val="26"/>
        </w:rPr>
        <w:lastRenderedPageBreak/>
        <w:t>Commissioner Matthew Baker recused himself from this agenda item and was not part of the quorum in its consideration.</w:t>
      </w:r>
    </w:p>
    <w:p w:rsidRPr="00714CF2" w:rsidR="00BA4A77" w:rsidP="00816E05" w:rsidRDefault="00BA4A77" w14:paraId="080A8EC0" w14:textId="77777777"/>
    <w:sectPr w:rsidRPr="00714CF2" w:rsidR="00BA4A77" w:rsidSect="00F7522E">
      <w:headerReference w:type="default" r:id="rId11"/>
      <w:footerReference w:type="default" r:id="rId12"/>
      <w:footerReference w:type="first" r:id="rId13"/>
      <w:pgSz w:w="12240" w:h="15840"/>
      <w:pgMar w:top="1728"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FB836" w14:textId="77777777" w:rsidR="00774503" w:rsidRDefault="00774503" w:rsidP="0098138E">
      <w:pPr>
        <w:spacing w:line="240" w:lineRule="auto"/>
      </w:pPr>
      <w:r>
        <w:separator/>
      </w:r>
    </w:p>
  </w:endnote>
  <w:endnote w:type="continuationSeparator" w:id="0">
    <w:p w14:paraId="43E4D873" w14:textId="77777777" w:rsidR="00774503" w:rsidRDefault="0077450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484848"/>
      <w:docPartObj>
        <w:docPartGallery w:val="Page Numbers (Bottom of Page)"/>
        <w:docPartUnique/>
      </w:docPartObj>
    </w:sdtPr>
    <w:sdtEndPr>
      <w:rPr>
        <w:noProof/>
      </w:rPr>
    </w:sdtEndPr>
    <w:sdtContent>
      <w:p w14:paraId="39344657" w14:textId="23A90038" w:rsidR="00F7522E" w:rsidRDefault="00F7522E" w:rsidP="00F7522E">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4F3E23F3" w14:textId="617B677E" w:rsidR="00E23CBB" w:rsidRDefault="00E23CBB" w:rsidP="007E0FEE">
    <w:pP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3331" w14:textId="6479537F" w:rsidR="00F7522E" w:rsidRDefault="00F65C75" w:rsidP="00B912C8">
    <w:pPr>
      <w:pStyle w:val="Footer"/>
      <w:tabs>
        <w:tab w:val="clear" w:pos="4680"/>
        <w:tab w:val="center" w:pos="4320"/>
      </w:tabs>
      <w:ind w:firstLine="0"/>
    </w:pPr>
    <w:r w:rsidRPr="00F65C75">
      <w:rPr>
        <w:sz w:val="16"/>
        <w:szCs w:val="16"/>
      </w:rPr>
      <w:t>605098131</w:t>
    </w:r>
    <w:r>
      <w:tab/>
    </w:r>
    <w:sdt>
      <w:sdtPr>
        <w:id w:val="1120417903"/>
        <w:docPartObj>
          <w:docPartGallery w:val="Page Numbers (Bottom of Page)"/>
          <w:docPartUnique/>
        </w:docPartObj>
      </w:sdtPr>
      <w:sdtEndPr>
        <w:rPr>
          <w:noProof/>
        </w:rPr>
      </w:sdtEndPr>
      <w:sdtContent>
        <w:r w:rsidR="00F7522E">
          <w:fldChar w:fldCharType="begin"/>
        </w:r>
        <w:r w:rsidR="00F7522E">
          <w:instrText xml:space="preserve"> PAGE   \* MERGEFORMAT </w:instrText>
        </w:r>
        <w:r w:rsidR="00F7522E">
          <w:fldChar w:fldCharType="separate"/>
        </w:r>
        <w:r w:rsidR="00F7522E">
          <w:rPr>
            <w:noProof/>
          </w:rPr>
          <w:t>2</w:t>
        </w:r>
        <w:r w:rsidR="00F7522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37F5" w14:textId="77777777" w:rsidR="00774503" w:rsidRDefault="00774503" w:rsidP="00DF58E7">
      <w:pPr>
        <w:spacing w:line="240" w:lineRule="auto"/>
        <w:ind w:firstLine="0"/>
      </w:pPr>
      <w:r>
        <w:separator/>
      </w:r>
    </w:p>
  </w:footnote>
  <w:footnote w:type="continuationSeparator" w:id="0">
    <w:p w14:paraId="34E22C80" w14:textId="77777777" w:rsidR="00774503" w:rsidRDefault="00774503" w:rsidP="00DF58E7">
      <w:pPr>
        <w:spacing w:line="240" w:lineRule="auto"/>
        <w:ind w:firstLine="0"/>
      </w:pPr>
      <w:r>
        <w:continuationSeparator/>
      </w:r>
    </w:p>
  </w:footnote>
  <w:footnote w:type="continuationNotice" w:id="1">
    <w:p w14:paraId="076298CB" w14:textId="77777777" w:rsidR="00774503" w:rsidRPr="00DF58E7" w:rsidRDefault="0077450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B4912B3" w14:textId="77777777" w:rsidR="00BA4A77" w:rsidRDefault="00BA4A77" w:rsidP="00BA4A77">
      <w:pPr>
        <w:pStyle w:val="FootnoteText"/>
      </w:pPr>
      <w:r>
        <w:rPr>
          <w:rStyle w:val="FootnoteReference"/>
        </w:rPr>
        <w:footnoteRef/>
      </w:r>
      <w:r>
        <w:t xml:space="preserve"> Unless otherwise specified, all references to a Rule are to the Commission’s Rules of Practice and Procedure.</w:t>
      </w:r>
    </w:p>
  </w:footnote>
  <w:footnote w:id="3">
    <w:p w14:paraId="6D5F3D62" w14:textId="77777777" w:rsidR="00BA4A77" w:rsidRDefault="00BA4A77" w:rsidP="00BA4A77">
      <w:pPr>
        <w:pStyle w:val="FootnoteText"/>
      </w:pPr>
      <w:r>
        <w:rPr>
          <w:rStyle w:val="FootnoteReference"/>
        </w:rPr>
        <w:footnoteRef/>
      </w:r>
      <w:r>
        <w:t xml:space="preserve"> Petition, at 4.</w:t>
      </w:r>
    </w:p>
  </w:footnote>
  <w:footnote w:id="4">
    <w:p w14:paraId="79C2D774" w14:textId="77777777" w:rsidR="00BA4A77" w:rsidRDefault="00BA4A77" w:rsidP="00BA4A77">
      <w:pPr>
        <w:pStyle w:val="FootnoteText"/>
      </w:pPr>
      <w:r>
        <w:rPr>
          <w:rStyle w:val="FootnoteReference"/>
        </w:rPr>
        <w:footnoteRef/>
      </w:r>
      <w:r>
        <w:t xml:space="preserve"> Response of the Public Advocates Office to PacifiCorp’s Petition for Modification of Decision 25-06-052, January 14, 2026,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7D23" w14:textId="7CF2124F" w:rsidR="00FE2351" w:rsidRDefault="00BA4A77" w:rsidP="00B3087D">
    <w:pPr>
      <w:pStyle w:val="Header"/>
      <w:tabs>
        <w:tab w:val="clear" w:pos="4680"/>
      </w:tabs>
      <w:ind w:firstLine="0"/>
      <w:rPr>
        <w:iCs/>
      </w:rPr>
    </w:pPr>
    <w:r>
      <w:rPr>
        <w:iCs/>
      </w:rPr>
      <w:t>A.22-05-</w:t>
    </w:r>
    <w:proofErr w:type="gramStart"/>
    <w:r>
      <w:rPr>
        <w:iCs/>
      </w:rPr>
      <w:t>006  ALJ</w:t>
    </w:r>
    <w:proofErr w:type="gramEnd"/>
    <w:r>
      <w:rPr>
        <w:iCs/>
      </w:rPr>
      <w:t>/GT2/</w:t>
    </w:r>
    <w:proofErr w:type="spellStart"/>
    <w:r>
      <w:rPr>
        <w:iCs/>
      </w:rPr>
      <w:t>jds</w:t>
    </w:r>
    <w:proofErr w:type="spellEnd"/>
  </w:p>
  <w:p w14:paraId="5F95EF38" w14:textId="77777777" w:rsidR="00BA4A77" w:rsidRPr="00BA4A77" w:rsidRDefault="00BA4A77" w:rsidP="00B3087D">
    <w:pPr>
      <w:pStyle w:val="Header"/>
      <w:tabs>
        <w:tab w:val="clear" w:pos="4680"/>
      </w:tabs>
      <w:ind w:firstLine="0"/>
      <w:rPr>
        <w:iCs/>
      </w:rPr>
    </w:pPr>
  </w:p>
  <w:p w14:paraId="65CD4237" w14:textId="77777777" w:rsidR="00BA4A77" w:rsidRPr="00B912C8" w:rsidRDefault="00BA4A77" w:rsidP="00B3087D">
    <w:pPr>
      <w:pStyle w:val="Header"/>
      <w:tabs>
        <w:tab w:val="clear" w:pos="4680"/>
      </w:tabs>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37CE2024"/>
    <w:multiLevelType w:val="hybridMultilevel"/>
    <w:tmpl w:val="83106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9526316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48772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1B"/>
    <w:rsid w:val="00000F6A"/>
    <w:rsid w:val="0007115A"/>
    <w:rsid w:val="000973C8"/>
    <w:rsid w:val="000A0A70"/>
    <w:rsid w:val="000A2AA9"/>
    <w:rsid w:val="000A56F2"/>
    <w:rsid w:val="000A6E05"/>
    <w:rsid w:val="000B12FA"/>
    <w:rsid w:val="000C08BF"/>
    <w:rsid w:val="000C3B9A"/>
    <w:rsid w:val="000D25A8"/>
    <w:rsid w:val="000E270A"/>
    <w:rsid w:val="000E4C53"/>
    <w:rsid w:val="000F48C6"/>
    <w:rsid w:val="00121089"/>
    <w:rsid w:val="00184A8F"/>
    <w:rsid w:val="001C363F"/>
    <w:rsid w:val="001E2A62"/>
    <w:rsid w:val="001F2819"/>
    <w:rsid w:val="001F3701"/>
    <w:rsid w:val="002043EC"/>
    <w:rsid w:val="00243DC0"/>
    <w:rsid w:val="00247477"/>
    <w:rsid w:val="00270440"/>
    <w:rsid w:val="00284D8D"/>
    <w:rsid w:val="00287BC5"/>
    <w:rsid w:val="00293DEE"/>
    <w:rsid w:val="002A0B5D"/>
    <w:rsid w:val="002C7FE9"/>
    <w:rsid w:val="002D0DC5"/>
    <w:rsid w:val="002D4EFD"/>
    <w:rsid w:val="00315A97"/>
    <w:rsid w:val="00316071"/>
    <w:rsid w:val="00343E5C"/>
    <w:rsid w:val="00344FB8"/>
    <w:rsid w:val="0036017B"/>
    <w:rsid w:val="00362755"/>
    <w:rsid w:val="00373B93"/>
    <w:rsid w:val="00380CD1"/>
    <w:rsid w:val="003A02CA"/>
    <w:rsid w:val="003A38F0"/>
    <w:rsid w:val="003F069A"/>
    <w:rsid w:val="003F4329"/>
    <w:rsid w:val="00412534"/>
    <w:rsid w:val="00412C83"/>
    <w:rsid w:val="00426014"/>
    <w:rsid w:val="0044617E"/>
    <w:rsid w:val="0046078B"/>
    <w:rsid w:val="00460B7D"/>
    <w:rsid w:val="00480CB0"/>
    <w:rsid w:val="00483603"/>
    <w:rsid w:val="004A1EAD"/>
    <w:rsid w:val="004A47BE"/>
    <w:rsid w:val="004B34EA"/>
    <w:rsid w:val="004B5494"/>
    <w:rsid w:val="004C7A2B"/>
    <w:rsid w:val="004C7D3A"/>
    <w:rsid w:val="005018A8"/>
    <w:rsid w:val="00505A39"/>
    <w:rsid w:val="005240BF"/>
    <w:rsid w:val="00585390"/>
    <w:rsid w:val="005939A5"/>
    <w:rsid w:val="005A148C"/>
    <w:rsid w:val="005C58FA"/>
    <w:rsid w:val="00603238"/>
    <w:rsid w:val="00632207"/>
    <w:rsid w:val="0063491C"/>
    <w:rsid w:val="00641A5C"/>
    <w:rsid w:val="00661AFE"/>
    <w:rsid w:val="00680F19"/>
    <w:rsid w:val="00683B2C"/>
    <w:rsid w:val="006B3ED7"/>
    <w:rsid w:val="006C1F10"/>
    <w:rsid w:val="006E5E28"/>
    <w:rsid w:val="006E6574"/>
    <w:rsid w:val="0071011B"/>
    <w:rsid w:val="00714CF2"/>
    <w:rsid w:val="007156B9"/>
    <w:rsid w:val="00720817"/>
    <w:rsid w:val="00722850"/>
    <w:rsid w:val="0073353F"/>
    <w:rsid w:val="00735A91"/>
    <w:rsid w:val="00742E45"/>
    <w:rsid w:val="007447AF"/>
    <w:rsid w:val="00750816"/>
    <w:rsid w:val="007657C1"/>
    <w:rsid w:val="00774503"/>
    <w:rsid w:val="0077755F"/>
    <w:rsid w:val="007A2C5D"/>
    <w:rsid w:val="007A406D"/>
    <w:rsid w:val="007A62B0"/>
    <w:rsid w:val="007C5A0C"/>
    <w:rsid w:val="007E0FEE"/>
    <w:rsid w:val="007F2017"/>
    <w:rsid w:val="0080390E"/>
    <w:rsid w:val="008159CF"/>
    <w:rsid w:val="00816E05"/>
    <w:rsid w:val="008339BB"/>
    <w:rsid w:val="0086419A"/>
    <w:rsid w:val="0087023B"/>
    <w:rsid w:val="008947B4"/>
    <w:rsid w:val="008A08BF"/>
    <w:rsid w:val="008A179F"/>
    <w:rsid w:val="008B0864"/>
    <w:rsid w:val="008B175A"/>
    <w:rsid w:val="008C3CB7"/>
    <w:rsid w:val="008C7413"/>
    <w:rsid w:val="008D16B7"/>
    <w:rsid w:val="008E6AE6"/>
    <w:rsid w:val="008F0116"/>
    <w:rsid w:val="008F143D"/>
    <w:rsid w:val="00931ED1"/>
    <w:rsid w:val="00932865"/>
    <w:rsid w:val="0098138E"/>
    <w:rsid w:val="0098655A"/>
    <w:rsid w:val="009A6E36"/>
    <w:rsid w:val="009E6052"/>
    <w:rsid w:val="009E7C7F"/>
    <w:rsid w:val="00A17CE0"/>
    <w:rsid w:val="00A23D48"/>
    <w:rsid w:val="00A42306"/>
    <w:rsid w:val="00A44E8D"/>
    <w:rsid w:val="00A46EA8"/>
    <w:rsid w:val="00A55ACD"/>
    <w:rsid w:val="00A85D27"/>
    <w:rsid w:val="00AB7875"/>
    <w:rsid w:val="00AC68EE"/>
    <w:rsid w:val="00B01F7E"/>
    <w:rsid w:val="00B16C2A"/>
    <w:rsid w:val="00B3087D"/>
    <w:rsid w:val="00B34794"/>
    <w:rsid w:val="00B60421"/>
    <w:rsid w:val="00B73DF3"/>
    <w:rsid w:val="00B81EB6"/>
    <w:rsid w:val="00B912C8"/>
    <w:rsid w:val="00BA4A77"/>
    <w:rsid w:val="00BB0243"/>
    <w:rsid w:val="00C10B5F"/>
    <w:rsid w:val="00C878D5"/>
    <w:rsid w:val="00C9033B"/>
    <w:rsid w:val="00C913A1"/>
    <w:rsid w:val="00CC6A99"/>
    <w:rsid w:val="00D00AA3"/>
    <w:rsid w:val="00D0504E"/>
    <w:rsid w:val="00D07F73"/>
    <w:rsid w:val="00D14844"/>
    <w:rsid w:val="00D2041C"/>
    <w:rsid w:val="00D25ADE"/>
    <w:rsid w:val="00D43297"/>
    <w:rsid w:val="00D44DB6"/>
    <w:rsid w:val="00D50119"/>
    <w:rsid w:val="00D82A43"/>
    <w:rsid w:val="00DA3F33"/>
    <w:rsid w:val="00DA7B5D"/>
    <w:rsid w:val="00DF58E7"/>
    <w:rsid w:val="00E11876"/>
    <w:rsid w:val="00E23CBB"/>
    <w:rsid w:val="00E37B59"/>
    <w:rsid w:val="00E47FF5"/>
    <w:rsid w:val="00E53438"/>
    <w:rsid w:val="00E725FC"/>
    <w:rsid w:val="00EA36C6"/>
    <w:rsid w:val="00EB7066"/>
    <w:rsid w:val="00EC30F9"/>
    <w:rsid w:val="00ED5725"/>
    <w:rsid w:val="00ED7031"/>
    <w:rsid w:val="00EE3060"/>
    <w:rsid w:val="00EE4315"/>
    <w:rsid w:val="00EF6925"/>
    <w:rsid w:val="00F12118"/>
    <w:rsid w:val="00F26ED3"/>
    <w:rsid w:val="00F62B7A"/>
    <w:rsid w:val="00F6397D"/>
    <w:rsid w:val="00F65C75"/>
    <w:rsid w:val="00F7293E"/>
    <w:rsid w:val="00F7522E"/>
    <w:rsid w:val="00F76650"/>
    <w:rsid w:val="00F9187B"/>
    <w:rsid w:val="00F92385"/>
    <w:rsid w:val="00FA1B4F"/>
    <w:rsid w:val="00FC47F9"/>
    <w:rsid w:val="00FE2351"/>
    <w:rsid w:val="00FE337D"/>
    <w:rsid w:val="00FE5580"/>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DB71"/>
  <w15:chartTrackingRefBased/>
  <w15:docId w15:val="{C637669D-3F31-4012-A87F-A7910A1A02B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4A77"/>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BodyText">
    <w:name w:val="Body Text"/>
    <w:basedOn w:val="Normal"/>
    <w:link w:val="BodyTextChar"/>
    <w:uiPriority w:val="1"/>
    <w:qFormat/>
    <w:rsid w:val="00BA4A77"/>
    <w:pPr>
      <w:widowControl w:val="0"/>
      <w:autoSpaceDE w:val="0"/>
      <w:autoSpaceDN w:val="0"/>
      <w:spacing w:line="240" w:lineRule="auto"/>
      <w:ind w:left="360" w:firstLine="0"/>
    </w:pPr>
    <w:rPr>
      <w:rFonts w:eastAsia="Book Antiqua" w:cs="Book Antiqua"/>
      <w:szCs w:val="26"/>
    </w:rPr>
  </w:style>
  <w:style w:type="character" w:customStyle="1" w:styleId="BodyTextChar">
    <w:name w:val="Body Text Char"/>
    <w:basedOn w:val="DefaultParagraphFont"/>
    <w:link w:val="BodyText"/>
    <w:uiPriority w:val="1"/>
    <w:rsid w:val="00BA4A77"/>
    <w:rPr>
      <w:rFonts w:ascii="Book Antiqua" w:eastAsia="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1345</ap:Words>
  <ap:Characters>7670</ap:Characters>
  <ap:Application>Microsoft Office Word</ap:Application>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8998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2026-04-17T19:07:07Z</dcterms:created>
  <dcterms:modified xsi:type="dcterms:W3CDTF">2026-04-17T19:07:07Z</dcterms:modified>
</cp:coreProperties>
</file>