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7064" w:rsidR="00436740" w:rsidP="00436740" w:rsidRDefault="00436740" w14:paraId="6FCF7BDD" w14:textId="4AFE49BB">
      <w:pPr>
        <w:suppressAutoHyphens/>
        <w:rPr>
          <w:b/>
          <w:bCs/>
          <w:color w:val="000000"/>
        </w:rPr>
      </w:pPr>
      <w:r>
        <w:rPr>
          <w:color w:val="000000"/>
        </w:rPr>
        <w:t>ALJ/KWZ/vj4</w:t>
      </w:r>
      <w:r>
        <w:rPr>
          <w:color w:val="000000"/>
        </w:rPr>
        <w:tab/>
      </w:r>
      <w:r>
        <w:rPr>
          <w:color w:val="000000"/>
        </w:rPr>
        <w:tab/>
      </w:r>
      <w:r>
        <w:rPr>
          <w:color w:val="000000"/>
        </w:rPr>
        <w:tab/>
      </w:r>
      <w:r w:rsidR="003B30CB">
        <w:rPr>
          <w:b/>
          <w:bCs/>
          <w:color w:val="000000"/>
        </w:rPr>
        <w:tab/>
      </w:r>
      <w:r w:rsidR="003B30CB">
        <w:rPr>
          <w:b/>
          <w:bCs/>
          <w:color w:val="000000"/>
        </w:rPr>
        <w:tab/>
      </w:r>
      <w:r w:rsidR="003B30CB">
        <w:rPr>
          <w:b/>
          <w:bCs/>
          <w:color w:val="000000"/>
        </w:rPr>
        <w:tab/>
      </w:r>
      <w:r>
        <w:rPr>
          <w:color w:val="000000"/>
        </w:rPr>
        <w:tab/>
      </w:r>
      <w:r w:rsidR="003B30CB">
        <w:rPr>
          <w:color w:val="000000"/>
        </w:rPr>
        <w:tab/>
        <w:t xml:space="preserve"> </w:t>
      </w:r>
      <w:r w:rsidR="003B30CB">
        <w:rPr>
          <w:b/>
          <w:bCs/>
          <w:color w:val="000000"/>
        </w:rPr>
        <w:t>Date of Issuance 4/17/2026</w:t>
      </w:r>
    </w:p>
    <w:p w:rsidRPr="00D17064" w:rsidR="00436740" w:rsidP="00436740" w:rsidRDefault="00436740" w14:paraId="05CFB7E9" w14:textId="135E4974">
      <w:pPr>
        <w:suppressAutoHyphens/>
        <w:rPr>
          <w:b/>
          <w:bCs/>
          <w:color w:val="000000"/>
        </w:rPr>
      </w:pP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r>
      <w:r w:rsidRPr="00D17064">
        <w:rPr>
          <w:b/>
          <w:bCs/>
          <w:color w:val="000000"/>
        </w:rPr>
        <w:tab/>
        <w:t xml:space="preserve">   </w:t>
      </w:r>
    </w:p>
    <w:p w:rsidR="00436740" w:rsidRDefault="00436740" w14:paraId="5060AE04" w14:textId="77777777">
      <w:pPr>
        <w:suppressAutoHyphens/>
        <w:rPr>
          <w:color w:val="000000"/>
        </w:rPr>
      </w:pPr>
    </w:p>
    <w:p w:rsidR="00436740" w:rsidRDefault="00436740" w14:paraId="3AF8A49A" w14:textId="77777777">
      <w:pPr>
        <w:suppressAutoHyphens/>
        <w:rPr>
          <w:color w:val="000000"/>
        </w:rPr>
      </w:pPr>
    </w:p>
    <w:p w:rsidRPr="007F620E" w:rsidR="00A92D0B" w:rsidRDefault="00A92D0B" w14:paraId="5BDA9FD4" w14:textId="13FF3CEE">
      <w:pPr>
        <w:suppressAutoHyphens/>
        <w:rPr>
          <w:color w:val="000000"/>
        </w:rPr>
      </w:pPr>
      <w:r w:rsidRPr="007F620E">
        <w:rPr>
          <w:color w:val="000000"/>
        </w:rPr>
        <w:t xml:space="preserve">Decision </w:t>
      </w:r>
      <w:r w:rsidRPr="003B30CB" w:rsidR="003B30CB">
        <w:rPr>
          <w:color w:val="000000"/>
        </w:rPr>
        <w:t>26-04-</w:t>
      </w:r>
      <w:proofErr w:type="gramStart"/>
      <w:r w:rsidRPr="003B30CB" w:rsidR="003B30CB">
        <w:rPr>
          <w:color w:val="000000"/>
        </w:rPr>
        <w:t>019</w:t>
      </w:r>
      <w:r w:rsidR="003B30CB">
        <w:rPr>
          <w:color w:val="000000"/>
        </w:rPr>
        <w:t xml:space="preserve">  April</w:t>
      </w:r>
      <w:proofErr w:type="gramEnd"/>
      <w:r w:rsidR="003B30CB">
        <w:rPr>
          <w:color w:val="000000"/>
        </w:rPr>
        <w:t xml:space="preserve"> 9, 2026</w:t>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870"/>
      </w:tblGrid>
      <w:tr w:rsidRPr="007F620E" w:rsidR="00A92D0B" w:rsidTr="00B46B87" w14:paraId="3942D7B4" w14:textId="77777777">
        <w:tc>
          <w:tcPr>
            <w:tcW w:w="5958" w:type="dxa"/>
          </w:tcPr>
          <w:p w:rsidR="00A92D0B" w:rsidP="00266BD2" w:rsidRDefault="00E64A23" w14:paraId="0048F9C7" w14:textId="77777777">
            <w:r w:rsidRPr="00BF05A8">
              <w:t>Application of Pacific Gas and Electric Company for Recovery of Recorded Expenditures Related to Wildfire Mitigation, Catastrophic Events, and Other Recorded Costs. (U39M)</w:t>
            </w:r>
          </w:p>
          <w:p w:rsidRPr="00266BD2" w:rsidR="00814729" w:rsidP="00266BD2" w:rsidRDefault="00814729" w14:paraId="47850BD9" w14:textId="59DBF38B">
            <w:pPr>
              <w:rPr>
                <w:color w:val="1F497D" w:themeColor="text2"/>
              </w:rPr>
            </w:pPr>
          </w:p>
        </w:tc>
        <w:tc>
          <w:tcPr>
            <w:tcW w:w="3870" w:type="dxa"/>
            <w:tcBorders>
              <w:top w:val="nil"/>
              <w:bottom w:val="nil"/>
            </w:tcBorders>
            <w:vAlign w:val="center"/>
          </w:tcPr>
          <w:p w:rsidRPr="004E3E6B" w:rsidR="00392C1A" w:rsidP="00392C1A" w:rsidRDefault="00392C1A" w14:paraId="799391ED" w14:textId="3147293B">
            <w:pPr>
              <w:jc w:val="center"/>
            </w:pPr>
            <w:r w:rsidRPr="004E3E6B">
              <w:t>Application 2</w:t>
            </w:r>
            <w:r w:rsidR="00B04A0F">
              <w:t>2</w:t>
            </w:r>
            <w:r w:rsidRPr="004E3E6B">
              <w:t>-</w:t>
            </w:r>
            <w:r w:rsidR="00266BD2">
              <w:t>12</w:t>
            </w:r>
            <w:r w:rsidRPr="004E3E6B">
              <w:t>-0</w:t>
            </w:r>
            <w:r w:rsidR="00266BD2">
              <w:t>09</w:t>
            </w:r>
          </w:p>
          <w:p w:rsidRPr="007F620E" w:rsidR="00A92D0B" w:rsidRDefault="00392C1A" w14:paraId="56246C5B" w14:textId="0A40752F">
            <w:pPr>
              <w:tabs>
                <w:tab w:val="left" w:pos="1440"/>
                <w:tab w:val="left" w:pos="3600"/>
              </w:tabs>
              <w:rPr>
                <w:color w:val="000000"/>
              </w:rPr>
            </w:pPr>
            <w:r>
              <w:rPr>
                <w:color w:val="000000"/>
              </w:rPr>
              <w:t xml:space="preserve">           </w:t>
            </w:r>
            <w:r w:rsidRPr="004E3E6B">
              <w:t xml:space="preserve">(Filed </w:t>
            </w:r>
            <w:r w:rsidR="00266BD2">
              <w:t>December</w:t>
            </w:r>
            <w:r w:rsidRPr="00B04A0F" w:rsidR="00B04A0F">
              <w:t xml:space="preserve"> </w:t>
            </w:r>
            <w:r w:rsidR="00266BD2">
              <w:t>15</w:t>
            </w:r>
            <w:r w:rsidRPr="00B04A0F" w:rsidR="00B04A0F">
              <w:t>, 2022</w:t>
            </w:r>
            <w:r w:rsidRPr="004E3E6B">
              <w:t>)</w:t>
            </w:r>
          </w:p>
          <w:p w:rsidRPr="007F620E" w:rsidR="00A92D0B" w:rsidP="00392C1A" w:rsidRDefault="00A92D0B" w14:paraId="7EC7277D" w14:textId="77777777">
            <w:pPr>
              <w:tabs>
                <w:tab w:val="left" w:pos="1440"/>
                <w:tab w:val="left" w:pos="3600"/>
              </w:tabs>
              <w:rPr>
                <w:color w:val="000000"/>
              </w:rPr>
            </w:pPr>
          </w:p>
        </w:tc>
      </w:tr>
    </w:tbl>
    <w:p w:rsidRPr="007F620E" w:rsidR="00FC72B7" w:rsidRDefault="00FC72B7" w14:paraId="5459E071" w14:textId="77777777">
      <w:pPr>
        <w:jc w:val="center"/>
        <w:rPr>
          <w:b/>
          <w:color w:val="000000"/>
        </w:rPr>
      </w:pPr>
    </w:p>
    <w:p w:rsidRPr="009F423E" w:rsidR="009F423E" w:rsidP="009F423E" w:rsidRDefault="009F423E" w14:paraId="5F1BAEB2" w14:textId="1872842D">
      <w:pPr>
        <w:widowControl w:val="0"/>
        <w:jc w:val="center"/>
        <w:rPr>
          <w:b/>
          <w:color w:val="000000"/>
          <w:lang w:eastAsia="ja-JP"/>
        </w:rPr>
      </w:pPr>
      <w:r w:rsidRPr="009F423E">
        <w:rPr>
          <w:b/>
          <w:color w:val="000000"/>
          <w:lang w:eastAsia="ja-JP"/>
        </w:rPr>
        <w:t xml:space="preserve">DECISION GRANTING COMPENSATION TO THE UTILITY REFORM </w:t>
      </w:r>
      <w:r w:rsidRPr="009F423E" w:rsidR="004867E6">
        <w:rPr>
          <w:b/>
          <w:color w:val="000000"/>
          <w:lang w:eastAsia="ja-JP"/>
        </w:rPr>
        <w:t>NETWORK FOR</w:t>
      </w:r>
      <w:r w:rsidRPr="009F423E">
        <w:rPr>
          <w:b/>
          <w:color w:val="000000"/>
          <w:lang w:eastAsia="ja-JP"/>
        </w:rPr>
        <w:t xml:space="preserve"> SUBSTANTIAL CONTRIBUTION TO DECISION (D.) 25-</w:t>
      </w:r>
      <w:r>
        <w:rPr>
          <w:b/>
          <w:color w:val="000000"/>
          <w:lang w:eastAsia="ja-JP"/>
        </w:rPr>
        <w:t>09-008</w:t>
      </w:r>
    </w:p>
    <w:p w:rsidRPr="007F620E" w:rsidR="00382C7F" w:rsidP="00382C7F" w:rsidRDefault="00382C7F" w14:paraId="0B22D7A5" w14:textId="77777777">
      <w:pPr>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1"/>
        <w:gridCol w:w="5389"/>
      </w:tblGrid>
      <w:tr w:rsidRPr="00230F87" w:rsidR="00A92D0B" w:rsidTr="0090642C" w14:paraId="0FE98F62" w14:textId="77777777">
        <w:tc>
          <w:tcPr>
            <w:tcW w:w="3971" w:type="dxa"/>
          </w:tcPr>
          <w:p w:rsidRPr="00230F87" w:rsidR="00A92D0B" w:rsidP="00C47A2B" w:rsidRDefault="005A63D4" w14:paraId="11570D4A" w14:textId="6BB9B5B4">
            <w:pPr>
              <w:tabs>
                <w:tab w:val="left" w:pos="1620"/>
                <w:tab w:val="right" w:pos="4500"/>
              </w:tabs>
              <w:rPr>
                <w:rFonts w:asciiTheme="majorBidi" w:hAnsiTheme="majorBidi" w:cstheme="majorBidi"/>
                <w:color w:val="000000"/>
              </w:rPr>
            </w:pPr>
            <w:r w:rsidRPr="00230F87">
              <w:rPr>
                <w:rFonts w:asciiTheme="majorBidi" w:hAnsiTheme="majorBidi" w:cstheme="majorBidi"/>
                <w:b/>
                <w:color w:val="000000"/>
              </w:rPr>
              <w:t>Intervenor</w:t>
            </w:r>
            <w:r w:rsidRPr="00230F87" w:rsidR="00F63C29">
              <w:rPr>
                <w:rFonts w:asciiTheme="majorBidi" w:hAnsiTheme="majorBidi" w:cstheme="majorBidi"/>
                <w:b/>
                <w:color w:val="000000"/>
              </w:rPr>
              <w:t>:</w:t>
            </w:r>
            <w:r w:rsidRPr="00230F87" w:rsidR="00691528">
              <w:rPr>
                <w:rFonts w:asciiTheme="majorBidi" w:hAnsiTheme="majorBidi" w:cstheme="majorBidi"/>
                <w:b/>
                <w:color w:val="000000"/>
              </w:rPr>
              <w:t xml:space="preserve"> </w:t>
            </w:r>
            <w:r w:rsidRPr="00230F87" w:rsidR="00201984">
              <w:rPr>
                <w:rFonts w:asciiTheme="majorBidi" w:hAnsiTheme="majorBidi" w:cstheme="majorBidi"/>
                <w:color w:val="000000"/>
              </w:rPr>
              <w:t>The Utility Reform Network (“TURN”)</w:t>
            </w:r>
          </w:p>
        </w:tc>
        <w:tc>
          <w:tcPr>
            <w:tcW w:w="5389" w:type="dxa"/>
          </w:tcPr>
          <w:p w:rsidRPr="00230F87" w:rsidR="00A92D0B" w:rsidP="00C47A2B" w:rsidRDefault="00A92D0B" w14:paraId="53A584EE" w14:textId="22FF2CC2">
            <w:pPr>
              <w:tabs>
                <w:tab w:val="left" w:pos="1872"/>
                <w:tab w:val="right" w:pos="3672"/>
              </w:tabs>
              <w:rPr>
                <w:rFonts w:asciiTheme="majorBidi" w:hAnsiTheme="majorBidi" w:cstheme="majorBidi"/>
                <w:b/>
                <w:color w:val="000000"/>
              </w:rPr>
            </w:pPr>
            <w:r w:rsidRPr="00230F87">
              <w:rPr>
                <w:rFonts w:asciiTheme="majorBidi" w:hAnsiTheme="majorBidi" w:cstheme="majorBidi"/>
                <w:b/>
                <w:color w:val="000000"/>
              </w:rPr>
              <w:t>For contribution to D</w:t>
            </w:r>
            <w:r w:rsidRPr="00230F87" w:rsidR="00DE3A5D">
              <w:rPr>
                <w:rFonts w:asciiTheme="majorBidi" w:hAnsiTheme="majorBidi" w:cstheme="majorBidi"/>
                <w:b/>
                <w:color w:val="000000"/>
              </w:rPr>
              <w:t>ecision (D</w:t>
            </w:r>
            <w:r w:rsidRPr="005E69FC" w:rsidR="00DE3A5D">
              <w:rPr>
                <w:rFonts w:asciiTheme="majorBidi" w:hAnsiTheme="majorBidi" w:cstheme="majorBidi"/>
                <w:b/>
                <w:color w:val="000000"/>
              </w:rPr>
              <w:t xml:space="preserve">.) </w:t>
            </w:r>
            <w:r w:rsidR="00266BD2">
              <w:rPr>
                <w:rFonts w:asciiTheme="majorBidi" w:hAnsiTheme="majorBidi" w:cstheme="majorBidi"/>
                <w:b/>
                <w:color w:val="000000"/>
              </w:rPr>
              <w:t>25-09-008</w:t>
            </w:r>
          </w:p>
        </w:tc>
      </w:tr>
      <w:tr w:rsidRPr="00230F87" w:rsidR="00A92D0B" w:rsidTr="0090642C" w14:paraId="47003B8E" w14:textId="77777777">
        <w:tc>
          <w:tcPr>
            <w:tcW w:w="3971" w:type="dxa"/>
          </w:tcPr>
          <w:p w:rsidRPr="00230F87" w:rsidR="00A92D0B" w:rsidP="00C47A2B" w:rsidRDefault="00A92D0B" w14:paraId="0E2E4BD1" w14:textId="189C69B5">
            <w:pPr>
              <w:tabs>
                <w:tab w:val="left" w:pos="1620"/>
                <w:tab w:val="right" w:pos="4500"/>
              </w:tabs>
              <w:rPr>
                <w:rFonts w:asciiTheme="majorBidi" w:hAnsiTheme="majorBidi" w:cstheme="majorBidi"/>
                <w:b/>
                <w:color w:val="000000"/>
                <w:u w:val="single"/>
              </w:rPr>
            </w:pPr>
            <w:r w:rsidRPr="00230F87">
              <w:rPr>
                <w:rFonts w:asciiTheme="majorBidi" w:hAnsiTheme="majorBidi" w:cstheme="majorBidi"/>
                <w:b/>
                <w:color w:val="000000"/>
              </w:rPr>
              <w:t>Claimed:</w:t>
            </w:r>
            <w:r w:rsidRPr="00230F87" w:rsidR="00F63C29">
              <w:rPr>
                <w:rFonts w:asciiTheme="majorBidi" w:hAnsiTheme="majorBidi" w:cstheme="majorBidi"/>
                <w:b/>
                <w:color w:val="000000"/>
              </w:rPr>
              <w:t xml:space="preserve"> </w:t>
            </w:r>
            <w:r w:rsidRPr="00230F87" w:rsidR="002D21CA">
              <w:rPr>
                <w:rFonts w:asciiTheme="majorBidi" w:hAnsiTheme="majorBidi" w:cstheme="majorBidi"/>
                <w:b/>
                <w:color w:val="000000"/>
              </w:rPr>
              <w:t xml:space="preserve"> </w:t>
            </w:r>
            <w:r w:rsidRPr="007316B2" w:rsidR="00FC72B7">
              <w:rPr>
                <w:rFonts w:asciiTheme="majorBidi" w:hAnsiTheme="majorBidi" w:cstheme="majorBidi"/>
                <w:bCs/>
                <w:color w:val="000000"/>
              </w:rPr>
              <w:t>$</w:t>
            </w:r>
            <w:r w:rsidRPr="007316B2" w:rsidR="001E6479">
              <w:rPr>
                <w:rFonts w:asciiTheme="majorBidi" w:hAnsiTheme="majorBidi" w:cstheme="majorBidi"/>
                <w:bCs/>
                <w:color w:val="000000"/>
              </w:rPr>
              <w:t>246,912.50</w:t>
            </w:r>
          </w:p>
        </w:tc>
        <w:tc>
          <w:tcPr>
            <w:tcW w:w="5389" w:type="dxa"/>
            <w:tcBorders>
              <w:bottom w:val="single" w:color="auto" w:sz="4" w:space="0"/>
            </w:tcBorders>
          </w:tcPr>
          <w:p w:rsidRPr="00230F87" w:rsidR="00A92D0B" w:rsidP="00C47A2B" w:rsidRDefault="00A92D0B" w14:paraId="211F40A8" w14:textId="3B5CF644">
            <w:pPr>
              <w:tabs>
                <w:tab w:val="left" w:pos="1872"/>
                <w:tab w:val="right" w:pos="3672"/>
              </w:tabs>
              <w:rPr>
                <w:rFonts w:asciiTheme="majorBidi" w:hAnsiTheme="majorBidi" w:cstheme="majorBidi"/>
                <w:b/>
                <w:color w:val="000000"/>
                <w:u w:val="single"/>
              </w:rPr>
            </w:pPr>
            <w:r w:rsidRPr="00230F87">
              <w:rPr>
                <w:rFonts w:asciiTheme="majorBidi" w:hAnsiTheme="majorBidi" w:cstheme="majorBidi"/>
                <w:b/>
                <w:color w:val="000000"/>
              </w:rPr>
              <w:t>Awarded:</w:t>
            </w:r>
            <w:r w:rsidRPr="00230F87" w:rsidR="00FC72B7">
              <w:rPr>
                <w:rFonts w:asciiTheme="majorBidi" w:hAnsiTheme="majorBidi" w:cstheme="majorBidi"/>
                <w:b/>
                <w:color w:val="000000"/>
              </w:rPr>
              <w:t xml:space="preserve">  </w:t>
            </w:r>
            <w:r w:rsidRPr="00534F21" w:rsidR="0090642C">
              <w:rPr>
                <w:rFonts w:asciiTheme="majorBidi" w:hAnsiTheme="majorBidi" w:cstheme="majorBidi"/>
                <w:bCs/>
                <w:color w:val="000000"/>
              </w:rPr>
              <w:t>$246,912.50</w:t>
            </w:r>
          </w:p>
        </w:tc>
      </w:tr>
      <w:tr w:rsidRPr="00230F87" w:rsidR="00A92D0B" w:rsidTr="0090642C" w14:paraId="5C56877D" w14:textId="77777777">
        <w:tc>
          <w:tcPr>
            <w:tcW w:w="3971" w:type="dxa"/>
          </w:tcPr>
          <w:p w:rsidRPr="00230F87" w:rsidR="00A92D0B" w:rsidP="00201984" w:rsidRDefault="00A92D0B" w14:paraId="6EF99E36" w14:textId="7CF0EA5D">
            <w:pPr>
              <w:tabs>
                <w:tab w:val="left" w:pos="3031"/>
              </w:tabs>
              <w:rPr>
                <w:rFonts w:asciiTheme="majorBidi" w:hAnsiTheme="majorBidi" w:cstheme="majorBidi"/>
                <w:color w:val="000000"/>
                <w:u w:val="single"/>
              </w:rPr>
            </w:pPr>
            <w:r w:rsidRPr="00230F87">
              <w:rPr>
                <w:rFonts w:asciiTheme="majorBidi" w:hAnsiTheme="majorBidi" w:cstheme="majorBidi"/>
                <w:b/>
                <w:color w:val="000000"/>
              </w:rPr>
              <w:t xml:space="preserve">Assigned Commissioner: </w:t>
            </w:r>
            <w:r w:rsidR="00743846">
              <w:rPr>
                <w:rFonts w:asciiTheme="majorBidi" w:hAnsiTheme="majorBidi" w:cstheme="majorBidi"/>
                <w:b/>
                <w:color w:val="000000"/>
              </w:rPr>
              <w:t xml:space="preserve"> </w:t>
            </w:r>
            <w:r w:rsidR="00266BD2">
              <w:rPr>
                <w:rFonts w:asciiTheme="majorBidi" w:hAnsiTheme="majorBidi" w:cstheme="majorBidi"/>
                <w:bCs/>
              </w:rPr>
              <w:t>John</w:t>
            </w:r>
            <w:r w:rsidRPr="00B04A0F" w:rsidR="00B04A0F">
              <w:rPr>
                <w:rFonts w:asciiTheme="majorBidi" w:hAnsiTheme="majorBidi" w:cstheme="majorBidi"/>
                <w:bCs/>
              </w:rPr>
              <w:t xml:space="preserve"> Reynolds</w:t>
            </w:r>
          </w:p>
        </w:tc>
        <w:tc>
          <w:tcPr>
            <w:tcW w:w="5389" w:type="dxa"/>
          </w:tcPr>
          <w:p w:rsidRPr="00230F87" w:rsidR="00A92D0B" w:rsidP="00201984" w:rsidRDefault="00A92D0B" w14:paraId="79375F78" w14:textId="50C7D794">
            <w:pPr>
              <w:tabs>
                <w:tab w:val="center" w:pos="2597"/>
              </w:tabs>
              <w:rPr>
                <w:rFonts w:asciiTheme="majorBidi" w:hAnsiTheme="majorBidi" w:cstheme="majorBidi"/>
                <w:color w:val="000000"/>
                <w:u w:val="single"/>
              </w:rPr>
            </w:pPr>
            <w:r w:rsidRPr="00230F87">
              <w:rPr>
                <w:rFonts w:asciiTheme="majorBidi" w:hAnsiTheme="majorBidi" w:cstheme="majorBidi"/>
                <w:b/>
                <w:color w:val="000000"/>
              </w:rPr>
              <w:t>Assigned ALJ</w:t>
            </w:r>
            <w:proofErr w:type="gramStart"/>
            <w:r w:rsidRPr="00230F87">
              <w:rPr>
                <w:rFonts w:asciiTheme="majorBidi" w:hAnsiTheme="majorBidi" w:cstheme="majorBidi"/>
                <w:b/>
                <w:color w:val="000000"/>
              </w:rPr>
              <w:t>:</w:t>
            </w:r>
            <w:r w:rsidRPr="00230F87" w:rsidR="00F63C29">
              <w:rPr>
                <w:rFonts w:asciiTheme="majorBidi" w:hAnsiTheme="majorBidi" w:cstheme="majorBidi"/>
                <w:b/>
                <w:color w:val="000000"/>
              </w:rPr>
              <w:t xml:space="preserve"> </w:t>
            </w:r>
            <w:r w:rsidRPr="00230F87" w:rsidR="00201984">
              <w:rPr>
                <w:rFonts w:asciiTheme="majorBidi" w:hAnsiTheme="majorBidi" w:cstheme="majorBidi"/>
                <w:b/>
                <w:color w:val="000000"/>
              </w:rPr>
              <w:tab/>
            </w:r>
            <w:r w:rsidRPr="00266BD2" w:rsidR="00266BD2">
              <w:rPr>
                <w:rFonts w:asciiTheme="majorBidi" w:hAnsiTheme="majorBidi" w:cstheme="majorBidi"/>
                <w:bCs/>
                <w:color w:val="000000"/>
              </w:rPr>
              <w:t>Camille</w:t>
            </w:r>
            <w:proofErr w:type="gramEnd"/>
            <w:r w:rsidRPr="00266BD2" w:rsidR="00266BD2">
              <w:rPr>
                <w:rFonts w:asciiTheme="majorBidi" w:hAnsiTheme="majorBidi" w:cstheme="majorBidi"/>
                <w:bCs/>
                <w:color w:val="000000"/>
              </w:rPr>
              <w:t xml:space="preserve"> Watts-Zagha</w:t>
            </w:r>
          </w:p>
        </w:tc>
      </w:tr>
    </w:tbl>
    <w:p w:rsidRPr="00230F87" w:rsidR="00691528" w:rsidP="00B46B87" w:rsidRDefault="00A92D0B" w14:paraId="3CEED871" w14:textId="62381001">
      <w:pPr>
        <w:keepNext/>
        <w:spacing w:before="360"/>
        <w:jc w:val="center"/>
        <w:rPr>
          <w:rFonts w:asciiTheme="majorBidi" w:hAnsiTheme="majorBidi" w:cstheme="majorBidi"/>
          <w:b/>
          <w:color w:val="000000"/>
        </w:rPr>
      </w:pPr>
      <w:r w:rsidRPr="00230F87">
        <w:rPr>
          <w:rFonts w:asciiTheme="majorBidi" w:hAnsiTheme="majorBidi" w:cstheme="majorBidi"/>
          <w:b/>
          <w:color w:val="000000"/>
        </w:rPr>
        <w:t>PART I</w:t>
      </w:r>
      <w:proofErr w:type="gramStart"/>
      <w:r w:rsidRPr="00230F87">
        <w:rPr>
          <w:rFonts w:asciiTheme="majorBidi" w:hAnsiTheme="majorBidi" w:cstheme="majorBidi"/>
          <w:b/>
          <w:color w:val="000000"/>
        </w:rPr>
        <w:t>:</w:t>
      </w:r>
      <w:r w:rsidRPr="00230F87" w:rsidR="008E182E">
        <w:rPr>
          <w:rFonts w:asciiTheme="majorBidi" w:hAnsiTheme="majorBidi" w:cstheme="majorBidi"/>
          <w:b/>
          <w:color w:val="000000"/>
        </w:rPr>
        <w:t xml:space="preserve">  </w:t>
      </w:r>
      <w:r w:rsidRPr="00230F87">
        <w:rPr>
          <w:rFonts w:asciiTheme="majorBidi" w:hAnsiTheme="majorBidi" w:cstheme="majorBidi"/>
          <w:b/>
          <w:color w:val="000000"/>
        </w:rPr>
        <w:t>PROCEDURAL</w:t>
      </w:r>
      <w:proofErr w:type="gramEnd"/>
      <w:r w:rsidRPr="00230F87">
        <w:rPr>
          <w:rFonts w:asciiTheme="majorBidi" w:hAnsiTheme="majorBidi" w:cstheme="majorBidi"/>
          <w:b/>
          <w:color w:val="000000"/>
        </w:rPr>
        <w:t xml:space="preserve"> ISSUES</w:t>
      </w:r>
    </w:p>
    <w:p w:rsidRPr="00230F87" w:rsidR="00A92D0B" w:rsidP="00055843" w:rsidRDefault="00A92D0B" w14:paraId="37AA25BD" w14:textId="77777777">
      <w:pPr>
        <w:keepNext/>
        <w:rPr>
          <w:rFonts w:asciiTheme="majorBidi" w:hAnsiTheme="majorBidi" w:cstheme="majorBidi"/>
          <w:color w:val="000000"/>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647"/>
      </w:tblGrid>
      <w:tr w:rsidRPr="00230F87" w:rsidR="00A92D0B" w:rsidTr="00D17064" w14:paraId="3C5C25ED" w14:textId="77777777">
        <w:tc>
          <w:tcPr>
            <w:tcW w:w="3708" w:type="dxa"/>
          </w:tcPr>
          <w:p w:rsidR="00A92D0B" w:rsidP="00915118" w:rsidRDefault="00A92D0B" w14:paraId="6F8C7B80" w14:textId="77777777">
            <w:pPr>
              <w:rPr>
                <w:rFonts w:asciiTheme="majorBidi" w:hAnsiTheme="majorBidi" w:cstheme="majorBidi"/>
                <w:b/>
                <w:color w:val="000000"/>
              </w:rPr>
            </w:pPr>
            <w:r w:rsidRPr="00230F87">
              <w:rPr>
                <w:rFonts w:asciiTheme="majorBidi" w:hAnsiTheme="majorBidi" w:cstheme="majorBidi"/>
                <w:b/>
                <w:color w:val="000000"/>
              </w:rPr>
              <w:t xml:space="preserve">A.  Brief </w:t>
            </w:r>
            <w:r w:rsidRPr="00230F87" w:rsidR="00A319DE">
              <w:rPr>
                <w:rFonts w:asciiTheme="majorBidi" w:hAnsiTheme="majorBidi" w:cstheme="majorBidi"/>
                <w:b/>
                <w:color w:val="000000"/>
              </w:rPr>
              <w:t>d</w:t>
            </w:r>
            <w:r w:rsidRPr="00230F87">
              <w:rPr>
                <w:rFonts w:asciiTheme="majorBidi" w:hAnsiTheme="majorBidi" w:cstheme="majorBidi"/>
                <w:b/>
                <w:color w:val="000000"/>
              </w:rPr>
              <w:t xml:space="preserve">escription of Decision: </w:t>
            </w:r>
          </w:p>
          <w:p w:rsidRPr="000D5C9B" w:rsidR="000D5C9B" w:rsidP="000D5C9B" w:rsidRDefault="000D5C9B" w14:paraId="4C91A21B" w14:textId="77777777">
            <w:pPr>
              <w:rPr>
                <w:rFonts w:asciiTheme="majorBidi" w:hAnsiTheme="majorBidi" w:cstheme="majorBidi"/>
              </w:rPr>
            </w:pPr>
          </w:p>
          <w:p w:rsidRPr="000D5C9B" w:rsidR="000D5C9B" w:rsidP="000D5C9B" w:rsidRDefault="000D5C9B" w14:paraId="71EBA3FA" w14:textId="77777777">
            <w:pPr>
              <w:rPr>
                <w:rFonts w:asciiTheme="majorBidi" w:hAnsiTheme="majorBidi" w:cstheme="majorBidi"/>
              </w:rPr>
            </w:pPr>
          </w:p>
          <w:p w:rsidRPr="000D5C9B" w:rsidR="000D5C9B" w:rsidP="000D5C9B" w:rsidRDefault="000D5C9B" w14:paraId="7D3C5265" w14:textId="77777777">
            <w:pPr>
              <w:rPr>
                <w:rFonts w:asciiTheme="majorBidi" w:hAnsiTheme="majorBidi" w:cstheme="majorBidi"/>
              </w:rPr>
            </w:pPr>
          </w:p>
          <w:p w:rsidRPr="000D5C9B" w:rsidR="000D5C9B" w:rsidP="000D5C9B" w:rsidRDefault="000D5C9B" w14:paraId="29464260" w14:textId="77777777">
            <w:pPr>
              <w:rPr>
                <w:rFonts w:asciiTheme="majorBidi" w:hAnsiTheme="majorBidi" w:cstheme="majorBidi"/>
              </w:rPr>
            </w:pPr>
          </w:p>
          <w:p w:rsidRPr="000D5C9B" w:rsidR="000D5C9B" w:rsidP="000D5C9B" w:rsidRDefault="000D5C9B" w14:paraId="01915669" w14:textId="77777777">
            <w:pPr>
              <w:rPr>
                <w:rFonts w:asciiTheme="majorBidi" w:hAnsiTheme="majorBidi" w:cstheme="majorBidi"/>
              </w:rPr>
            </w:pPr>
          </w:p>
          <w:p w:rsidRPr="000D5C9B" w:rsidR="000D5C9B" w:rsidP="000D5C9B" w:rsidRDefault="000D5C9B" w14:paraId="5D5FAC03" w14:textId="77777777">
            <w:pPr>
              <w:rPr>
                <w:rFonts w:asciiTheme="majorBidi" w:hAnsiTheme="majorBidi" w:cstheme="majorBidi"/>
              </w:rPr>
            </w:pPr>
          </w:p>
          <w:p w:rsidRPr="000D5C9B" w:rsidR="000D5C9B" w:rsidP="000D5C9B" w:rsidRDefault="000D5C9B" w14:paraId="31A8BEA1" w14:textId="77777777">
            <w:pPr>
              <w:rPr>
                <w:rFonts w:asciiTheme="majorBidi" w:hAnsiTheme="majorBidi" w:cstheme="majorBidi"/>
              </w:rPr>
            </w:pPr>
          </w:p>
          <w:p w:rsidRPr="000D5C9B" w:rsidR="000D5C9B" w:rsidP="000D5C9B" w:rsidRDefault="000D5C9B" w14:paraId="4775F30D" w14:textId="77777777">
            <w:pPr>
              <w:rPr>
                <w:rFonts w:asciiTheme="majorBidi" w:hAnsiTheme="majorBidi" w:cstheme="majorBidi"/>
              </w:rPr>
            </w:pPr>
          </w:p>
          <w:p w:rsidRPr="000D5C9B" w:rsidR="000D5C9B" w:rsidP="000D5C9B" w:rsidRDefault="000D5C9B" w14:paraId="1EDE8C36" w14:textId="77777777">
            <w:pPr>
              <w:rPr>
                <w:rFonts w:asciiTheme="majorBidi" w:hAnsiTheme="majorBidi" w:cstheme="majorBidi"/>
              </w:rPr>
            </w:pPr>
          </w:p>
          <w:p w:rsidRPr="000D5C9B" w:rsidR="000D5C9B" w:rsidP="000D5C9B" w:rsidRDefault="000D5C9B" w14:paraId="07D1FEA2" w14:textId="77777777">
            <w:pPr>
              <w:rPr>
                <w:rFonts w:asciiTheme="majorBidi" w:hAnsiTheme="majorBidi" w:cstheme="majorBidi"/>
              </w:rPr>
            </w:pPr>
          </w:p>
          <w:p w:rsidRPr="000D5C9B" w:rsidR="000D5C9B" w:rsidP="000D5C9B" w:rsidRDefault="000D5C9B" w14:paraId="238362C2" w14:textId="77777777">
            <w:pPr>
              <w:rPr>
                <w:rFonts w:asciiTheme="majorBidi" w:hAnsiTheme="majorBidi" w:cstheme="majorBidi"/>
              </w:rPr>
            </w:pPr>
          </w:p>
          <w:p w:rsidRPr="000D5C9B" w:rsidR="000D5C9B" w:rsidP="000D5C9B" w:rsidRDefault="000D5C9B" w14:paraId="2EDB45C2" w14:textId="77777777">
            <w:pPr>
              <w:rPr>
                <w:rFonts w:asciiTheme="majorBidi" w:hAnsiTheme="majorBidi" w:cstheme="majorBidi"/>
              </w:rPr>
            </w:pPr>
          </w:p>
          <w:p w:rsidRPr="000D5C9B" w:rsidR="000D5C9B" w:rsidP="000D5C9B" w:rsidRDefault="000D5C9B" w14:paraId="582E43D8" w14:textId="77777777">
            <w:pPr>
              <w:rPr>
                <w:rFonts w:asciiTheme="majorBidi" w:hAnsiTheme="majorBidi" w:cstheme="majorBidi"/>
              </w:rPr>
            </w:pPr>
          </w:p>
          <w:p w:rsidRPr="000D5C9B" w:rsidR="000D5C9B" w:rsidP="000D5C9B" w:rsidRDefault="000D5C9B" w14:paraId="119CBB81" w14:textId="77777777">
            <w:pPr>
              <w:rPr>
                <w:rFonts w:asciiTheme="majorBidi" w:hAnsiTheme="majorBidi" w:cstheme="majorBidi"/>
              </w:rPr>
            </w:pPr>
          </w:p>
          <w:p w:rsidRPr="000D5C9B" w:rsidR="000D5C9B" w:rsidP="000D5C9B" w:rsidRDefault="000D5C9B" w14:paraId="469786F1" w14:textId="77777777">
            <w:pPr>
              <w:rPr>
                <w:rFonts w:asciiTheme="majorBidi" w:hAnsiTheme="majorBidi" w:cstheme="majorBidi"/>
              </w:rPr>
            </w:pPr>
          </w:p>
          <w:p w:rsidRPr="000D5C9B" w:rsidR="000D5C9B" w:rsidP="000D5C9B" w:rsidRDefault="000D5C9B" w14:paraId="08445EAC" w14:textId="77777777">
            <w:pPr>
              <w:rPr>
                <w:rFonts w:asciiTheme="majorBidi" w:hAnsiTheme="majorBidi" w:cstheme="majorBidi"/>
              </w:rPr>
            </w:pPr>
          </w:p>
          <w:p w:rsidR="000D5C9B" w:rsidP="000D5C9B" w:rsidRDefault="000D5C9B" w14:paraId="47F8E93F" w14:textId="77777777">
            <w:pPr>
              <w:rPr>
                <w:rFonts w:asciiTheme="majorBidi" w:hAnsiTheme="majorBidi" w:cstheme="majorBidi"/>
                <w:b/>
                <w:color w:val="000000"/>
              </w:rPr>
            </w:pPr>
          </w:p>
          <w:p w:rsidRPr="000D5C9B" w:rsidR="000D5C9B" w:rsidP="000D5C9B" w:rsidRDefault="000D5C9B" w14:paraId="1576A0A6" w14:textId="77777777">
            <w:pPr>
              <w:rPr>
                <w:rFonts w:asciiTheme="majorBidi" w:hAnsiTheme="majorBidi" w:cstheme="majorBidi"/>
              </w:rPr>
            </w:pPr>
          </w:p>
        </w:tc>
        <w:tc>
          <w:tcPr>
            <w:tcW w:w="5647" w:type="dxa"/>
          </w:tcPr>
          <w:p w:rsidRPr="00230F87" w:rsidR="00FE3BAE" w:rsidRDefault="00811201" w14:paraId="65ECD0B2" w14:textId="59EC5117">
            <w:pPr>
              <w:rPr>
                <w:rFonts w:asciiTheme="majorBidi" w:hAnsiTheme="majorBidi" w:cstheme="majorBidi"/>
                <w:color w:val="000000"/>
              </w:rPr>
            </w:pPr>
            <w:r w:rsidRPr="00230F87">
              <w:rPr>
                <w:rFonts w:asciiTheme="majorBidi" w:hAnsiTheme="majorBidi" w:cstheme="majorBidi"/>
              </w:rPr>
              <w:t>Decision</w:t>
            </w:r>
            <w:r w:rsidRPr="00C53862" w:rsidR="00C53862">
              <w:rPr>
                <w:rFonts w:asciiTheme="majorBidi" w:hAnsiTheme="majorBidi" w:cstheme="majorBidi"/>
              </w:rPr>
              <w:t xml:space="preserve"> 2</w:t>
            </w:r>
            <w:r w:rsidR="003E7BC6">
              <w:rPr>
                <w:rFonts w:asciiTheme="majorBidi" w:hAnsiTheme="majorBidi" w:cstheme="majorBidi"/>
              </w:rPr>
              <w:t>5</w:t>
            </w:r>
            <w:r w:rsidRPr="00C53862" w:rsidR="00C53862">
              <w:rPr>
                <w:rFonts w:asciiTheme="majorBidi" w:hAnsiTheme="majorBidi" w:cstheme="majorBidi"/>
              </w:rPr>
              <w:t>-0</w:t>
            </w:r>
            <w:r w:rsidR="003E7BC6">
              <w:rPr>
                <w:rFonts w:asciiTheme="majorBidi" w:hAnsiTheme="majorBidi" w:cstheme="majorBidi"/>
              </w:rPr>
              <w:t>9</w:t>
            </w:r>
            <w:r w:rsidRPr="00C53862" w:rsidR="00C53862">
              <w:rPr>
                <w:rFonts w:asciiTheme="majorBidi" w:hAnsiTheme="majorBidi" w:cstheme="majorBidi"/>
              </w:rPr>
              <w:t>-00</w:t>
            </w:r>
            <w:r w:rsidR="003E7BC6">
              <w:rPr>
                <w:rFonts w:asciiTheme="majorBidi" w:hAnsiTheme="majorBidi" w:cstheme="majorBidi"/>
              </w:rPr>
              <w:t>8</w:t>
            </w:r>
            <w:r w:rsidRPr="00C53862" w:rsidR="00C53862">
              <w:rPr>
                <w:rFonts w:asciiTheme="majorBidi" w:hAnsiTheme="majorBidi" w:cstheme="majorBidi"/>
              </w:rPr>
              <w:t xml:space="preserve"> </w:t>
            </w:r>
            <w:r w:rsidR="003E7BC6">
              <w:rPr>
                <w:rFonts w:asciiTheme="majorBidi" w:hAnsiTheme="majorBidi" w:cstheme="majorBidi"/>
              </w:rPr>
              <w:t xml:space="preserve">addressed rate recovery issues in the reasonableness review </w:t>
            </w:r>
            <w:r w:rsidRPr="00C53862" w:rsidR="00C53862">
              <w:rPr>
                <w:rFonts w:asciiTheme="majorBidi" w:hAnsiTheme="majorBidi" w:cstheme="majorBidi"/>
              </w:rPr>
              <w:t xml:space="preserve">application </w:t>
            </w:r>
            <w:r w:rsidR="003E7BC6">
              <w:rPr>
                <w:rFonts w:asciiTheme="majorBidi" w:hAnsiTheme="majorBidi" w:cstheme="majorBidi"/>
              </w:rPr>
              <w:t>of</w:t>
            </w:r>
            <w:r w:rsidRPr="00C53862" w:rsidR="00C53862">
              <w:rPr>
                <w:rFonts w:asciiTheme="majorBidi" w:hAnsiTheme="majorBidi" w:cstheme="majorBidi"/>
              </w:rPr>
              <w:t xml:space="preserve"> Pacific Gas and Electric Company (PG&amp;E)</w:t>
            </w:r>
            <w:r w:rsidR="003E7BC6">
              <w:rPr>
                <w:rFonts w:asciiTheme="majorBidi" w:hAnsiTheme="majorBidi" w:cstheme="majorBidi"/>
              </w:rPr>
              <w:t xml:space="preserve"> for 2021 wildfire mitigation, </w:t>
            </w:r>
            <w:r w:rsidR="00514836">
              <w:rPr>
                <w:rFonts w:asciiTheme="majorBidi" w:hAnsiTheme="majorBidi" w:cstheme="majorBidi"/>
              </w:rPr>
              <w:t xml:space="preserve">vegetation management, </w:t>
            </w:r>
            <w:r w:rsidR="003E7BC6">
              <w:rPr>
                <w:rFonts w:asciiTheme="majorBidi" w:hAnsiTheme="majorBidi" w:cstheme="majorBidi"/>
              </w:rPr>
              <w:t>catastrophic events, and other costs recorded in memorandum and balancing accounts</w:t>
            </w:r>
            <w:r w:rsidRPr="00C53862" w:rsidR="00C53862">
              <w:rPr>
                <w:rFonts w:asciiTheme="majorBidi" w:hAnsiTheme="majorBidi" w:cstheme="majorBidi"/>
              </w:rPr>
              <w:t xml:space="preserve">. </w:t>
            </w:r>
            <w:r w:rsidR="00514836">
              <w:rPr>
                <w:rFonts w:asciiTheme="majorBidi" w:hAnsiTheme="majorBidi" w:cstheme="majorBidi"/>
              </w:rPr>
              <w:t>I</w:t>
            </w:r>
            <w:r w:rsidR="003E7BC6">
              <w:rPr>
                <w:rFonts w:asciiTheme="majorBidi" w:hAnsiTheme="majorBidi" w:cstheme="majorBidi"/>
              </w:rPr>
              <w:t>t disallowed rate recovery of $217 million of the $</w:t>
            </w:r>
            <w:r w:rsidR="00487480">
              <w:rPr>
                <w:rFonts w:asciiTheme="majorBidi" w:hAnsiTheme="majorBidi" w:cstheme="majorBidi"/>
              </w:rPr>
              <w:t>349 million of Enhanced Vegetation Management (EVM) program costs included in PG&amp;E’s request</w:t>
            </w:r>
            <w:r w:rsidR="00514836">
              <w:rPr>
                <w:rFonts w:asciiTheme="majorBidi" w:hAnsiTheme="majorBidi" w:cstheme="majorBidi"/>
              </w:rPr>
              <w:t xml:space="preserve">, the sole category of cost recovery TURN addressed in this proceeding.  The decision also found that PG&amp;E had reasonably incurred </w:t>
            </w:r>
            <w:proofErr w:type="gramStart"/>
            <w:r w:rsidR="00514836">
              <w:rPr>
                <w:rFonts w:asciiTheme="majorBidi" w:hAnsiTheme="majorBidi" w:cstheme="majorBidi"/>
              </w:rPr>
              <w:t>all of</w:t>
            </w:r>
            <w:proofErr w:type="gramEnd"/>
            <w:r w:rsidR="00514836">
              <w:rPr>
                <w:rFonts w:asciiTheme="majorBidi" w:hAnsiTheme="majorBidi" w:cstheme="majorBidi"/>
              </w:rPr>
              <w:t xml:space="preserve"> its requested 2021 Wildfire Mitigation Balancing Account (WMBA) </w:t>
            </w:r>
            <w:proofErr w:type="gramStart"/>
            <w:r w:rsidR="00514836">
              <w:rPr>
                <w:rFonts w:asciiTheme="majorBidi" w:hAnsiTheme="majorBidi" w:cstheme="majorBidi"/>
              </w:rPr>
              <w:t>costs, and</w:t>
            </w:r>
            <w:proofErr w:type="gramEnd"/>
            <w:r w:rsidR="00514836">
              <w:rPr>
                <w:rFonts w:asciiTheme="majorBidi" w:hAnsiTheme="majorBidi" w:cstheme="majorBidi"/>
              </w:rPr>
              <w:t xml:space="preserve"> adopted an uncontested settlement addressing costs in several memorandum accounts</w:t>
            </w:r>
            <w:r w:rsidR="00487480">
              <w:rPr>
                <w:rFonts w:asciiTheme="majorBidi" w:hAnsiTheme="majorBidi" w:cstheme="majorBidi"/>
              </w:rPr>
              <w:t>.</w:t>
            </w:r>
          </w:p>
          <w:p w:rsidRPr="00230F87" w:rsidR="00C02649" w:rsidRDefault="00C02649" w14:paraId="67B8ECAA" w14:textId="77777777">
            <w:pPr>
              <w:rPr>
                <w:rFonts w:asciiTheme="majorBidi" w:hAnsiTheme="majorBidi" w:cstheme="majorBidi"/>
                <w:color w:val="000000"/>
              </w:rPr>
            </w:pPr>
          </w:p>
        </w:tc>
      </w:tr>
    </w:tbl>
    <w:p w:rsidRPr="00230F87" w:rsidR="00A92D0B" w:rsidP="00880855" w:rsidRDefault="005A63D4" w14:paraId="2FBF046C" w14:textId="77777777">
      <w:pPr>
        <w:keepNext/>
        <w:numPr>
          <w:ilvl w:val="0"/>
          <w:numId w:val="5"/>
        </w:numPr>
        <w:spacing w:before="240" w:after="240"/>
        <w:rPr>
          <w:rFonts w:asciiTheme="majorBidi" w:hAnsiTheme="majorBidi" w:cstheme="majorBidi"/>
          <w:b/>
          <w:color w:val="000000"/>
        </w:rPr>
      </w:pPr>
      <w:r w:rsidRPr="00230F87">
        <w:rPr>
          <w:rFonts w:asciiTheme="majorBidi" w:hAnsiTheme="majorBidi" w:cstheme="majorBidi"/>
          <w:b/>
          <w:color w:val="000000"/>
        </w:rPr>
        <w:lastRenderedPageBreak/>
        <w:t xml:space="preserve">Intervenor </w:t>
      </w:r>
      <w:r w:rsidRPr="00230F87" w:rsidR="00A92D0B">
        <w:rPr>
          <w:rFonts w:asciiTheme="majorBidi" w:hAnsiTheme="majorBidi" w:cstheme="majorBidi"/>
          <w:b/>
          <w:color w:val="000000"/>
        </w:rPr>
        <w:t xml:space="preserve">must satisfy intervenor compensation </w:t>
      </w:r>
      <w:r w:rsidRPr="00230F87" w:rsidR="00DE3A5D">
        <w:rPr>
          <w:rFonts w:asciiTheme="majorBidi" w:hAnsiTheme="majorBidi" w:cstheme="majorBidi"/>
          <w:b/>
          <w:color w:val="000000"/>
        </w:rPr>
        <w:t>requirements set forth in Pub. Util.</w:t>
      </w:r>
      <w:r w:rsidRPr="00230F87" w:rsidR="00A92D0B">
        <w:rPr>
          <w:rFonts w:asciiTheme="majorBidi" w:hAnsiTheme="majorBidi" w:cstheme="majorBidi"/>
          <w:b/>
          <w:color w:val="000000"/>
        </w:rPr>
        <w:t xml:space="preserve"> Code §§ 1801-1812</w:t>
      </w:r>
      <w:r w:rsidRPr="00230F87" w:rsidR="003B6A1B">
        <w:rPr>
          <w:rStyle w:val="FootnoteReference"/>
          <w:rFonts w:asciiTheme="majorBidi" w:hAnsiTheme="majorBidi" w:cstheme="majorBidi"/>
          <w:b/>
          <w:color w:val="000000"/>
        </w:rPr>
        <w:footnoteReference w:id="1"/>
      </w:r>
      <w:r w:rsidRPr="00230F87" w:rsidR="00A92D0B">
        <w:rPr>
          <w:rFonts w:asciiTheme="majorBidi" w:hAnsiTheme="majorBidi" w:cstheme="majorBidi"/>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558"/>
        <w:gridCol w:w="1985"/>
      </w:tblGrid>
      <w:tr w:rsidRPr="00230F87" w:rsidR="00A92D0B" w:rsidTr="00EE5338" w14:paraId="640CF70A" w14:textId="77777777">
        <w:trPr>
          <w:tblHeader/>
        </w:trPr>
        <w:tc>
          <w:tcPr>
            <w:tcW w:w="4817" w:type="dxa"/>
            <w:tcBorders>
              <w:bottom w:val="single" w:color="auto" w:sz="4" w:space="0"/>
            </w:tcBorders>
          </w:tcPr>
          <w:p w:rsidRPr="00230F87" w:rsidR="00A92D0B" w:rsidP="00F028C8" w:rsidRDefault="00A92D0B" w14:paraId="409E4D92" w14:textId="77777777">
            <w:pPr>
              <w:tabs>
                <w:tab w:val="left" w:pos="360"/>
              </w:tabs>
              <w:jc w:val="center"/>
              <w:rPr>
                <w:rFonts w:asciiTheme="majorBidi" w:hAnsiTheme="majorBidi" w:cstheme="majorBidi"/>
                <w:color w:val="000000"/>
              </w:rPr>
            </w:pPr>
          </w:p>
        </w:tc>
        <w:tc>
          <w:tcPr>
            <w:tcW w:w="2558" w:type="dxa"/>
            <w:tcBorders>
              <w:bottom w:val="single" w:color="auto" w:sz="4" w:space="0"/>
            </w:tcBorders>
          </w:tcPr>
          <w:p w:rsidRPr="00230F87" w:rsidR="00A92D0B" w:rsidP="00F028C8" w:rsidRDefault="005A63D4" w14:paraId="1412A3C6" w14:textId="77777777">
            <w:pPr>
              <w:tabs>
                <w:tab w:val="left" w:pos="360"/>
              </w:tabs>
              <w:jc w:val="center"/>
              <w:rPr>
                <w:rFonts w:asciiTheme="majorBidi" w:hAnsiTheme="majorBidi" w:cstheme="majorBidi"/>
                <w:b/>
                <w:color w:val="000000"/>
              </w:rPr>
            </w:pPr>
            <w:r w:rsidRPr="00230F87">
              <w:rPr>
                <w:rFonts w:asciiTheme="majorBidi" w:hAnsiTheme="majorBidi" w:cstheme="majorBidi"/>
                <w:b/>
                <w:color w:val="000000"/>
              </w:rPr>
              <w:t>Intervenor</w:t>
            </w:r>
          </w:p>
        </w:tc>
        <w:tc>
          <w:tcPr>
            <w:tcW w:w="1985" w:type="dxa"/>
            <w:tcBorders>
              <w:bottom w:val="single" w:color="auto" w:sz="4" w:space="0"/>
            </w:tcBorders>
          </w:tcPr>
          <w:p w:rsidRPr="00230F87" w:rsidR="00A92D0B" w:rsidP="00F028C8" w:rsidRDefault="00A92D0B" w14:paraId="2A218C38" w14:textId="386C9A6A">
            <w:pPr>
              <w:tabs>
                <w:tab w:val="left" w:pos="360"/>
              </w:tabs>
              <w:jc w:val="center"/>
              <w:rPr>
                <w:rFonts w:asciiTheme="majorBidi" w:hAnsiTheme="majorBidi" w:cstheme="majorBidi"/>
                <w:b/>
                <w:color w:val="000000"/>
              </w:rPr>
            </w:pPr>
            <w:r w:rsidRPr="00230F87">
              <w:rPr>
                <w:rFonts w:asciiTheme="majorBidi" w:hAnsiTheme="majorBidi" w:cstheme="majorBidi"/>
                <w:b/>
                <w:color w:val="000000"/>
              </w:rPr>
              <w:t xml:space="preserve">CPUC </w:t>
            </w:r>
            <w:r w:rsidRPr="00230F87" w:rsidR="0081626F">
              <w:rPr>
                <w:rFonts w:asciiTheme="majorBidi" w:hAnsiTheme="majorBidi" w:cstheme="majorBidi"/>
                <w:b/>
                <w:color w:val="000000"/>
              </w:rPr>
              <w:t>Verification</w:t>
            </w:r>
          </w:p>
        </w:tc>
      </w:tr>
      <w:tr w:rsidRPr="00230F87"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0F87" w:rsidR="00A92D0B" w:rsidP="00F028C8" w:rsidRDefault="00A92D0B" w14:paraId="606E2B66" w14:textId="77777777">
            <w:pPr>
              <w:keepNext/>
              <w:tabs>
                <w:tab w:val="left" w:pos="360"/>
              </w:tabs>
              <w:jc w:val="center"/>
              <w:rPr>
                <w:rFonts w:asciiTheme="majorBidi" w:hAnsiTheme="majorBidi" w:cstheme="majorBidi"/>
                <w:b/>
              </w:rPr>
            </w:pPr>
            <w:r w:rsidRPr="00230F87">
              <w:rPr>
                <w:rFonts w:asciiTheme="majorBidi" w:hAnsiTheme="majorBidi" w:cstheme="majorBidi"/>
                <w:b/>
              </w:rPr>
              <w:t>Timely filing of notice of intent to claim compensation (NOI) (§ 1804(a)):</w:t>
            </w:r>
          </w:p>
        </w:tc>
      </w:tr>
      <w:tr w:rsidRPr="00230F87" w:rsidR="00A92D0B" w:rsidTr="0027155F" w14:paraId="160E284A" w14:textId="77777777">
        <w:tc>
          <w:tcPr>
            <w:tcW w:w="4817" w:type="dxa"/>
            <w:tcBorders>
              <w:top w:val="single" w:color="auto" w:sz="4" w:space="0"/>
            </w:tcBorders>
          </w:tcPr>
          <w:p w:rsidRPr="00230F87" w:rsidR="00A92D0B" w:rsidP="00F028C8" w:rsidRDefault="00A92D0B" w14:paraId="44D1876C" w14:textId="478A95F3">
            <w:pPr>
              <w:keepNext/>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1.</w:t>
            </w:r>
            <w:r w:rsidRPr="00230F87" w:rsidR="001E7EE2">
              <w:rPr>
                <w:rFonts w:asciiTheme="majorBidi" w:hAnsiTheme="majorBidi" w:cstheme="majorBidi"/>
                <w:color w:val="000000"/>
              </w:rPr>
              <w:tab/>
            </w:r>
            <w:r w:rsidRPr="00230F87">
              <w:rPr>
                <w:rFonts w:asciiTheme="majorBidi" w:hAnsiTheme="majorBidi" w:cstheme="majorBidi"/>
                <w:color w:val="000000"/>
              </w:rPr>
              <w:t>Date of Prehearing Conference:</w:t>
            </w:r>
          </w:p>
        </w:tc>
        <w:tc>
          <w:tcPr>
            <w:tcW w:w="2558" w:type="dxa"/>
            <w:tcBorders>
              <w:top w:val="single" w:color="auto" w:sz="4" w:space="0"/>
            </w:tcBorders>
          </w:tcPr>
          <w:p w:rsidRPr="00230F87" w:rsidR="00A92D0B" w:rsidP="00F028C8" w:rsidRDefault="00000000" w14:paraId="35450816" w14:textId="1D7F76AB">
            <w:pPr>
              <w:keepNext/>
              <w:keepLines/>
              <w:tabs>
                <w:tab w:val="left" w:pos="360"/>
              </w:tabs>
              <w:ind w:left="360" w:hanging="360"/>
              <w:rPr>
                <w:rFonts w:asciiTheme="majorBidi" w:hAnsiTheme="majorBidi" w:cstheme="majorBidi"/>
                <w:color w:val="000000"/>
              </w:rPr>
            </w:pPr>
            <w:sdt>
              <w:sdtPr>
                <w:rPr>
                  <w:rFonts w:asciiTheme="majorBidi" w:hAnsiTheme="majorBidi" w:cstheme="majorBidi"/>
                </w:rPr>
                <w:alias w:val="Date"/>
                <w:id w:val="109406824"/>
                <w:date w:fullDate="2023-03-27T00:00:00Z">
                  <w:dateFormat w:val="M/d/yyyy"/>
                  <w:lid w:val="en-US"/>
                  <w:storeMappedDataAs w:val="dateTime"/>
                  <w:calendar w:val="gregorian"/>
                </w:date>
              </w:sdtPr>
              <w:sdtContent>
                <w:r w:rsidR="00487480">
                  <w:rPr>
                    <w:rFonts w:asciiTheme="majorBidi" w:hAnsiTheme="majorBidi" w:cstheme="majorBidi"/>
                  </w:rPr>
                  <w:t>3</w:t>
                </w:r>
                <w:r w:rsidRPr="00230F87" w:rsidR="00201984">
                  <w:rPr>
                    <w:rFonts w:asciiTheme="majorBidi" w:hAnsiTheme="majorBidi" w:cstheme="majorBidi"/>
                  </w:rPr>
                  <w:t>/</w:t>
                </w:r>
                <w:r w:rsidR="00043CDE">
                  <w:rPr>
                    <w:rFonts w:asciiTheme="majorBidi" w:hAnsiTheme="majorBidi" w:cstheme="majorBidi"/>
                  </w:rPr>
                  <w:t>2</w:t>
                </w:r>
                <w:r w:rsidR="00487480">
                  <w:rPr>
                    <w:rFonts w:asciiTheme="majorBidi" w:hAnsiTheme="majorBidi" w:cstheme="majorBidi"/>
                  </w:rPr>
                  <w:t>7</w:t>
                </w:r>
                <w:r w:rsidRPr="00230F87" w:rsidR="00201984">
                  <w:rPr>
                    <w:rFonts w:asciiTheme="majorBidi" w:hAnsiTheme="majorBidi" w:cstheme="majorBidi"/>
                  </w:rPr>
                  <w:t>/202</w:t>
                </w:r>
                <w:r w:rsidR="00487480">
                  <w:rPr>
                    <w:rFonts w:asciiTheme="majorBidi" w:hAnsiTheme="majorBidi" w:cstheme="majorBidi"/>
                  </w:rPr>
                  <w:t>3</w:t>
                </w:r>
              </w:sdtContent>
            </w:sdt>
          </w:p>
        </w:tc>
        <w:tc>
          <w:tcPr>
            <w:tcW w:w="1985" w:type="dxa"/>
            <w:tcBorders>
              <w:top w:val="single" w:color="auto" w:sz="4" w:space="0"/>
            </w:tcBorders>
          </w:tcPr>
          <w:p w:rsidRPr="00230F87" w:rsidR="00A92D0B" w:rsidP="00707B25" w:rsidRDefault="00707B25" w14:paraId="34540344" w14:textId="24A64657">
            <w:pPr>
              <w:keepNext/>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A92D0B" w:rsidTr="0027155F" w14:paraId="24C85564" w14:textId="77777777">
        <w:tc>
          <w:tcPr>
            <w:tcW w:w="4817" w:type="dxa"/>
          </w:tcPr>
          <w:p w:rsidRPr="00230F87" w:rsidR="00A92D0B" w:rsidP="00F028C8" w:rsidRDefault="00A92D0B" w14:paraId="382C5788" w14:textId="49F0E39E">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2.</w:t>
            </w:r>
            <w:r w:rsidRPr="00230F87" w:rsidR="001E7EE2">
              <w:rPr>
                <w:rFonts w:asciiTheme="majorBidi" w:hAnsiTheme="majorBidi" w:cstheme="majorBidi"/>
                <w:color w:val="000000"/>
              </w:rPr>
              <w:tab/>
            </w:r>
            <w:r w:rsidRPr="00230F87">
              <w:rPr>
                <w:rFonts w:asciiTheme="majorBidi" w:hAnsiTheme="majorBidi" w:cstheme="majorBidi"/>
                <w:color w:val="000000"/>
              </w:rPr>
              <w:t xml:space="preserve">Other </w:t>
            </w:r>
            <w:r w:rsidRPr="00230F87" w:rsidR="00A319DE">
              <w:rPr>
                <w:rFonts w:asciiTheme="majorBidi" w:hAnsiTheme="majorBidi" w:cstheme="majorBidi"/>
                <w:color w:val="000000"/>
              </w:rPr>
              <w:t>s</w:t>
            </w:r>
            <w:r w:rsidRPr="00230F87">
              <w:rPr>
                <w:rFonts w:asciiTheme="majorBidi" w:hAnsiTheme="majorBidi" w:cstheme="majorBidi"/>
                <w:color w:val="000000"/>
              </w:rPr>
              <w:t xml:space="preserve">pecified </w:t>
            </w:r>
            <w:r w:rsidRPr="00230F87" w:rsidR="00A319DE">
              <w:rPr>
                <w:rFonts w:asciiTheme="majorBidi" w:hAnsiTheme="majorBidi" w:cstheme="majorBidi"/>
                <w:color w:val="000000"/>
              </w:rPr>
              <w:t>d</w:t>
            </w:r>
            <w:r w:rsidRPr="00230F87">
              <w:rPr>
                <w:rFonts w:asciiTheme="majorBidi" w:hAnsiTheme="majorBidi" w:cstheme="majorBidi"/>
                <w:color w:val="000000"/>
              </w:rPr>
              <w:t>ate for NOI:</w:t>
            </w:r>
          </w:p>
        </w:tc>
        <w:tc>
          <w:tcPr>
            <w:tcW w:w="2558" w:type="dxa"/>
          </w:tcPr>
          <w:p w:rsidRPr="00230F87" w:rsidR="00A92D0B" w:rsidP="00F028C8" w:rsidRDefault="00811201" w14:paraId="1826BC2C" w14:textId="6A22B403">
            <w:pPr>
              <w:keepNext/>
              <w:keepLines/>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N/A</w:t>
            </w:r>
          </w:p>
        </w:tc>
        <w:tc>
          <w:tcPr>
            <w:tcW w:w="1985" w:type="dxa"/>
          </w:tcPr>
          <w:p w:rsidRPr="00230F87" w:rsidR="00A92D0B" w:rsidP="00707B25" w:rsidRDefault="00707B25" w14:paraId="210DAD91" w14:textId="30041CB2">
            <w:pPr>
              <w:tabs>
                <w:tab w:val="left" w:pos="360"/>
              </w:tabs>
              <w:jc w:val="center"/>
              <w:rPr>
                <w:rFonts w:asciiTheme="majorBidi" w:hAnsiTheme="majorBidi" w:cstheme="majorBidi"/>
                <w:color w:val="000000"/>
              </w:rPr>
            </w:pPr>
            <w:r>
              <w:rPr>
                <w:rFonts w:asciiTheme="majorBidi" w:hAnsiTheme="majorBidi" w:cstheme="majorBidi"/>
                <w:color w:val="000000"/>
              </w:rPr>
              <w:t>N/A</w:t>
            </w:r>
          </w:p>
        </w:tc>
      </w:tr>
      <w:tr w:rsidRPr="00230F87" w:rsidR="00A92D0B" w:rsidTr="0027155F" w14:paraId="4836EEA6" w14:textId="77777777">
        <w:tc>
          <w:tcPr>
            <w:tcW w:w="4817" w:type="dxa"/>
          </w:tcPr>
          <w:p w:rsidRPr="00230F87" w:rsidR="00A92D0B" w:rsidP="00F028C8" w:rsidRDefault="00A92D0B" w14:paraId="34809C45" w14:textId="2501A8A3">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3.</w:t>
            </w:r>
            <w:r w:rsidRPr="00230F87" w:rsidR="001E7EE2">
              <w:rPr>
                <w:rFonts w:asciiTheme="majorBidi" w:hAnsiTheme="majorBidi" w:cstheme="majorBidi"/>
                <w:color w:val="000000"/>
              </w:rPr>
              <w:tab/>
            </w:r>
            <w:r w:rsidRPr="00230F87">
              <w:rPr>
                <w:rFonts w:asciiTheme="majorBidi" w:hAnsiTheme="majorBidi" w:cstheme="majorBidi"/>
                <w:color w:val="000000"/>
              </w:rPr>
              <w:t xml:space="preserve">Date NOI </w:t>
            </w:r>
            <w:r w:rsidRPr="00230F87" w:rsidR="00A319DE">
              <w:rPr>
                <w:rFonts w:asciiTheme="majorBidi" w:hAnsiTheme="majorBidi" w:cstheme="majorBidi"/>
                <w:color w:val="000000"/>
              </w:rPr>
              <w:t>f</w:t>
            </w:r>
            <w:r w:rsidRPr="00230F87">
              <w:rPr>
                <w:rFonts w:asciiTheme="majorBidi" w:hAnsiTheme="majorBidi" w:cstheme="majorBidi"/>
                <w:color w:val="000000"/>
              </w:rPr>
              <w:t>iled:</w:t>
            </w:r>
          </w:p>
        </w:tc>
        <w:tc>
          <w:tcPr>
            <w:tcW w:w="2558" w:type="dxa"/>
            <w:tcBorders>
              <w:bottom w:val="single" w:color="auto" w:sz="4" w:space="0"/>
            </w:tcBorders>
          </w:tcPr>
          <w:p w:rsidRPr="00230F87" w:rsidR="00A92D0B" w:rsidP="00F028C8" w:rsidRDefault="00225B75" w14:paraId="44F7CCB9" w14:textId="4B4D74EA">
            <w:pPr>
              <w:keepNext/>
              <w:keepLines/>
              <w:tabs>
                <w:tab w:val="left" w:pos="360"/>
              </w:tabs>
              <w:ind w:left="360" w:hanging="360"/>
              <w:rPr>
                <w:rFonts w:asciiTheme="majorBidi" w:hAnsiTheme="majorBidi" w:cstheme="majorBidi"/>
                <w:color w:val="000000"/>
              </w:rPr>
            </w:pPr>
            <w:r>
              <w:rPr>
                <w:rFonts w:asciiTheme="majorBidi" w:hAnsiTheme="majorBidi" w:cstheme="majorBidi"/>
              </w:rPr>
              <w:t>April</w:t>
            </w:r>
            <w:r w:rsidRPr="00230F87" w:rsidR="00201984">
              <w:rPr>
                <w:rFonts w:asciiTheme="majorBidi" w:hAnsiTheme="majorBidi" w:cstheme="majorBidi"/>
              </w:rPr>
              <w:t xml:space="preserve"> </w:t>
            </w:r>
            <w:r>
              <w:rPr>
                <w:rFonts w:asciiTheme="majorBidi" w:hAnsiTheme="majorBidi" w:cstheme="majorBidi"/>
              </w:rPr>
              <w:t>24</w:t>
            </w:r>
            <w:r w:rsidRPr="00230F87" w:rsidR="00201984">
              <w:rPr>
                <w:rFonts w:asciiTheme="majorBidi" w:hAnsiTheme="majorBidi" w:cstheme="majorBidi"/>
              </w:rPr>
              <w:t>, 202</w:t>
            </w:r>
            <w:r w:rsidR="00043CDE">
              <w:rPr>
                <w:rFonts w:asciiTheme="majorBidi" w:hAnsiTheme="majorBidi" w:cstheme="majorBidi"/>
              </w:rPr>
              <w:t>3</w:t>
            </w:r>
          </w:p>
        </w:tc>
        <w:tc>
          <w:tcPr>
            <w:tcW w:w="1985" w:type="dxa"/>
            <w:tcBorders>
              <w:bottom w:val="single" w:color="auto" w:sz="4" w:space="0"/>
            </w:tcBorders>
          </w:tcPr>
          <w:p w:rsidRPr="00230F87" w:rsidR="00A92D0B" w:rsidP="00707B25" w:rsidRDefault="00707B25" w14:paraId="71759DE3" w14:textId="7C2E0222">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A92D0B" w:rsidTr="00EE5338" w14:paraId="22BBCDE3" w14:textId="77777777">
        <w:tc>
          <w:tcPr>
            <w:tcW w:w="7375" w:type="dxa"/>
            <w:gridSpan w:val="2"/>
            <w:tcBorders>
              <w:bottom w:val="single" w:color="auto" w:sz="4" w:space="0"/>
            </w:tcBorders>
          </w:tcPr>
          <w:p w:rsidRPr="00230F87" w:rsidR="00A92D0B" w:rsidP="00F028C8" w:rsidRDefault="00A92D0B" w14:paraId="7E6E2068" w14:textId="1D4DD6B8">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4.</w:t>
            </w:r>
            <w:r w:rsidRPr="00230F87" w:rsidR="001E7EE2">
              <w:rPr>
                <w:rFonts w:asciiTheme="majorBidi" w:hAnsiTheme="majorBidi" w:cstheme="majorBidi"/>
                <w:color w:val="000000"/>
              </w:rPr>
              <w:tab/>
            </w:r>
            <w:r w:rsidRPr="00230F87">
              <w:rPr>
                <w:rFonts w:asciiTheme="majorBidi" w:hAnsiTheme="majorBidi" w:cstheme="majorBidi"/>
                <w:color w:val="000000"/>
              </w:rPr>
              <w:t>Was the NOI timely filed?</w:t>
            </w:r>
          </w:p>
        </w:tc>
        <w:tc>
          <w:tcPr>
            <w:tcW w:w="1985" w:type="dxa"/>
            <w:tcBorders>
              <w:bottom w:val="single" w:color="auto" w:sz="4" w:space="0"/>
            </w:tcBorders>
          </w:tcPr>
          <w:p w:rsidRPr="00230F87" w:rsidR="00A92D0B" w:rsidP="00707B25" w:rsidRDefault="00707B25" w14:paraId="61DE2845" w14:textId="71D71435">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230F87"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30F87" w:rsidR="00F028C8" w:rsidP="00F028C8" w:rsidRDefault="00A92D0B" w14:paraId="003AB151" w14:textId="75841E30">
            <w:pPr>
              <w:keepNext/>
              <w:keepLines/>
              <w:tabs>
                <w:tab w:val="left" w:pos="360"/>
              </w:tabs>
              <w:jc w:val="center"/>
              <w:rPr>
                <w:rFonts w:asciiTheme="majorBidi" w:hAnsiTheme="majorBidi" w:cstheme="majorBidi"/>
                <w:b/>
                <w:color w:val="000000"/>
              </w:rPr>
            </w:pPr>
            <w:r w:rsidRPr="00230F87">
              <w:rPr>
                <w:rFonts w:asciiTheme="majorBidi" w:hAnsiTheme="majorBidi" w:cstheme="majorBidi"/>
                <w:b/>
                <w:color w:val="000000"/>
              </w:rPr>
              <w:t xml:space="preserve">Showing of </w:t>
            </w:r>
            <w:r w:rsidRPr="00230F87" w:rsidR="00F63C29">
              <w:rPr>
                <w:rFonts w:asciiTheme="majorBidi" w:hAnsiTheme="majorBidi" w:cstheme="majorBidi"/>
                <w:b/>
                <w:color w:val="000000"/>
              </w:rPr>
              <w:t xml:space="preserve">eligible </w:t>
            </w:r>
            <w:r w:rsidRPr="00230F87">
              <w:rPr>
                <w:rFonts w:asciiTheme="majorBidi" w:hAnsiTheme="majorBidi" w:cstheme="majorBidi"/>
                <w:b/>
                <w:color w:val="000000"/>
              </w:rPr>
              <w:t xml:space="preserve">customer </w:t>
            </w:r>
            <w:r w:rsidRPr="00230F87" w:rsidR="00F63C29">
              <w:rPr>
                <w:rFonts w:asciiTheme="majorBidi" w:hAnsiTheme="majorBidi" w:cstheme="majorBidi"/>
                <w:b/>
                <w:color w:val="000000"/>
              </w:rPr>
              <w:t>status (§ 1802(b)</w:t>
            </w:r>
            <w:r w:rsidRPr="00230F87" w:rsidR="00F028C8">
              <w:rPr>
                <w:rFonts w:asciiTheme="majorBidi" w:hAnsiTheme="majorBidi" w:cstheme="majorBidi"/>
                <w:b/>
                <w:color w:val="000000"/>
              </w:rPr>
              <w:t>)</w:t>
            </w:r>
          </w:p>
          <w:p w:rsidRPr="00230F87" w:rsidR="00A92D0B" w:rsidP="00F028C8" w:rsidRDefault="00F63C29" w14:paraId="19D649BF" w14:textId="31FAE647">
            <w:pPr>
              <w:keepNext/>
              <w:keepLines/>
              <w:tabs>
                <w:tab w:val="left" w:pos="360"/>
              </w:tabs>
              <w:jc w:val="center"/>
              <w:rPr>
                <w:rFonts w:asciiTheme="majorBidi" w:hAnsiTheme="majorBidi" w:cstheme="majorBidi"/>
                <w:b/>
                <w:color w:val="000000"/>
              </w:rPr>
            </w:pPr>
            <w:r w:rsidRPr="00230F87">
              <w:rPr>
                <w:rFonts w:asciiTheme="majorBidi" w:hAnsiTheme="majorBidi" w:cstheme="majorBidi"/>
                <w:b/>
                <w:color w:val="000000"/>
              </w:rPr>
              <w:t xml:space="preserve"> or eligible local government entity </w:t>
            </w:r>
            <w:r w:rsidRPr="00230F87" w:rsidR="00ED6B6B">
              <w:rPr>
                <w:rFonts w:asciiTheme="majorBidi" w:hAnsiTheme="majorBidi" w:cstheme="majorBidi"/>
                <w:b/>
                <w:color w:val="000000"/>
              </w:rPr>
              <w:t>status</w:t>
            </w:r>
            <w:r w:rsidRPr="00230F87" w:rsidR="00F028C8">
              <w:rPr>
                <w:rFonts w:asciiTheme="majorBidi" w:hAnsiTheme="majorBidi" w:cstheme="majorBidi"/>
                <w:b/>
                <w:color w:val="000000"/>
              </w:rPr>
              <w:t xml:space="preserve"> </w:t>
            </w:r>
            <w:r w:rsidRPr="00230F87">
              <w:rPr>
                <w:rFonts w:asciiTheme="majorBidi" w:hAnsiTheme="majorBidi" w:cstheme="majorBidi"/>
                <w:b/>
                <w:color w:val="000000"/>
              </w:rPr>
              <w:t>(§§ 1802(d), 1802.4)</w:t>
            </w:r>
            <w:r w:rsidRPr="00230F87" w:rsidR="00A92D0B">
              <w:rPr>
                <w:rFonts w:asciiTheme="majorBidi" w:hAnsiTheme="majorBidi" w:cstheme="majorBidi"/>
                <w:b/>
                <w:color w:val="000000"/>
              </w:rPr>
              <w:t>:</w:t>
            </w:r>
          </w:p>
        </w:tc>
      </w:tr>
      <w:tr w:rsidRPr="00230F87" w:rsidR="009A6021" w:rsidTr="0027155F" w14:paraId="259EC227" w14:textId="77777777">
        <w:tc>
          <w:tcPr>
            <w:tcW w:w="4817" w:type="dxa"/>
            <w:tcBorders>
              <w:top w:val="single" w:color="auto" w:sz="4" w:space="0"/>
            </w:tcBorders>
          </w:tcPr>
          <w:p w:rsidRPr="00230F87" w:rsidR="009A6021" w:rsidP="009A6021" w:rsidRDefault="009A6021" w14:paraId="0EFCD0E9" w14:textId="1A5E3FBE">
            <w:pPr>
              <w:keepNext/>
              <w:keepLines/>
              <w:ind w:left="360" w:hanging="360"/>
              <w:rPr>
                <w:rFonts w:asciiTheme="majorBidi" w:hAnsiTheme="majorBidi" w:cstheme="majorBidi"/>
                <w:color w:val="000000"/>
              </w:rPr>
            </w:pPr>
            <w:r w:rsidRPr="00230F87">
              <w:rPr>
                <w:rFonts w:asciiTheme="majorBidi" w:hAnsiTheme="majorBidi" w:cstheme="majorBidi"/>
                <w:color w:val="000000"/>
              </w:rPr>
              <w:t>5.</w:t>
            </w:r>
            <w:r w:rsidRPr="00230F87">
              <w:rPr>
                <w:rFonts w:asciiTheme="majorBidi" w:hAnsiTheme="majorBidi" w:cstheme="majorBidi"/>
                <w:color w:val="000000"/>
              </w:rPr>
              <w:tab/>
              <w:t>Based on ALJ ruling issued in proceeding   number:</w:t>
            </w:r>
          </w:p>
        </w:tc>
        <w:tc>
          <w:tcPr>
            <w:tcW w:w="2558" w:type="dxa"/>
            <w:tcBorders>
              <w:top w:val="single" w:color="auto" w:sz="4" w:space="0"/>
            </w:tcBorders>
          </w:tcPr>
          <w:p w:rsidRPr="00230F87" w:rsidR="009A6021" w:rsidP="009A6021" w:rsidRDefault="00EE5338" w14:paraId="13E72B6D" w14:textId="1FA9CA81">
            <w:pPr>
              <w:keepNext/>
              <w:keepLines/>
              <w:tabs>
                <w:tab w:val="left" w:pos="360"/>
              </w:tabs>
              <w:ind w:left="360" w:hanging="360"/>
              <w:rPr>
                <w:rFonts w:asciiTheme="majorBidi" w:hAnsiTheme="majorBidi" w:cstheme="majorBidi"/>
                <w:color w:val="000000"/>
              </w:rPr>
            </w:pPr>
            <w:r>
              <w:t>See Comment 1, below.</w:t>
            </w:r>
          </w:p>
        </w:tc>
        <w:tc>
          <w:tcPr>
            <w:tcW w:w="1985" w:type="dxa"/>
            <w:tcBorders>
              <w:top w:val="single" w:color="auto" w:sz="4" w:space="0"/>
            </w:tcBorders>
          </w:tcPr>
          <w:p w:rsidRPr="00230F87" w:rsidR="009A6021" w:rsidP="00707B25" w:rsidRDefault="0027155F" w14:paraId="2679B197" w14:textId="1EADA98A">
            <w:pPr>
              <w:keepNext/>
              <w:keepLines/>
              <w:tabs>
                <w:tab w:val="left" w:pos="360"/>
              </w:tabs>
              <w:jc w:val="center"/>
              <w:rPr>
                <w:rFonts w:asciiTheme="majorBidi" w:hAnsiTheme="majorBidi" w:cstheme="majorBidi"/>
                <w:color w:val="000000"/>
              </w:rPr>
            </w:pPr>
            <w:r>
              <w:rPr>
                <w:rFonts w:asciiTheme="majorBidi" w:hAnsiTheme="majorBidi" w:cstheme="majorBidi"/>
                <w:color w:val="000000"/>
              </w:rPr>
              <w:t>A.21-12-007</w:t>
            </w:r>
          </w:p>
        </w:tc>
      </w:tr>
      <w:tr w:rsidRPr="00230F87" w:rsidR="009A6021" w:rsidTr="0027155F" w14:paraId="4E0FB3B6" w14:textId="77777777">
        <w:tc>
          <w:tcPr>
            <w:tcW w:w="4817" w:type="dxa"/>
          </w:tcPr>
          <w:p w:rsidRPr="00230F87" w:rsidR="009A6021" w:rsidP="009A6021" w:rsidRDefault="009A6021" w14:paraId="568B12E8" w14:textId="6121FC05">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6.</w:t>
            </w:r>
            <w:r w:rsidRPr="00230F87">
              <w:rPr>
                <w:rFonts w:asciiTheme="majorBidi" w:hAnsiTheme="majorBidi" w:cstheme="majorBidi"/>
                <w:color w:val="000000"/>
              </w:rPr>
              <w:tab/>
              <w:t>Date of ALJ ruling:</w:t>
            </w:r>
          </w:p>
        </w:tc>
        <w:tc>
          <w:tcPr>
            <w:tcW w:w="2558" w:type="dxa"/>
          </w:tcPr>
          <w:p w:rsidRPr="00230F87" w:rsidR="009A6021" w:rsidP="009A6021" w:rsidRDefault="00EE5338" w14:paraId="306125B9" w14:textId="04FAD53C">
            <w:pPr>
              <w:tabs>
                <w:tab w:val="left" w:pos="360"/>
              </w:tabs>
              <w:ind w:left="360" w:hanging="360"/>
              <w:rPr>
                <w:rFonts w:asciiTheme="majorBidi" w:hAnsiTheme="majorBidi" w:cstheme="majorBidi"/>
                <w:color w:val="000000"/>
              </w:rPr>
            </w:pPr>
            <w:r>
              <w:rPr>
                <w:rFonts w:asciiTheme="majorBidi" w:hAnsiTheme="majorBidi" w:cstheme="majorBidi"/>
                <w:color w:val="000000"/>
              </w:rPr>
              <w:t>See Comment 1, below</w:t>
            </w:r>
          </w:p>
        </w:tc>
        <w:tc>
          <w:tcPr>
            <w:tcW w:w="1985" w:type="dxa"/>
          </w:tcPr>
          <w:p w:rsidRPr="00230F87" w:rsidR="009A6021" w:rsidP="00707B25" w:rsidRDefault="0027155F" w14:paraId="19F10313" w14:textId="7C02CCB4">
            <w:pPr>
              <w:tabs>
                <w:tab w:val="left" w:pos="360"/>
              </w:tabs>
              <w:jc w:val="center"/>
              <w:rPr>
                <w:rFonts w:asciiTheme="majorBidi" w:hAnsiTheme="majorBidi" w:cstheme="majorBidi"/>
                <w:color w:val="000000"/>
              </w:rPr>
            </w:pPr>
            <w:r>
              <w:rPr>
                <w:rFonts w:asciiTheme="majorBidi" w:hAnsiTheme="majorBidi" w:cstheme="majorBidi"/>
                <w:color w:val="000000"/>
              </w:rPr>
              <w:t>5/31/2022</w:t>
            </w:r>
          </w:p>
        </w:tc>
      </w:tr>
      <w:tr w:rsidRPr="00230F87" w:rsidR="009A6021" w:rsidTr="0027155F" w14:paraId="7F6C1E54" w14:textId="77777777">
        <w:tc>
          <w:tcPr>
            <w:tcW w:w="4817" w:type="dxa"/>
          </w:tcPr>
          <w:p w:rsidRPr="00230F87" w:rsidR="009A6021" w:rsidP="009A6021" w:rsidRDefault="009A6021" w14:paraId="4B6E35B7" w14:textId="56E59D65">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7.</w:t>
            </w:r>
            <w:r w:rsidRPr="00230F87">
              <w:rPr>
                <w:rFonts w:asciiTheme="majorBidi" w:hAnsiTheme="majorBidi" w:cstheme="majorBidi"/>
                <w:color w:val="000000"/>
              </w:rPr>
              <w:tab/>
              <w:t>Based on another CPUC determination (specify):</w:t>
            </w:r>
          </w:p>
        </w:tc>
        <w:tc>
          <w:tcPr>
            <w:tcW w:w="2558" w:type="dxa"/>
            <w:tcBorders>
              <w:bottom w:val="single" w:color="auto" w:sz="4" w:space="0"/>
            </w:tcBorders>
          </w:tcPr>
          <w:p w:rsidRPr="00230F87" w:rsidR="009A6021" w:rsidP="009A6021" w:rsidRDefault="004F55D5" w14:paraId="5E0F9D32" w14:textId="17E35757">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N/A</w:t>
            </w:r>
          </w:p>
        </w:tc>
        <w:tc>
          <w:tcPr>
            <w:tcW w:w="1985" w:type="dxa"/>
            <w:tcBorders>
              <w:bottom w:val="single" w:color="auto" w:sz="4" w:space="0"/>
            </w:tcBorders>
          </w:tcPr>
          <w:p w:rsidRPr="00230F87" w:rsidR="009A6021" w:rsidP="00707B25" w:rsidRDefault="0027155F" w14:paraId="180E80B3" w14:textId="6C79147C">
            <w:pPr>
              <w:tabs>
                <w:tab w:val="left" w:pos="360"/>
              </w:tabs>
              <w:jc w:val="center"/>
              <w:rPr>
                <w:rFonts w:asciiTheme="majorBidi" w:hAnsiTheme="majorBidi" w:cstheme="majorBidi"/>
                <w:color w:val="000000"/>
              </w:rPr>
            </w:pPr>
            <w:r>
              <w:rPr>
                <w:rFonts w:asciiTheme="majorBidi" w:hAnsiTheme="majorBidi" w:cstheme="majorBidi"/>
                <w:color w:val="000000"/>
              </w:rPr>
              <w:t>N/A</w:t>
            </w:r>
          </w:p>
        </w:tc>
      </w:tr>
      <w:tr w:rsidRPr="00230F87" w:rsidR="009A6021" w:rsidTr="00EE5338" w14:paraId="397CC4AD" w14:textId="77777777">
        <w:tc>
          <w:tcPr>
            <w:tcW w:w="7375" w:type="dxa"/>
            <w:gridSpan w:val="2"/>
            <w:tcBorders>
              <w:bottom w:val="single" w:color="auto" w:sz="4" w:space="0"/>
            </w:tcBorders>
          </w:tcPr>
          <w:p w:rsidRPr="00230F87" w:rsidR="009A6021" w:rsidP="009A6021" w:rsidRDefault="009A6021" w14:paraId="71D46B68" w14:textId="56857D2E">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8.</w:t>
            </w:r>
            <w:r w:rsidRPr="00230F87">
              <w:rPr>
                <w:rFonts w:asciiTheme="majorBidi" w:hAnsiTheme="majorBidi" w:cstheme="majorBidi"/>
                <w:color w:val="000000"/>
              </w:rPr>
              <w:tab/>
              <w:t xml:space="preserve">Has the Intervenor demonstrated </w:t>
            </w:r>
            <w:r w:rsidRPr="00230F87">
              <w:rPr>
                <w:rFonts w:asciiTheme="majorBidi" w:hAnsiTheme="majorBidi" w:cstheme="majorBidi"/>
              </w:rPr>
              <w:t>customer</w:t>
            </w:r>
            <w:r w:rsidRPr="00230F87">
              <w:rPr>
                <w:rFonts w:asciiTheme="majorBidi" w:hAnsiTheme="majorBidi" w:cstheme="majorBidi"/>
                <w:color w:val="000000"/>
              </w:rPr>
              <w:t xml:space="preserve"> status or eligible government entity status?</w:t>
            </w:r>
          </w:p>
        </w:tc>
        <w:tc>
          <w:tcPr>
            <w:tcW w:w="1985" w:type="dxa"/>
            <w:tcBorders>
              <w:bottom w:val="single" w:color="auto" w:sz="4" w:space="0"/>
            </w:tcBorders>
          </w:tcPr>
          <w:p w:rsidRPr="00230F87" w:rsidR="009A6021" w:rsidP="00707B25" w:rsidRDefault="0027155F" w14:paraId="7D296E63" w14:textId="5F5DE5E2">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230F87" w:rsidR="009A6021"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30F87" w:rsidR="009A6021" w:rsidP="009A6021" w:rsidRDefault="009A6021" w14:paraId="0291EC4E" w14:textId="77777777">
            <w:pPr>
              <w:keepNext/>
              <w:tabs>
                <w:tab w:val="left" w:pos="360"/>
              </w:tabs>
              <w:jc w:val="center"/>
              <w:rPr>
                <w:rFonts w:asciiTheme="majorBidi" w:hAnsiTheme="majorBidi" w:cstheme="majorBidi"/>
                <w:color w:val="000000"/>
              </w:rPr>
            </w:pPr>
            <w:r w:rsidRPr="00230F87">
              <w:rPr>
                <w:rFonts w:asciiTheme="majorBidi" w:hAnsiTheme="majorBidi" w:cstheme="majorBidi"/>
                <w:b/>
                <w:color w:val="000000"/>
              </w:rPr>
              <w:t>Showing of “significant financial hardship” (§1802(h) or §1803.1(b)):</w:t>
            </w:r>
          </w:p>
        </w:tc>
      </w:tr>
      <w:tr w:rsidRPr="00230F87" w:rsidR="009A6021" w:rsidTr="0027155F" w14:paraId="77F91856" w14:textId="77777777">
        <w:tc>
          <w:tcPr>
            <w:tcW w:w="4817" w:type="dxa"/>
            <w:tcBorders>
              <w:top w:val="single" w:color="auto" w:sz="4" w:space="0"/>
            </w:tcBorders>
          </w:tcPr>
          <w:p w:rsidRPr="00230F87" w:rsidR="009A6021" w:rsidP="009A6021" w:rsidRDefault="009A6021" w14:paraId="6506E60E" w14:textId="7F0FF6A0">
            <w:pPr>
              <w:tabs>
                <w:tab w:val="left" w:pos="315"/>
              </w:tabs>
              <w:ind w:left="360" w:hanging="360"/>
              <w:rPr>
                <w:rFonts w:asciiTheme="majorBidi" w:hAnsiTheme="majorBidi" w:cstheme="majorBidi"/>
                <w:color w:val="000000"/>
              </w:rPr>
            </w:pPr>
            <w:r w:rsidRPr="00230F87">
              <w:rPr>
                <w:rFonts w:asciiTheme="majorBidi" w:hAnsiTheme="majorBidi" w:cstheme="majorBidi"/>
                <w:color w:val="000000"/>
              </w:rPr>
              <w:t>9.</w:t>
            </w:r>
            <w:r w:rsidRPr="00230F87">
              <w:rPr>
                <w:rFonts w:asciiTheme="majorBidi" w:hAnsiTheme="majorBidi" w:cstheme="majorBidi"/>
                <w:color w:val="000000"/>
              </w:rPr>
              <w:tab/>
              <w:t>Based on ALJ ruling issued in proceeding number:</w:t>
            </w:r>
          </w:p>
        </w:tc>
        <w:tc>
          <w:tcPr>
            <w:tcW w:w="2558" w:type="dxa"/>
            <w:tcBorders>
              <w:top w:val="single" w:color="auto" w:sz="4" w:space="0"/>
            </w:tcBorders>
          </w:tcPr>
          <w:p w:rsidRPr="00230F87" w:rsidR="009A6021" w:rsidP="009A6021" w:rsidRDefault="00043CDE" w14:paraId="54B4911C" w14:textId="611291F1">
            <w:pPr>
              <w:tabs>
                <w:tab w:val="left" w:pos="360"/>
              </w:tabs>
              <w:ind w:left="360" w:hanging="360"/>
              <w:rPr>
                <w:rFonts w:asciiTheme="majorBidi" w:hAnsiTheme="majorBidi" w:cstheme="majorBidi"/>
                <w:color w:val="000000"/>
              </w:rPr>
            </w:pPr>
            <w:r>
              <w:t>A.21-12-007</w:t>
            </w:r>
          </w:p>
        </w:tc>
        <w:tc>
          <w:tcPr>
            <w:tcW w:w="1985" w:type="dxa"/>
            <w:tcBorders>
              <w:top w:val="single" w:color="auto" w:sz="4" w:space="0"/>
            </w:tcBorders>
          </w:tcPr>
          <w:p w:rsidRPr="00230F87" w:rsidR="009A6021" w:rsidP="00707B25" w:rsidRDefault="0027155F" w14:paraId="2E2FB9D6" w14:textId="34EBB8F8">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9A6021" w:rsidTr="0027155F" w14:paraId="4AD750C1" w14:textId="77777777">
        <w:tc>
          <w:tcPr>
            <w:tcW w:w="4817" w:type="dxa"/>
          </w:tcPr>
          <w:p w:rsidRPr="00230F87" w:rsidR="009A6021" w:rsidP="009A6021" w:rsidRDefault="009A6021" w14:paraId="2A279407" w14:textId="1E831EEE">
            <w:pPr>
              <w:ind w:left="360" w:hanging="360"/>
              <w:rPr>
                <w:rFonts w:asciiTheme="majorBidi" w:hAnsiTheme="majorBidi" w:cstheme="majorBidi"/>
                <w:color w:val="000000"/>
              </w:rPr>
            </w:pPr>
            <w:r w:rsidRPr="00230F87">
              <w:rPr>
                <w:rFonts w:asciiTheme="majorBidi" w:hAnsiTheme="majorBidi" w:cstheme="majorBidi"/>
                <w:color w:val="000000"/>
              </w:rPr>
              <w:t>10.</w:t>
            </w:r>
            <w:r w:rsidRPr="00230F87">
              <w:rPr>
                <w:rFonts w:asciiTheme="majorBidi" w:hAnsiTheme="majorBidi" w:cstheme="majorBidi"/>
                <w:color w:val="000000"/>
              </w:rPr>
              <w:tab/>
              <w:t>Date of ALJ ruling:</w:t>
            </w:r>
          </w:p>
        </w:tc>
        <w:tc>
          <w:tcPr>
            <w:tcW w:w="2558" w:type="dxa"/>
          </w:tcPr>
          <w:p w:rsidRPr="00230F87" w:rsidR="009A6021" w:rsidP="009A6021" w:rsidRDefault="00043CDE" w14:paraId="4B66A2E4" w14:textId="2CC196D3">
            <w:pPr>
              <w:tabs>
                <w:tab w:val="left" w:pos="360"/>
              </w:tabs>
              <w:ind w:left="360" w:hanging="360"/>
              <w:rPr>
                <w:rFonts w:asciiTheme="majorBidi" w:hAnsiTheme="majorBidi" w:cstheme="majorBidi"/>
                <w:color w:val="000000"/>
              </w:rPr>
            </w:pPr>
            <w:r>
              <w:rPr>
                <w:rFonts w:asciiTheme="majorBidi" w:hAnsiTheme="majorBidi" w:cstheme="majorBidi"/>
                <w:color w:val="000000"/>
              </w:rPr>
              <w:t>May 31, 2022</w:t>
            </w:r>
          </w:p>
        </w:tc>
        <w:tc>
          <w:tcPr>
            <w:tcW w:w="1985" w:type="dxa"/>
          </w:tcPr>
          <w:p w:rsidRPr="00230F87" w:rsidR="009A6021" w:rsidP="00707B25" w:rsidRDefault="0027155F" w14:paraId="3B83D035" w14:textId="23F67DEF">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9A6021" w:rsidTr="0027155F" w14:paraId="7C183C5E" w14:textId="77777777">
        <w:tc>
          <w:tcPr>
            <w:tcW w:w="4817" w:type="dxa"/>
          </w:tcPr>
          <w:p w:rsidRPr="00230F87" w:rsidR="009A6021" w:rsidP="009A6021" w:rsidRDefault="009A6021" w14:paraId="4141CB3D" w14:textId="2DCA8797">
            <w:pPr>
              <w:ind w:left="360" w:hanging="360"/>
              <w:rPr>
                <w:rFonts w:asciiTheme="majorBidi" w:hAnsiTheme="majorBidi" w:cstheme="majorBidi"/>
                <w:color w:val="000000"/>
              </w:rPr>
            </w:pPr>
            <w:r w:rsidRPr="00230F87">
              <w:rPr>
                <w:rFonts w:asciiTheme="majorBidi" w:hAnsiTheme="majorBidi" w:cstheme="majorBidi"/>
                <w:color w:val="000000"/>
              </w:rPr>
              <w:t>11.</w:t>
            </w:r>
            <w:r w:rsidRPr="00230F87">
              <w:rPr>
                <w:rFonts w:asciiTheme="majorBidi" w:hAnsiTheme="majorBidi" w:cstheme="majorBidi"/>
                <w:color w:val="000000"/>
              </w:rPr>
              <w:tab/>
              <w:t>Based on another CPUC determination (specify):</w:t>
            </w:r>
          </w:p>
        </w:tc>
        <w:tc>
          <w:tcPr>
            <w:tcW w:w="2558" w:type="dxa"/>
          </w:tcPr>
          <w:p w:rsidRPr="00230F87" w:rsidR="009A6021" w:rsidP="009A6021" w:rsidRDefault="009A6021" w14:paraId="141EB5CF" w14:textId="66CE9506">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N/A</w:t>
            </w:r>
          </w:p>
        </w:tc>
        <w:tc>
          <w:tcPr>
            <w:tcW w:w="1985" w:type="dxa"/>
          </w:tcPr>
          <w:p w:rsidRPr="00230F87" w:rsidR="009A6021" w:rsidP="00707B25" w:rsidRDefault="0027155F" w14:paraId="79318715" w14:textId="4C51F3D5">
            <w:pPr>
              <w:tabs>
                <w:tab w:val="left" w:pos="360"/>
              </w:tabs>
              <w:jc w:val="center"/>
              <w:rPr>
                <w:rFonts w:asciiTheme="majorBidi" w:hAnsiTheme="majorBidi" w:cstheme="majorBidi"/>
                <w:color w:val="000000"/>
              </w:rPr>
            </w:pPr>
            <w:r>
              <w:rPr>
                <w:rFonts w:asciiTheme="majorBidi" w:hAnsiTheme="majorBidi" w:cstheme="majorBidi"/>
                <w:color w:val="000000"/>
              </w:rPr>
              <w:t>N/A</w:t>
            </w:r>
          </w:p>
        </w:tc>
      </w:tr>
      <w:tr w:rsidRPr="00230F87" w:rsidR="009A6021" w:rsidTr="00EE5338" w14:paraId="4E8D20BF" w14:textId="77777777">
        <w:tc>
          <w:tcPr>
            <w:tcW w:w="7375" w:type="dxa"/>
            <w:gridSpan w:val="2"/>
            <w:tcBorders>
              <w:bottom w:val="single" w:color="auto" w:sz="4" w:space="0"/>
            </w:tcBorders>
          </w:tcPr>
          <w:p w:rsidRPr="00230F87" w:rsidR="009A6021" w:rsidP="009A6021" w:rsidRDefault="009A6021" w14:paraId="48D0D936" w14:textId="6A3DF8B8">
            <w:pPr>
              <w:tabs>
                <w:tab w:val="left" w:pos="360"/>
              </w:tabs>
              <w:ind w:left="360" w:hanging="360"/>
              <w:rPr>
                <w:rFonts w:asciiTheme="majorBidi" w:hAnsiTheme="majorBidi" w:cstheme="majorBidi"/>
                <w:color w:val="000000"/>
              </w:rPr>
            </w:pPr>
            <w:r w:rsidRPr="00230F87">
              <w:rPr>
                <w:rFonts w:asciiTheme="majorBidi" w:hAnsiTheme="majorBidi" w:cstheme="majorBidi"/>
                <w:color w:val="000000"/>
              </w:rPr>
              <w:t>12.</w:t>
            </w:r>
            <w:r w:rsidRPr="00230F87">
              <w:rPr>
                <w:rFonts w:asciiTheme="majorBidi" w:hAnsiTheme="majorBidi" w:cstheme="majorBidi"/>
                <w:color w:val="000000"/>
              </w:rPr>
              <w:tab/>
              <w:t>Has the Intervenor demonstrated significant financial hardship?</w:t>
            </w:r>
          </w:p>
        </w:tc>
        <w:tc>
          <w:tcPr>
            <w:tcW w:w="1985" w:type="dxa"/>
            <w:tcBorders>
              <w:bottom w:val="single" w:color="auto" w:sz="4" w:space="0"/>
            </w:tcBorders>
          </w:tcPr>
          <w:p w:rsidRPr="00230F87" w:rsidR="009A6021" w:rsidP="00707B25" w:rsidRDefault="0027155F" w14:paraId="0F29B839" w14:textId="6A2F8E5E">
            <w:pPr>
              <w:tabs>
                <w:tab w:val="left" w:pos="360"/>
              </w:tabs>
              <w:jc w:val="center"/>
              <w:rPr>
                <w:rFonts w:asciiTheme="majorBidi" w:hAnsiTheme="majorBidi" w:cstheme="majorBidi"/>
                <w:color w:val="000000"/>
              </w:rPr>
            </w:pPr>
            <w:r>
              <w:rPr>
                <w:rFonts w:asciiTheme="majorBidi" w:hAnsiTheme="majorBidi" w:cstheme="majorBidi"/>
                <w:color w:val="000000"/>
              </w:rPr>
              <w:t>Yes</w:t>
            </w:r>
          </w:p>
        </w:tc>
      </w:tr>
      <w:tr w:rsidRPr="00230F87" w:rsidR="009A6021"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230F87" w:rsidR="009A6021" w:rsidP="009A6021" w:rsidRDefault="009A6021" w14:paraId="172E2884" w14:textId="77777777">
            <w:pPr>
              <w:keepNext/>
              <w:tabs>
                <w:tab w:val="left" w:pos="360"/>
              </w:tabs>
              <w:jc w:val="center"/>
              <w:rPr>
                <w:rFonts w:asciiTheme="majorBidi" w:hAnsiTheme="majorBidi" w:cstheme="majorBidi"/>
                <w:color w:val="000000"/>
              </w:rPr>
            </w:pPr>
            <w:r w:rsidRPr="00230F87">
              <w:rPr>
                <w:rFonts w:asciiTheme="majorBidi" w:hAnsiTheme="majorBidi" w:cstheme="majorBidi"/>
                <w:b/>
                <w:color w:val="000000"/>
              </w:rPr>
              <w:t>Timely request for compensation (§ 1804(c)):</w:t>
            </w:r>
          </w:p>
        </w:tc>
      </w:tr>
      <w:tr w:rsidRPr="00230F87" w:rsidR="009A6021" w:rsidTr="00D22640" w14:paraId="3E7938B0" w14:textId="77777777">
        <w:tc>
          <w:tcPr>
            <w:tcW w:w="4817" w:type="dxa"/>
            <w:tcBorders>
              <w:top w:val="single" w:color="auto" w:sz="4" w:space="0"/>
            </w:tcBorders>
          </w:tcPr>
          <w:p w:rsidRPr="00230F87" w:rsidR="009A6021" w:rsidP="009A6021" w:rsidRDefault="009A6021" w14:paraId="66088F1B" w14:textId="2DB4A731">
            <w:pPr>
              <w:keepNext/>
              <w:tabs>
                <w:tab w:val="left" w:pos="612"/>
              </w:tabs>
              <w:ind w:left="360" w:hanging="360"/>
              <w:rPr>
                <w:rFonts w:asciiTheme="majorBidi" w:hAnsiTheme="majorBidi" w:cstheme="majorBidi"/>
                <w:color w:val="000000"/>
              </w:rPr>
            </w:pPr>
            <w:r w:rsidRPr="00230F87">
              <w:rPr>
                <w:rFonts w:asciiTheme="majorBidi" w:hAnsiTheme="majorBidi" w:cstheme="majorBidi"/>
                <w:color w:val="000000"/>
              </w:rPr>
              <w:t>13.</w:t>
            </w:r>
            <w:r w:rsidRPr="00230F87">
              <w:rPr>
                <w:rFonts w:asciiTheme="majorBidi" w:hAnsiTheme="majorBidi" w:cstheme="majorBidi"/>
                <w:color w:val="000000"/>
              </w:rPr>
              <w:tab/>
              <w:t>Identify Final Decision:</w:t>
            </w:r>
          </w:p>
        </w:tc>
        <w:tc>
          <w:tcPr>
            <w:tcW w:w="2558" w:type="dxa"/>
            <w:tcBorders>
              <w:top w:val="single" w:color="auto" w:sz="4" w:space="0"/>
            </w:tcBorders>
          </w:tcPr>
          <w:p w:rsidRPr="00230F87" w:rsidR="009A6021" w:rsidP="009A6021" w:rsidRDefault="009A6021" w14:paraId="7166F318" w14:textId="77A4419F">
            <w:pPr>
              <w:tabs>
                <w:tab w:val="left" w:pos="360"/>
              </w:tabs>
              <w:rPr>
                <w:rFonts w:asciiTheme="majorBidi" w:hAnsiTheme="majorBidi" w:cstheme="majorBidi"/>
                <w:bCs/>
                <w:color w:val="000000"/>
              </w:rPr>
            </w:pPr>
            <w:r w:rsidRPr="00230F87">
              <w:rPr>
                <w:rFonts w:asciiTheme="majorBidi" w:hAnsiTheme="majorBidi" w:cstheme="majorBidi"/>
                <w:bCs/>
                <w:color w:val="000000"/>
              </w:rPr>
              <w:t>D.</w:t>
            </w:r>
            <w:r w:rsidR="00F26213">
              <w:rPr>
                <w:rFonts w:asciiTheme="majorBidi" w:hAnsiTheme="majorBidi" w:cstheme="majorBidi"/>
                <w:bCs/>
                <w:color w:val="000000"/>
              </w:rPr>
              <w:t>2</w:t>
            </w:r>
            <w:r w:rsidR="00C774E8">
              <w:rPr>
                <w:rFonts w:asciiTheme="majorBidi" w:hAnsiTheme="majorBidi" w:cstheme="majorBidi"/>
                <w:bCs/>
                <w:color w:val="000000"/>
              </w:rPr>
              <w:t>5-09-008</w:t>
            </w:r>
          </w:p>
        </w:tc>
        <w:tc>
          <w:tcPr>
            <w:tcW w:w="1985" w:type="dxa"/>
            <w:tcBorders>
              <w:top w:val="single" w:color="auto" w:sz="4" w:space="0"/>
            </w:tcBorders>
          </w:tcPr>
          <w:p w:rsidRPr="00230F87" w:rsidR="009A6021" w:rsidP="00707B25" w:rsidRDefault="00D22640" w14:paraId="1588DC54" w14:textId="36228ED0">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9A6021" w:rsidTr="00D22640" w14:paraId="6360DE59" w14:textId="77777777">
        <w:tc>
          <w:tcPr>
            <w:tcW w:w="4817" w:type="dxa"/>
          </w:tcPr>
          <w:p w:rsidRPr="00230F87" w:rsidR="009A6021" w:rsidP="009A6021" w:rsidRDefault="009A6021" w14:paraId="4B809E4A" w14:textId="4BEED0BB">
            <w:pPr>
              <w:tabs>
                <w:tab w:val="left" w:pos="612"/>
              </w:tabs>
              <w:ind w:left="360" w:hanging="360"/>
              <w:rPr>
                <w:rFonts w:asciiTheme="majorBidi" w:hAnsiTheme="majorBidi" w:cstheme="majorBidi"/>
                <w:color w:val="000000"/>
              </w:rPr>
            </w:pPr>
            <w:r w:rsidRPr="00230F87">
              <w:rPr>
                <w:rFonts w:asciiTheme="majorBidi" w:hAnsiTheme="majorBidi" w:cstheme="majorBidi"/>
                <w:color w:val="000000"/>
              </w:rPr>
              <w:t>14.</w:t>
            </w:r>
            <w:r w:rsidRPr="00230F87">
              <w:rPr>
                <w:rFonts w:asciiTheme="majorBidi" w:hAnsiTheme="majorBidi" w:cstheme="majorBidi"/>
                <w:color w:val="000000"/>
              </w:rPr>
              <w:tab/>
              <w:t xml:space="preserve">Date of issuance of Final Order or Decision:    </w:t>
            </w:r>
          </w:p>
        </w:tc>
        <w:tc>
          <w:tcPr>
            <w:tcW w:w="2558" w:type="dxa"/>
          </w:tcPr>
          <w:p w:rsidRPr="00230F87" w:rsidR="009A6021" w:rsidP="009A6021" w:rsidRDefault="00C774E8" w14:paraId="20455B5F" w14:textId="3B2DF5C0">
            <w:pPr>
              <w:tabs>
                <w:tab w:val="left" w:pos="2160"/>
                <w:tab w:val="right" w:pos="9360"/>
              </w:tabs>
              <w:rPr>
                <w:rFonts w:asciiTheme="majorBidi" w:hAnsiTheme="majorBidi" w:cstheme="majorBidi"/>
                <w:bCs/>
              </w:rPr>
            </w:pPr>
            <w:r>
              <w:rPr>
                <w:rFonts w:asciiTheme="majorBidi" w:hAnsiTheme="majorBidi" w:cstheme="majorBidi"/>
                <w:bCs/>
              </w:rPr>
              <w:t>9/26/2025</w:t>
            </w:r>
          </w:p>
        </w:tc>
        <w:tc>
          <w:tcPr>
            <w:tcW w:w="1985" w:type="dxa"/>
          </w:tcPr>
          <w:p w:rsidRPr="00230F87" w:rsidR="009A6021" w:rsidP="00707B25" w:rsidRDefault="00D22640" w14:paraId="1FCF00DD" w14:textId="148FAFAF">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9A6021" w:rsidTr="00D22640" w14:paraId="723259E3" w14:textId="77777777">
        <w:tc>
          <w:tcPr>
            <w:tcW w:w="4817" w:type="dxa"/>
          </w:tcPr>
          <w:p w:rsidRPr="00230F87" w:rsidR="009A6021" w:rsidP="009A6021" w:rsidRDefault="009A6021" w14:paraId="163EE1CA" w14:textId="2B64EB9E">
            <w:pPr>
              <w:tabs>
                <w:tab w:val="left" w:pos="612"/>
              </w:tabs>
              <w:ind w:left="360" w:hanging="360"/>
              <w:rPr>
                <w:rFonts w:asciiTheme="majorBidi" w:hAnsiTheme="majorBidi" w:cstheme="majorBidi"/>
                <w:color w:val="000000"/>
              </w:rPr>
            </w:pPr>
            <w:r w:rsidRPr="00230F87">
              <w:rPr>
                <w:rFonts w:asciiTheme="majorBidi" w:hAnsiTheme="majorBidi" w:cstheme="majorBidi"/>
                <w:color w:val="000000"/>
              </w:rPr>
              <w:t>15.</w:t>
            </w:r>
            <w:r w:rsidRPr="00230F87">
              <w:rPr>
                <w:rFonts w:asciiTheme="majorBidi" w:hAnsiTheme="majorBidi" w:cstheme="majorBidi"/>
                <w:color w:val="000000"/>
              </w:rPr>
              <w:tab/>
              <w:t>File date of compensation request:</w:t>
            </w:r>
          </w:p>
        </w:tc>
        <w:tc>
          <w:tcPr>
            <w:tcW w:w="2558" w:type="dxa"/>
          </w:tcPr>
          <w:p w:rsidRPr="00230F87" w:rsidR="009A6021" w:rsidP="009A6021" w:rsidRDefault="00C774E8" w14:paraId="0568B39D" w14:textId="19B634DC">
            <w:pPr>
              <w:tabs>
                <w:tab w:val="left" w:pos="360"/>
              </w:tabs>
              <w:rPr>
                <w:rFonts w:asciiTheme="majorBidi" w:hAnsiTheme="majorBidi" w:cstheme="majorBidi"/>
                <w:color w:val="000000"/>
              </w:rPr>
            </w:pPr>
            <w:r>
              <w:rPr>
                <w:rFonts w:asciiTheme="majorBidi" w:hAnsiTheme="majorBidi" w:cstheme="majorBidi"/>
                <w:color w:val="000000"/>
              </w:rPr>
              <w:t>11</w:t>
            </w:r>
            <w:r w:rsidR="00654581">
              <w:rPr>
                <w:rFonts w:asciiTheme="majorBidi" w:hAnsiTheme="majorBidi" w:cstheme="majorBidi"/>
                <w:color w:val="000000"/>
              </w:rPr>
              <w:t>/21</w:t>
            </w:r>
            <w:r>
              <w:rPr>
                <w:rFonts w:asciiTheme="majorBidi" w:hAnsiTheme="majorBidi" w:cstheme="majorBidi"/>
                <w:color w:val="000000"/>
              </w:rPr>
              <w:t>/2025</w:t>
            </w:r>
          </w:p>
        </w:tc>
        <w:tc>
          <w:tcPr>
            <w:tcW w:w="1985" w:type="dxa"/>
          </w:tcPr>
          <w:p w:rsidRPr="00230F87" w:rsidR="009A6021" w:rsidP="00707B25" w:rsidRDefault="00D22640" w14:paraId="1CBF4E7A" w14:textId="753C0353">
            <w:pPr>
              <w:tabs>
                <w:tab w:val="left" w:pos="360"/>
              </w:tabs>
              <w:jc w:val="center"/>
              <w:rPr>
                <w:rFonts w:asciiTheme="majorBidi" w:hAnsiTheme="majorBidi" w:cstheme="majorBidi"/>
                <w:color w:val="000000"/>
              </w:rPr>
            </w:pPr>
            <w:r>
              <w:rPr>
                <w:rFonts w:asciiTheme="majorBidi" w:hAnsiTheme="majorBidi" w:cstheme="majorBidi"/>
                <w:color w:val="000000"/>
              </w:rPr>
              <w:t>Verified</w:t>
            </w:r>
          </w:p>
        </w:tc>
      </w:tr>
      <w:tr w:rsidRPr="00230F87" w:rsidR="009A6021" w:rsidTr="00EE5338" w14:paraId="406BCA3A" w14:textId="77777777">
        <w:tc>
          <w:tcPr>
            <w:tcW w:w="7375" w:type="dxa"/>
            <w:gridSpan w:val="2"/>
          </w:tcPr>
          <w:p w:rsidRPr="00230F87" w:rsidR="009A6021" w:rsidP="009A6021" w:rsidRDefault="009A6021" w14:paraId="10AF42D1" w14:textId="67695104">
            <w:pPr>
              <w:tabs>
                <w:tab w:val="left" w:pos="360"/>
              </w:tabs>
              <w:ind w:left="360" w:hanging="360"/>
              <w:rPr>
                <w:rFonts w:asciiTheme="majorBidi" w:hAnsiTheme="majorBidi" w:cstheme="majorBidi"/>
                <w:color w:val="000000"/>
              </w:rPr>
            </w:pPr>
            <w:proofErr w:type="gramStart"/>
            <w:r w:rsidRPr="00230F87">
              <w:rPr>
                <w:rFonts w:asciiTheme="majorBidi" w:hAnsiTheme="majorBidi" w:cstheme="majorBidi"/>
                <w:color w:val="000000"/>
              </w:rPr>
              <w:t>16.</w:t>
            </w:r>
            <w:r w:rsidRPr="00230F87">
              <w:rPr>
                <w:rFonts w:asciiTheme="majorBidi" w:hAnsiTheme="majorBidi" w:cstheme="majorBidi"/>
                <w:color w:val="000000"/>
              </w:rPr>
              <w:tab/>
              <w:t>Was</w:t>
            </w:r>
            <w:proofErr w:type="gramEnd"/>
            <w:r w:rsidRPr="00230F87">
              <w:rPr>
                <w:rFonts w:asciiTheme="majorBidi" w:hAnsiTheme="majorBidi" w:cstheme="majorBidi"/>
                <w:color w:val="000000"/>
              </w:rPr>
              <w:t xml:space="preserve"> the request for compensation timely?</w:t>
            </w:r>
          </w:p>
        </w:tc>
        <w:tc>
          <w:tcPr>
            <w:tcW w:w="1985" w:type="dxa"/>
          </w:tcPr>
          <w:p w:rsidRPr="00230F87" w:rsidR="009A6021" w:rsidP="00707B25" w:rsidRDefault="00D22640" w14:paraId="2EA30E63" w14:textId="6A86CE04">
            <w:pPr>
              <w:tabs>
                <w:tab w:val="left" w:pos="360"/>
              </w:tabs>
              <w:jc w:val="center"/>
              <w:rPr>
                <w:rFonts w:asciiTheme="majorBidi" w:hAnsiTheme="majorBidi" w:cstheme="majorBidi"/>
                <w:color w:val="000000"/>
              </w:rPr>
            </w:pPr>
            <w:r>
              <w:rPr>
                <w:rFonts w:asciiTheme="majorBidi" w:hAnsiTheme="majorBidi" w:cstheme="majorBidi"/>
                <w:color w:val="000000"/>
              </w:rPr>
              <w:t>Yes</w:t>
            </w:r>
          </w:p>
        </w:tc>
      </w:tr>
    </w:tbl>
    <w:p w:rsidRPr="00230F87" w:rsidR="00A92D0B" w:rsidP="006107D3" w:rsidRDefault="00A92D0B" w14:paraId="0068592B" w14:textId="55EE86F8">
      <w:pPr>
        <w:keepNext/>
        <w:keepLines/>
        <w:numPr>
          <w:ilvl w:val="0"/>
          <w:numId w:val="5"/>
        </w:numPr>
        <w:spacing w:before="240" w:after="240"/>
        <w:rPr>
          <w:rFonts w:asciiTheme="majorBidi" w:hAnsiTheme="majorBidi" w:cstheme="majorBidi"/>
          <w:b/>
          <w:color w:val="000000"/>
        </w:rPr>
      </w:pPr>
      <w:r w:rsidRPr="00230F87">
        <w:rPr>
          <w:rFonts w:asciiTheme="majorBidi" w:hAnsiTheme="majorBidi" w:cstheme="majorBidi"/>
          <w:b/>
          <w:color w:val="000000"/>
        </w:rPr>
        <w:lastRenderedPageBreak/>
        <w:t>Additional Comments on Part I</w:t>
      </w:r>
      <w:r w:rsidRPr="00230F87" w:rsidR="00C02649">
        <w:rPr>
          <w:rFonts w:asciiTheme="majorBidi" w:hAnsiTheme="majorBidi" w:cstheme="majorBidi"/>
          <w:b/>
          <w:color w:val="000000"/>
        </w:rPr>
        <w:t>:</w:t>
      </w:r>
      <w:r w:rsidRPr="00230F87">
        <w:rPr>
          <w:rFonts w:asciiTheme="majorBidi" w:hAnsiTheme="majorBidi" w:cstheme="majorBidi"/>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4535"/>
        <w:gridCol w:w="3965"/>
      </w:tblGrid>
      <w:tr w:rsidRPr="00230F87" w:rsidR="003C608A" w:rsidTr="00EE5338" w14:paraId="046F77BA" w14:textId="77777777">
        <w:trPr>
          <w:tblHeader/>
        </w:trPr>
        <w:tc>
          <w:tcPr>
            <w:tcW w:w="860" w:type="dxa"/>
            <w:tcBorders>
              <w:bottom w:val="single" w:color="auto" w:sz="4" w:space="0"/>
            </w:tcBorders>
            <w:shd w:val="clear" w:color="auto" w:fill="D9D9D9" w:themeFill="background1" w:themeFillShade="D9"/>
          </w:tcPr>
          <w:p w:rsidRPr="00230F87" w:rsidR="003C608A" w:rsidP="006107D3" w:rsidRDefault="003C608A" w14:paraId="0CB867A6" w14:textId="77777777">
            <w:pPr>
              <w:keepNext/>
              <w:keepLines/>
              <w:tabs>
                <w:tab w:val="left" w:pos="360"/>
              </w:tabs>
              <w:jc w:val="center"/>
              <w:rPr>
                <w:rFonts w:asciiTheme="majorBidi" w:hAnsiTheme="majorBidi" w:cstheme="majorBidi"/>
                <w:b/>
                <w:color w:val="000000"/>
              </w:rPr>
            </w:pPr>
            <w:r w:rsidRPr="00230F87">
              <w:rPr>
                <w:rFonts w:asciiTheme="majorBidi" w:hAnsiTheme="majorBidi" w:cstheme="majorBidi"/>
                <w:b/>
                <w:color w:val="000000"/>
              </w:rPr>
              <w:t>#</w:t>
            </w:r>
          </w:p>
        </w:tc>
        <w:tc>
          <w:tcPr>
            <w:tcW w:w="4535" w:type="dxa"/>
            <w:tcBorders>
              <w:bottom w:val="single" w:color="auto" w:sz="4" w:space="0"/>
            </w:tcBorders>
            <w:shd w:val="clear" w:color="auto" w:fill="D9D9D9" w:themeFill="background1" w:themeFillShade="D9"/>
          </w:tcPr>
          <w:p w:rsidRPr="00230F87" w:rsidR="003C608A" w:rsidP="006107D3" w:rsidRDefault="003C608A" w14:paraId="196D09DF" w14:textId="77777777">
            <w:pPr>
              <w:keepNext/>
              <w:keepLines/>
              <w:tabs>
                <w:tab w:val="left" w:pos="360"/>
              </w:tabs>
              <w:jc w:val="center"/>
              <w:rPr>
                <w:rFonts w:asciiTheme="majorBidi" w:hAnsiTheme="majorBidi" w:cstheme="majorBidi"/>
                <w:b/>
                <w:color w:val="000000"/>
              </w:rPr>
            </w:pPr>
            <w:r w:rsidRPr="00230F87">
              <w:rPr>
                <w:rFonts w:asciiTheme="majorBidi" w:hAnsiTheme="majorBidi" w:cstheme="majorBidi"/>
                <w:b/>
                <w:color w:val="000000"/>
              </w:rPr>
              <w:t>Intervenor’s Comment(s)</w:t>
            </w:r>
          </w:p>
        </w:tc>
        <w:tc>
          <w:tcPr>
            <w:tcW w:w="3965" w:type="dxa"/>
            <w:shd w:val="clear" w:color="auto" w:fill="D9D9D9" w:themeFill="background1" w:themeFillShade="D9"/>
          </w:tcPr>
          <w:p w:rsidRPr="00230F87" w:rsidR="003C608A" w:rsidP="006107D3" w:rsidRDefault="003C608A" w14:paraId="07207D31" w14:textId="77777777">
            <w:pPr>
              <w:keepNext/>
              <w:keepLines/>
              <w:tabs>
                <w:tab w:val="left" w:pos="360"/>
              </w:tabs>
              <w:jc w:val="center"/>
              <w:rPr>
                <w:rFonts w:asciiTheme="majorBidi" w:hAnsiTheme="majorBidi" w:cstheme="majorBidi"/>
                <w:b/>
                <w:color w:val="000000"/>
              </w:rPr>
            </w:pPr>
            <w:r w:rsidRPr="00230F87">
              <w:rPr>
                <w:rFonts w:asciiTheme="majorBidi" w:hAnsiTheme="majorBidi" w:cstheme="majorBidi"/>
                <w:b/>
                <w:color w:val="000000"/>
              </w:rPr>
              <w:t>CPUC Discussion</w:t>
            </w:r>
          </w:p>
        </w:tc>
      </w:tr>
      <w:tr w:rsidRPr="00230F87" w:rsidR="003C608A" w:rsidTr="00D22640" w14:paraId="1C6180A4" w14:textId="77777777">
        <w:trPr>
          <w:trHeight w:val="67"/>
        </w:trPr>
        <w:tc>
          <w:tcPr>
            <w:tcW w:w="860" w:type="dxa"/>
          </w:tcPr>
          <w:p w:rsidRPr="00230F87" w:rsidR="003C608A" w:rsidP="006107D3" w:rsidRDefault="004F55D5" w14:paraId="4350D384" w14:textId="2765DFB7">
            <w:pPr>
              <w:keepNext/>
              <w:keepLines/>
              <w:tabs>
                <w:tab w:val="left" w:pos="360"/>
              </w:tabs>
              <w:rPr>
                <w:rFonts w:asciiTheme="majorBidi" w:hAnsiTheme="majorBidi" w:cstheme="majorBidi"/>
                <w:color w:val="000000"/>
              </w:rPr>
            </w:pPr>
            <w:r w:rsidRPr="00230F87">
              <w:rPr>
                <w:rFonts w:asciiTheme="majorBidi" w:hAnsiTheme="majorBidi" w:cstheme="majorBidi"/>
                <w:color w:val="000000"/>
              </w:rPr>
              <w:t>1</w:t>
            </w:r>
          </w:p>
        </w:tc>
        <w:tc>
          <w:tcPr>
            <w:tcW w:w="4535" w:type="dxa"/>
          </w:tcPr>
          <w:p w:rsidRPr="00230F87" w:rsidR="003C608A" w:rsidP="006107D3" w:rsidRDefault="00EE5338" w14:paraId="0ECF4A98" w14:textId="66FD0F31">
            <w:pPr>
              <w:keepNext/>
              <w:keepLines/>
              <w:tabs>
                <w:tab w:val="left" w:pos="360"/>
              </w:tabs>
              <w:rPr>
                <w:rFonts w:asciiTheme="majorBidi" w:hAnsiTheme="majorBidi" w:cstheme="majorBidi"/>
                <w:color w:val="000000"/>
              </w:rPr>
            </w:pPr>
            <w:r w:rsidRPr="007D106E">
              <w:rPr>
                <w:sz w:val="22"/>
                <w:szCs w:val="22"/>
              </w:rPr>
              <w:t xml:space="preserve">TURN did not receive an affirmative ruling on its Notice of Intent in this proceeding. As explained in the Commission’s Intervenor Compensation guide, “normally, an ALJ Ruling need not be issued unless: (a) the NOI has requested a finding of “significant financial hardship” under § 1802(g). (b) the NOI is deficient; or (c) the ALJ desires to provide guidance on specific issues of the </w:t>
            </w:r>
            <w:proofErr w:type="gramStart"/>
            <w:r w:rsidRPr="007D106E">
              <w:rPr>
                <w:sz w:val="22"/>
                <w:szCs w:val="22"/>
              </w:rPr>
              <w:t>NOI.”</w:t>
            </w:r>
            <w:proofErr w:type="gramEnd"/>
            <w:r w:rsidRPr="007D106E">
              <w:rPr>
                <w:sz w:val="22"/>
                <w:szCs w:val="22"/>
              </w:rPr>
              <w:t xml:space="preserve"> (page 12) Since none of these factors apply to the NOI submitted in this proceeding, there was no need for an ALJ ruling in response to TURN’s NOI.</w:t>
            </w:r>
          </w:p>
        </w:tc>
        <w:tc>
          <w:tcPr>
            <w:tcW w:w="3965" w:type="dxa"/>
          </w:tcPr>
          <w:p w:rsidRPr="00230F87" w:rsidR="003C608A" w:rsidP="00D22640" w:rsidRDefault="00D22640" w14:paraId="416D6250" w14:textId="491AC063">
            <w:pPr>
              <w:keepNext/>
              <w:keepLines/>
              <w:tabs>
                <w:tab w:val="left" w:pos="360"/>
              </w:tabs>
              <w:jc w:val="center"/>
              <w:rPr>
                <w:rFonts w:asciiTheme="majorBidi" w:hAnsiTheme="majorBidi" w:cstheme="majorBidi"/>
                <w:color w:val="000000"/>
              </w:rPr>
            </w:pPr>
            <w:r>
              <w:rPr>
                <w:rFonts w:asciiTheme="majorBidi" w:hAnsiTheme="majorBidi" w:cstheme="majorBidi"/>
                <w:color w:val="000000"/>
              </w:rPr>
              <w:t>Noted</w:t>
            </w:r>
          </w:p>
        </w:tc>
      </w:tr>
    </w:tbl>
    <w:p w:rsidR="006107D3" w:rsidP="006107D3" w:rsidRDefault="006107D3" w14:paraId="1B58296C" w14:textId="77777777">
      <w:pPr>
        <w:keepNext/>
        <w:keepLines/>
        <w:spacing w:before="480"/>
        <w:contextualSpacing/>
        <w:jc w:val="center"/>
        <w:rPr>
          <w:rFonts w:asciiTheme="majorBidi" w:hAnsiTheme="majorBidi" w:cstheme="majorBidi"/>
          <w:b/>
          <w:color w:val="000000"/>
        </w:rPr>
      </w:pPr>
    </w:p>
    <w:p w:rsidRPr="00230F87" w:rsidR="00382C7F" w:rsidP="003C0170" w:rsidRDefault="00A92D0B" w14:paraId="6D2595BE" w14:textId="7BB20E6F">
      <w:pPr>
        <w:keepNext/>
        <w:keepLines/>
        <w:spacing w:after="240" w:line="360" w:lineRule="auto"/>
        <w:contextualSpacing/>
        <w:jc w:val="center"/>
        <w:rPr>
          <w:rFonts w:asciiTheme="majorBidi" w:hAnsiTheme="majorBidi" w:cstheme="majorBidi"/>
          <w:b/>
          <w:color w:val="000000"/>
        </w:rPr>
      </w:pPr>
      <w:r w:rsidRPr="00230F87">
        <w:rPr>
          <w:rFonts w:asciiTheme="majorBidi" w:hAnsiTheme="majorBidi" w:cstheme="majorBidi"/>
          <w:b/>
          <w:color w:val="000000"/>
        </w:rPr>
        <w:t>PART II</w:t>
      </w:r>
      <w:proofErr w:type="gramStart"/>
      <w:r w:rsidRPr="00230F87">
        <w:rPr>
          <w:rFonts w:asciiTheme="majorBidi" w:hAnsiTheme="majorBidi" w:cstheme="majorBidi"/>
          <w:b/>
          <w:color w:val="000000"/>
        </w:rPr>
        <w:t>:</w:t>
      </w:r>
      <w:r w:rsidRPr="00230F87" w:rsidR="00D1778A">
        <w:rPr>
          <w:rFonts w:asciiTheme="majorBidi" w:hAnsiTheme="majorBidi" w:cstheme="majorBidi"/>
          <w:b/>
          <w:color w:val="000000"/>
        </w:rPr>
        <w:t xml:space="preserve">  </w:t>
      </w:r>
      <w:r w:rsidRPr="00230F87">
        <w:rPr>
          <w:rFonts w:asciiTheme="majorBidi" w:hAnsiTheme="majorBidi" w:cstheme="majorBidi"/>
          <w:b/>
          <w:color w:val="000000"/>
        </w:rPr>
        <w:t>SUBSTANTIAL</w:t>
      </w:r>
      <w:proofErr w:type="gramEnd"/>
      <w:r w:rsidRPr="00230F87">
        <w:rPr>
          <w:rFonts w:asciiTheme="majorBidi" w:hAnsiTheme="majorBidi" w:cstheme="majorBidi"/>
          <w:b/>
          <w:color w:val="000000"/>
        </w:rPr>
        <w:t xml:space="preserve"> CONTRIBUTION</w:t>
      </w:r>
    </w:p>
    <w:p w:rsidRPr="00094792" w:rsidR="00F375A8" w:rsidP="00B46B87" w:rsidRDefault="00D075B1" w14:paraId="76E45DF2" w14:textId="0213C381">
      <w:pPr>
        <w:keepNext/>
        <w:keepLines/>
        <w:numPr>
          <w:ilvl w:val="0"/>
          <w:numId w:val="8"/>
        </w:numPr>
        <w:spacing w:after="240"/>
        <w:contextualSpacing/>
        <w:rPr>
          <w:rFonts w:asciiTheme="majorBidi" w:hAnsiTheme="majorBidi" w:cstheme="majorBidi"/>
          <w:b/>
          <w:color w:val="000000"/>
        </w:rPr>
      </w:pPr>
      <w:r w:rsidRPr="00230F87">
        <w:rPr>
          <w:rFonts w:asciiTheme="majorBidi" w:hAnsiTheme="majorBidi" w:cstheme="majorBidi"/>
          <w:b/>
          <w:color w:val="000000"/>
        </w:rPr>
        <w:t xml:space="preserve">Did the </w:t>
      </w:r>
      <w:r w:rsidRPr="00230F87" w:rsidR="005A63D4">
        <w:rPr>
          <w:rFonts w:asciiTheme="majorBidi" w:hAnsiTheme="majorBidi" w:cstheme="majorBidi"/>
          <w:b/>
          <w:color w:val="000000"/>
        </w:rPr>
        <w:t>Intervenor</w:t>
      </w:r>
      <w:r w:rsidRPr="00230F87">
        <w:rPr>
          <w:rFonts w:asciiTheme="majorBidi" w:hAnsiTheme="majorBidi" w:cstheme="majorBidi"/>
          <w:b/>
          <w:color w:val="000000"/>
        </w:rPr>
        <w:t xml:space="preserve"> substantially contribute to the final decision</w:t>
      </w:r>
      <w:r w:rsidRPr="00230F87" w:rsidR="00A92D0B">
        <w:rPr>
          <w:rFonts w:asciiTheme="majorBidi" w:hAnsiTheme="majorBidi" w:cstheme="majorBidi"/>
          <w:b/>
          <w:color w:val="000000"/>
        </w:rPr>
        <w:t xml:space="preserve"> (</w:t>
      </w:r>
      <w:r w:rsidRPr="00230F87" w:rsidR="00A92D0B">
        <w:rPr>
          <w:rFonts w:asciiTheme="majorBidi" w:hAnsiTheme="majorBidi" w:cstheme="majorBidi"/>
          <w:b/>
          <w:i/>
          <w:color w:val="000000"/>
        </w:rPr>
        <w:t>see</w:t>
      </w:r>
      <w:r w:rsidRPr="00230F87" w:rsidR="00A92D0B">
        <w:rPr>
          <w:rFonts w:asciiTheme="majorBidi" w:hAnsiTheme="majorBidi" w:cstheme="majorBidi"/>
          <w:b/>
          <w:color w:val="000000"/>
        </w:rPr>
        <w:t xml:space="preserve"> § 1802(</w:t>
      </w:r>
      <w:r w:rsidRPr="00230F87" w:rsidR="00ED6B6B">
        <w:rPr>
          <w:rFonts w:asciiTheme="majorBidi" w:hAnsiTheme="majorBidi" w:cstheme="majorBidi"/>
          <w:b/>
          <w:color w:val="000000"/>
        </w:rPr>
        <w:t>j</w:t>
      </w:r>
      <w:r w:rsidRPr="00230F87" w:rsidR="00A92D0B">
        <w:rPr>
          <w:rFonts w:asciiTheme="majorBidi" w:hAnsiTheme="majorBidi" w:cstheme="majorBidi"/>
          <w:b/>
          <w:color w:val="000000"/>
        </w:rPr>
        <w:t xml:space="preserve">), </w:t>
      </w:r>
      <w:r w:rsidRPr="00230F87" w:rsidR="001E77CF">
        <w:rPr>
          <w:rFonts w:asciiTheme="majorBidi" w:hAnsiTheme="majorBidi" w:cstheme="majorBidi"/>
          <w:b/>
          <w:color w:val="000000"/>
        </w:rPr>
        <w:br/>
      </w:r>
      <w:r w:rsidRPr="00230F87" w:rsidR="00A92D0B">
        <w:rPr>
          <w:rFonts w:asciiTheme="majorBidi" w:hAnsiTheme="majorBidi" w:cstheme="majorBidi"/>
          <w:b/>
          <w:color w:val="000000"/>
        </w:rPr>
        <w:t>§ 1803(a)</w:t>
      </w:r>
      <w:r w:rsidRPr="00230F87" w:rsidR="00F30DA8">
        <w:rPr>
          <w:rFonts w:asciiTheme="majorBidi" w:hAnsiTheme="majorBidi" w:cstheme="majorBidi"/>
          <w:b/>
          <w:color w:val="000000"/>
        </w:rPr>
        <w:t>,</w:t>
      </w:r>
      <w:r w:rsidRPr="00230F87" w:rsidR="00A92D0B">
        <w:rPr>
          <w:rFonts w:asciiTheme="majorBidi" w:hAnsiTheme="majorBidi" w:cstheme="majorBidi"/>
          <w:b/>
          <w:color w:val="000000"/>
        </w:rPr>
        <w:t xml:space="preserve"> </w:t>
      </w:r>
      <w:r w:rsidRPr="00230F87" w:rsidR="00ED6B6B">
        <w:rPr>
          <w:rFonts w:asciiTheme="majorBidi" w:hAnsiTheme="majorBidi" w:cstheme="majorBidi"/>
          <w:b/>
          <w:color w:val="000000"/>
        </w:rPr>
        <w:t xml:space="preserve">1803.1(a) </w:t>
      </w:r>
      <w:r w:rsidRPr="00230F87" w:rsidR="00F30DA8">
        <w:rPr>
          <w:rFonts w:asciiTheme="majorBidi" w:hAnsiTheme="majorBidi" w:cstheme="majorBidi"/>
          <w:b/>
          <w:color w:val="000000"/>
        </w:rPr>
        <w:t>and</w:t>
      </w:r>
      <w:r w:rsidRPr="00230F87" w:rsidR="00A92D0B">
        <w:rPr>
          <w:rFonts w:asciiTheme="majorBidi" w:hAnsiTheme="majorBidi" w:cstheme="majorBidi"/>
          <w:b/>
          <w:color w:val="000000"/>
        </w:rPr>
        <w:t xml:space="preserve"> D.98-04-059)</w:t>
      </w:r>
      <w:r w:rsidRPr="00230F87" w:rsidR="00C02649">
        <w:rPr>
          <w:rFonts w:asciiTheme="majorBidi" w:hAnsiTheme="majorBidi" w:cstheme="majorBidi"/>
          <w:b/>
          <w:color w:val="000000"/>
        </w:rPr>
        <w:t>:</w:t>
      </w:r>
      <w:r w:rsidRPr="00230F87" w:rsidR="00A92D0B">
        <w:rPr>
          <w:rFonts w:asciiTheme="majorBidi" w:hAnsiTheme="majorBidi" w:cstheme="majorBidi"/>
          <w:b/>
          <w:color w:val="000000"/>
        </w:rPr>
        <w:t xml:space="preserve">  </w:t>
      </w:r>
    </w:p>
    <w:p w:rsidRPr="00094792" w:rsidR="00094792" w:rsidP="00094792" w:rsidRDefault="00094792" w14:paraId="7E12D496" w14:textId="77777777">
      <w:pPr>
        <w:keepNext/>
        <w:keepLines/>
        <w:spacing w:before="240" w:after="240"/>
        <w:ind w:left="360"/>
        <w:contextualSpacing/>
        <w:rPr>
          <w:rFonts w:asciiTheme="majorBidi" w:hAnsiTheme="majorBidi" w:cstheme="majorBidi"/>
          <w:b/>
          <w:color w:val="000000"/>
        </w:rPr>
      </w:pPr>
    </w:p>
    <w:tbl>
      <w:tblPr>
        <w:tblStyle w:val="TableGrid"/>
        <w:tblpPr w:leftFromText="180" w:rightFromText="180" w:vertAnchor="text" w:tblpY="1"/>
        <w:tblOverlap w:val="never"/>
        <w:tblW w:w="0" w:type="auto"/>
        <w:tblLook w:val="04A0" w:firstRow="1" w:lastRow="0" w:firstColumn="1" w:lastColumn="0" w:noHBand="0" w:noVBand="1"/>
      </w:tblPr>
      <w:tblGrid>
        <w:gridCol w:w="3505"/>
        <w:gridCol w:w="2880"/>
        <w:gridCol w:w="2965"/>
      </w:tblGrid>
      <w:tr w:rsidR="00F375A8" w:rsidTr="00FE7EBA" w14:paraId="1161999D" w14:textId="77777777">
        <w:tc>
          <w:tcPr>
            <w:tcW w:w="3505" w:type="dxa"/>
            <w:shd w:val="clear" w:color="auto" w:fill="D9D9D9" w:themeFill="background1" w:themeFillShade="D9"/>
          </w:tcPr>
          <w:p w:rsidR="00F375A8" w:rsidP="00FE7EBA" w:rsidRDefault="00F375A8" w14:paraId="3DC2434B" w14:textId="71874859">
            <w:pPr>
              <w:keepNext/>
              <w:keepLines/>
              <w:spacing w:before="240" w:after="240"/>
              <w:contextualSpacing/>
              <w:jc w:val="center"/>
              <w:rPr>
                <w:rFonts w:asciiTheme="majorBidi" w:hAnsiTheme="majorBidi" w:cstheme="majorBidi"/>
                <w:b/>
                <w:color w:val="000000"/>
              </w:rPr>
            </w:pPr>
            <w:r w:rsidRPr="00230F87">
              <w:rPr>
                <w:rFonts w:asciiTheme="majorBidi" w:hAnsiTheme="majorBidi" w:cstheme="majorBidi"/>
                <w:b/>
                <w:color w:val="000000"/>
              </w:rPr>
              <w:t>Intervenor’s Claimed Contribution(s)</w:t>
            </w:r>
          </w:p>
        </w:tc>
        <w:tc>
          <w:tcPr>
            <w:tcW w:w="2880" w:type="dxa"/>
            <w:shd w:val="clear" w:color="auto" w:fill="D9D9D9" w:themeFill="background1" w:themeFillShade="D9"/>
          </w:tcPr>
          <w:p w:rsidR="00F375A8" w:rsidP="00FE7EBA" w:rsidRDefault="00F375A8" w14:paraId="609C60BF" w14:textId="6DEF6116">
            <w:pPr>
              <w:keepNext/>
              <w:keepLines/>
              <w:spacing w:before="240" w:after="240"/>
              <w:contextualSpacing/>
              <w:jc w:val="center"/>
              <w:rPr>
                <w:rFonts w:asciiTheme="majorBidi" w:hAnsiTheme="majorBidi" w:cstheme="majorBidi"/>
                <w:b/>
                <w:color w:val="000000"/>
              </w:rPr>
            </w:pPr>
            <w:r w:rsidRPr="00230F87">
              <w:rPr>
                <w:rFonts w:asciiTheme="majorBidi" w:hAnsiTheme="majorBidi" w:cstheme="majorBidi"/>
                <w:b/>
                <w:color w:val="000000"/>
              </w:rPr>
              <w:t>Specific References to Intervenor’s Claimed Contribution(s)</w:t>
            </w:r>
          </w:p>
        </w:tc>
        <w:tc>
          <w:tcPr>
            <w:tcW w:w="2965" w:type="dxa"/>
            <w:shd w:val="clear" w:color="auto" w:fill="D9D9D9" w:themeFill="background1" w:themeFillShade="D9"/>
          </w:tcPr>
          <w:p w:rsidR="00F375A8" w:rsidP="00FE7EBA" w:rsidRDefault="00F375A8" w14:paraId="6A386AAF" w14:textId="136C7245">
            <w:pPr>
              <w:keepNext/>
              <w:keepLines/>
              <w:spacing w:before="240" w:after="240"/>
              <w:contextualSpacing/>
              <w:jc w:val="center"/>
              <w:rPr>
                <w:rFonts w:asciiTheme="majorBidi" w:hAnsiTheme="majorBidi" w:cstheme="majorBidi"/>
                <w:b/>
                <w:color w:val="000000"/>
              </w:rPr>
            </w:pPr>
            <w:r w:rsidRPr="00230F87">
              <w:rPr>
                <w:rFonts w:asciiTheme="majorBidi" w:hAnsiTheme="majorBidi" w:cstheme="majorBidi"/>
                <w:b/>
                <w:color w:val="000000"/>
              </w:rPr>
              <w:t>CPUC Discussion</w:t>
            </w:r>
          </w:p>
        </w:tc>
      </w:tr>
      <w:tr w:rsidR="00F375A8" w:rsidTr="009F423E" w14:paraId="598C0CE6" w14:textId="77777777">
        <w:tc>
          <w:tcPr>
            <w:tcW w:w="3505" w:type="dxa"/>
          </w:tcPr>
          <w:p w:rsidRPr="00F5715A" w:rsidR="00435F4C" w:rsidP="00FE7EBA" w:rsidRDefault="00E907B8" w14:paraId="516D6E55" w14:textId="774076D9">
            <w:pPr>
              <w:spacing w:before="120"/>
              <w:rPr>
                <w:b/>
                <w:bCs/>
                <w:color w:val="000000"/>
                <w:u w:val="single"/>
              </w:rPr>
            </w:pPr>
            <w:r>
              <w:rPr>
                <w:b/>
                <w:bCs/>
                <w:color w:val="000000"/>
                <w:u w:val="single"/>
              </w:rPr>
              <w:t xml:space="preserve">Adoption of $217 Million Disallowance of Costs of Enhanced Vegetation Management (EVM) Program </w:t>
            </w:r>
          </w:p>
          <w:p w:rsidR="004A7685" w:rsidP="00FE7EBA" w:rsidRDefault="00E907B8" w14:paraId="4E4D4AEF" w14:textId="77777777">
            <w:pPr>
              <w:spacing w:before="120"/>
              <w:rPr>
                <w:color w:val="000000"/>
              </w:rPr>
            </w:pPr>
            <w:r>
              <w:rPr>
                <w:color w:val="000000"/>
              </w:rPr>
              <w:t xml:space="preserve">PG&amp;E’s WMCE </w:t>
            </w:r>
            <w:proofErr w:type="gramStart"/>
            <w:r>
              <w:rPr>
                <w:color w:val="000000"/>
              </w:rPr>
              <w:t>reasonableness</w:t>
            </w:r>
            <w:proofErr w:type="gramEnd"/>
            <w:r>
              <w:rPr>
                <w:color w:val="000000"/>
              </w:rPr>
              <w:t xml:space="preserve"> review application requested recovery of $814.7 million in 2021 vegetation management (VM</w:t>
            </w:r>
            <w:r w:rsidR="00A235AB">
              <w:rPr>
                <w:color w:val="000000"/>
              </w:rPr>
              <w:t>)</w:t>
            </w:r>
            <w:r>
              <w:rPr>
                <w:color w:val="000000"/>
              </w:rPr>
              <w:t xml:space="preserve"> program costs that had been recorded in its VM Balancing Account (VMBA).  </w:t>
            </w:r>
            <w:r w:rsidR="00E47F80">
              <w:rPr>
                <w:color w:val="000000"/>
              </w:rPr>
              <w:t xml:space="preserve">Approximately $350 million of the total VM amount was for PG&amp;E’s Enhanced VM program.  </w:t>
            </w:r>
          </w:p>
          <w:p w:rsidR="000F7638" w:rsidP="00FE7EBA" w:rsidRDefault="00E47F80" w14:paraId="7217AC8C" w14:textId="160F8A9F">
            <w:pPr>
              <w:spacing w:before="120"/>
              <w:rPr>
                <w:color w:val="000000"/>
              </w:rPr>
            </w:pPr>
            <w:r>
              <w:rPr>
                <w:color w:val="000000"/>
              </w:rPr>
              <w:t xml:space="preserve">TURN raised </w:t>
            </w:r>
            <w:proofErr w:type="gramStart"/>
            <w:r>
              <w:rPr>
                <w:color w:val="000000"/>
              </w:rPr>
              <w:t>a number of</w:t>
            </w:r>
            <w:proofErr w:type="gramEnd"/>
            <w:r>
              <w:rPr>
                <w:color w:val="000000"/>
              </w:rPr>
              <w:t xml:space="preserve"> challenges to </w:t>
            </w:r>
            <w:r w:rsidR="008C0D91">
              <w:rPr>
                <w:color w:val="000000"/>
              </w:rPr>
              <w:t xml:space="preserve">the reasonableness of the spending associated with that </w:t>
            </w:r>
            <w:proofErr w:type="gramStart"/>
            <w:r w:rsidR="008C0D91">
              <w:rPr>
                <w:color w:val="000000"/>
              </w:rPr>
              <w:t>program, and</w:t>
            </w:r>
            <w:proofErr w:type="gramEnd"/>
            <w:r w:rsidR="008C0D91">
              <w:rPr>
                <w:color w:val="000000"/>
              </w:rPr>
              <w:t xml:space="preserve"> proposed a disallowance of the full $350 million PG&amp;E requested.  TURN also </w:t>
            </w:r>
            <w:r w:rsidR="001A0B4D">
              <w:rPr>
                <w:color w:val="000000"/>
              </w:rPr>
              <w:t xml:space="preserve">presented an alternative recommendation </w:t>
            </w:r>
            <w:proofErr w:type="gramStart"/>
            <w:r w:rsidR="001A0B4D">
              <w:rPr>
                <w:color w:val="000000"/>
              </w:rPr>
              <w:t>of</w:t>
            </w:r>
            <w:proofErr w:type="gramEnd"/>
            <w:r w:rsidR="001A0B4D">
              <w:rPr>
                <w:color w:val="000000"/>
              </w:rPr>
              <w:t xml:space="preserve"> a </w:t>
            </w:r>
            <w:r w:rsidR="001A0B4D">
              <w:rPr>
                <w:color w:val="000000"/>
              </w:rPr>
              <w:lastRenderedPageBreak/>
              <w:t>disallowance of $2</w:t>
            </w:r>
            <w:r w:rsidR="00E92C62">
              <w:rPr>
                <w:color w:val="000000"/>
              </w:rPr>
              <w:t xml:space="preserve">34 million.  TURN’s testimony and briefs challenged PG&amp;E’s decision-making process leading up to the approval of the 2021 Enhanced VM program, as well as PG&amp;E’s implementation and administration of the program.  TURN also focused on the utility’s “new guidance” issued in October of 2021 that resulted in far more trees being removed rather than trimmed.  </w:t>
            </w:r>
            <w:r w:rsidR="00363571">
              <w:rPr>
                <w:color w:val="000000"/>
              </w:rPr>
              <w:t xml:space="preserve">In addition, </w:t>
            </w:r>
            <w:r w:rsidR="00A7187E">
              <w:rPr>
                <w:color w:val="000000"/>
              </w:rPr>
              <w:t xml:space="preserve">TURN challenged PG&amp;E’s contentions that the </w:t>
            </w:r>
            <w:proofErr w:type="gramStart"/>
            <w:r w:rsidR="00A7187E">
              <w:rPr>
                <w:color w:val="000000"/>
              </w:rPr>
              <w:t>incurred costs</w:t>
            </w:r>
            <w:proofErr w:type="gramEnd"/>
            <w:r w:rsidR="00A7187E">
              <w:rPr>
                <w:color w:val="000000"/>
              </w:rPr>
              <w:t xml:space="preserve"> were tied to the utility’s need to comply with the Commission’s oversight and enforcement process. </w:t>
            </w:r>
          </w:p>
          <w:p w:rsidR="00C572CB" w:rsidP="00FE7EBA" w:rsidRDefault="00BD6380" w14:paraId="3921BB9C" w14:textId="76298A2D">
            <w:pPr>
              <w:spacing w:before="120"/>
              <w:rPr>
                <w:color w:val="000000"/>
              </w:rPr>
            </w:pPr>
            <w:r>
              <w:rPr>
                <w:color w:val="000000"/>
              </w:rPr>
              <w:t xml:space="preserve">The Commission adopted a disallowance of $217 million, a figure just below TURN’s alternative recommendation.  </w:t>
            </w:r>
            <w:r w:rsidR="00DC30A0">
              <w:rPr>
                <w:color w:val="000000"/>
              </w:rPr>
              <w:t xml:space="preserve">The decision cites </w:t>
            </w:r>
            <w:proofErr w:type="gramStart"/>
            <w:r w:rsidR="00DC30A0">
              <w:rPr>
                <w:color w:val="000000"/>
              </w:rPr>
              <w:t>in particular the</w:t>
            </w:r>
            <w:proofErr w:type="gramEnd"/>
            <w:r w:rsidR="00DC30A0">
              <w:rPr>
                <w:color w:val="000000"/>
              </w:rPr>
              <w:t xml:space="preserve"> impact of the new tree removal directive issued in October 2021, and the substantial increases in the average per tree costs indicated by the recorded amounts for November and December 2021.</w:t>
            </w:r>
            <w:r w:rsidR="00A7187E">
              <w:rPr>
                <w:color w:val="000000"/>
              </w:rPr>
              <w:t xml:space="preserve"> </w:t>
            </w:r>
            <w:r w:rsidR="000E29FE">
              <w:rPr>
                <w:color w:val="000000"/>
              </w:rPr>
              <w:t xml:space="preserve"> </w:t>
            </w:r>
            <w:r w:rsidR="005B442C">
              <w:rPr>
                <w:color w:val="000000"/>
              </w:rPr>
              <w:t>Consistent with TURN’s position, t</w:t>
            </w:r>
            <w:r w:rsidR="000E29FE">
              <w:rPr>
                <w:color w:val="000000"/>
              </w:rPr>
              <w:t xml:space="preserve">he Commission also rejected PG&amp;E’s suggestion that </w:t>
            </w:r>
            <w:r w:rsidR="00505890">
              <w:rPr>
                <w:color w:val="000000"/>
              </w:rPr>
              <w:t xml:space="preserve">costs </w:t>
            </w:r>
            <w:r w:rsidR="005B442C">
              <w:rPr>
                <w:color w:val="000000"/>
              </w:rPr>
              <w:t>driven by</w:t>
            </w:r>
            <w:r w:rsidR="00505890">
              <w:rPr>
                <w:color w:val="000000"/>
              </w:rPr>
              <w:t xml:space="preserve"> PG&amp;E’s</w:t>
            </w:r>
            <w:r w:rsidR="00C21B8C">
              <w:rPr>
                <w:color w:val="000000"/>
              </w:rPr>
              <w:t xml:space="preserve"> new focus on tree removal</w:t>
            </w:r>
            <w:r w:rsidR="00F1200F">
              <w:rPr>
                <w:color w:val="000000"/>
              </w:rPr>
              <w:t xml:space="preserve"> </w:t>
            </w:r>
            <w:r w:rsidR="00101F07">
              <w:rPr>
                <w:color w:val="000000"/>
              </w:rPr>
              <w:t>were prudent because they stemmed from PG&amp;E’s</w:t>
            </w:r>
            <w:r w:rsidR="00C21B8C">
              <w:rPr>
                <w:color w:val="000000"/>
              </w:rPr>
              <w:t xml:space="preserve"> response to </w:t>
            </w:r>
            <w:r w:rsidR="00F1200F">
              <w:rPr>
                <w:color w:val="000000"/>
              </w:rPr>
              <w:t>the Commission’s oversight and enforcement process</w:t>
            </w:r>
            <w:r w:rsidR="005B442C">
              <w:rPr>
                <w:color w:val="000000"/>
              </w:rPr>
              <w:t>.</w:t>
            </w:r>
            <w:r w:rsidR="00F1200F">
              <w:rPr>
                <w:color w:val="000000"/>
              </w:rPr>
              <w:t xml:space="preserve"> </w:t>
            </w:r>
          </w:p>
          <w:p w:rsidR="00BD6380" w:rsidP="00FE7EBA" w:rsidRDefault="00A7187E" w14:paraId="6B5D90D6" w14:textId="3B0502CC">
            <w:pPr>
              <w:spacing w:before="120"/>
              <w:rPr>
                <w:color w:val="000000"/>
              </w:rPr>
            </w:pPr>
            <w:r>
              <w:rPr>
                <w:color w:val="000000"/>
              </w:rPr>
              <w:t xml:space="preserve">The Commission calculated the disallowance in a different manner than that underlying TURN’s alternative </w:t>
            </w:r>
            <w:proofErr w:type="gramStart"/>
            <w:r>
              <w:rPr>
                <w:color w:val="000000"/>
              </w:rPr>
              <w:t>recommendation, but</w:t>
            </w:r>
            <w:proofErr w:type="gramEnd"/>
            <w:r>
              <w:rPr>
                <w:color w:val="000000"/>
              </w:rPr>
              <w:t xml:space="preserve"> focused on the same period (the last quarter </w:t>
            </w:r>
            <w:r>
              <w:rPr>
                <w:color w:val="000000"/>
              </w:rPr>
              <w:lastRenderedPageBreak/>
              <w:t>of 2021) and reached a similar conclusion</w:t>
            </w:r>
            <w:r w:rsidR="005B442C">
              <w:rPr>
                <w:color w:val="000000"/>
              </w:rPr>
              <w:t xml:space="preserve"> about the amount reasonable for recovery</w:t>
            </w:r>
            <w:r>
              <w:rPr>
                <w:color w:val="000000"/>
              </w:rPr>
              <w:t xml:space="preserve"> (disallowance of $217 million rather than TURN’s alternative recommendation of $234 million).  </w:t>
            </w:r>
            <w:r w:rsidR="005B442C">
              <w:rPr>
                <w:color w:val="000000"/>
              </w:rPr>
              <w:t xml:space="preserve">In reaching its conclusions, the Commission </w:t>
            </w:r>
            <w:r w:rsidR="00DE4BCF">
              <w:rPr>
                <w:color w:val="000000"/>
              </w:rPr>
              <w:t xml:space="preserve">favorably cited TURN-supplied record evidence presented </w:t>
            </w:r>
            <w:r w:rsidR="005B442C">
              <w:rPr>
                <w:color w:val="000000"/>
              </w:rPr>
              <w:t>through its testimony</w:t>
            </w:r>
            <w:r w:rsidR="00DE4BCF">
              <w:rPr>
                <w:color w:val="000000"/>
              </w:rPr>
              <w:t xml:space="preserve"> attachments</w:t>
            </w:r>
            <w:r w:rsidR="005B442C">
              <w:rPr>
                <w:color w:val="000000"/>
              </w:rPr>
              <w:t>, hearing exhibits, and cross-examination during evidentiary hearings.</w:t>
            </w:r>
          </w:p>
          <w:p w:rsidR="00ED20DA" w:rsidP="00FE7EBA" w:rsidRDefault="00ED20DA" w14:paraId="08B50D6A" w14:textId="77777777">
            <w:pPr>
              <w:spacing w:before="120"/>
              <w:rPr>
                <w:color w:val="000000"/>
              </w:rPr>
            </w:pPr>
          </w:p>
          <w:p w:rsidR="00F375A8" w:rsidP="00FE7EBA" w:rsidRDefault="00F375A8" w14:paraId="684ECDEF" w14:textId="7A19C16B">
            <w:pPr>
              <w:keepNext/>
              <w:keepLines/>
              <w:spacing w:before="240" w:after="240"/>
              <w:contextualSpacing/>
              <w:rPr>
                <w:rFonts w:asciiTheme="majorBidi" w:hAnsiTheme="majorBidi" w:cstheme="majorBidi"/>
                <w:b/>
                <w:color w:val="000000"/>
              </w:rPr>
            </w:pPr>
          </w:p>
        </w:tc>
        <w:tc>
          <w:tcPr>
            <w:tcW w:w="2880" w:type="dxa"/>
          </w:tcPr>
          <w:p w:rsidRPr="00312780" w:rsidR="00F375A8" w:rsidP="00FE7EBA" w:rsidRDefault="00F375A8" w14:paraId="384B3D01" w14:textId="77777777">
            <w:pPr>
              <w:spacing w:before="120"/>
            </w:pPr>
          </w:p>
          <w:p w:rsidRPr="00312780" w:rsidR="00F375A8" w:rsidP="00FE7EBA" w:rsidRDefault="00F375A8" w14:paraId="39702203" w14:textId="77777777">
            <w:pPr>
              <w:spacing w:before="120"/>
            </w:pPr>
          </w:p>
          <w:p w:rsidRPr="00312780" w:rsidR="00312780" w:rsidP="00FE7EBA" w:rsidRDefault="00312780" w14:paraId="59CE9BDF" w14:textId="77777777">
            <w:pPr>
              <w:spacing w:before="120"/>
            </w:pPr>
          </w:p>
          <w:p w:rsidRPr="00312780" w:rsidR="00312780" w:rsidP="00FE7EBA" w:rsidRDefault="00312780" w14:paraId="08BDEF40" w14:textId="77777777">
            <w:pPr>
              <w:spacing w:before="120"/>
            </w:pPr>
          </w:p>
          <w:p w:rsidRPr="00312780" w:rsidR="00F375A8" w:rsidP="00FE7EBA" w:rsidRDefault="00312780" w14:paraId="1DD58DFB" w14:textId="702F3694">
            <w:pPr>
              <w:pStyle w:val="ListParagraph"/>
              <w:numPr>
                <w:ilvl w:val="0"/>
                <w:numId w:val="16"/>
              </w:numPr>
              <w:spacing w:before="120"/>
              <w:rPr>
                <w:rFonts w:ascii="Times New Roman" w:hAnsi="Times New Roman"/>
                <w:sz w:val="24"/>
                <w:szCs w:val="24"/>
              </w:rPr>
            </w:pPr>
            <w:r w:rsidRPr="00312780">
              <w:rPr>
                <w:rFonts w:asciiTheme="majorBidi" w:hAnsiTheme="majorBidi" w:cstheme="majorBidi"/>
                <w:bCs/>
                <w:color w:val="000000"/>
                <w:sz w:val="24"/>
                <w:szCs w:val="24"/>
              </w:rPr>
              <w:t>D.2</w:t>
            </w:r>
            <w:r w:rsidR="00E23B0F">
              <w:rPr>
                <w:rFonts w:asciiTheme="majorBidi" w:hAnsiTheme="majorBidi" w:cstheme="majorBidi"/>
                <w:bCs/>
                <w:color w:val="000000"/>
                <w:sz w:val="24"/>
                <w:szCs w:val="24"/>
              </w:rPr>
              <w:t>5</w:t>
            </w:r>
            <w:r w:rsidRPr="00312780">
              <w:rPr>
                <w:rFonts w:asciiTheme="majorBidi" w:hAnsiTheme="majorBidi" w:cstheme="majorBidi"/>
                <w:bCs/>
                <w:color w:val="000000"/>
                <w:sz w:val="24"/>
                <w:szCs w:val="24"/>
              </w:rPr>
              <w:t>-</w:t>
            </w:r>
            <w:r w:rsidR="00E23B0F">
              <w:rPr>
                <w:rFonts w:asciiTheme="majorBidi" w:hAnsiTheme="majorBidi" w:cstheme="majorBidi"/>
                <w:bCs/>
                <w:color w:val="000000"/>
                <w:sz w:val="24"/>
                <w:szCs w:val="24"/>
              </w:rPr>
              <w:t>09</w:t>
            </w:r>
            <w:r w:rsidRPr="00312780">
              <w:rPr>
                <w:rFonts w:asciiTheme="majorBidi" w:hAnsiTheme="majorBidi" w:cstheme="majorBidi"/>
                <w:bCs/>
                <w:color w:val="000000"/>
                <w:sz w:val="24"/>
                <w:szCs w:val="24"/>
              </w:rPr>
              <w:t>-00</w:t>
            </w:r>
            <w:r w:rsidR="00E23B0F">
              <w:rPr>
                <w:rFonts w:asciiTheme="majorBidi" w:hAnsiTheme="majorBidi" w:cstheme="majorBidi"/>
                <w:bCs/>
                <w:color w:val="000000"/>
                <w:sz w:val="24"/>
                <w:szCs w:val="24"/>
              </w:rPr>
              <w:t>8</w:t>
            </w:r>
            <w:r w:rsidRPr="00312780" w:rsidR="00F375A8">
              <w:rPr>
                <w:rFonts w:ascii="Times New Roman" w:hAnsi="Times New Roman"/>
                <w:sz w:val="24"/>
                <w:szCs w:val="24"/>
              </w:rPr>
              <w:t>, p</w:t>
            </w:r>
            <w:r w:rsidR="004A7685">
              <w:rPr>
                <w:rFonts w:ascii="Times New Roman" w:hAnsi="Times New Roman"/>
                <w:sz w:val="24"/>
                <w:szCs w:val="24"/>
              </w:rPr>
              <w:t>p</w:t>
            </w:r>
            <w:r w:rsidRPr="00312780" w:rsidR="00F375A8">
              <w:rPr>
                <w:rFonts w:ascii="Times New Roman" w:hAnsi="Times New Roman"/>
                <w:sz w:val="24"/>
                <w:szCs w:val="24"/>
              </w:rPr>
              <w:t xml:space="preserve">. </w:t>
            </w:r>
            <w:r w:rsidR="004A7685">
              <w:rPr>
                <w:rFonts w:ascii="Times New Roman" w:hAnsi="Times New Roman"/>
                <w:sz w:val="24"/>
                <w:szCs w:val="24"/>
              </w:rPr>
              <w:t>2, and 19-20</w:t>
            </w:r>
            <w:r w:rsidRPr="00312780" w:rsidR="00F375A8">
              <w:rPr>
                <w:rFonts w:ascii="Times New Roman" w:hAnsi="Times New Roman"/>
                <w:sz w:val="24"/>
                <w:szCs w:val="24"/>
              </w:rPr>
              <w:t>.</w:t>
            </w:r>
          </w:p>
          <w:p w:rsidRPr="00312780" w:rsidR="00F375A8" w:rsidP="00FE7EBA" w:rsidRDefault="00F375A8" w14:paraId="3ECC9627" w14:textId="77777777">
            <w:pPr>
              <w:spacing w:before="120"/>
            </w:pPr>
          </w:p>
          <w:p w:rsidRPr="00312780" w:rsidR="00F375A8" w:rsidP="00FE7EBA" w:rsidRDefault="00F375A8" w14:paraId="49A91ABA" w14:textId="77777777">
            <w:pPr>
              <w:spacing w:before="120"/>
            </w:pPr>
          </w:p>
          <w:p w:rsidRPr="00312780" w:rsidR="00F375A8" w:rsidP="00FE7EBA" w:rsidRDefault="00F375A8" w14:paraId="77733320" w14:textId="77777777">
            <w:pPr>
              <w:spacing w:before="120"/>
            </w:pPr>
          </w:p>
          <w:p w:rsidRPr="00312780" w:rsidR="00F375A8" w:rsidP="00FE7EBA" w:rsidRDefault="00F375A8" w14:paraId="197D3F80" w14:textId="77777777">
            <w:pPr>
              <w:spacing w:before="120"/>
            </w:pPr>
          </w:p>
          <w:p w:rsidRPr="00312780" w:rsidR="00312780" w:rsidP="00FE7EBA" w:rsidRDefault="00312780" w14:paraId="2B5ADD04" w14:textId="77777777">
            <w:pPr>
              <w:spacing w:before="120"/>
            </w:pPr>
          </w:p>
          <w:p w:rsidRPr="00312780" w:rsidR="00312780" w:rsidP="00FE7EBA" w:rsidRDefault="00312780" w14:paraId="6EE3EE0E" w14:textId="77777777">
            <w:pPr>
              <w:spacing w:before="120"/>
            </w:pPr>
          </w:p>
          <w:p w:rsidRPr="00312780" w:rsidR="00312780" w:rsidP="00FE7EBA" w:rsidRDefault="00312780" w14:paraId="164F2322" w14:textId="77777777">
            <w:pPr>
              <w:spacing w:before="120"/>
            </w:pPr>
          </w:p>
          <w:p w:rsidRPr="004A7685" w:rsidR="004A7685" w:rsidP="00FE7EBA" w:rsidRDefault="004A7685" w14:paraId="0735CF99" w14:textId="5BFB182B">
            <w:pPr>
              <w:pStyle w:val="ListParagraph"/>
              <w:numPr>
                <w:ilvl w:val="0"/>
                <w:numId w:val="16"/>
              </w:numPr>
              <w:spacing w:before="120"/>
              <w:rPr>
                <w:rFonts w:ascii="Times New Roman" w:hAnsi="Times New Roman"/>
                <w:sz w:val="24"/>
                <w:szCs w:val="24"/>
              </w:rPr>
            </w:pPr>
            <w:r>
              <w:rPr>
                <w:rFonts w:asciiTheme="majorBidi" w:hAnsiTheme="majorBidi" w:cstheme="majorBidi"/>
                <w:bCs/>
                <w:color w:val="000000"/>
                <w:sz w:val="24"/>
                <w:szCs w:val="24"/>
              </w:rPr>
              <w:t>Ex. TURN-1 (Testimony of Eric Borden)</w:t>
            </w:r>
            <w:r w:rsidR="00363571">
              <w:rPr>
                <w:rFonts w:asciiTheme="majorBidi" w:hAnsiTheme="majorBidi" w:cstheme="majorBidi"/>
                <w:bCs/>
                <w:color w:val="000000"/>
                <w:sz w:val="24"/>
                <w:szCs w:val="24"/>
              </w:rPr>
              <w:t>, pp. 5-22.</w:t>
            </w:r>
          </w:p>
          <w:p w:rsidRPr="00312780" w:rsidR="00F375A8" w:rsidP="00FE7EBA" w:rsidRDefault="00F375A8" w14:paraId="74F9C220" w14:textId="6D45B3CD">
            <w:pPr>
              <w:pStyle w:val="ListParagraph"/>
              <w:numPr>
                <w:ilvl w:val="0"/>
                <w:numId w:val="16"/>
              </w:numPr>
              <w:spacing w:before="120"/>
              <w:rPr>
                <w:rFonts w:ascii="Times New Roman" w:hAnsi="Times New Roman"/>
                <w:sz w:val="24"/>
                <w:szCs w:val="24"/>
              </w:rPr>
            </w:pPr>
            <w:r w:rsidRPr="00312780">
              <w:rPr>
                <w:rFonts w:ascii="Times New Roman" w:hAnsi="Times New Roman"/>
                <w:color w:val="000000"/>
                <w:sz w:val="24"/>
                <w:szCs w:val="24"/>
              </w:rPr>
              <w:lastRenderedPageBreak/>
              <w:t xml:space="preserve">TURN </w:t>
            </w:r>
            <w:r w:rsidRPr="00312780" w:rsidR="00312780">
              <w:rPr>
                <w:rFonts w:ascii="Times New Roman" w:hAnsi="Times New Roman"/>
                <w:color w:val="000000"/>
                <w:sz w:val="24"/>
                <w:szCs w:val="24"/>
              </w:rPr>
              <w:t>Opening Brief</w:t>
            </w:r>
            <w:r w:rsidRPr="00312780">
              <w:rPr>
                <w:rFonts w:ascii="Times New Roman" w:hAnsi="Times New Roman"/>
                <w:color w:val="000000"/>
                <w:sz w:val="24"/>
                <w:szCs w:val="24"/>
              </w:rPr>
              <w:t xml:space="preserve">, pp. </w:t>
            </w:r>
            <w:r w:rsidR="00363571">
              <w:rPr>
                <w:rFonts w:ascii="Times New Roman" w:hAnsi="Times New Roman"/>
                <w:color w:val="000000"/>
                <w:sz w:val="24"/>
                <w:szCs w:val="24"/>
              </w:rPr>
              <w:t>3</w:t>
            </w:r>
            <w:r w:rsidRPr="00312780">
              <w:rPr>
                <w:rFonts w:ascii="Times New Roman" w:hAnsi="Times New Roman"/>
                <w:color w:val="000000"/>
                <w:sz w:val="24"/>
                <w:szCs w:val="24"/>
              </w:rPr>
              <w:t>-</w:t>
            </w:r>
            <w:r w:rsidRPr="00312780" w:rsidR="00312780">
              <w:rPr>
                <w:rFonts w:ascii="Times New Roman" w:hAnsi="Times New Roman"/>
                <w:color w:val="000000"/>
                <w:sz w:val="24"/>
                <w:szCs w:val="24"/>
              </w:rPr>
              <w:t>1</w:t>
            </w:r>
            <w:r w:rsidR="00363571">
              <w:rPr>
                <w:rFonts w:ascii="Times New Roman" w:hAnsi="Times New Roman"/>
                <w:color w:val="000000"/>
                <w:sz w:val="24"/>
                <w:szCs w:val="24"/>
              </w:rPr>
              <w:t>7</w:t>
            </w:r>
            <w:r w:rsidRPr="00312780">
              <w:rPr>
                <w:rFonts w:ascii="Times New Roman" w:hAnsi="Times New Roman"/>
                <w:color w:val="000000"/>
                <w:sz w:val="24"/>
                <w:szCs w:val="24"/>
              </w:rPr>
              <w:t>.</w:t>
            </w:r>
          </w:p>
          <w:p w:rsidRPr="00312780" w:rsidR="00F375A8" w:rsidP="00FE7EBA" w:rsidRDefault="00F375A8" w14:paraId="2C994168" w14:textId="77777777">
            <w:pPr>
              <w:spacing w:before="120"/>
            </w:pPr>
          </w:p>
          <w:p w:rsidRPr="00312780" w:rsidR="00F375A8" w:rsidP="00FE7EBA" w:rsidRDefault="00F375A8" w14:paraId="0E6F0F52" w14:textId="77777777">
            <w:pPr>
              <w:spacing w:before="120"/>
            </w:pPr>
          </w:p>
          <w:p w:rsidRPr="00312780" w:rsidR="00F375A8" w:rsidP="00FE7EBA" w:rsidRDefault="00F375A8" w14:paraId="55AB7CC7" w14:textId="77777777">
            <w:pPr>
              <w:spacing w:before="120"/>
            </w:pPr>
          </w:p>
          <w:p w:rsidRPr="00312780" w:rsidR="00F375A8" w:rsidP="00FE7EBA" w:rsidRDefault="00F375A8" w14:paraId="2EDEBCC7" w14:textId="77777777">
            <w:pPr>
              <w:spacing w:before="120"/>
            </w:pPr>
          </w:p>
          <w:p w:rsidRPr="00312780" w:rsidR="00F375A8" w:rsidP="00FE7EBA" w:rsidRDefault="00F375A8" w14:paraId="31FCFA02" w14:textId="77777777">
            <w:pPr>
              <w:spacing w:before="120"/>
            </w:pPr>
          </w:p>
          <w:p w:rsidRPr="00312780" w:rsidR="00312780" w:rsidP="00FE7EBA" w:rsidRDefault="00312780" w14:paraId="053D0282" w14:textId="77777777">
            <w:pPr>
              <w:spacing w:before="120"/>
            </w:pPr>
          </w:p>
          <w:p w:rsidRPr="00312780" w:rsidR="00312780" w:rsidP="00FE7EBA" w:rsidRDefault="00312780" w14:paraId="2118CDFF" w14:textId="77777777">
            <w:pPr>
              <w:spacing w:before="120"/>
            </w:pPr>
          </w:p>
          <w:p w:rsidRPr="00312780" w:rsidR="00312780" w:rsidP="00FE7EBA" w:rsidRDefault="00312780" w14:paraId="4DB29C44" w14:textId="77777777">
            <w:pPr>
              <w:spacing w:before="120"/>
            </w:pPr>
          </w:p>
          <w:p w:rsidRPr="00312780" w:rsidR="00312780" w:rsidP="00FE7EBA" w:rsidRDefault="00312780" w14:paraId="223C2EF6" w14:textId="77777777">
            <w:pPr>
              <w:spacing w:before="120"/>
            </w:pPr>
          </w:p>
          <w:p w:rsidRPr="00312780" w:rsidR="00312780" w:rsidP="00FE7EBA" w:rsidRDefault="00312780" w14:paraId="7AE6C591" w14:textId="77777777">
            <w:pPr>
              <w:spacing w:before="120"/>
            </w:pPr>
          </w:p>
          <w:p w:rsidRPr="00312780" w:rsidR="001C14B7" w:rsidP="00FE7EBA" w:rsidRDefault="001C14B7" w14:paraId="4FEB11A4" w14:textId="167117CB">
            <w:pPr>
              <w:pStyle w:val="ListParagraph"/>
              <w:numPr>
                <w:ilvl w:val="0"/>
                <w:numId w:val="16"/>
              </w:numPr>
              <w:spacing w:before="120"/>
              <w:rPr>
                <w:rFonts w:ascii="Times New Roman" w:hAnsi="Times New Roman"/>
                <w:sz w:val="24"/>
                <w:szCs w:val="24"/>
              </w:rPr>
            </w:pPr>
            <w:r w:rsidRPr="00312780">
              <w:rPr>
                <w:rFonts w:ascii="Times New Roman" w:hAnsi="Times New Roman"/>
                <w:color w:val="000000"/>
                <w:sz w:val="24"/>
                <w:szCs w:val="24"/>
              </w:rPr>
              <w:t xml:space="preserve">TURN Opening Brief, pp. </w:t>
            </w:r>
            <w:r>
              <w:rPr>
                <w:rFonts w:ascii="Times New Roman" w:hAnsi="Times New Roman"/>
                <w:color w:val="000000"/>
                <w:sz w:val="24"/>
                <w:szCs w:val="24"/>
              </w:rPr>
              <w:t>17-21</w:t>
            </w:r>
            <w:r w:rsidRPr="00312780">
              <w:rPr>
                <w:rFonts w:ascii="Times New Roman" w:hAnsi="Times New Roman"/>
                <w:color w:val="000000"/>
                <w:sz w:val="24"/>
                <w:szCs w:val="24"/>
              </w:rPr>
              <w:t>.</w:t>
            </w:r>
          </w:p>
          <w:p w:rsidR="00312780" w:rsidP="00FE7EBA" w:rsidRDefault="00312780" w14:paraId="759CE46B" w14:textId="77777777">
            <w:pPr>
              <w:spacing w:before="120"/>
            </w:pPr>
          </w:p>
          <w:p w:rsidRPr="00312780" w:rsidR="001C14B7" w:rsidP="00FE7EBA" w:rsidRDefault="001C14B7" w14:paraId="2559574E" w14:textId="77777777">
            <w:pPr>
              <w:spacing w:before="120"/>
            </w:pPr>
          </w:p>
          <w:p w:rsidRPr="001C14B7" w:rsidR="00312780" w:rsidP="00FE7EBA" w:rsidRDefault="001C14B7" w14:paraId="08DA5405" w14:textId="1B974400">
            <w:pPr>
              <w:pStyle w:val="ListParagraph"/>
              <w:numPr>
                <w:ilvl w:val="0"/>
                <w:numId w:val="16"/>
              </w:numPr>
              <w:spacing w:before="120"/>
              <w:rPr>
                <w:rFonts w:ascii="Times New Roman" w:hAnsi="Times New Roman"/>
                <w:sz w:val="24"/>
                <w:szCs w:val="24"/>
              </w:rPr>
            </w:pPr>
            <w:r>
              <w:rPr>
                <w:rFonts w:asciiTheme="majorBidi" w:hAnsiTheme="majorBidi" w:cstheme="majorBidi"/>
                <w:bCs/>
                <w:color w:val="000000"/>
                <w:sz w:val="24"/>
                <w:szCs w:val="24"/>
              </w:rPr>
              <w:t>D.25-09-008, pp. 20-30</w:t>
            </w:r>
            <w:r w:rsidR="00771867">
              <w:rPr>
                <w:rFonts w:asciiTheme="majorBidi" w:hAnsiTheme="majorBidi" w:cstheme="majorBidi"/>
                <w:bCs/>
                <w:color w:val="000000"/>
                <w:sz w:val="24"/>
                <w:szCs w:val="24"/>
              </w:rPr>
              <w:t xml:space="preserve"> and FOF 15 and COL 3.</w:t>
            </w:r>
          </w:p>
          <w:p w:rsidR="001C14B7" w:rsidP="00FE7EBA" w:rsidRDefault="001C14B7" w14:paraId="0E830E7C" w14:textId="35B8CAF4">
            <w:pPr>
              <w:pStyle w:val="ListParagraph"/>
              <w:numPr>
                <w:ilvl w:val="0"/>
                <w:numId w:val="16"/>
              </w:numPr>
              <w:spacing w:before="120"/>
              <w:rPr>
                <w:rFonts w:ascii="Times New Roman" w:hAnsi="Times New Roman"/>
                <w:sz w:val="24"/>
                <w:szCs w:val="24"/>
              </w:rPr>
            </w:pPr>
            <w:r>
              <w:rPr>
                <w:rFonts w:ascii="Times New Roman" w:hAnsi="Times New Roman"/>
                <w:i/>
                <w:iCs/>
                <w:sz w:val="24"/>
                <w:szCs w:val="24"/>
              </w:rPr>
              <w:t>Id.</w:t>
            </w:r>
            <w:r>
              <w:rPr>
                <w:rFonts w:ascii="Times New Roman" w:hAnsi="Times New Roman"/>
                <w:sz w:val="24"/>
                <w:szCs w:val="24"/>
              </w:rPr>
              <w:t>, p</w:t>
            </w:r>
            <w:r w:rsidR="00A83C6F">
              <w:rPr>
                <w:rFonts w:ascii="Times New Roman" w:hAnsi="Times New Roman"/>
                <w:sz w:val="24"/>
                <w:szCs w:val="24"/>
              </w:rPr>
              <w:t>p</w:t>
            </w:r>
            <w:r>
              <w:rPr>
                <w:rFonts w:ascii="Times New Roman" w:hAnsi="Times New Roman"/>
                <w:sz w:val="24"/>
                <w:szCs w:val="24"/>
              </w:rPr>
              <w:t>. 26</w:t>
            </w:r>
            <w:r w:rsidR="00A83C6F">
              <w:rPr>
                <w:rFonts w:ascii="Times New Roman" w:hAnsi="Times New Roman"/>
                <w:sz w:val="24"/>
                <w:szCs w:val="24"/>
              </w:rPr>
              <w:t xml:space="preserve"> and 27</w:t>
            </w:r>
            <w:r w:rsidR="00771867">
              <w:rPr>
                <w:rFonts w:ascii="Times New Roman" w:hAnsi="Times New Roman"/>
                <w:sz w:val="24"/>
                <w:szCs w:val="24"/>
              </w:rPr>
              <w:t xml:space="preserve"> and FOF 4-5 and 14-15 and COL 3.</w:t>
            </w:r>
          </w:p>
          <w:p w:rsidR="001C14B7" w:rsidP="00FE7EBA" w:rsidRDefault="001C14B7" w14:paraId="718E67B7" w14:textId="77777777">
            <w:pPr>
              <w:spacing w:before="120"/>
            </w:pPr>
          </w:p>
          <w:p w:rsidR="001C14B7" w:rsidP="00FE7EBA" w:rsidRDefault="001C14B7" w14:paraId="376142C5" w14:textId="77777777">
            <w:pPr>
              <w:spacing w:before="120"/>
            </w:pPr>
          </w:p>
          <w:p w:rsidR="00A83C6F" w:rsidP="00FE7EBA" w:rsidRDefault="00A83C6F" w14:paraId="0FCC61E4" w14:textId="77777777">
            <w:pPr>
              <w:spacing w:before="120"/>
            </w:pPr>
          </w:p>
          <w:p w:rsidR="00A83C6F" w:rsidP="00FE7EBA" w:rsidRDefault="00A83C6F" w14:paraId="4998CD3B" w14:textId="77777777">
            <w:pPr>
              <w:spacing w:before="120"/>
            </w:pPr>
          </w:p>
          <w:p w:rsidR="00A83C6F" w:rsidP="00FE7EBA" w:rsidRDefault="00A83C6F" w14:paraId="336E69AD" w14:textId="77777777">
            <w:pPr>
              <w:spacing w:before="120"/>
            </w:pPr>
          </w:p>
          <w:p w:rsidR="00A83C6F" w:rsidP="00FE7EBA" w:rsidRDefault="00A83C6F" w14:paraId="198DAF5C" w14:textId="77777777">
            <w:pPr>
              <w:spacing w:before="120"/>
            </w:pPr>
          </w:p>
          <w:p w:rsidRPr="001C14B7" w:rsidR="001C14B7" w:rsidP="00FE7EBA" w:rsidRDefault="001C14B7" w14:paraId="46B54A5D" w14:textId="77777777">
            <w:pPr>
              <w:spacing w:before="120"/>
            </w:pPr>
          </w:p>
          <w:p w:rsidRPr="00312780" w:rsidR="00312780" w:rsidP="00FE7EBA" w:rsidRDefault="00312780" w14:paraId="7CCC62BD" w14:textId="77777777">
            <w:pPr>
              <w:pStyle w:val="ListParagraph"/>
              <w:spacing w:before="120"/>
              <w:rPr>
                <w:rFonts w:ascii="Times New Roman" w:hAnsi="Times New Roman"/>
                <w:sz w:val="24"/>
                <w:szCs w:val="24"/>
              </w:rPr>
            </w:pPr>
          </w:p>
          <w:p w:rsidR="00F375A8" w:rsidP="00FE7EBA" w:rsidRDefault="00F375A8" w14:paraId="68E2D0D5" w14:textId="77777777">
            <w:pPr>
              <w:spacing w:before="120"/>
            </w:pPr>
          </w:p>
          <w:p w:rsidRPr="00312780" w:rsidR="001C14B7" w:rsidP="00FE7EBA" w:rsidRDefault="001C14B7" w14:paraId="006402A7" w14:textId="77777777">
            <w:pPr>
              <w:spacing w:before="120"/>
            </w:pPr>
          </w:p>
          <w:p w:rsidR="001C14B7" w:rsidP="00FE7EBA" w:rsidRDefault="001C14B7" w14:paraId="1214DAF1" w14:textId="1281BA9F">
            <w:pPr>
              <w:pStyle w:val="ListParagraph"/>
              <w:numPr>
                <w:ilvl w:val="0"/>
                <w:numId w:val="16"/>
              </w:numPr>
              <w:spacing w:before="120"/>
              <w:rPr>
                <w:rFonts w:ascii="Times New Roman" w:hAnsi="Times New Roman"/>
                <w:sz w:val="24"/>
                <w:szCs w:val="24"/>
              </w:rPr>
            </w:pPr>
            <w:r>
              <w:rPr>
                <w:rFonts w:ascii="Times New Roman" w:hAnsi="Times New Roman"/>
                <w:i/>
                <w:iCs/>
                <w:sz w:val="24"/>
                <w:szCs w:val="24"/>
              </w:rPr>
              <w:t>Id.</w:t>
            </w:r>
            <w:r>
              <w:rPr>
                <w:rFonts w:ascii="Times New Roman" w:hAnsi="Times New Roman"/>
                <w:sz w:val="24"/>
                <w:szCs w:val="24"/>
              </w:rPr>
              <w:t>, p. 30</w:t>
            </w:r>
            <w:r w:rsidR="00771867">
              <w:rPr>
                <w:rFonts w:ascii="Times New Roman" w:hAnsi="Times New Roman"/>
                <w:sz w:val="24"/>
                <w:szCs w:val="24"/>
              </w:rPr>
              <w:t xml:space="preserve"> and FOF 6-13.</w:t>
            </w:r>
          </w:p>
          <w:p w:rsidR="001C14B7" w:rsidP="00FE7EBA" w:rsidRDefault="001C14B7" w14:paraId="451FFE75" w14:textId="77777777">
            <w:pPr>
              <w:spacing w:before="120"/>
            </w:pPr>
          </w:p>
          <w:p w:rsidRPr="00312780" w:rsidR="00F375A8" w:rsidP="00FE7EBA" w:rsidRDefault="00F375A8" w14:paraId="60727955" w14:textId="77777777">
            <w:pPr>
              <w:spacing w:before="120"/>
            </w:pPr>
          </w:p>
          <w:p w:rsidRPr="00312780" w:rsidR="00F375A8" w:rsidP="00FE7EBA" w:rsidRDefault="00F375A8" w14:paraId="22A598AF" w14:textId="77777777">
            <w:pPr>
              <w:spacing w:before="120"/>
            </w:pPr>
          </w:p>
          <w:p w:rsidRPr="00312780" w:rsidR="00F375A8" w:rsidP="00FE7EBA" w:rsidRDefault="00F375A8" w14:paraId="323F48FB" w14:textId="77777777">
            <w:pPr>
              <w:spacing w:before="120"/>
              <w:rPr>
                <w:rFonts w:asciiTheme="majorBidi" w:hAnsiTheme="majorBidi" w:cstheme="majorBidi"/>
                <w:b/>
                <w:color w:val="000000"/>
              </w:rPr>
            </w:pPr>
          </w:p>
        </w:tc>
        <w:tc>
          <w:tcPr>
            <w:tcW w:w="2965" w:type="dxa"/>
          </w:tcPr>
          <w:p w:rsidR="00F375A8" w:rsidP="00FE7EBA" w:rsidRDefault="00F375A8" w14:paraId="3316AABC"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3EAEF270"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493BE59C"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6D58F71A"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413477D1"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3CFAFD87"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4CD71D5F" w14:textId="77777777">
            <w:pPr>
              <w:keepNext/>
              <w:keepLines/>
              <w:spacing w:before="240" w:after="240"/>
              <w:contextualSpacing/>
              <w:jc w:val="center"/>
              <w:rPr>
                <w:rFonts w:asciiTheme="majorBidi" w:hAnsiTheme="majorBidi" w:cstheme="majorBidi"/>
                <w:b/>
                <w:color w:val="000000"/>
              </w:rPr>
            </w:pPr>
          </w:p>
          <w:p w:rsidR="00FE7EBA" w:rsidP="00FE7EBA" w:rsidRDefault="00FE7EBA" w14:paraId="14057160" w14:textId="77777777">
            <w:pPr>
              <w:keepNext/>
              <w:keepLines/>
              <w:spacing w:before="240" w:after="240"/>
              <w:contextualSpacing/>
              <w:jc w:val="center"/>
              <w:rPr>
                <w:rFonts w:asciiTheme="majorBidi" w:hAnsiTheme="majorBidi" w:cstheme="majorBidi"/>
                <w:bCs/>
                <w:color w:val="000000"/>
              </w:rPr>
            </w:pPr>
            <w:r>
              <w:rPr>
                <w:rFonts w:asciiTheme="majorBidi" w:hAnsiTheme="majorBidi" w:cstheme="majorBidi"/>
                <w:bCs/>
                <w:color w:val="000000"/>
              </w:rPr>
              <w:t>Verified</w:t>
            </w:r>
          </w:p>
          <w:p w:rsidR="00FE7EBA" w:rsidP="00FE7EBA" w:rsidRDefault="00FE7EBA" w14:paraId="08DEB7B8"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607BD3EF"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F60094C"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E704BA4"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D8EFB71"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9AA5E5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08B984E"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F29090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3DD5122F"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F2449AE"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10B8DB2"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CB3CCC9"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83464E3" w14:textId="77777777">
            <w:pPr>
              <w:keepNext/>
              <w:keepLines/>
              <w:spacing w:before="240" w:after="240"/>
              <w:contextualSpacing/>
              <w:jc w:val="center"/>
              <w:rPr>
                <w:rFonts w:asciiTheme="majorBidi" w:hAnsiTheme="majorBidi" w:cstheme="majorBidi"/>
                <w:bCs/>
                <w:color w:val="000000"/>
              </w:rPr>
            </w:pPr>
            <w:r>
              <w:rPr>
                <w:rFonts w:asciiTheme="majorBidi" w:hAnsiTheme="majorBidi" w:cstheme="majorBidi"/>
                <w:bCs/>
                <w:color w:val="000000"/>
              </w:rPr>
              <w:t>Verified</w:t>
            </w:r>
          </w:p>
          <w:p w:rsidR="00FE7EBA" w:rsidP="00FE7EBA" w:rsidRDefault="00FE7EBA" w14:paraId="1FFA732E"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E806A3C"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12C6A56C" w14:textId="6A84F72E">
            <w:pPr>
              <w:keepNext/>
              <w:keepLines/>
              <w:spacing w:before="240" w:after="240"/>
              <w:contextualSpacing/>
              <w:jc w:val="center"/>
              <w:rPr>
                <w:rFonts w:asciiTheme="majorBidi" w:hAnsiTheme="majorBidi" w:cstheme="majorBidi"/>
                <w:bCs/>
                <w:color w:val="000000"/>
              </w:rPr>
            </w:pPr>
            <w:r>
              <w:rPr>
                <w:rFonts w:asciiTheme="majorBidi" w:hAnsiTheme="majorBidi" w:cstheme="majorBidi"/>
                <w:bCs/>
                <w:color w:val="000000"/>
              </w:rPr>
              <w:lastRenderedPageBreak/>
              <w:t>Verified</w:t>
            </w:r>
          </w:p>
          <w:p w:rsidR="00FE7EBA" w:rsidP="00FE7EBA" w:rsidRDefault="00FE7EBA" w14:paraId="7AC64864"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1DF196E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E375B9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9F45238"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44493F2"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6492A274"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9E461C3"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2E3E79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1F7C1F2E"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902109D"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370B07ED"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3CF4216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6DFC2E55"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1CE1673F"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B2F2CB3"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69047C95"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870A87C" w14:textId="79F11B58">
            <w:pPr>
              <w:keepNext/>
              <w:keepLines/>
              <w:spacing w:before="240" w:after="240"/>
              <w:contextualSpacing/>
              <w:jc w:val="center"/>
              <w:rPr>
                <w:rFonts w:asciiTheme="majorBidi" w:hAnsiTheme="majorBidi" w:cstheme="majorBidi"/>
                <w:bCs/>
                <w:color w:val="000000"/>
              </w:rPr>
            </w:pPr>
            <w:r>
              <w:rPr>
                <w:rFonts w:asciiTheme="majorBidi" w:hAnsiTheme="majorBidi" w:cstheme="majorBidi"/>
                <w:bCs/>
                <w:color w:val="000000"/>
              </w:rPr>
              <w:t>Verified</w:t>
            </w:r>
          </w:p>
          <w:p w:rsidR="00FE7EBA" w:rsidP="00FE7EBA" w:rsidRDefault="00FE7EBA" w14:paraId="3902C32E"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945382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F84F8AB"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8EF54A2"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31E8A61"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BE7070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00F9F2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A255A5B" w14:textId="77777777">
            <w:pPr>
              <w:keepNext/>
              <w:keepLines/>
              <w:spacing w:before="240" w:after="240"/>
              <w:contextualSpacing/>
              <w:jc w:val="center"/>
              <w:rPr>
                <w:rFonts w:asciiTheme="majorBidi" w:hAnsiTheme="majorBidi" w:cstheme="majorBidi"/>
                <w:bCs/>
                <w:color w:val="000000"/>
              </w:rPr>
            </w:pPr>
            <w:r>
              <w:rPr>
                <w:rFonts w:asciiTheme="majorBidi" w:hAnsiTheme="majorBidi" w:cstheme="majorBidi"/>
                <w:bCs/>
                <w:color w:val="000000"/>
              </w:rPr>
              <w:t>Verified</w:t>
            </w:r>
          </w:p>
          <w:p w:rsidR="00FE7EBA" w:rsidP="00FE7EBA" w:rsidRDefault="00FE7EBA" w14:paraId="2EEE4DE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1F19CC3"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6CC3EE9"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76069F0"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C742048"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168C2D8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DD35147"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A666C5E"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244824C9"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71CD13E4"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666D3361"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1FFE4610"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3B6245A"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9CAE9ED"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4F034191"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7B4EC52"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5A5E8A41" w14:textId="77777777">
            <w:pPr>
              <w:keepNext/>
              <w:keepLines/>
              <w:spacing w:before="240" w:after="240"/>
              <w:contextualSpacing/>
              <w:jc w:val="center"/>
              <w:rPr>
                <w:rFonts w:asciiTheme="majorBidi" w:hAnsiTheme="majorBidi" w:cstheme="majorBidi"/>
                <w:bCs/>
                <w:color w:val="000000"/>
              </w:rPr>
            </w:pPr>
          </w:p>
          <w:p w:rsidR="00FE7EBA" w:rsidP="00FE7EBA" w:rsidRDefault="00FE7EBA" w14:paraId="06B63C54" w14:textId="77777777">
            <w:pPr>
              <w:keepNext/>
              <w:keepLines/>
              <w:spacing w:before="240" w:after="240"/>
              <w:contextualSpacing/>
              <w:jc w:val="center"/>
              <w:rPr>
                <w:rFonts w:asciiTheme="majorBidi" w:hAnsiTheme="majorBidi" w:cstheme="majorBidi"/>
                <w:bCs/>
                <w:color w:val="000000"/>
              </w:rPr>
            </w:pPr>
          </w:p>
          <w:p w:rsidR="00FE7EBA" w:rsidP="00FE7EBA" w:rsidRDefault="0029471B" w14:paraId="47D3005C" w14:textId="6C2C448F">
            <w:pPr>
              <w:keepNext/>
              <w:keepLines/>
              <w:spacing w:before="240" w:after="240"/>
              <w:contextualSpacing/>
              <w:jc w:val="center"/>
              <w:rPr>
                <w:rFonts w:asciiTheme="majorBidi" w:hAnsiTheme="majorBidi" w:cstheme="majorBidi"/>
                <w:bCs/>
                <w:color w:val="000000"/>
              </w:rPr>
            </w:pPr>
            <w:r>
              <w:rPr>
                <w:rFonts w:asciiTheme="majorBidi" w:hAnsiTheme="majorBidi" w:cstheme="majorBidi"/>
                <w:bCs/>
                <w:color w:val="000000"/>
              </w:rPr>
              <w:t>Verified</w:t>
            </w:r>
          </w:p>
          <w:p w:rsidRPr="00FE7EBA" w:rsidR="00FE7EBA" w:rsidP="0029471B" w:rsidRDefault="00FE7EBA" w14:paraId="40DF8207" w14:textId="0D55900C">
            <w:pPr>
              <w:keepNext/>
              <w:keepLines/>
              <w:spacing w:before="240" w:after="240"/>
              <w:contextualSpacing/>
              <w:rPr>
                <w:rFonts w:asciiTheme="majorBidi" w:hAnsiTheme="majorBidi" w:cstheme="majorBidi"/>
                <w:bCs/>
                <w:color w:val="000000"/>
              </w:rPr>
            </w:pPr>
          </w:p>
        </w:tc>
      </w:tr>
    </w:tbl>
    <w:p w:rsidRPr="00230F87" w:rsidR="00F375A8" w:rsidP="00F375A8" w:rsidRDefault="00F375A8" w14:paraId="59BB74B4" w14:textId="77777777">
      <w:pPr>
        <w:keepNext/>
        <w:keepLines/>
        <w:spacing w:before="240" w:after="240"/>
        <w:contextualSpacing/>
        <w:rPr>
          <w:rFonts w:asciiTheme="majorBidi" w:hAnsiTheme="majorBidi" w:cstheme="majorBidi"/>
          <w:b/>
          <w:color w:val="000000"/>
        </w:rPr>
      </w:pPr>
    </w:p>
    <w:p w:rsidRPr="0074245A" w:rsidR="00A92D0B" w:rsidP="005B5B44" w:rsidRDefault="00A92D0B" w14:paraId="0D4BCD3A" w14:textId="77777777">
      <w:pPr>
        <w:keepNext/>
        <w:numPr>
          <w:ilvl w:val="0"/>
          <w:numId w:val="8"/>
        </w:numPr>
        <w:spacing w:before="240" w:after="240"/>
        <w:rPr>
          <w:rFonts w:asciiTheme="majorBidi" w:hAnsiTheme="majorBidi" w:cstheme="majorBidi"/>
          <w:b/>
          <w:color w:val="000000"/>
        </w:rPr>
      </w:pPr>
      <w:r w:rsidRPr="0074245A">
        <w:rPr>
          <w:rFonts w:asciiTheme="majorBidi" w:hAnsiTheme="majorBidi" w:cstheme="majorBidi"/>
          <w:b/>
          <w:color w:val="000000"/>
        </w:rPr>
        <w:t xml:space="preserve">Duplication of Effort (§ 1801.3(f) </w:t>
      </w:r>
      <w:r w:rsidRPr="0074245A" w:rsidR="00F30DA8">
        <w:rPr>
          <w:rFonts w:asciiTheme="majorBidi" w:hAnsiTheme="majorBidi" w:cstheme="majorBidi"/>
          <w:b/>
          <w:color w:val="000000"/>
        </w:rPr>
        <w:t xml:space="preserve">and § </w:t>
      </w:r>
      <w:r w:rsidRPr="0074245A" w:rsidR="0022302F">
        <w:rPr>
          <w:rFonts w:asciiTheme="majorBidi" w:hAnsiTheme="majorBidi" w:cstheme="majorBidi"/>
          <w:b/>
          <w:color w:val="000000"/>
        </w:rPr>
        <w:t>1802.5)</w:t>
      </w:r>
      <w:r w:rsidRPr="0074245A" w:rsidR="00C02649">
        <w:rPr>
          <w:rFonts w:asciiTheme="majorBidi" w:hAnsiTheme="majorBidi" w:cstheme="majorBidi"/>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230F87" w:rsidR="00A92D0B" w:rsidTr="00FE7EBA" w14:paraId="76F3266C" w14:textId="77777777">
        <w:tc>
          <w:tcPr>
            <w:tcW w:w="6048" w:type="dxa"/>
            <w:shd w:val="clear" w:color="auto" w:fill="D9D9D9" w:themeFill="background1" w:themeFillShade="D9"/>
          </w:tcPr>
          <w:p w:rsidRPr="00230F87" w:rsidR="00A92D0B" w:rsidP="00FE7EBA" w:rsidRDefault="00A92D0B" w14:paraId="300CEDBC" w14:textId="77777777">
            <w:pPr>
              <w:keepNext/>
              <w:keepLines/>
              <w:rPr>
                <w:rFonts w:asciiTheme="majorBidi" w:hAnsiTheme="majorBidi" w:cstheme="majorBidi"/>
                <w:color w:val="000000"/>
              </w:rPr>
            </w:pPr>
          </w:p>
        </w:tc>
        <w:tc>
          <w:tcPr>
            <w:tcW w:w="1710" w:type="dxa"/>
            <w:tcBorders>
              <w:bottom w:val="single" w:color="auto" w:sz="4" w:space="0"/>
            </w:tcBorders>
            <w:shd w:val="clear" w:color="auto" w:fill="D9D9D9" w:themeFill="background1" w:themeFillShade="D9"/>
          </w:tcPr>
          <w:p w:rsidRPr="00230F87" w:rsidR="00A92D0B" w:rsidP="00FE7EBA" w:rsidRDefault="005A63D4" w14:paraId="7B091096" w14:textId="77777777">
            <w:pPr>
              <w:keepNext/>
              <w:keepLines/>
              <w:jc w:val="center"/>
              <w:rPr>
                <w:rFonts w:asciiTheme="majorBidi" w:hAnsiTheme="majorBidi" w:cstheme="majorBidi"/>
                <w:b/>
                <w:color w:val="000000"/>
              </w:rPr>
            </w:pPr>
            <w:r w:rsidRPr="00230F87">
              <w:rPr>
                <w:rFonts w:asciiTheme="majorBidi" w:hAnsiTheme="majorBidi" w:cstheme="majorBidi"/>
                <w:b/>
                <w:color w:val="000000"/>
              </w:rPr>
              <w:t>Interveno</w:t>
            </w:r>
            <w:r w:rsidRPr="00230F87" w:rsidR="00204E3A">
              <w:rPr>
                <w:rFonts w:asciiTheme="majorBidi" w:hAnsiTheme="majorBidi" w:cstheme="majorBidi"/>
                <w:b/>
                <w:color w:val="000000"/>
              </w:rPr>
              <w:t>r</w:t>
            </w:r>
            <w:r w:rsidRPr="00230F87">
              <w:rPr>
                <w:rFonts w:asciiTheme="majorBidi" w:hAnsiTheme="majorBidi" w:cstheme="majorBidi"/>
                <w:b/>
                <w:color w:val="000000"/>
              </w:rPr>
              <w:t xml:space="preserve">’s </w:t>
            </w:r>
            <w:r w:rsidRPr="00230F87" w:rsidR="00D075B1">
              <w:rPr>
                <w:rFonts w:asciiTheme="majorBidi" w:hAnsiTheme="majorBidi" w:cstheme="majorBidi"/>
                <w:b/>
                <w:color w:val="000000"/>
              </w:rPr>
              <w:t>Assertion</w:t>
            </w:r>
          </w:p>
        </w:tc>
        <w:tc>
          <w:tcPr>
            <w:tcW w:w="1980" w:type="dxa"/>
            <w:shd w:val="clear" w:color="auto" w:fill="D9D9D9" w:themeFill="background1" w:themeFillShade="D9"/>
          </w:tcPr>
          <w:p w:rsidRPr="00230F87" w:rsidR="00A92D0B" w:rsidP="00FE7EBA" w:rsidRDefault="00A92D0B" w14:paraId="25CE5081" w14:textId="77777777">
            <w:pPr>
              <w:keepNext/>
              <w:keepLines/>
              <w:jc w:val="center"/>
              <w:rPr>
                <w:rFonts w:asciiTheme="majorBidi" w:hAnsiTheme="majorBidi" w:cstheme="majorBidi"/>
                <w:b/>
                <w:color w:val="000000"/>
              </w:rPr>
            </w:pPr>
            <w:r w:rsidRPr="00230F87">
              <w:rPr>
                <w:rFonts w:asciiTheme="majorBidi" w:hAnsiTheme="majorBidi" w:cstheme="majorBidi"/>
                <w:b/>
                <w:color w:val="000000"/>
              </w:rPr>
              <w:t xml:space="preserve">CPUC </w:t>
            </w:r>
            <w:r w:rsidRPr="00230F87" w:rsidR="00D075B1">
              <w:rPr>
                <w:rFonts w:asciiTheme="majorBidi" w:hAnsiTheme="majorBidi" w:cstheme="majorBidi"/>
                <w:b/>
                <w:color w:val="000000"/>
              </w:rPr>
              <w:t>Discussion</w:t>
            </w:r>
          </w:p>
        </w:tc>
      </w:tr>
      <w:tr w:rsidRPr="00230F87" w:rsidR="00A92D0B" w:rsidTr="00FE7EBA" w14:paraId="24A12BE1" w14:textId="77777777">
        <w:tc>
          <w:tcPr>
            <w:tcW w:w="6048" w:type="dxa"/>
          </w:tcPr>
          <w:p w:rsidRPr="00230F87" w:rsidR="00A92D0B" w:rsidP="00FE7EBA" w:rsidRDefault="00A92D0B" w14:paraId="6915FAF6" w14:textId="1FEF40B5">
            <w:pPr>
              <w:keepLines/>
              <w:ind w:left="360" w:hanging="360"/>
              <w:rPr>
                <w:rFonts w:asciiTheme="majorBidi" w:hAnsiTheme="majorBidi" w:cstheme="majorBidi"/>
                <w:b/>
                <w:color w:val="000000"/>
              </w:rPr>
            </w:pPr>
            <w:r w:rsidRPr="00230F87">
              <w:rPr>
                <w:rFonts w:asciiTheme="majorBidi" w:hAnsiTheme="majorBidi" w:cstheme="majorBidi"/>
                <w:b/>
                <w:color w:val="000000"/>
              </w:rPr>
              <w:t>a.</w:t>
            </w:r>
            <w:r w:rsidRPr="00230F87">
              <w:rPr>
                <w:rFonts w:asciiTheme="majorBidi" w:hAnsiTheme="majorBidi" w:cstheme="majorBidi"/>
                <w:b/>
                <w:color w:val="000000"/>
              </w:rPr>
              <w:tab/>
            </w:r>
            <w:r w:rsidRPr="00230F87">
              <w:rPr>
                <w:rFonts w:asciiTheme="majorBidi" w:hAnsiTheme="majorBidi" w:cstheme="majorBidi"/>
                <w:b/>
              </w:rPr>
              <w:t xml:space="preserve">Was the </w:t>
            </w:r>
            <w:r w:rsidRPr="00230F87" w:rsidR="009E48E4">
              <w:rPr>
                <w:rFonts w:asciiTheme="majorBidi" w:hAnsiTheme="majorBidi" w:cstheme="majorBidi"/>
                <w:b/>
                <w:color w:val="000000"/>
              </w:rPr>
              <w:t>Public Advocate</w:t>
            </w:r>
            <w:r w:rsidRPr="00230F87" w:rsidR="00621A7C">
              <w:rPr>
                <w:rFonts w:asciiTheme="majorBidi" w:hAnsiTheme="majorBidi" w:cstheme="majorBidi"/>
                <w:b/>
                <w:color w:val="000000"/>
              </w:rPr>
              <w:t>’</w:t>
            </w:r>
            <w:r w:rsidRPr="00230F87" w:rsidR="009E48E4">
              <w:rPr>
                <w:rFonts w:asciiTheme="majorBidi" w:hAnsiTheme="majorBidi" w:cstheme="majorBidi"/>
                <w:b/>
                <w:color w:val="000000"/>
              </w:rPr>
              <w:t>s Office of the Public Utilities Commission</w:t>
            </w:r>
            <w:r w:rsidRPr="00230F87" w:rsidR="009E48E4">
              <w:rPr>
                <w:rFonts w:asciiTheme="majorBidi" w:hAnsiTheme="majorBidi" w:cstheme="majorBidi"/>
                <w:b/>
              </w:rPr>
              <w:t xml:space="preserve"> </w:t>
            </w:r>
            <w:r w:rsidRPr="00230F87">
              <w:rPr>
                <w:rFonts w:asciiTheme="majorBidi" w:hAnsiTheme="majorBidi" w:cstheme="majorBidi"/>
                <w:b/>
                <w:color w:val="000000"/>
              </w:rPr>
              <w:t>(</w:t>
            </w:r>
            <w:r w:rsidRPr="00230F87" w:rsidR="00B55D78">
              <w:rPr>
                <w:rFonts w:asciiTheme="majorBidi" w:hAnsiTheme="majorBidi" w:cstheme="majorBidi"/>
                <w:b/>
                <w:color w:val="000000"/>
              </w:rPr>
              <w:t>Cal Advocates</w:t>
            </w:r>
            <w:r w:rsidRPr="00230F87">
              <w:rPr>
                <w:rFonts w:asciiTheme="majorBidi" w:hAnsiTheme="majorBidi" w:cstheme="majorBidi"/>
                <w:b/>
              </w:rPr>
              <w:t>) a party to the proceeding</w:t>
            </w:r>
            <w:r w:rsidRPr="00230F87">
              <w:rPr>
                <w:rFonts w:asciiTheme="majorBidi" w:hAnsiTheme="majorBidi" w:cstheme="majorBidi"/>
                <w:b/>
                <w:color w:val="000000"/>
              </w:rPr>
              <w:t>?</w:t>
            </w:r>
          </w:p>
        </w:tc>
        <w:tc>
          <w:tcPr>
            <w:tcW w:w="1710" w:type="dxa"/>
          </w:tcPr>
          <w:p w:rsidRPr="00230F87" w:rsidR="00A92D0B" w:rsidP="00FE7EBA" w:rsidRDefault="00397907" w14:paraId="0B49A7C8" w14:textId="25E487AA">
            <w:pPr>
              <w:keepNext/>
              <w:keepLines/>
              <w:rPr>
                <w:rFonts w:asciiTheme="majorBidi" w:hAnsiTheme="majorBidi" w:cstheme="majorBidi"/>
                <w:color w:val="000000"/>
              </w:rPr>
            </w:pPr>
            <w:r>
              <w:rPr>
                <w:rFonts w:asciiTheme="majorBidi" w:hAnsiTheme="majorBidi" w:cstheme="majorBidi"/>
                <w:color w:val="000000"/>
              </w:rPr>
              <w:t>Yes</w:t>
            </w:r>
          </w:p>
        </w:tc>
        <w:tc>
          <w:tcPr>
            <w:tcW w:w="1980" w:type="dxa"/>
          </w:tcPr>
          <w:p w:rsidRPr="00230F87" w:rsidR="00A92D0B" w:rsidP="00FE7EBA" w:rsidRDefault="00382C7F" w14:paraId="23B6532A" w14:textId="3323FF33">
            <w:pPr>
              <w:keepNext/>
              <w:keepLines/>
              <w:jc w:val="center"/>
              <w:rPr>
                <w:rFonts w:asciiTheme="majorBidi" w:hAnsiTheme="majorBidi" w:cstheme="majorBidi"/>
                <w:color w:val="000000"/>
              </w:rPr>
            </w:pPr>
            <w:r>
              <w:rPr>
                <w:rFonts w:asciiTheme="majorBidi" w:hAnsiTheme="majorBidi" w:cstheme="majorBidi"/>
                <w:color w:val="000000"/>
              </w:rPr>
              <w:t>Verified</w:t>
            </w:r>
          </w:p>
        </w:tc>
      </w:tr>
      <w:tr w:rsidRPr="00230F87" w:rsidR="00A92D0B" w:rsidTr="00FE7EBA" w14:paraId="3317BD71" w14:textId="77777777">
        <w:tc>
          <w:tcPr>
            <w:tcW w:w="6048" w:type="dxa"/>
          </w:tcPr>
          <w:p w:rsidRPr="00230F87" w:rsidR="00A92D0B" w:rsidP="00FE7EBA" w:rsidRDefault="00A92D0B" w14:paraId="561D245D" w14:textId="77777777">
            <w:pPr>
              <w:tabs>
                <w:tab w:val="left" w:pos="360"/>
              </w:tabs>
              <w:ind w:left="360" w:hanging="360"/>
              <w:rPr>
                <w:rFonts w:asciiTheme="majorBidi" w:hAnsiTheme="majorBidi" w:cstheme="majorBidi"/>
                <w:b/>
                <w:color w:val="000000"/>
              </w:rPr>
            </w:pPr>
            <w:r w:rsidRPr="00230F87">
              <w:rPr>
                <w:rFonts w:asciiTheme="majorBidi" w:hAnsiTheme="majorBidi" w:cstheme="majorBidi"/>
                <w:b/>
                <w:color w:val="000000"/>
              </w:rPr>
              <w:t>b.</w:t>
            </w:r>
            <w:r w:rsidRPr="00230F87">
              <w:rPr>
                <w:rFonts w:asciiTheme="majorBidi" w:hAnsiTheme="majorBidi" w:cstheme="majorBidi"/>
                <w:b/>
                <w:color w:val="000000"/>
              </w:rPr>
              <w:tab/>
              <w:t xml:space="preserve">Were there other parties to </w:t>
            </w:r>
            <w:proofErr w:type="gramStart"/>
            <w:r w:rsidRPr="00230F87">
              <w:rPr>
                <w:rFonts w:asciiTheme="majorBidi" w:hAnsiTheme="majorBidi" w:cstheme="majorBidi"/>
                <w:b/>
                <w:color w:val="000000"/>
              </w:rPr>
              <w:t>the proceeding</w:t>
            </w:r>
            <w:proofErr w:type="gramEnd"/>
            <w:r w:rsidRPr="00230F87">
              <w:rPr>
                <w:rFonts w:asciiTheme="majorBidi" w:hAnsiTheme="majorBidi" w:cstheme="majorBidi"/>
                <w:b/>
                <w:color w:val="000000"/>
              </w:rPr>
              <w:t xml:space="preserve"> with positions </w:t>
            </w:r>
            <w:proofErr w:type="gramStart"/>
            <w:r w:rsidRPr="00230F87">
              <w:rPr>
                <w:rFonts w:asciiTheme="majorBidi" w:hAnsiTheme="majorBidi" w:cstheme="majorBidi"/>
                <w:b/>
                <w:color w:val="000000"/>
              </w:rPr>
              <w:t>similar to</w:t>
            </w:r>
            <w:proofErr w:type="gramEnd"/>
            <w:r w:rsidRPr="00230F87">
              <w:rPr>
                <w:rFonts w:asciiTheme="majorBidi" w:hAnsiTheme="majorBidi" w:cstheme="majorBidi"/>
                <w:b/>
                <w:color w:val="000000"/>
              </w:rPr>
              <w:t xml:space="preserve"> yours? </w:t>
            </w:r>
          </w:p>
        </w:tc>
        <w:tc>
          <w:tcPr>
            <w:tcW w:w="1710" w:type="dxa"/>
          </w:tcPr>
          <w:p w:rsidRPr="00230F87" w:rsidR="00A92D0B" w:rsidP="00FE7EBA" w:rsidRDefault="00397907" w14:paraId="3708E485" w14:textId="75621F99">
            <w:pPr>
              <w:rPr>
                <w:rFonts w:asciiTheme="majorBidi" w:hAnsiTheme="majorBidi" w:cstheme="majorBidi"/>
                <w:color w:val="000000"/>
              </w:rPr>
            </w:pPr>
            <w:r>
              <w:rPr>
                <w:rFonts w:asciiTheme="majorBidi" w:hAnsiTheme="majorBidi" w:cstheme="majorBidi"/>
                <w:color w:val="000000"/>
              </w:rPr>
              <w:t>No</w:t>
            </w:r>
          </w:p>
        </w:tc>
        <w:tc>
          <w:tcPr>
            <w:tcW w:w="1980" w:type="dxa"/>
          </w:tcPr>
          <w:p w:rsidRPr="00230F87" w:rsidR="00A92D0B" w:rsidP="00FE7EBA" w:rsidRDefault="00382C7F" w14:paraId="6B3388E6" w14:textId="7CDCB3F5">
            <w:pPr>
              <w:jc w:val="center"/>
              <w:rPr>
                <w:rFonts w:asciiTheme="majorBidi" w:hAnsiTheme="majorBidi" w:cstheme="majorBidi"/>
                <w:color w:val="000000"/>
              </w:rPr>
            </w:pPr>
            <w:r>
              <w:rPr>
                <w:rFonts w:asciiTheme="majorBidi" w:hAnsiTheme="majorBidi" w:cstheme="majorBidi"/>
                <w:color w:val="000000"/>
              </w:rPr>
              <w:t>Verified</w:t>
            </w:r>
          </w:p>
        </w:tc>
      </w:tr>
      <w:tr w:rsidRPr="00230F87" w:rsidR="00A92D0B" w:rsidTr="00FE7EBA" w14:paraId="0A51B7D4" w14:textId="77777777">
        <w:tc>
          <w:tcPr>
            <w:tcW w:w="7758" w:type="dxa"/>
            <w:gridSpan w:val="2"/>
          </w:tcPr>
          <w:p w:rsidRPr="00230F87" w:rsidR="00A92D0B" w:rsidP="00FE7EBA" w:rsidRDefault="00A92D0B" w14:paraId="30CB6275" w14:textId="4932257C">
            <w:pPr>
              <w:ind w:left="360" w:hanging="360"/>
              <w:rPr>
                <w:rFonts w:asciiTheme="majorBidi" w:hAnsiTheme="majorBidi" w:cstheme="majorBidi"/>
                <w:color w:val="000000"/>
              </w:rPr>
            </w:pPr>
            <w:r w:rsidRPr="00230F87">
              <w:rPr>
                <w:rFonts w:asciiTheme="majorBidi" w:hAnsiTheme="majorBidi" w:cstheme="majorBidi"/>
                <w:b/>
                <w:color w:val="000000"/>
              </w:rPr>
              <w:t>c.</w:t>
            </w:r>
            <w:r w:rsidRPr="00230F87">
              <w:rPr>
                <w:rFonts w:asciiTheme="majorBidi" w:hAnsiTheme="majorBidi" w:cstheme="majorBidi"/>
                <w:b/>
                <w:color w:val="000000"/>
              </w:rPr>
              <w:tab/>
              <w:t>If so, provide name of other parties:</w:t>
            </w:r>
            <w:r w:rsidRPr="00230F87" w:rsidR="00E25078">
              <w:rPr>
                <w:rFonts w:asciiTheme="majorBidi" w:hAnsiTheme="majorBidi" w:cstheme="majorBidi"/>
                <w:color w:val="000000"/>
              </w:rPr>
              <w:t xml:space="preserve"> </w:t>
            </w:r>
            <w:r w:rsidR="00410B63">
              <w:rPr>
                <w:rFonts w:asciiTheme="majorBidi" w:hAnsiTheme="majorBidi" w:cstheme="majorBidi"/>
                <w:color w:val="000000"/>
              </w:rPr>
              <w:t>Cal Advocates and the Direct Access Customer Coalition (DACC) were both active parties in the proceeding.  However, neither of those parties addressed Vegetation Management issues generally, or the Enhanced Vegetation Management issues specifically.</w:t>
            </w:r>
          </w:p>
          <w:p w:rsidRPr="00230F87" w:rsidR="00A92D0B" w:rsidP="00FE7EBA" w:rsidRDefault="00A92D0B" w14:paraId="0919176B" w14:textId="506319C8">
            <w:pPr>
              <w:rPr>
                <w:rFonts w:asciiTheme="majorBidi" w:hAnsiTheme="majorBidi" w:cstheme="majorBidi"/>
                <w:color w:val="000000"/>
              </w:rPr>
            </w:pPr>
          </w:p>
        </w:tc>
        <w:tc>
          <w:tcPr>
            <w:tcW w:w="1980" w:type="dxa"/>
          </w:tcPr>
          <w:p w:rsidR="00382C7F" w:rsidP="00FE7EBA" w:rsidRDefault="00382C7F" w14:paraId="531BEA93" w14:textId="77777777">
            <w:pPr>
              <w:jc w:val="center"/>
              <w:rPr>
                <w:rFonts w:asciiTheme="majorBidi" w:hAnsiTheme="majorBidi" w:cstheme="majorBidi"/>
                <w:color w:val="000000"/>
              </w:rPr>
            </w:pPr>
          </w:p>
          <w:p w:rsidRPr="00230F87" w:rsidR="00A92D0B" w:rsidP="00FE7EBA" w:rsidRDefault="00382C7F" w14:paraId="22A40B49" w14:textId="2DC0A8E3">
            <w:pPr>
              <w:jc w:val="center"/>
              <w:rPr>
                <w:rFonts w:asciiTheme="majorBidi" w:hAnsiTheme="majorBidi" w:cstheme="majorBidi"/>
                <w:color w:val="000000"/>
              </w:rPr>
            </w:pPr>
            <w:r>
              <w:rPr>
                <w:rFonts w:asciiTheme="majorBidi" w:hAnsiTheme="majorBidi" w:cstheme="majorBidi"/>
                <w:color w:val="000000"/>
              </w:rPr>
              <w:t>Noted</w:t>
            </w:r>
          </w:p>
        </w:tc>
      </w:tr>
      <w:tr w:rsidRPr="00230F87" w:rsidR="00A92D0B" w:rsidTr="00FE7EBA" w14:paraId="744830F5" w14:textId="77777777">
        <w:tc>
          <w:tcPr>
            <w:tcW w:w="7758" w:type="dxa"/>
            <w:gridSpan w:val="2"/>
          </w:tcPr>
          <w:p w:rsidRPr="00D24FA8" w:rsidR="00A92D0B" w:rsidP="00FE7EBA" w:rsidRDefault="00A92D0B" w14:paraId="7C05FE5A" w14:textId="7521972E">
            <w:pPr>
              <w:tabs>
                <w:tab w:val="left" w:pos="360"/>
              </w:tabs>
              <w:ind w:left="360" w:hanging="360"/>
              <w:rPr>
                <w:rFonts w:asciiTheme="majorBidi" w:hAnsiTheme="majorBidi" w:cstheme="majorBidi"/>
                <w:color w:val="000000"/>
              </w:rPr>
            </w:pPr>
            <w:r w:rsidRPr="00D24FA8">
              <w:rPr>
                <w:rFonts w:asciiTheme="majorBidi" w:hAnsiTheme="majorBidi" w:cstheme="majorBidi"/>
                <w:b/>
                <w:color w:val="000000"/>
              </w:rPr>
              <w:t>d.</w:t>
            </w:r>
            <w:r w:rsidRPr="00D24FA8">
              <w:rPr>
                <w:rFonts w:asciiTheme="majorBidi" w:hAnsiTheme="majorBidi" w:cstheme="majorBidi"/>
                <w:b/>
                <w:color w:val="000000"/>
              </w:rPr>
              <w:tab/>
            </w:r>
            <w:r w:rsidRPr="00D24FA8" w:rsidR="00D075B1">
              <w:rPr>
                <w:rFonts w:asciiTheme="majorBidi" w:hAnsiTheme="majorBidi" w:cstheme="majorBidi"/>
                <w:b/>
                <w:color w:val="000000"/>
              </w:rPr>
              <w:t xml:space="preserve">Intervenor’s </w:t>
            </w:r>
            <w:r w:rsidRPr="00D24FA8" w:rsidR="00A319DE">
              <w:rPr>
                <w:rFonts w:asciiTheme="majorBidi" w:hAnsiTheme="majorBidi" w:cstheme="majorBidi"/>
                <w:b/>
                <w:color w:val="000000"/>
              </w:rPr>
              <w:t>c</w:t>
            </w:r>
            <w:r w:rsidRPr="00D24FA8" w:rsidR="00D075B1">
              <w:rPr>
                <w:rFonts w:asciiTheme="majorBidi" w:hAnsiTheme="majorBidi" w:cstheme="majorBidi"/>
                <w:b/>
                <w:color w:val="000000"/>
              </w:rPr>
              <w:t xml:space="preserve">laim of </w:t>
            </w:r>
            <w:r w:rsidRPr="00D24FA8" w:rsidR="00A319DE">
              <w:rPr>
                <w:rFonts w:asciiTheme="majorBidi" w:hAnsiTheme="majorBidi" w:cstheme="majorBidi"/>
                <w:b/>
                <w:color w:val="000000"/>
              </w:rPr>
              <w:t>n</w:t>
            </w:r>
            <w:r w:rsidRPr="00D24FA8" w:rsidR="00D075B1">
              <w:rPr>
                <w:rFonts w:asciiTheme="majorBidi" w:hAnsiTheme="majorBidi" w:cstheme="majorBidi"/>
                <w:b/>
                <w:color w:val="000000"/>
              </w:rPr>
              <w:t>on-</w:t>
            </w:r>
            <w:r w:rsidRPr="00D24FA8" w:rsidR="00A319DE">
              <w:rPr>
                <w:rFonts w:asciiTheme="majorBidi" w:hAnsiTheme="majorBidi" w:cstheme="majorBidi"/>
                <w:b/>
                <w:color w:val="000000"/>
              </w:rPr>
              <w:t>d</w:t>
            </w:r>
            <w:r w:rsidRPr="00D24FA8" w:rsidR="00D075B1">
              <w:rPr>
                <w:rFonts w:asciiTheme="majorBidi" w:hAnsiTheme="majorBidi" w:cstheme="majorBidi"/>
                <w:b/>
                <w:color w:val="000000"/>
              </w:rPr>
              <w:t>uplication:</w:t>
            </w:r>
            <w:r w:rsidRPr="00D24FA8" w:rsidR="00E25078">
              <w:rPr>
                <w:rFonts w:asciiTheme="majorBidi" w:hAnsiTheme="majorBidi" w:cstheme="majorBidi"/>
                <w:color w:val="000000"/>
              </w:rPr>
              <w:t xml:space="preserve"> </w:t>
            </w:r>
          </w:p>
          <w:p w:rsidRPr="00D24FA8" w:rsidR="009A6021" w:rsidP="00FE7EBA" w:rsidRDefault="009A6021" w14:paraId="1C9932BF" w14:textId="77777777">
            <w:pPr>
              <w:tabs>
                <w:tab w:val="left" w:pos="360"/>
              </w:tabs>
              <w:ind w:left="360" w:hanging="360"/>
              <w:rPr>
                <w:rFonts w:asciiTheme="majorBidi" w:hAnsiTheme="majorBidi" w:cstheme="majorBidi"/>
                <w:color w:val="000000"/>
              </w:rPr>
            </w:pPr>
          </w:p>
          <w:p w:rsidR="005674F6" w:rsidP="00FE7EBA" w:rsidRDefault="00410B63" w14:paraId="76AD9CF7" w14:textId="77777777">
            <w:pPr>
              <w:spacing w:before="120"/>
            </w:pPr>
            <w:r w:rsidRPr="00D24FA8">
              <w:t xml:space="preserve">At the outset of this proceeding TURN </w:t>
            </w:r>
            <w:r w:rsidR="004B436A">
              <w:t xml:space="preserve">coordinated </w:t>
            </w:r>
            <w:r w:rsidRPr="00D24FA8">
              <w:t>with Cal Advocates to determine how the intervenors’ limited resources could most effectively be deployed in this proceeding.  The upshot of this initial coordination effort was that TURN address</w:t>
            </w:r>
            <w:r w:rsidR="005674F6">
              <w:t>ed</w:t>
            </w:r>
            <w:r w:rsidRPr="00D24FA8">
              <w:t xml:space="preserve"> issues associated with </w:t>
            </w:r>
            <w:r w:rsidRPr="00D24FA8" w:rsidR="00D2429F">
              <w:t>PG&amp;E’s request for rate recovery of costs recorded in its VMBA (approximately $814.7 million of the $1,363.3 million total requested in this application – Ex. PG&amp;E-1, Table 1-1)</w:t>
            </w:r>
            <w:r w:rsidRPr="00D24FA8" w:rsidR="00D24FA8">
              <w:t>, while Cal Advocates would cover the issues associated with the WMBA and the CEMA and other memorandum accounts</w:t>
            </w:r>
            <w:r w:rsidRPr="00D24FA8" w:rsidR="00D2429F">
              <w:t xml:space="preserve">.  </w:t>
            </w:r>
            <w:r w:rsidR="005674F6">
              <w:t xml:space="preserve">(Cal Advocates Opening Brief, p. </w:t>
            </w:r>
            <w:r w:rsidR="005674F6">
              <w:lastRenderedPageBreak/>
              <w:t xml:space="preserve">1, indicating that neither its prepared testimony </w:t>
            </w:r>
            <w:proofErr w:type="gramStart"/>
            <w:r w:rsidR="005674F6">
              <w:t>or</w:t>
            </w:r>
            <w:proofErr w:type="gramEnd"/>
            <w:r w:rsidR="005674F6">
              <w:t xml:space="preserve"> opening brief addressed VMBA issues.)  </w:t>
            </w:r>
          </w:p>
          <w:p w:rsidRPr="00D24FA8" w:rsidR="006E2B8E" w:rsidP="00FE7EBA" w:rsidRDefault="00D24FA8" w14:paraId="76120E28" w14:textId="6488FF0E">
            <w:pPr>
              <w:spacing w:before="120"/>
              <w:rPr>
                <w:color w:val="000000"/>
              </w:rPr>
            </w:pPr>
            <w:r w:rsidRPr="00D24FA8">
              <w:t xml:space="preserve">Throughout the course of the proceeding, TURN further coordinated with the other intervenors in developing and advocating on various procedural matters such as timing and treatment of responses to the ALJ ruling of October 17, </w:t>
            </w:r>
            <w:proofErr w:type="gramStart"/>
            <w:r w:rsidRPr="00D24FA8">
              <w:t>2023</w:t>
            </w:r>
            <w:proofErr w:type="gramEnd"/>
            <w:r w:rsidRPr="00D24FA8">
              <w:t xml:space="preserve"> seeking additional </w:t>
            </w:r>
            <w:proofErr w:type="gramStart"/>
            <w:r w:rsidRPr="00D24FA8">
              <w:t>information</w:t>
            </w:r>
            <w:proofErr w:type="gramEnd"/>
            <w:r w:rsidRPr="00D24FA8">
              <w:t xml:space="preserve"> how PG&amp;E records costs and assigns them to various accounts. </w:t>
            </w:r>
          </w:p>
          <w:p w:rsidRPr="00D24FA8" w:rsidR="006E2B8E" w:rsidP="00FE7EBA" w:rsidRDefault="006E2B8E" w14:paraId="2DB5F8A3" w14:textId="77777777">
            <w:pPr>
              <w:tabs>
                <w:tab w:val="left" w:pos="360"/>
              </w:tabs>
              <w:rPr>
                <w:color w:val="000000"/>
              </w:rPr>
            </w:pPr>
          </w:p>
          <w:p w:rsidRPr="00D24FA8" w:rsidR="006E2B8E" w:rsidP="00FE7EBA" w:rsidRDefault="006E2B8E" w14:paraId="39105277" w14:textId="3C23C281">
            <w:pPr>
              <w:autoSpaceDE w:val="0"/>
              <w:autoSpaceDN w:val="0"/>
              <w:adjustRightInd w:val="0"/>
            </w:pPr>
            <w:r w:rsidRPr="00D24FA8">
              <w:t xml:space="preserve">The Commission should find that TURN’s participation was efficiently </w:t>
            </w:r>
            <w:r w:rsidRPr="00D24FA8" w:rsidR="00D24FA8">
              <w:t xml:space="preserve">and effectively </w:t>
            </w:r>
            <w:r w:rsidRPr="00D24FA8">
              <w:t xml:space="preserve">coordinated with the participation of </w:t>
            </w:r>
            <w:r w:rsidRPr="00D24FA8" w:rsidR="00FB10F5">
              <w:t xml:space="preserve">other intervenors </w:t>
            </w:r>
            <w:r w:rsidRPr="00D24FA8" w:rsidR="00D24FA8">
              <w:t xml:space="preserve">(Cal Advocates and DACC) </w:t>
            </w:r>
            <w:proofErr w:type="gramStart"/>
            <w:r w:rsidRPr="00D24FA8">
              <w:t>so as to</w:t>
            </w:r>
            <w:proofErr w:type="gramEnd"/>
            <w:r w:rsidRPr="00D24FA8">
              <w:t xml:space="preserve"> avoid undue duplication and to ensure that to the extent duplication occurred, it served to supplement, complement, or contribute to the showing of the other intervenor.  And consistent with such a finding, the Commission should determine that all of TURN’s work is compensable consistent with the conditions set forth in Section 1802.5. </w:t>
            </w:r>
          </w:p>
          <w:p w:rsidRPr="002D25F5" w:rsidR="00A92D0B" w:rsidP="00FE7EBA" w:rsidRDefault="00A92D0B" w14:paraId="3228BB07" w14:textId="77777777">
            <w:pPr>
              <w:tabs>
                <w:tab w:val="left" w:pos="360"/>
              </w:tabs>
              <w:ind w:left="360" w:hanging="360"/>
              <w:rPr>
                <w:rFonts w:asciiTheme="majorBidi" w:hAnsiTheme="majorBidi" w:cstheme="majorBidi"/>
                <w:color w:val="000000"/>
                <w:highlight w:val="green"/>
              </w:rPr>
            </w:pPr>
          </w:p>
        </w:tc>
        <w:tc>
          <w:tcPr>
            <w:tcW w:w="1980" w:type="dxa"/>
          </w:tcPr>
          <w:p w:rsidR="00382C7F" w:rsidP="00FE7EBA" w:rsidRDefault="00382C7F" w14:paraId="53A642F0" w14:textId="77777777">
            <w:pPr>
              <w:tabs>
                <w:tab w:val="left" w:pos="360"/>
              </w:tabs>
              <w:ind w:left="360" w:hanging="360"/>
              <w:jc w:val="center"/>
              <w:rPr>
                <w:rFonts w:asciiTheme="majorBidi" w:hAnsiTheme="majorBidi" w:cstheme="majorBidi"/>
                <w:color w:val="000000"/>
              </w:rPr>
            </w:pPr>
          </w:p>
          <w:p w:rsidR="00382C7F" w:rsidP="00FE7EBA" w:rsidRDefault="00382C7F" w14:paraId="68C552AA" w14:textId="77777777">
            <w:pPr>
              <w:tabs>
                <w:tab w:val="left" w:pos="360"/>
              </w:tabs>
              <w:ind w:left="360" w:hanging="360"/>
              <w:jc w:val="center"/>
              <w:rPr>
                <w:rFonts w:asciiTheme="majorBidi" w:hAnsiTheme="majorBidi" w:cstheme="majorBidi"/>
                <w:color w:val="000000"/>
              </w:rPr>
            </w:pPr>
          </w:p>
          <w:p w:rsidR="00382C7F" w:rsidP="00FE7EBA" w:rsidRDefault="00382C7F" w14:paraId="4A90BD72" w14:textId="77777777">
            <w:pPr>
              <w:tabs>
                <w:tab w:val="left" w:pos="360"/>
              </w:tabs>
              <w:ind w:left="360" w:hanging="360"/>
              <w:jc w:val="center"/>
              <w:rPr>
                <w:rFonts w:asciiTheme="majorBidi" w:hAnsiTheme="majorBidi" w:cstheme="majorBidi"/>
                <w:color w:val="000000"/>
              </w:rPr>
            </w:pPr>
          </w:p>
          <w:p w:rsidRPr="00230F87" w:rsidR="00A92D0B" w:rsidP="00FE7EBA" w:rsidRDefault="00382C7F" w14:paraId="5F9BBA55" w14:textId="75013665">
            <w:pPr>
              <w:tabs>
                <w:tab w:val="left" w:pos="360"/>
              </w:tabs>
              <w:ind w:left="360" w:hanging="360"/>
              <w:jc w:val="center"/>
              <w:rPr>
                <w:rFonts w:asciiTheme="majorBidi" w:hAnsiTheme="majorBidi" w:cstheme="majorBidi"/>
                <w:color w:val="000000"/>
              </w:rPr>
            </w:pPr>
            <w:r>
              <w:rPr>
                <w:rFonts w:asciiTheme="majorBidi" w:hAnsiTheme="majorBidi" w:cstheme="majorBidi"/>
                <w:color w:val="000000"/>
              </w:rPr>
              <w:t>Noted</w:t>
            </w:r>
          </w:p>
        </w:tc>
      </w:tr>
    </w:tbl>
    <w:p w:rsidRPr="00230F87" w:rsidR="00B312DA" w:rsidP="00B46B87" w:rsidRDefault="00A92D0B" w14:paraId="175C3F89" w14:textId="4835545D">
      <w:pPr>
        <w:keepNext/>
        <w:tabs>
          <w:tab w:val="left" w:pos="1260"/>
        </w:tabs>
        <w:spacing w:before="240"/>
        <w:ind w:left="1267" w:hanging="1267"/>
        <w:jc w:val="center"/>
        <w:rPr>
          <w:rFonts w:asciiTheme="majorBidi" w:hAnsiTheme="majorBidi" w:cstheme="majorBidi"/>
          <w:b/>
          <w:color w:val="000000"/>
        </w:rPr>
      </w:pPr>
      <w:r w:rsidRPr="00230F87">
        <w:rPr>
          <w:rFonts w:asciiTheme="majorBidi" w:hAnsiTheme="majorBidi" w:cstheme="majorBidi"/>
          <w:b/>
          <w:color w:val="000000"/>
        </w:rPr>
        <w:t>PART III</w:t>
      </w:r>
      <w:proofErr w:type="gramStart"/>
      <w:r w:rsidRPr="00230F87">
        <w:rPr>
          <w:rFonts w:asciiTheme="majorBidi" w:hAnsiTheme="majorBidi" w:cstheme="majorBidi"/>
          <w:b/>
          <w:color w:val="000000"/>
        </w:rPr>
        <w:t>:</w:t>
      </w:r>
      <w:r w:rsidRPr="00230F87" w:rsidR="00D1778A">
        <w:rPr>
          <w:rFonts w:asciiTheme="majorBidi" w:hAnsiTheme="majorBidi" w:cstheme="majorBidi"/>
          <w:b/>
          <w:color w:val="000000"/>
        </w:rPr>
        <w:t xml:space="preserve">  </w:t>
      </w:r>
      <w:r w:rsidRPr="00230F87">
        <w:rPr>
          <w:rFonts w:asciiTheme="majorBidi" w:hAnsiTheme="majorBidi" w:cstheme="majorBidi"/>
          <w:b/>
          <w:color w:val="000000"/>
        </w:rPr>
        <w:t>REASONABLENESS</w:t>
      </w:r>
      <w:proofErr w:type="gramEnd"/>
      <w:r w:rsidRPr="00230F87">
        <w:rPr>
          <w:rFonts w:asciiTheme="majorBidi" w:hAnsiTheme="majorBidi" w:cstheme="majorBidi"/>
          <w:b/>
          <w:color w:val="000000"/>
        </w:rPr>
        <w:t xml:space="preserve"> OF REQUESTED COMPENSATION</w:t>
      </w:r>
    </w:p>
    <w:p w:rsidRPr="00674079" w:rsidR="00A92D0B" w:rsidP="005B5B44" w:rsidRDefault="00A92D0B" w14:paraId="6F74DAE2" w14:textId="77777777">
      <w:pPr>
        <w:keepNext/>
        <w:numPr>
          <w:ilvl w:val="0"/>
          <w:numId w:val="9"/>
        </w:numPr>
        <w:spacing w:before="240" w:after="240"/>
        <w:rPr>
          <w:rFonts w:asciiTheme="majorBidi" w:hAnsiTheme="majorBidi" w:cstheme="majorBidi"/>
          <w:b/>
          <w:color w:val="000000"/>
        </w:rPr>
      </w:pPr>
      <w:r w:rsidRPr="00674079">
        <w:rPr>
          <w:rFonts w:asciiTheme="majorBidi" w:hAnsiTheme="majorBidi" w:cstheme="majorBidi"/>
          <w:b/>
          <w:color w:val="000000"/>
        </w:rPr>
        <w:t xml:space="preserve">General Claim of Reasonableness </w:t>
      </w:r>
      <w:r w:rsidRPr="00674079" w:rsidR="00F30DA8">
        <w:rPr>
          <w:rFonts w:asciiTheme="majorBidi" w:hAnsiTheme="majorBidi" w:cstheme="majorBidi"/>
          <w:b/>
          <w:color w:val="000000"/>
        </w:rPr>
        <w:t xml:space="preserve">(§ </w:t>
      </w:r>
      <w:r w:rsidRPr="00674079">
        <w:rPr>
          <w:rFonts w:asciiTheme="majorBidi" w:hAnsiTheme="majorBidi" w:cstheme="majorBidi"/>
          <w:b/>
          <w:color w:val="000000"/>
        </w:rPr>
        <w:t xml:space="preserve">1801 </w:t>
      </w:r>
      <w:r w:rsidRPr="00674079" w:rsidR="00F30DA8">
        <w:rPr>
          <w:rFonts w:asciiTheme="majorBidi" w:hAnsiTheme="majorBidi" w:cstheme="majorBidi"/>
          <w:b/>
          <w:color w:val="000000"/>
        </w:rPr>
        <w:t>and §</w:t>
      </w:r>
      <w:r w:rsidRPr="00674079" w:rsidR="0022302F">
        <w:rPr>
          <w:rFonts w:asciiTheme="majorBidi" w:hAnsiTheme="majorBidi" w:cstheme="majorBidi"/>
          <w:b/>
          <w:color w:val="000000"/>
        </w:rPr>
        <w:t xml:space="preserve"> 1806)</w:t>
      </w:r>
      <w:r w:rsidRPr="00674079" w:rsidR="00C02649">
        <w:rPr>
          <w:rFonts w:asciiTheme="majorBidi" w:hAnsiTheme="majorBidi" w:cstheme="majorBidi"/>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230F87"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230F87" w:rsidR="00FE3BAE" w:rsidP="00EC6387" w:rsidRDefault="00FE3BAE" w14:paraId="70FDF5DA" w14:textId="77777777">
            <w:pPr>
              <w:rPr>
                <w:rFonts w:asciiTheme="majorBidi" w:hAnsiTheme="majorBidi" w:cstheme="majorBidi"/>
                <w:b/>
                <w:color w:val="000000"/>
              </w:rPr>
            </w:pPr>
          </w:p>
        </w:tc>
        <w:tc>
          <w:tcPr>
            <w:tcW w:w="2250" w:type="dxa"/>
            <w:shd w:val="clear" w:color="auto" w:fill="D9D9D9" w:themeFill="background1" w:themeFillShade="D9"/>
          </w:tcPr>
          <w:p w:rsidRPr="00230F87" w:rsidR="00FE3BAE" w:rsidP="00EC6387" w:rsidRDefault="00FE3BAE" w14:paraId="59CD9FCF" w14:textId="77777777">
            <w:pPr>
              <w:rPr>
                <w:rFonts w:asciiTheme="majorBidi" w:hAnsiTheme="majorBidi" w:cstheme="majorBidi"/>
                <w:color w:val="000000"/>
              </w:rPr>
            </w:pPr>
            <w:r w:rsidRPr="00230F87">
              <w:rPr>
                <w:rFonts w:asciiTheme="majorBidi" w:hAnsiTheme="majorBidi" w:cstheme="majorBidi"/>
                <w:b/>
                <w:color w:val="000000"/>
              </w:rPr>
              <w:t>CPUC Discussion</w:t>
            </w:r>
          </w:p>
        </w:tc>
      </w:tr>
      <w:tr w:rsidRPr="00230F87" w:rsidR="00FE3BAE" w:rsidTr="00FE7EBA" w14:paraId="5708510E" w14:textId="77777777">
        <w:tc>
          <w:tcPr>
            <w:tcW w:w="7488" w:type="dxa"/>
            <w:tcBorders>
              <w:bottom w:val="single" w:color="auto" w:sz="4" w:space="0"/>
            </w:tcBorders>
          </w:tcPr>
          <w:p w:rsidRPr="00230F87" w:rsidR="003708F4" w:rsidP="00A65110" w:rsidRDefault="003708F4" w14:paraId="4BE1921C" w14:textId="110C6D5C">
            <w:pPr>
              <w:rPr>
                <w:rFonts w:asciiTheme="majorBidi" w:hAnsiTheme="majorBidi" w:cstheme="majorBidi"/>
                <w:color w:val="000000"/>
              </w:rPr>
            </w:pPr>
            <w:r w:rsidRPr="00230F87">
              <w:rPr>
                <w:rFonts w:asciiTheme="majorBidi" w:hAnsiTheme="majorBidi" w:cstheme="majorBidi"/>
                <w:b/>
                <w:color w:val="000000"/>
              </w:rPr>
              <w:t xml:space="preserve">a. </w:t>
            </w:r>
            <w:r w:rsidRPr="00230F87" w:rsidR="00FE3BAE">
              <w:rPr>
                <w:rFonts w:asciiTheme="majorBidi" w:hAnsiTheme="majorBidi" w:cstheme="majorBidi"/>
                <w:b/>
                <w:color w:val="000000"/>
              </w:rPr>
              <w:t>Intervenor’s claim of cost reasonableness:</w:t>
            </w:r>
            <w:r w:rsidRPr="00230F87" w:rsidR="00E25078">
              <w:rPr>
                <w:rFonts w:asciiTheme="majorBidi" w:hAnsiTheme="majorBidi" w:cstheme="majorBidi"/>
                <w:color w:val="000000"/>
              </w:rPr>
              <w:t xml:space="preserve"> </w:t>
            </w:r>
          </w:p>
          <w:p w:rsidR="00F51931" w:rsidP="005617DC" w:rsidRDefault="004F55D5" w14:paraId="3C414977" w14:textId="77777777">
            <w:pPr>
              <w:rPr>
                <w:rFonts w:asciiTheme="majorBidi" w:hAnsiTheme="majorBidi" w:cstheme="majorBidi"/>
              </w:rPr>
            </w:pPr>
            <w:r w:rsidRPr="00230F87">
              <w:rPr>
                <w:rFonts w:asciiTheme="majorBidi" w:hAnsiTheme="majorBidi" w:cstheme="majorBidi"/>
              </w:rPr>
              <w:t>TURN’s request for intervenor compensation seeks an award of approximately $</w:t>
            </w:r>
            <w:r w:rsidR="00070291">
              <w:rPr>
                <w:rFonts w:asciiTheme="majorBidi" w:hAnsiTheme="majorBidi" w:cstheme="majorBidi"/>
              </w:rPr>
              <w:t>250</w:t>
            </w:r>
            <w:r w:rsidR="003E1050">
              <w:rPr>
                <w:rFonts w:asciiTheme="majorBidi" w:hAnsiTheme="majorBidi" w:cstheme="majorBidi"/>
              </w:rPr>
              <w:t>,000</w:t>
            </w:r>
            <w:r w:rsidRPr="00230F87">
              <w:rPr>
                <w:rFonts w:asciiTheme="majorBidi" w:hAnsiTheme="majorBidi" w:cstheme="majorBidi"/>
              </w:rPr>
              <w:t xml:space="preserve"> as the reasonable cost of our participation in this proceeding. </w:t>
            </w:r>
            <w:r w:rsidR="00070291">
              <w:rPr>
                <w:rFonts w:asciiTheme="majorBidi" w:hAnsiTheme="majorBidi" w:cstheme="majorBidi"/>
              </w:rPr>
              <w:t xml:space="preserve"> This figure reflects a reduction of approximately $55,000 for time devoted to TURN’s work in the interim rate recovery (IRR) issues addressed in D.23-06-004. TURN is not seeking intervenor compensation for that work.  </w:t>
            </w:r>
          </w:p>
          <w:p w:rsidR="00F51931" w:rsidP="005617DC" w:rsidRDefault="00F51931" w14:paraId="7D6A5BCB" w14:textId="77777777">
            <w:pPr>
              <w:rPr>
                <w:rFonts w:asciiTheme="majorBidi" w:hAnsiTheme="majorBidi" w:cstheme="majorBidi"/>
              </w:rPr>
            </w:pPr>
          </w:p>
          <w:p w:rsidRPr="005E41ED" w:rsidR="005617DC" w:rsidP="005617DC" w:rsidRDefault="00334FD8" w14:paraId="4E86E1E2" w14:textId="2FAC3B44">
            <w:pPr>
              <w:rPr>
                <w:rFonts w:asciiTheme="majorBidi" w:hAnsiTheme="majorBidi" w:cstheme="majorBidi"/>
              </w:rPr>
            </w:pPr>
            <w:r>
              <w:rPr>
                <w:rFonts w:asciiTheme="majorBidi" w:hAnsiTheme="majorBidi" w:cstheme="majorBidi"/>
              </w:rPr>
              <w:t xml:space="preserve">The $250,000 requested here represents approximately one-tenth of 1% of the $217 million EVM disallowance adopted </w:t>
            </w:r>
            <w:proofErr w:type="gramStart"/>
            <w:r>
              <w:rPr>
                <w:rFonts w:asciiTheme="majorBidi" w:hAnsiTheme="majorBidi" w:cstheme="majorBidi"/>
              </w:rPr>
              <w:t>in</w:t>
            </w:r>
            <w:proofErr w:type="gramEnd"/>
            <w:r>
              <w:rPr>
                <w:rFonts w:asciiTheme="majorBidi" w:hAnsiTheme="majorBidi" w:cstheme="majorBidi"/>
              </w:rPr>
              <w:t xml:space="preserve"> D.25-09-008.  </w:t>
            </w:r>
            <w:r w:rsidRPr="00230F87" w:rsidR="004F55D5">
              <w:rPr>
                <w:rFonts w:asciiTheme="majorBidi" w:hAnsiTheme="majorBidi" w:cstheme="majorBidi"/>
              </w:rPr>
              <w:t xml:space="preserve">TURN submits that </w:t>
            </w:r>
            <w:r w:rsidR="00070291">
              <w:rPr>
                <w:rFonts w:asciiTheme="majorBidi" w:hAnsiTheme="majorBidi" w:cstheme="majorBidi"/>
              </w:rPr>
              <w:t>the</w:t>
            </w:r>
            <w:r w:rsidRPr="00230F87" w:rsidR="004F55D5">
              <w:rPr>
                <w:rFonts w:asciiTheme="majorBidi" w:hAnsiTheme="majorBidi" w:cstheme="majorBidi"/>
              </w:rPr>
              <w:t xml:space="preserve"> costs </w:t>
            </w:r>
            <w:r w:rsidR="00070291">
              <w:rPr>
                <w:rFonts w:asciiTheme="majorBidi" w:hAnsiTheme="majorBidi" w:cstheme="majorBidi"/>
              </w:rPr>
              <w:t xml:space="preserve">that TURN has included in this request </w:t>
            </w:r>
            <w:r w:rsidRPr="00230F87" w:rsidR="004F55D5">
              <w:rPr>
                <w:rFonts w:asciiTheme="majorBidi" w:hAnsiTheme="majorBidi" w:cstheme="majorBidi"/>
              </w:rPr>
              <w:t xml:space="preserve">are reasonable </w:t>
            </w:r>
            <w:proofErr w:type="gramStart"/>
            <w:r w:rsidRPr="00230F87" w:rsidR="004F55D5">
              <w:rPr>
                <w:rFonts w:asciiTheme="majorBidi" w:hAnsiTheme="majorBidi" w:cstheme="majorBidi"/>
              </w:rPr>
              <w:t>in light of</w:t>
            </w:r>
            <w:proofErr w:type="gramEnd"/>
            <w:r w:rsidRPr="00230F87" w:rsidR="004F55D5">
              <w:rPr>
                <w:rFonts w:asciiTheme="majorBidi" w:hAnsiTheme="majorBidi" w:cstheme="majorBidi"/>
              </w:rPr>
              <w:t xml:space="preserve"> the </w:t>
            </w:r>
            <w:r w:rsidR="00070291">
              <w:rPr>
                <w:rFonts w:asciiTheme="majorBidi" w:hAnsiTheme="majorBidi" w:cstheme="majorBidi"/>
              </w:rPr>
              <w:t>effort undertaken to develop, present and defend the recommended disallowances associated with the EVM-related costs in 2021.</w:t>
            </w:r>
            <w:r w:rsidR="00674079">
              <w:rPr>
                <w:rFonts w:asciiTheme="majorBidi" w:hAnsiTheme="majorBidi" w:cstheme="majorBidi"/>
              </w:rPr>
              <w:t xml:space="preserve">  </w:t>
            </w:r>
            <w:r w:rsidR="005E41ED">
              <w:rPr>
                <w:color w:val="000000"/>
              </w:rPr>
              <w:t>T</w:t>
            </w:r>
            <w:r w:rsidRPr="00DA70DD" w:rsidR="005617DC">
              <w:rPr>
                <w:color w:val="000000"/>
              </w:rPr>
              <w:t>he Commission should find that TURN's efforts have</w:t>
            </w:r>
          </w:p>
          <w:p w:rsidR="005617DC" w:rsidP="005617DC" w:rsidRDefault="005617DC" w14:paraId="27948221" w14:textId="77777777">
            <w:pPr>
              <w:rPr>
                <w:color w:val="000000"/>
              </w:rPr>
            </w:pPr>
            <w:r w:rsidRPr="00DA70DD">
              <w:rPr>
                <w:color w:val="000000"/>
              </w:rPr>
              <w:t xml:space="preserve">been productive and the requested amount of compensation is reasonable </w:t>
            </w:r>
            <w:proofErr w:type="gramStart"/>
            <w:r w:rsidRPr="00DA70DD">
              <w:rPr>
                <w:color w:val="000000"/>
              </w:rPr>
              <w:t>in light of</w:t>
            </w:r>
            <w:proofErr w:type="gramEnd"/>
            <w:r w:rsidRPr="00DA70DD">
              <w:rPr>
                <w:color w:val="000000"/>
              </w:rPr>
              <w:t xml:space="preserve"> the benefits achieved through those efforts.</w:t>
            </w:r>
          </w:p>
          <w:p w:rsidRPr="00230F87" w:rsidR="00FE3BAE" w:rsidP="00A65110" w:rsidRDefault="00FE3BAE" w14:paraId="2B1A1242" w14:textId="74506E82">
            <w:pPr>
              <w:rPr>
                <w:rFonts w:asciiTheme="majorBidi" w:hAnsiTheme="majorBidi" w:cstheme="majorBidi"/>
              </w:rPr>
            </w:pPr>
          </w:p>
        </w:tc>
        <w:tc>
          <w:tcPr>
            <w:tcW w:w="2250" w:type="dxa"/>
          </w:tcPr>
          <w:p w:rsidR="00FE3BAE" w:rsidP="00382C7F" w:rsidRDefault="00FE3BAE" w14:paraId="17A389E3" w14:textId="77777777">
            <w:pPr>
              <w:jc w:val="center"/>
              <w:rPr>
                <w:rFonts w:asciiTheme="majorBidi" w:hAnsiTheme="majorBidi" w:cstheme="majorBidi"/>
                <w:color w:val="000000"/>
              </w:rPr>
            </w:pPr>
          </w:p>
          <w:p w:rsidR="00382C7F" w:rsidP="00382C7F" w:rsidRDefault="00382C7F" w14:paraId="6E5A6A26" w14:textId="77777777">
            <w:pPr>
              <w:jc w:val="center"/>
              <w:rPr>
                <w:rFonts w:asciiTheme="majorBidi" w:hAnsiTheme="majorBidi" w:cstheme="majorBidi"/>
                <w:color w:val="000000"/>
              </w:rPr>
            </w:pPr>
          </w:p>
          <w:p w:rsidR="00382C7F" w:rsidP="00382C7F" w:rsidRDefault="00382C7F" w14:paraId="316F0EE4" w14:textId="77777777">
            <w:pPr>
              <w:jc w:val="center"/>
              <w:rPr>
                <w:rFonts w:asciiTheme="majorBidi" w:hAnsiTheme="majorBidi" w:cstheme="majorBidi"/>
                <w:color w:val="000000"/>
              </w:rPr>
            </w:pPr>
          </w:p>
          <w:p w:rsidRPr="00230F87" w:rsidR="00382C7F" w:rsidP="00382C7F" w:rsidRDefault="00382C7F" w14:paraId="223B4665" w14:textId="2910F085">
            <w:pPr>
              <w:jc w:val="center"/>
              <w:rPr>
                <w:rFonts w:asciiTheme="majorBidi" w:hAnsiTheme="majorBidi" w:cstheme="majorBidi"/>
                <w:color w:val="000000"/>
              </w:rPr>
            </w:pPr>
            <w:r>
              <w:rPr>
                <w:rFonts w:asciiTheme="majorBidi" w:hAnsiTheme="majorBidi" w:cstheme="majorBidi"/>
                <w:color w:val="000000"/>
              </w:rPr>
              <w:t>Noted</w:t>
            </w:r>
          </w:p>
        </w:tc>
      </w:tr>
      <w:tr w:rsidRPr="00230F87" w:rsidR="00FE3BAE" w:rsidTr="00FE7EBA" w14:paraId="5548029C" w14:textId="77777777">
        <w:tc>
          <w:tcPr>
            <w:tcW w:w="7488" w:type="dxa"/>
          </w:tcPr>
          <w:p w:rsidRPr="00230F87" w:rsidR="00FE3BAE" w:rsidP="00EC6387" w:rsidRDefault="00FE3BAE" w14:paraId="751A610C" w14:textId="6047B752">
            <w:pPr>
              <w:rPr>
                <w:rFonts w:asciiTheme="majorBidi" w:hAnsiTheme="majorBidi" w:cstheme="majorBidi"/>
                <w:color w:val="000000"/>
              </w:rPr>
            </w:pPr>
            <w:r w:rsidRPr="00230F87">
              <w:rPr>
                <w:rFonts w:asciiTheme="majorBidi" w:hAnsiTheme="majorBidi" w:cstheme="majorBidi"/>
                <w:b/>
                <w:color w:val="000000"/>
              </w:rPr>
              <w:t>b. Reasonableness of hours claimed:</w:t>
            </w:r>
            <w:r w:rsidRPr="00230F87" w:rsidR="00E25078">
              <w:rPr>
                <w:rFonts w:asciiTheme="majorBidi" w:hAnsiTheme="majorBidi" w:cstheme="majorBidi"/>
                <w:color w:val="000000"/>
              </w:rPr>
              <w:t xml:space="preserve"> </w:t>
            </w:r>
          </w:p>
          <w:p w:rsidRPr="00230F87" w:rsidR="00C063FF" w:rsidP="00EC6387" w:rsidRDefault="00C063FF" w14:paraId="4824A05D" w14:textId="77777777">
            <w:pPr>
              <w:rPr>
                <w:rFonts w:asciiTheme="majorBidi" w:hAnsiTheme="majorBidi" w:cstheme="majorBidi"/>
                <w:color w:val="000000"/>
              </w:rPr>
            </w:pPr>
          </w:p>
          <w:p w:rsidR="006035B1" w:rsidP="006035B1" w:rsidRDefault="006035B1" w14:paraId="527D053C" w14:textId="4DE31EE9">
            <w:pPr>
              <w:rPr>
                <w:color w:val="000000"/>
              </w:rPr>
            </w:pPr>
            <w:r w:rsidRPr="0055737E">
              <w:rPr>
                <w:color w:val="000000"/>
              </w:rPr>
              <w:t xml:space="preserve">This Request for Compensation includes </w:t>
            </w:r>
            <w:r>
              <w:rPr>
                <w:color w:val="000000"/>
              </w:rPr>
              <w:t>around</w:t>
            </w:r>
            <w:r w:rsidRPr="0055737E">
              <w:rPr>
                <w:color w:val="000000"/>
              </w:rPr>
              <w:t xml:space="preserve"> </w:t>
            </w:r>
            <w:r w:rsidR="0044195C">
              <w:rPr>
                <w:color w:val="000000"/>
              </w:rPr>
              <w:t>2</w:t>
            </w:r>
            <w:r w:rsidR="00191DC1">
              <w:rPr>
                <w:color w:val="000000"/>
              </w:rPr>
              <w:t>3</w:t>
            </w:r>
            <w:r w:rsidR="0044195C">
              <w:rPr>
                <w:color w:val="000000"/>
              </w:rPr>
              <w:t>0</w:t>
            </w:r>
            <w:r w:rsidRPr="0055737E">
              <w:rPr>
                <w:color w:val="000000"/>
              </w:rPr>
              <w:t xml:space="preserve"> hours of</w:t>
            </w:r>
            <w:r>
              <w:rPr>
                <w:color w:val="000000"/>
              </w:rPr>
              <w:t xml:space="preserve"> </w:t>
            </w:r>
            <w:r w:rsidRPr="0055737E">
              <w:rPr>
                <w:color w:val="000000"/>
              </w:rPr>
              <w:t xml:space="preserve">TURN’s attorney time, the equivalent of </w:t>
            </w:r>
            <w:r>
              <w:rPr>
                <w:color w:val="000000"/>
              </w:rPr>
              <w:t xml:space="preserve">around </w:t>
            </w:r>
            <w:r w:rsidR="00191DC1">
              <w:rPr>
                <w:color w:val="000000"/>
              </w:rPr>
              <w:t>six</w:t>
            </w:r>
            <w:r>
              <w:rPr>
                <w:color w:val="000000"/>
              </w:rPr>
              <w:t xml:space="preserve"> </w:t>
            </w:r>
            <w:r w:rsidRPr="0055737E">
              <w:rPr>
                <w:color w:val="000000"/>
              </w:rPr>
              <w:t>week</w:t>
            </w:r>
            <w:r w:rsidR="00F25AF6">
              <w:rPr>
                <w:color w:val="000000"/>
              </w:rPr>
              <w:t>s</w:t>
            </w:r>
            <w:r w:rsidRPr="0055737E">
              <w:rPr>
                <w:color w:val="000000"/>
              </w:rPr>
              <w:t xml:space="preserve"> of full-time work for an individual attorney. </w:t>
            </w:r>
            <w:r>
              <w:rPr>
                <w:color w:val="000000"/>
              </w:rPr>
              <w:t xml:space="preserve"> </w:t>
            </w:r>
            <w:r w:rsidR="00AD4B31">
              <w:rPr>
                <w:color w:val="000000"/>
              </w:rPr>
              <w:t xml:space="preserve">It also includes approximately </w:t>
            </w:r>
            <w:r w:rsidR="00191DC1">
              <w:rPr>
                <w:color w:val="000000"/>
              </w:rPr>
              <w:t>120</w:t>
            </w:r>
            <w:r w:rsidR="00E660DA">
              <w:rPr>
                <w:color w:val="000000"/>
              </w:rPr>
              <w:t xml:space="preserve"> hours of expert </w:t>
            </w:r>
            <w:proofErr w:type="gramStart"/>
            <w:r w:rsidR="00E660DA">
              <w:rPr>
                <w:color w:val="000000"/>
              </w:rPr>
              <w:t>witnesses</w:t>
            </w:r>
            <w:proofErr w:type="gramEnd"/>
            <w:r w:rsidR="00E660DA">
              <w:rPr>
                <w:color w:val="000000"/>
              </w:rPr>
              <w:t xml:space="preserve">’ time.  </w:t>
            </w:r>
            <w:r w:rsidR="00DE3B58">
              <w:rPr>
                <w:color w:val="000000"/>
              </w:rPr>
              <w:t xml:space="preserve">TURN’s testimony preparation effort in the proceeding </w:t>
            </w:r>
            <w:r w:rsidR="00DE3B58">
              <w:rPr>
                <w:color w:val="000000"/>
              </w:rPr>
              <w:lastRenderedPageBreak/>
              <w:t>entailed significant data and information gathering efforts through discovery, extensive analysis of the EVM program and activities from several different perspectives (including PG&amp;E’s internal decision-making process and wildfire risk reduction and cost effectiveness issues).  Post testimony, TURN responded to discovery and participated in evidentiary hearings for which extensive cross-examination was conducted of both PG&amp;E’s and TURN’s witnesses on EVM-related matters.  In addition, TURN’s attorney devoted substantial time and effort to preparing TURN’s position and formal responses to the ALJ Ruling seeking additional information</w:t>
            </w:r>
            <w:r w:rsidR="004277B0">
              <w:rPr>
                <w:color w:val="000000"/>
              </w:rPr>
              <w:t xml:space="preserve"> issued on October 17, 2023, shortly before the evidentiary hearings conducted in early November.  TURN presented extensive and well-supported arguments in its opening and </w:t>
            </w:r>
            <w:proofErr w:type="gramStart"/>
            <w:r w:rsidR="004277B0">
              <w:rPr>
                <w:color w:val="000000"/>
              </w:rPr>
              <w:t>reply</w:t>
            </w:r>
            <w:proofErr w:type="gramEnd"/>
            <w:r w:rsidR="004277B0">
              <w:rPr>
                <w:color w:val="000000"/>
              </w:rPr>
              <w:t xml:space="preserve"> briefs, as well as a very limited number of hours supporting the Proposed Decision in 2025.  The Commission should conclude that the total number of hours included here is very reasonable, particularly </w:t>
            </w:r>
            <w:proofErr w:type="gramStart"/>
            <w:r w:rsidR="004277B0">
              <w:rPr>
                <w:color w:val="000000"/>
              </w:rPr>
              <w:t>in light of</w:t>
            </w:r>
            <w:proofErr w:type="gramEnd"/>
            <w:r w:rsidR="004277B0">
              <w:rPr>
                <w:color w:val="000000"/>
              </w:rPr>
              <w:t xml:space="preserve"> the $217 million disallowance of EVM program costs.</w:t>
            </w:r>
          </w:p>
          <w:p w:rsidR="006035B1" w:rsidP="006035B1" w:rsidRDefault="006035B1" w14:paraId="213E9D8C" w14:textId="77777777">
            <w:pPr>
              <w:autoSpaceDE w:val="0"/>
              <w:autoSpaceDN w:val="0"/>
              <w:adjustRightInd w:val="0"/>
            </w:pPr>
          </w:p>
          <w:p w:rsidRPr="003349DE" w:rsidR="006035B1" w:rsidP="006035B1" w:rsidRDefault="006035B1" w14:paraId="7A2EDA06" w14:textId="5FA78896">
            <w:pPr>
              <w:autoSpaceDE w:val="0"/>
              <w:autoSpaceDN w:val="0"/>
              <w:adjustRightInd w:val="0"/>
            </w:pPr>
            <w:r w:rsidRPr="003349DE">
              <w:t xml:space="preserve">TURN assigned </w:t>
            </w:r>
            <w:r>
              <w:t xml:space="preserve">this proceeding to </w:t>
            </w:r>
            <w:r w:rsidR="004277B0">
              <w:t xml:space="preserve">Robert Finkelstein, </w:t>
            </w:r>
            <w:r w:rsidR="00983F10">
              <w:t xml:space="preserve">the organization’s General Counsel, and he performed nearly </w:t>
            </w:r>
            <w:proofErr w:type="gramStart"/>
            <w:r w:rsidR="00983F10">
              <w:t>all of</w:t>
            </w:r>
            <w:proofErr w:type="gramEnd"/>
            <w:r w:rsidR="00983F10">
              <w:t xml:space="preserve"> the </w:t>
            </w:r>
            <w:proofErr w:type="gramStart"/>
            <w:r w:rsidR="00983F10">
              <w:t>attorney</w:t>
            </w:r>
            <w:proofErr w:type="gramEnd"/>
            <w:r w:rsidR="00983F10">
              <w:t xml:space="preserve"> work that is included in this request.  Certain issues arose during the preparation of responses to PG&amp;E’s data requests for which Hayley Goodson, TURN’s Managing Attorney, brought important information and perspective.  Eric Borden of Synapse Energy Economics served as TURN’s analyst and expert witness sponsoring TURN’s testimony on EVM-related issues in the proceeding.  </w:t>
            </w:r>
            <w:r w:rsidR="0000012B">
              <w:t xml:space="preserve">TURN also includes a very small amount of </w:t>
            </w:r>
            <w:proofErr w:type="gramStart"/>
            <w:r w:rsidR="0000012B">
              <w:t>time of</w:t>
            </w:r>
            <w:proofErr w:type="gramEnd"/>
            <w:r w:rsidR="0000012B">
              <w:t xml:space="preserve"> Sylvie Ashford, TURN’s Energy and Climate Policy Analyst, devoted to assisting in the preparation of TURN’s comments on the Proposed Decision.  </w:t>
            </w:r>
          </w:p>
          <w:p w:rsidR="006035B1" w:rsidP="006035B1" w:rsidRDefault="006035B1" w14:paraId="726F1409" w14:textId="77777777">
            <w:pPr>
              <w:autoSpaceDE w:val="0"/>
              <w:autoSpaceDN w:val="0"/>
              <w:adjustRightInd w:val="0"/>
            </w:pPr>
          </w:p>
          <w:p w:rsidRPr="00A66BBE" w:rsidR="00F5532D" w:rsidP="00F5532D" w:rsidRDefault="00F5532D" w14:paraId="23CBE8D2" w14:textId="77777777">
            <w:pPr>
              <w:rPr>
                <w:b/>
                <w:i/>
                <w:color w:val="000000"/>
                <w:u w:val="single"/>
              </w:rPr>
            </w:pPr>
            <w:r w:rsidRPr="00A66BBE">
              <w:rPr>
                <w:b/>
                <w:i/>
                <w:color w:val="000000"/>
                <w:u w:val="single"/>
              </w:rPr>
              <w:t>Intervenor Compensation-Related Time</w:t>
            </w:r>
          </w:p>
          <w:p w:rsidRPr="00A66BBE" w:rsidR="00F5532D" w:rsidP="00F5532D" w:rsidRDefault="00F5532D" w14:paraId="60AF9119" w14:textId="77777777">
            <w:pPr>
              <w:pStyle w:val="p1"/>
              <w:rPr>
                <w:rFonts w:ascii="Times New Roman" w:hAnsi="Times New Roman"/>
                <w:sz w:val="24"/>
                <w:szCs w:val="24"/>
              </w:rPr>
            </w:pPr>
          </w:p>
          <w:p w:rsidRPr="00A66BBE" w:rsidR="00F5532D" w:rsidP="00F5532D" w:rsidRDefault="00F5532D" w14:paraId="4A5E553E" w14:textId="35B6FF5B">
            <w:pPr>
              <w:pStyle w:val="p1"/>
              <w:rPr>
                <w:rFonts w:ascii="Times New Roman" w:hAnsi="Times New Roman"/>
                <w:sz w:val="24"/>
                <w:szCs w:val="24"/>
              </w:rPr>
            </w:pPr>
            <w:r w:rsidRPr="00A66BBE">
              <w:rPr>
                <w:rFonts w:ascii="Times New Roman" w:hAnsi="Times New Roman"/>
                <w:sz w:val="24"/>
                <w:szCs w:val="24"/>
              </w:rPr>
              <w:t xml:space="preserve">TURN is requesting compensation for 8.5 hours devoted to compensation-related matters, the largest share of which is the 8.0 hours associated with Mr. Finkelstein’s preparation of this request for compensation.  Given his extensive knowledge of all aspects of TURN’s participation in this proceeding and experience with preparing such requests, he was the most efficient choice to prepare this request for this proceeding.  </w:t>
            </w:r>
          </w:p>
          <w:p w:rsidR="00F5532D" w:rsidP="006035B1" w:rsidRDefault="00F5532D" w14:paraId="305ABB30" w14:textId="77777777">
            <w:pPr>
              <w:rPr>
                <w:color w:val="000000"/>
                <w:highlight w:val="green"/>
              </w:rPr>
            </w:pPr>
          </w:p>
          <w:p w:rsidRPr="00DE54AC" w:rsidR="00691528" w:rsidP="00F5532D" w:rsidRDefault="00691528" w14:paraId="694F0B63" w14:textId="5E164D01">
            <w:pPr>
              <w:rPr>
                <w:rFonts w:asciiTheme="majorBidi" w:hAnsiTheme="majorBidi" w:cstheme="majorBidi"/>
              </w:rPr>
            </w:pPr>
          </w:p>
        </w:tc>
        <w:tc>
          <w:tcPr>
            <w:tcW w:w="2250" w:type="dxa"/>
          </w:tcPr>
          <w:p w:rsidR="00FE3BAE" w:rsidP="00382C7F" w:rsidRDefault="00FE3BAE" w14:paraId="22FFAA04" w14:textId="77777777">
            <w:pPr>
              <w:jc w:val="center"/>
              <w:rPr>
                <w:rFonts w:asciiTheme="majorBidi" w:hAnsiTheme="majorBidi" w:cstheme="majorBidi"/>
                <w:color w:val="000000"/>
              </w:rPr>
            </w:pPr>
          </w:p>
          <w:p w:rsidR="00382C7F" w:rsidP="00382C7F" w:rsidRDefault="00382C7F" w14:paraId="7C5FF18A" w14:textId="77777777">
            <w:pPr>
              <w:jc w:val="center"/>
              <w:rPr>
                <w:rFonts w:asciiTheme="majorBidi" w:hAnsiTheme="majorBidi" w:cstheme="majorBidi"/>
                <w:color w:val="000000"/>
              </w:rPr>
            </w:pPr>
          </w:p>
          <w:p w:rsidR="00382C7F" w:rsidP="00382C7F" w:rsidRDefault="00382C7F" w14:paraId="40F2696C" w14:textId="77777777">
            <w:pPr>
              <w:jc w:val="center"/>
              <w:rPr>
                <w:rFonts w:asciiTheme="majorBidi" w:hAnsiTheme="majorBidi" w:cstheme="majorBidi"/>
                <w:color w:val="000000"/>
              </w:rPr>
            </w:pPr>
          </w:p>
          <w:p w:rsidR="00382C7F" w:rsidP="00382C7F" w:rsidRDefault="00382C7F" w14:paraId="0EF6D5A8" w14:textId="77777777">
            <w:pPr>
              <w:jc w:val="center"/>
              <w:rPr>
                <w:rFonts w:asciiTheme="majorBidi" w:hAnsiTheme="majorBidi" w:cstheme="majorBidi"/>
                <w:color w:val="000000"/>
              </w:rPr>
            </w:pPr>
          </w:p>
          <w:p w:rsidR="00382C7F" w:rsidP="00382C7F" w:rsidRDefault="00382C7F" w14:paraId="000DE8ED" w14:textId="77777777">
            <w:pPr>
              <w:jc w:val="center"/>
              <w:rPr>
                <w:rFonts w:asciiTheme="majorBidi" w:hAnsiTheme="majorBidi" w:cstheme="majorBidi"/>
                <w:color w:val="000000"/>
              </w:rPr>
            </w:pPr>
          </w:p>
          <w:p w:rsidRPr="00230F87" w:rsidR="00382C7F" w:rsidP="00382C7F" w:rsidRDefault="00382C7F" w14:paraId="1874D625" w14:textId="3A2EBD6E">
            <w:pPr>
              <w:jc w:val="center"/>
              <w:rPr>
                <w:rFonts w:asciiTheme="majorBidi" w:hAnsiTheme="majorBidi" w:cstheme="majorBidi"/>
                <w:color w:val="000000"/>
              </w:rPr>
            </w:pPr>
            <w:r>
              <w:rPr>
                <w:rFonts w:asciiTheme="majorBidi" w:hAnsiTheme="majorBidi" w:cstheme="majorBidi"/>
                <w:color w:val="000000"/>
              </w:rPr>
              <w:t>Noted</w:t>
            </w:r>
          </w:p>
        </w:tc>
      </w:tr>
      <w:tr w:rsidRPr="00230F87" w:rsidR="00FE3BAE" w:rsidTr="00FE7EBA" w14:paraId="3FD38B74" w14:textId="77777777">
        <w:tc>
          <w:tcPr>
            <w:tcW w:w="7488" w:type="dxa"/>
          </w:tcPr>
          <w:p w:rsidRPr="00230F87" w:rsidR="00FE3BAE" w:rsidP="00EC6387" w:rsidRDefault="00FE3BAE" w14:paraId="46990B37" w14:textId="569E5E0F">
            <w:pPr>
              <w:rPr>
                <w:rFonts w:asciiTheme="majorBidi" w:hAnsiTheme="majorBidi" w:cstheme="majorBidi"/>
                <w:color w:val="000000"/>
              </w:rPr>
            </w:pPr>
            <w:r w:rsidRPr="00230F87">
              <w:rPr>
                <w:rFonts w:asciiTheme="majorBidi" w:hAnsiTheme="majorBidi" w:cstheme="majorBidi"/>
                <w:b/>
                <w:color w:val="000000"/>
              </w:rPr>
              <w:t>c. Allocation of hours by issue:</w:t>
            </w:r>
            <w:r w:rsidRPr="00230F87" w:rsidR="00E25078">
              <w:rPr>
                <w:rFonts w:asciiTheme="majorBidi" w:hAnsiTheme="majorBidi" w:cstheme="majorBidi"/>
                <w:color w:val="000000"/>
              </w:rPr>
              <w:t xml:space="preserve"> </w:t>
            </w:r>
          </w:p>
          <w:p w:rsidRPr="00230F87" w:rsidR="0008182A" w:rsidP="00EC6387" w:rsidRDefault="0008182A" w14:paraId="3F34A462" w14:textId="77777777">
            <w:pPr>
              <w:rPr>
                <w:rFonts w:asciiTheme="majorBidi" w:hAnsiTheme="majorBidi" w:cstheme="majorBidi"/>
                <w:color w:val="000000"/>
              </w:rPr>
            </w:pPr>
          </w:p>
          <w:p w:rsidRPr="00E94C13" w:rsidR="00E94C13" w:rsidP="00E94C13" w:rsidRDefault="0008182A" w14:paraId="4DB7FF46" w14:textId="18928F6C">
            <w:pPr>
              <w:tabs>
                <w:tab w:val="left" w:pos="1260"/>
              </w:tabs>
              <w:spacing w:before="120"/>
              <w:rPr>
                <w:color w:val="000000"/>
              </w:rPr>
            </w:pPr>
            <w:r w:rsidRPr="00230F87">
              <w:rPr>
                <w:rFonts w:asciiTheme="majorBidi" w:hAnsiTheme="majorBidi" w:cstheme="majorBidi"/>
              </w:rPr>
              <w:t xml:space="preserve">TURN has allocated </w:t>
            </w:r>
            <w:proofErr w:type="gramStart"/>
            <w:r w:rsidRPr="00230F87">
              <w:rPr>
                <w:rFonts w:asciiTheme="majorBidi" w:hAnsiTheme="majorBidi" w:cstheme="majorBidi"/>
              </w:rPr>
              <w:t>all of</w:t>
            </w:r>
            <w:proofErr w:type="gramEnd"/>
            <w:r w:rsidRPr="00230F87">
              <w:rPr>
                <w:rFonts w:asciiTheme="majorBidi" w:hAnsiTheme="majorBidi" w:cstheme="majorBidi"/>
              </w:rPr>
              <w:t xml:space="preserve"> our staff time by issue </w:t>
            </w:r>
            <w:r w:rsidR="00B8721E">
              <w:rPr>
                <w:rFonts w:asciiTheme="majorBidi" w:hAnsiTheme="majorBidi" w:cstheme="majorBidi"/>
              </w:rPr>
              <w:t>or activity</w:t>
            </w:r>
            <w:r w:rsidRPr="00230F87">
              <w:rPr>
                <w:rFonts w:asciiTheme="majorBidi" w:hAnsiTheme="majorBidi" w:cstheme="majorBidi"/>
              </w:rPr>
              <w:t xml:space="preserve">, as </w:t>
            </w:r>
            <w:r w:rsidR="00B8721E">
              <w:rPr>
                <w:rFonts w:asciiTheme="majorBidi" w:hAnsiTheme="majorBidi" w:cstheme="majorBidi"/>
              </w:rPr>
              <w:t xml:space="preserve">reflected in </w:t>
            </w:r>
            <w:r w:rsidRPr="00230F87">
              <w:rPr>
                <w:rFonts w:asciiTheme="majorBidi" w:hAnsiTheme="majorBidi" w:cstheme="majorBidi"/>
              </w:rPr>
              <w:t xml:space="preserve">our attached timesheets (Attachment 2) and </w:t>
            </w:r>
            <w:r w:rsidR="00B8721E">
              <w:rPr>
                <w:rFonts w:asciiTheme="majorBidi" w:hAnsiTheme="majorBidi" w:cstheme="majorBidi"/>
              </w:rPr>
              <w:t>summary table showing the allocation of each attorney or analyst’s cumulative time by issue or activity code (</w:t>
            </w:r>
            <w:r w:rsidRPr="00230F87">
              <w:rPr>
                <w:rFonts w:asciiTheme="majorBidi" w:hAnsiTheme="majorBidi" w:cstheme="majorBidi"/>
              </w:rPr>
              <w:t>Attachment 3</w:t>
            </w:r>
            <w:r w:rsidR="00B8721E">
              <w:rPr>
                <w:rFonts w:asciiTheme="majorBidi" w:hAnsiTheme="majorBidi" w:cstheme="majorBidi"/>
              </w:rPr>
              <w:t>)</w:t>
            </w:r>
            <w:r w:rsidRPr="00230F87">
              <w:rPr>
                <w:rFonts w:asciiTheme="majorBidi" w:hAnsiTheme="majorBidi" w:cstheme="majorBidi"/>
              </w:rPr>
              <w:t xml:space="preserve">. </w:t>
            </w:r>
            <w:r w:rsidR="00B8721E">
              <w:rPr>
                <w:rFonts w:asciiTheme="majorBidi" w:hAnsiTheme="majorBidi" w:cstheme="majorBidi"/>
              </w:rPr>
              <w:t xml:space="preserve"> In this request TURN uses only one substantive issue </w:t>
            </w:r>
            <w:r w:rsidR="00B8721E">
              <w:rPr>
                <w:rFonts w:asciiTheme="majorBidi" w:hAnsiTheme="majorBidi" w:cstheme="majorBidi"/>
              </w:rPr>
              <w:lastRenderedPageBreak/>
              <w:t xml:space="preserve">code, consistent with the focus of TURN’s participation in this proceeding on the Enhanced Vegetation Management (EVM) program.  The activity codes reflect </w:t>
            </w:r>
            <w:r w:rsidRPr="006D27C6" w:rsidR="00E94C13">
              <w:rPr>
                <w:color w:val="000000"/>
              </w:rPr>
              <w:t xml:space="preserve">general activities that are part of nearly all CPUC proceedings, such as tasks associated with general participation, </w:t>
            </w:r>
            <w:r w:rsidR="00E94C13">
              <w:rPr>
                <w:color w:val="000000"/>
              </w:rPr>
              <w:t>responding to</w:t>
            </w:r>
            <w:r w:rsidRPr="006D27C6" w:rsidR="00E94C13">
              <w:rPr>
                <w:color w:val="000000"/>
              </w:rPr>
              <w:t xml:space="preserve"> discovery, and dealing with procedural matters such as responding to ALJ rulings.   </w:t>
            </w:r>
          </w:p>
          <w:p w:rsidRPr="00230F87" w:rsidR="0008182A" w:rsidP="0008182A" w:rsidRDefault="0008182A" w14:paraId="13A4AED3" w14:textId="26C8ED02">
            <w:pPr>
              <w:autoSpaceDE w:val="0"/>
              <w:autoSpaceDN w:val="0"/>
              <w:adjustRightInd w:val="0"/>
              <w:rPr>
                <w:rFonts w:asciiTheme="majorBidi" w:hAnsiTheme="majorBidi" w:cstheme="majorBidi"/>
              </w:rPr>
            </w:pPr>
          </w:p>
          <w:p w:rsidRPr="00230F87" w:rsidR="00C20A6F" w:rsidP="0008182A" w:rsidRDefault="00C20A6F" w14:paraId="074B06E8" w14:textId="77777777">
            <w:pPr>
              <w:autoSpaceDE w:val="0"/>
              <w:autoSpaceDN w:val="0"/>
              <w:adjustRightInd w:val="0"/>
              <w:rPr>
                <w:rFonts w:asciiTheme="majorBidi" w:hAnsiTheme="majorBidi" w:cstheme="majorBidi"/>
              </w:rPr>
            </w:pPr>
          </w:p>
          <w:tbl>
            <w:tblPr>
              <w:tblStyle w:val="TableGrid"/>
              <w:tblW w:w="7163" w:type="dxa"/>
              <w:tblInd w:w="5" w:type="dxa"/>
              <w:tblLayout w:type="fixed"/>
              <w:tblLook w:val="04A0" w:firstRow="1" w:lastRow="0" w:firstColumn="1" w:lastColumn="0" w:noHBand="0" w:noVBand="1"/>
            </w:tblPr>
            <w:tblGrid>
              <w:gridCol w:w="1483"/>
              <w:gridCol w:w="4330"/>
              <w:gridCol w:w="1350"/>
            </w:tblGrid>
            <w:tr w:rsidRPr="005E7601" w:rsidR="002800DF" w:rsidTr="002800DF" w14:paraId="0E25675C" w14:textId="77777777">
              <w:tc>
                <w:tcPr>
                  <w:tcW w:w="1483" w:type="dxa"/>
                </w:tcPr>
                <w:p w:rsidRPr="005E7601" w:rsidR="002800DF" w:rsidP="002800DF" w:rsidRDefault="002800DF" w14:paraId="48D5E544" w14:textId="77777777">
                  <w:pPr>
                    <w:rPr>
                      <w:rFonts w:asciiTheme="majorBidi" w:hAnsiTheme="majorBidi" w:cstheme="majorBidi"/>
                      <w:color w:val="212121"/>
                    </w:rPr>
                  </w:pPr>
                  <w:r w:rsidRPr="005E7601">
                    <w:rPr>
                      <w:rFonts w:asciiTheme="majorBidi" w:hAnsiTheme="majorBidi" w:cstheme="majorBidi"/>
                      <w:b/>
                      <w:bCs/>
                      <w:color w:val="212121"/>
                    </w:rPr>
                    <w:t>Code</w:t>
                  </w:r>
                </w:p>
              </w:tc>
              <w:tc>
                <w:tcPr>
                  <w:tcW w:w="4330" w:type="dxa"/>
                </w:tcPr>
                <w:p w:rsidRPr="005E7601" w:rsidR="002800DF" w:rsidP="002800DF" w:rsidRDefault="002800DF" w14:paraId="50C93BFE" w14:textId="77777777">
                  <w:pPr>
                    <w:rPr>
                      <w:rFonts w:asciiTheme="majorBidi" w:hAnsiTheme="majorBidi" w:cstheme="majorBidi"/>
                    </w:rPr>
                  </w:pPr>
                  <w:r w:rsidRPr="005E7601">
                    <w:rPr>
                      <w:rFonts w:asciiTheme="majorBidi" w:hAnsiTheme="majorBidi" w:cstheme="majorBidi"/>
                      <w:b/>
                      <w:bCs/>
                      <w:color w:val="212121"/>
                    </w:rPr>
                    <w:t>Description</w:t>
                  </w:r>
                </w:p>
              </w:tc>
              <w:tc>
                <w:tcPr>
                  <w:tcW w:w="1350" w:type="dxa"/>
                </w:tcPr>
                <w:p w:rsidRPr="005E7601" w:rsidR="002800DF" w:rsidP="002800DF" w:rsidRDefault="002800DF" w14:paraId="530F5464" w14:textId="77777777">
                  <w:pPr>
                    <w:rPr>
                      <w:rFonts w:asciiTheme="majorBidi" w:hAnsiTheme="majorBidi" w:cstheme="majorBidi"/>
                    </w:rPr>
                  </w:pPr>
                  <w:r w:rsidRPr="005E7601">
                    <w:rPr>
                      <w:rFonts w:asciiTheme="majorBidi" w:hAnsiTheme="majorBidi" w:cstheme="majorBidi"/>
                      <w:b/>
                      <w:bCs/>
                      <w:color w:val="212121"/>
                    </w:rPr>
                    <w:t>Allocation of Time</w:t>
                  </w:r>
                </w:p>
              </w:tc>
            </w:tr>
            <w:tr w:rsidRPr="005E7601" w:rsidR="005E7601" w:rsidTr="00D376EA" w14:paraId="258E49C0" w14:textId="77777777">
              <w:tc>
                <w:tcPr>
                  <w:tcW w:w="1483" w:type="dxa"/>
                  <w:vAlign w:val="center"/>
                </w:tcPr>
                <w:p w:rsidRPr="005E7601" w:rsidR="005E7601" w:rsidP="005E7601" w:rsidRDefault="00E94C13" w14:paraId="4BFADE88" w14:textId="68579A71">
                  <w:pPr>
                    <w:rPr>
                      <w:rFonts w:asciiTheme="majorBidi" w:hAnsiTheme="majorBidi" w:cstheme="majorBidi"/>
                      <w:color w:val="212121"/>
                    </w:rPr>
                  </w:pPr>
                  <w:r>
                    <w:t>EVM</w:t>
                  </w:r>
                </w:p>
              </w:tc>
              <w:tc>
                <w:tcPr>
                  <w:tcW w:w="4330" w:type="dxa"/>
                  <w:vAlign w:val="bottom"/>
                </w:tcPr>
                <w:p w:rsidRPr="005E7601" w:rsidR="005E7601" w:rsidP="005E7601" w:rsidRDefault="005E7601" w14:paraId="7237E464" w14:textId="0B93E532">
                  <w:pPr>
                    <w:rPr>
                      <w:rFonts w:asciiTheme="majorBidi" w:hAnsiTheme="majorBidi" w:cstheme="majorBidi"/>
                      <w:color w:val="000000"/>
                    </w:rPr>
                  </w:pPr>
                  <w:r w:rsidRPr="005E7601">
                    <w:rPr>
                      <w:rFonts w:asciiTheme="majorBidi" w:hAnsiTheme="majorBidi" w:cstheme="majorBidi"/>
                    </w:rPr>
                    <w:t xml:space="preserve">Work </w:t>
                  </w:r>
                  <w:r w:rsidRPr="00C11E8B" w:rsidR="00C11E8B">
                    <w:rPr>
                      <w:rFonts w:asciiTheme="majorBidi" w:hAnsiTheme="majorBidi" w:cstheme="majorBidi"/>
                    </w:rPr>
                    <w:t xml:space="preserve">related to </w:t>
                  </w:r>
                  <w:r w:rsidR="00DB21E8">
                    <w:rPr>
                      <w:rFonts w:asciiTheme="majorBidi" w:hAnsiTheme="majorBidi" w:cstheme="majorBidi"/>
                    </w:rPr>
                    <w:t xml:space="preserve">the </w:t>
                  </w:r>
                  <w:r w:rsidR="00E94C13">
                    <w:rPr>
                      <w:rFonts w:asciiTheme="majorBidi" w:hAnsiTheme="majorBidi" w:cstheme="majorBidi"/>
                    </w:rPr>
                    <w:t xml:space="preserve">analysis of PG&amp;E’s EVM program operation and administration in 2021, and development of the proposed disallowances, including review of and responding to PG&amp;E’s arguments regarding the tie-in of the EVM program and its various Wildfire Mitigation Plan (WMP) and Enhanced Oversight and Enforcement (EOE) </w:t>
                  </w:r>
                  <w:r w:rsidR="007C6C30">
                    <w:rPr>
                      <w:rFonts w:asciiTheme="majorBidi" w:hAnsiTheme="majorBidi" w:cstheme="majorBidi"/>
                    </w:rPr>
                    <w:t>initiatives.</w:t>
                  </w:r>
                </w:p>
              </w:tc>
              <w:tc>
                <w:tcPr>
                  <w:tcW w:w="1350" w:type="dxa"/>
                  <w:vAlign w:val="bottom"/>
                </w:tcPr>
                <w:p w:rsidRPr="005E7601" w:rsidR="005E7601" w:rsidP="005E7601" w:rsidRDefault="00AC263D" w14:paraId="6541BA20" w14:textId="039CB7EC">
                  <w:r>
                    <w:rPr>
                      <w:color w:val="000000"/>
                    </w:rPr>
                    <w:t>6</w:t>
                  </w:r>
                  <w:r w:rsidR="002A2A0D">
                    <w:rPr>
                      <w:color w:val="000000"/>
                    </w:rPr>
                    <w:t>9</w:t>
                  </w:r>
                  <w:r w:rsidR="007071D7">
                    <w:rPr>
                      <w:color w:val="000000"/>
                    </w:rPr>
                    <w:t>.0</w:t>
                  </w:r>
                  <w:r w:rsidR="007C6C30">
                    <w:rPr>
                      <w:color w:val="000000"/>
                    </w:rPr>
                    <w:t>%</w:t>
                  </w:r>
                </w:p>
              </w:tc>
            </w:tr>
            <w:tr w:rsidRPr="005E7601" w:rsidR="005E7601" w:rsidTr="00D376EA" w14:paraId="256DBDE3" w14:textId="77777777">
              <w:tc>
                <w:tcPr>
                  <w:tcW w:w="1483" w:type="dxa"/>
                  <w:vAlign w:val="center"/>
                </w:tcPr>
                <w:p w:rsidRPr="005E7601" w:rsidR="005E7601" w:rsidP="005E7601" w:rsidRDefault="00AC263D" w14:paraId="5EB00258" w14:textId="0FDE103F">
                  <w:pPr>
                    <w:rPr>
                      <w:rFonts w:asciiTheme="majorBidi" w:hAnsiTheme="majorBidi" w:cstheme="majorBidi"/>
                      <w:color w:val="212121"/>
                    </w:rPr>
                  </w:pPr>
                  <w:r>
                    <w:t>IRR</w:t>
                  </w:r>
                </w:p>
              </w:tc>
              <w:tc>
                <w:tcPr>
                  <w:tcW w:w="4330" w:type="dxa"/>
                  <w:vAlign w:val="bottom"/>
                </w:tcPr>
                <w:p w:rsidRPr="005E7601" w:rsidR="005E7601" w:rsidP="005E7601" w:rsidRDefault="00AC263D" w14:paraId="2156E1A2" w14:textId="4D606BE5">
                  <w:pPr>
                    <w:rPr>
                      <w:rFonts w:asciiTheme="majorBidi" w:hAnsiTheme="majorBidi" w:cstheme="majorBidi"/>
                      <w:color w:val="000000"/>
                    </w:rPr>
                  </w:pPr>
                  <w:r>
                    <w:rPr>
                      <w:rFonts w:asciiTheme="majorBidi" w:hAnsiTheme="majorBidi" w:cstheme="majorBidi"/>
                      <w:color w:val="000000"/>
                    </w:rPr>
                    <w:t>Interim Rate Recovery</w:t>
                  </w:r>
                  <w:r w:rsidR="007C6C30">
                    <w:rPr>
                      <w:rFonts w:asciiTheme="majorBidi" w:hAnsiTheme="majorBidi" w:cstheme="majorBidi"/>
                      <w:color w:val="000000"/>
                    </w:rPr>
                    <w:t xml:space="preserve"> </w:t>
                  </w:r>
                  <w:r>
                    <w:rPr>
                      <w:rFonts w:asciiTheme="majorBidi" w:hAnsiTheme="majorBidi" w:cstheme="majorBidi"/>
                      <w:color w:val="000000"/>
                    </w:rPr>
                    <w:t xml:space="preserve">– responding to PG&amp;E motion for IRR, including </w:t>
                  </w:r>
                  <w:r w:rsidR="00AC38FF">
                    <w:rPr>
                      <w:rFonts w:asciiTheme="majorBidi" w:hAnsiTheme="majorBidi" w:cstheme="majorBidi"/>
                      <w:color w:val="000000"/>
                    </w:rPr>
                    <w:t>coordinating with other intervenors on this issue, lobbying Commissioners’ advisors, and preparing comments on the proposed decision in mid-2023.</w:t>
                  </w:r>
                  <w:r w:rsidR="001F42FB">
                    <w:rPr>
                      <w:rFonts w:asciiTheme="majorBidi" w:hAnsiTheme="majorBidi" w:cstheme="majorBidi"/>
                      <w:color w:val="000000"/>
                    </w:rPr>
                    <w:t xml:space="preserve"> *TURN does not include time coded IRR in this compensation request.</w:t>
                  </w:r>
                </w:p>
              </w:tc>
              <w:tc>
                <w:tcPr>
                  <w:tcW w:w="1350" w:type="dxa"/>
                  <w:vAlign w:val="bottom"/>
                </w:tcPr>
                <w:p w:rsidRPr="005E7601" w:rsidR="005E7601" w:rsidP="005E7601" w:rsidRDefault="005E7601" w14:paraId="1D1ABA67" w14:textId="24F31F02">
                  <w:r w:rsidRPr="005E7601">
                    <w:rPr>
                      <w:color w:val="000000"/>
                    </w:rPr>
                    <w:t>16.3%</w:t>
                  </w:r>
                </w:p>
              </w:tc>
            </w:tr>
            <w:tr w:rsidRPr="005E7601" w:rsidR="005E7601" w:rsidTr="00D376EA" w14:paraId="7534F4CD" w14:textId="77777777">
              <w:tc>
                <w:tcPr>
                  <w:tcW w:w="1483" w:type="dxa"/>
                  <w:vAlign w:val="center"/>
                </w:tcPr>
                <w:p w:rsidRPr="005E7601" w:rsidR="005E7601" w:rsidP="005E7601" w:rsidRDefault="005E7601" w14:paraId="7E1A7757" w14:textId="47571A1C">
                  <w:pPr>
                    <w:rPr>
                      <w:rFonts w:asciiTheme="majorBidi" w:hAnsiTheme="majorBidi" w:cstheme="majorBidi"/>
                      <w:color w:val="212121"/>
                    </w:rPr>
                  </w:pPr>
                  <w:r>
                    <w:t>GP</w:t>
                  </w:r>
                </w:p>
              </w:tc>
              <w:tc>
                <w:tcPr>
                  <w:tcW w:w="4330" w:type="dxa"/>
                  <w:vAlign w:val="bottom"/>
                </w:tcPr>
                <w:p w:rsidRPr="005E7601" w:rsidR="005E7601" w:rsidP="005E7601" w:rsidRDefault="005E7601" w14:paraId="5861488E" w14:textId="0AA41BFA">
                  <w:pPr>
                    <w:rPr>
                      <w:rFonts w:asciiTheme="majorBidi" w:hAnsiTheme="majorBidi" w:cstheme="majorBidi"/>
                      <w:color w:val="000000"/>
                    </w:rPr>
                  </w:pPr>
                  <w:r w:rsidRPr="00720955">
                    <w:rPr>
                      <w:rFonts w:asciiTheme="majorBidi" w:hAnsiTheme="majorBidi" w:cstheme="majorBidi"/>
                      <w:color w:val="000000"/>
                    </w:rPr>
                    <w:t>General preparation not allocable to any specific issue</w:t>
                  </w:r>
                  <w:r w:rsidR="000D0E8F">
                    <w:rPr>
                      <w:rFonts w:asciiTheme="majorBidi" w:hAnsiTheme="majorBidi" w:cstheme="majorBidi"/>
                      <w:color w:val="000000"/>
                    </w:rPr>
                    <w:t xml:space="preserve">, including </w:t>
                  </w:r>
                  <w:r w:rsidR="002A2A0D">
                    <w:rPr>
                      <w:rFonts w:asciiTheme="majorBidi" w:hAnsiTheme="majorBidi" w:cstheme="majorBidi"/>
                      <w:color w:val="000000"/>
                    </w:rPr>
                    <w:t>initial review of application and supporting testimony, preparation of protest, and similar activities.</w:t>
                  </w:r>
                </w:p>
              </w:tc>
              <w:tc>
                <w:tcPr>
                  <w:tcW w:w="1350" w:type="dxa"/>
                  <w:vAlign w:val="bottom"/>
                </w:tcPr>
                <w:p w:rsidRPr="005E7601" w:rsidR="005E7601" w:rsidP="005E7601" w:rsidRDefault="002A2A0D" w14:paraId="2729447B" w14:textId="40B5D514">
                  <w:r>
                    <w:rPr>
                      <w:color w:val="000000"/>
                    </w:rPr>
                    <w:t>3.9</w:t>
                  </w:r>
                  <w:r w:rsidRPr="005E7601" w:rsidR="005E7601">
                    <w:rPr>
                      <w:color w:val="000000"/>
                    </w:rPr>
                    <w:t>%</w:t>
                  </w:r>
                </w:p>
              </w:tc>
            </w:tr>
            <w:tr w:rsidRPr="005E7601" w:rsidR="005E7601" w:rsidTr="00D376EA" w14:paraId="0BB8EFAE" w14:textId="77777777">
              <w:tc>
                <w:tcPr>
                  <w:tcW w:w="1483" w:type="dxa"/>
                  <w:vAlign w:val="center"/>
                </w:tcPr>
                <w:p w:rsidRPr="005E7601" w:rsidR="005E7601" w:rsidP="005E7601" w:rsidRDefault="005E7601" w14:paraId="541789E6" w14:textId="78F57CB7">
                  <w:pPr>
                    <w:rPr>
                      <w:rFonts w:asciiTheme="majorBidi" w:hAnsiTheme="majorBidi" w:cstheme="majorBidi"/>
                    </w:rPr>
                  </w:pPr>
                  <w:r>
                    <w:t>Disc</w:t>
                  </w:r>
                </w:p>
              </w:tc>
              <w:tc>
                <w:tcPr>
                  <w:tcW w:w="4330" w:type="dxa"/>
                  <w:vAlign w:val="bottom"/>
                </w:tcPr>
                <w:p w:rsidRPr="005E7601" w:rsidR="005E7601" w:rsidP="005E7601" w:rsidRDefault="00C11E8B" w14:paraId="261218CB" w14:textId="0041146C">
                  <w:pPr>
                    <w:rPr>
                      <w:rFonts w:asciiTheme="majorBidi" w:hAnsiTheme="majorBidi" w:cstheme="majorBidi"/>
                    </w:rPr>
                  </w:pPr>
                  <w:r w:rsidRPr="00720955">
                    <w:rPr>
                      <w:rFonts w:asciiTheme="majorBidi" w:hAnsiTheme="majorBidi" w:cstheme="majorBidi"/>
                      <w:color w:val="000000"/>
                    </w:rPr>
                    <w:t xml:space="preserve">TURN’s attorney and expert witness time preparing </w:t>
                  </w:r>
                  <w:r w:rsidR="002A2A0D">
                    <w:rPr>
                      <w:rFonts w:asciiTheme="majorBidi" w:hAnsiTheme="majorBidi" w:cstheme="majorBidi"/>
                      <w:color w:val="000000"/>
                    </w:rPr>
                    <w:t xml:space="preserve">responses to PG&amp;E </w:t>
                  </w:r>
                  <w:r w:rsidRPr="00720955">
                    <w:rPr>
                      <w:rFonts w:asciiTheme="majorBidi" w:hAnsiTheme="majorBidi" w:cstheme="majorBidi"/>
                      <w:color w:val="000000"/>
                    </w:rPr>
                    <w:t xml:space="preserve">data request. </w:t>
                  </w:r>
                </w:p>
              </w:tc>
              <w:tc>
                <w:tcPr>
                  <w:tcW w:w="1350" w:type="dxa"/>
                  <w:vAlign w:val="bottom"/>
                </w:tcPr>
                <w:p w:rsidRPr="005E7601" w:rsidR="005E7601" w:rsidP="005E7601" w:rsidRDefault="002A2A0D" w14:paraId="1F4DEE3A" w14:textId="0050C77C">
                  <w:r>
                    <w:rPr>
                      <w:color w:val="000000"/>
                    </w:rPr>
                    <w:t>3.5</w:t>
                  </w:r>
                  <w:r w:rsidRPr="005E7601" w:rsidR="005E7601">
                    <w:rPr>
                      <w:color w:val="000000"/>
                    </w:rPr>
                    <w:t>%</w:t>
                  </w:r>
                </w:p>
              </w:tc>
            </w:tr>
            <w:tr w:rsidRPr="005E7601" w:rsidR="007071D7" w:rsidTr="00D376EA" w14:paraId="33078936" w14:textId="77777777">
              <w:tc>
                <w:tcPr>
                  <w:tcW w:w="1483" w:type="dxa"/>
                  <w:vAlign w:val="center"/>
                </w:tcPr>
                <w:p w:rsidR="007071D7" w:rsidP="005E7601" w:rsidRDefault="007071D7" w14:paraId="26D97DCF" w14:textId="633C72F2">
                  <w:r>
                    <w:t>GH</w:t>
                  </w:r>
                </w:p>
              </w:tc>
              <w:tc>
                <w:tcPr>
                  <w:tcW w:w="4330" w:type="dxa"/>
                  <w:vAlign w:val="bottom"/>
                </w:tcPr>
                <w:p w:rsidR="007071D7" w:rsidP="005E7601" w:rsidRDefault="007071D7" w14:paraId="00BC44F8" w14:textId="1CBFA052">
                  <w:pPr>
                    <w:rPr>
                      <w:rFonts w:asciiTheme="majorBidi" w:hAnsiTheme="majorBidi" w:cstheme="majorBidi"/>
                      <w:color w:val="000000"/>
                    </w:rPr>
                  </w:pPr>
                  <w:r>
                    <w:rPr>
                      <w:rFonts w:asciiTheme="majorBidi" w:hAnsiTheme="majorBidi" w:cstheme="majorBidi"/>
                      <w:color w:val="000000"/>
                    </w:rPr>
                    <w:t>General hearing participation work, such as developing exhibit lists, cross-examination estimates, and work on joint case management statements as required.</w:t>
                  </w:r>
                </w:p>
              </w:tc>
              <w:tc>
                <w:tcPr>
                  <w:tcW w:w="1350" w:type="dxa"/>
                  <w:vAlign w:val="bottom"/>
                </w:tcPr>
                <w:p w:rsidR="007071D7" w:rsidP="005E7601" w:rsidRDefault="007071D7" w14:paraId="51AE9E9B" w14:textId="1D8E5867">
                  <w:pPr>
                    <w:rPr>
                      <w:color w:val="000000"/>
                    </w:rPr>
                  </w:pPr>
                  <w:r>
                    <w:rPr>
                      <w:color w:val="000000"/>
                    </w:rPr>
                    <w:t>0.6%</w:t>
                  </w:r>
                </w:p>
              </w:tc>
            </w:tr>
            <w:tr w:rsidRPr="005E7601" w:rsidR="005E7601" w:rsidTr="00D376EA" w14:paraId="16DA4D0E" w14:textId="77777777">
              <w:tc>
                <w:tcPr>
                  <w:tcW w:w="1483" w:type="dxa"/>
                  <w:vAlign w:val="center"/>
                </w:tcPr>
                <w:p w:rsidRPr="005E7601" w:rsidR="005E7601" w:rsidP="005E7601" w:rsidRDefault="005E7601" w14:paraId="50CF9A10" w14:textId="322E6310">
                  <w:pPr>
                    <w:rPr>
                      <w:rFonts w:asciiTheme="majorBidi" w:hAnsiTheme="majorBidi" w:cstheme="majorBidi"/>
                    </w:rPr>
                  </w:pPr>
                  <w:r>
                    <w:t>Coord</w:t>
                  </w:r>
                </w:p>
              </w:tc>
              <w:tc>
                <w:tcPr>
                  <w:tcW w:w="4330" w:type="dxa"/>
                  <w:vAlign w:val="bottom"/>
                </w:tcPr>
                <w:p w:rsidRPr="005E7601" w:rsidR="005E7601" w:rsidP="005E7601" w:rsidRDefault="002A2A0D" w14:paraId="475625F6" w14:textId="5B082519">
                  <w:pPr>
                    <w:rPr>
                      <w:rFonts w:asciiTheme="majorBidi" w:hAnsiTheme="majorBidi" w:cstheme="majorBidi"/>
                    </w:rPr>
                  </w:pPr>
                  <w:r>
                    <w:rPr>
                      <w:rFonts w:asciiTheme="majorBidi" w:hAnsiTheme="majorBidi" w:cstheme="majorBidi"/>
                      <w:color w:val="000000"/>
                    </w:rPr>
                    <w:t>TURN’s a</w:t>
                  </w:r>
                  <w:r w:rsidRPr="00720955" w:rsidR="00C11E8B">
                    <w:rPr>
                      <w:rFonts w:asciiTheme="majorBidi" w:hAnsiTheme="majorBidi" w:cstheme="majorBidi"/>
                      <w:color w:val="000000"/>
                    </w:rPr>
                    <w:t>ttorney and expert witness time related to coordination with other parties</w:t>
                  </w:r>
                  <w:r w:rsidR="003C6FDE">
                    <w:rPr>
                      <w:rFonts w:asciiTheme="majorBidi" w:hAnsiTheme="majorBidi" w:cstheme="majorBidi"/>
                      <w:color w:val="000000"/>
                    </w:rPr>
                    <w:t>.</w:t>
                  </w:r>
                </w:p>
              </w:tc>
              <w:tc>
                <w:tcPr>
                  <w:tcW w:w="1350" w:type="dxa"/>
                  <w:vAlign w:val="bottom"/>
                </w:tcPr>
                <w:p w:rsidRPr="005E7601" w:rsidR="005E7601" w:rsidP="005E7601" w:rsidRDefault="002A2A0D" w14:paraId="4EFB3984" w14:textId="72073C2D">
                  <w:r>
                    <w:rPr>
                      <w:color w:val="000000"/>
                    </w:rPr>
                    <w:t>0.6</w:t>
                  </w:r>
                  <w:r w:rsidRPr="005E7601" w:rsidR="005E7601">
                    <w:rPr>
                      <w:color w:val="000000"/>
                    </w:rPr>
                    <w:t>%</w:t>
                  </w:r>
                </w:p>
              </w:tc>
            </w:tr>
            <w:tr w:rsidRPr="005E7601" w:rsidR="005E7601" w:rsidTr="00D376EA" w14:paraId="0AB37976" w14:textId="77777777">
              <w:tc>
                <w:tcPr>
                  <w:tcW w:w="1483" w:type="dxa"/>
                  <w:vAlign w:val="center"/>
                </w:tcPr>
                <w:p w:rsidRPr="005E7601" w:rsidR="005E7601" w:rsidP="005E7601" w:rsidRDefault="00216746" w14:paraId="4FCACC3B" w14:textId="2624E02C">
                  <w:pPr>
                    <w:rPr>
                      <w:rFonts w:asciiTheme="majorBidi" w:hAnsiTheme="majorBidi" w:cstheme="majorBidi"/>
                    </w:rPr>
                  </w:pPr>
                  <w:r>
                    <w:t>Proc</w:t>
                  </w:r>
                </w:p>
              </w:tc>
              <w:tc>
                <w:tcPr>
                  <w:tcW w:w="4330" w:type="dxa"/>
                  <w:vAlign w:val="bottom"/>
                </w:tcPr>
                <w:p w:rsidRPr="005E7601" w:rsidR="005E7601" w:rsidP="005E7601" w:rsidRDefault="00216746" w14:paraId="3209CB7A" w14:textId="21363576">
                  <w:pPr>
                    <w:rPr>
                      <w:rFonts w:asciiTheme="majorBidi" w:hAnsiTheme="majorBidi" w:cstheme="majorBidi"/>
                    </w:rPr>
                  </w:pPr>
                  <w:r>
                    <w:rPr>
                      <w:rFonts w:asciiTheme="majorBidi" w:hAnsiTheme="majorBidi" w:cstheme="majorBidi"/>
                      <w:color w:val="000000"/>
                    </w:rPr>
                    <w:t xml:space="preserve">TURN’s attorney time addressing procedural issues, here primarily the ALJ </w:t>
                  </w:r>
                  <w:r>
                    <w:rPr>
                      <w:rFonts w:asciiTheme="majorBidi" w:hAnsiTheme="majorBidi" w:cstheme="majorBidi"/>
                      <w:color w:val="000000"/>
                    </w:rPr>
                    <w:lastRenderedPageBreak/>
                    <w:t>Ruling Seeking Responses to Questions issued on 10/17/23</w:t>
                  </w:r>
                </w:p>
              </w:tc>
              <w:tc>
                <w:tcPr>
                  <w:tcW w:w="1350" w:type="dxa"/>
                  <w:vAlign w:val="bottom"/>
                </w:tcPr>
                <w:p w:rsidRPr="005E7601" w:rsidR="005E7601" w:rsidP="005E7601" w:rsidRDefault="00216746" w14:paraId="3CCFCB35" w14:textId="5A84E7E4">
                  <w:r>
                    <w:rPr>
                      <w:color w:val="000000"/>
                    </w:rPr>
                    <w:lastRenderedPageBreak/>
                    <w:t>4.</w:t>
                  </w:r>
                  <w:r w:rsidR="007071D7">
                    <w:rPr>
                      <w:color w:val="000000"/>
                    </w:rPr>
                    <w:t>3</w:t>
                  </w:r>
                  <w:r>
                    <w:rPr>
                      <w:color w:val="000000"/>
                    </w:rPr>
                    <w:t>%</w:t>
                  </w:r>
                </w:p>
              </w:tc>
            </w:tr>
            <w:tr w:rsidRPr="005E7601" w:rsidR="005E7601" w:rsidTr="00D376EA" w14:paraId="68FCF05F" w14:textId="77777777">
              <w:tc>
                <w:tcPr>
                  <w:tcW w:w="1483" w:type="dxa"/>
                  <w:vAlign w:val="center"/>
                </w:tcPr>
                <w:p w:rsidRPr="005E7601" w:rsidR="005E7601" w:rsidP="005E7601" w:rsidRDefault="005E7601" w14:paraId="2247691A" w14:textId="4AFDE067">
                  <w:pPr>
                    <w:rPr>
                      <w:rFonts w:asciiTheme="majorBidi" w:hAnsiTheme="majorBidi" w:cstheme="majorBidi"/>
                    </w:rPr>
                  </w:pPr>
                  <w:r>
                    <w:t>Settle</w:t>
                  </w:r>
                </w:p>
              </w:tc>
              <w:tc>
                <w:tcPr>
                  <w:tcW w:w="4330" w:type="dxa"/>
                  <w:vAlign w:val="bottom"/>
                </w:tcPr>
                <w:p w:rsidRPr="005E7601" w:rsidR="005E7601" w:rsidP="005E7601" w:rsidRDefault="00216746" w14:paraId="2897DDFE" w14:textId="58589B4C">
                  <w:pPr>
                    <w:rPr>
                      <w:rFonts w:asciiTheme="majorBidi" w:hAnsiTheme="majorBidi" w:cstheme="majorBidi"/>
                    </w:rPr>
                  </w:pPr>
                  <w:r>
                    <w:rPr>
                      <w:rFonts w:asciiTheme="majorBidi" w:hAnsiTheme="majorBidi" w:cstheme="majorBidi"/>
                    </w:rPr>
                    <w:t>Limited time recorded for initial settlement meeting of parties and attending settlement conference</w:t>
                  </w:r>
                </w:p>
              </w:tc>
              <w:tc>
                <w:tcPr>
                  <w:tcW w:w="1350" w:type="dxa"/>
                  <w:vAlign w:val="bottom"/>
                </w:tcPr>
                <w:p w:rsidRPr="005E7601" w:rsidR="005E7601" w:rsidP="005E7601" w:rsidRDefault="00216746" w14:paraId="652C210E" w14:textId="50852A29">
                  <w:r>
                    <w:rPr>
                      <w:color w:val="000000"/>
                    </w:rPr>
                    <w:t>0.2%</w:t>
                  </w:r>
                </w:p>
              </w:tc>
            </w:tr>
            <w:tr w:rsidRPr="005E7601" w:rsidR="005E7601" w:rsidTr="00D376EA" w14:paraId="6F419666" w14:textId="77777777">
              <w:tc>
                <w:tcPr>
                  <w:tcW w:w="1483" w:type="dxa"/>
                  <w:vAlign w:val="center"/>
                </w:tcPr>
                <w:p w:rsidRPr="005E7601" w:rsidR="005E7601" w:rsidP="005E7601" w:rsidRDefault="00216746" w14:paraId="4A9E67FE" w14:textId="229B310F">
                  <w:pPr>
                    <w:rPr>
                      <w:rFonts w:asciiTheme="majorBidi" w:hAnsiTheme="majorBidi" w:cstheme="majorBidi"/>
                    </w:rPr>
                  </w:pPr>
                  <w:r>
                    <w:t>PD</w:t>
                  </w:r>
                </w:p>
              </w:tc>
              <w:tc>
                <w:tcPr>
                  <w:tcW w:w="4330" w:type="dxa"/>
                  <w:vAlign w:val="bottom"/>
                </w:tcPr>
                <w:p w:rsidRPr="005E7601" w:rsidR="005E7601" w:rsidP="005E7601" w:rsidRDefault="00216746" w14:paraId="3A08624D" w14:textId="51B905DA">
                  <w:pPr>
                    <w:rPr>
                      <w:rFonts w:asciiTheme="majorBidi" w:hAnsiTheme="majorBidi" w:cstheme="majorBidi"/>
                    </w:rPr>
                  </w:pPr>
                  <w:r>
                    <w:rPr>
                      <w:color w:val="000000"/>
                    </w:rPr>
                    <w:t>Proposed Decision – Review of PD and preparation of comments on PD</w:t>
                  </w:r>
                </w:p>
              </w:tc>
              <w:tc>
                <w:tcPr>
                  <w:tcW w:w="1350" w:type="dxa"/>
                  <w:vAlign w:val="bottom"/>
                </w:tcPr>
                <w:p w:rsidRPr="005E7601" w:rsidR="005E7601" w:rsidP="005E7601" w:rsidRDefault="00216746" w14:paraId="6EAFF471" w14:textId="024A171B">
                  <w:r>
                    <w:rPr>
                      <w:color w:val="000000"/>
                    </w:rPr>
                    <w:t>1.6%</w:t>
                  </w:r>
                </w:p>
              </w:tc>
            </w:tr>
          </w:tbl>
          <w:p w:rsidRPr="00230F87" w:rsidR="00FE3BAE" w:rsidP="00EC6387" w:rsidRDefault="00FE3BAE" w14:paraId="78501013" w14:textId="77777777">
            <w:pPr>
              <w:rPr>
                <w:rFonts w:asciiTheme="majorBidi" w:hAnsiTheme="majorBidi" w:cstheme="majorBidi"/>
                <w:color w:val="000000"/>
              </w:rPr>
            </w:pPr>
          </w:p>
          <w:p w:rsidR="00577780" w:rsidP="00577780" w:rsidRDefault="00577780" w14:paraId="6C6F6C63" w14:textId="00D1C8AE">
            <w:pPr>
              <w:autoSpaceDE w:val="0"/>
              <w:autoSpaceDN w:val="0"/>
              <w:adjustRightInd w:val="0"/>
              <w:rPr>
                <w:b/>
                <w:bCs/>
                <w:iCs/>
                <w:color w:val="000000"/>
                <w:u w:val="single"/>
              </w:rPr>
            </w:pPr>
            <w:r w:rsidRPr="00BE5B93">
              <w:rPr>
                <w:b/>
                <w:bCs/>
                <w:color w:val="000000"/>
                <w:u w:val="single"/>
              </w:rPr>
              <w:t xml:space="preserve">General </w:t>
            </w:r>
            <w:r w:rsidRPr="00BE5B93">
              <w:rPr>
                <w:b/>
                <w:bCs/>
                <w:iCs/>
                <w:color w:val="000000"/>
                <w:u w:val="single"/>
              </w:rPr>
              <w:t xml:space="preserve">Time Coded as </w:t>
            </w:r>
            <w:r>
              <w:rPr>
                <w:b/>
                <w:bCs/>
                <w:iCs/>
                <w:color w:val="000000"/>
                <w:u w:val="single"/>
              </w:rPr>
              <w:t>“</w:t>
            </w:r>
            <w:r w:rsidRPr="00BE5B93">
              <w:rPr>
                <w:b/>
                <w:bCs/>
                <w:iCs/>
                <w:color w:val="000000"/>
                <w:u w:val="single"/>
              </w:rPr>
              <w:t>GP</w:t>
            </w:r>
            <w:r>
              <w:rPr>
                <w:b/>
                <w:bCs/>
                <w:iCs/>
                <w:color w:val="000000"/>
                <w:u w:val="single"/>
              </w:rPr>
              <w:t>”</w:t>
            </w:r>
          </w:p>
          <w:p w:rsidR="00577780" w:rsidP="00577780" w:rsidRDefault="00577780" w14:paraId="099E0AE7" w14:textId="77777777">
            <w:pPr>
              <w:autoSpaceDE w:val="0"/>
              <w:autoSpaceDN w:val="0"/>
              <w:adjustRightInd w:val="0"/>
              <w:rPr>
                <w:sz w:val="23"/>
                <w:szCs w:val="23"/>
              </w:rPr>
            </w:pPr>
          </w:p>
          <w:p w:rsidRPr="00336A4D" w:rsidR="00577780" w:rsidP="00577780" w:rsidRDefault="00577780" w14:paraId="0F14F9D7" w14:textId="1821E964">
            <w:pPr>
              <w:autoSpaceDE w:val="0"/>
              <w:autoSpaceDN w:val="0"/>
              <w:adjustRightInd w:val="0"/>
            </w:pPr>
            <w:r w:rsidRPr="00336A4D">
              <w:t xml:space="preserve">Where work cannot be easily </w:t>
            </w:r>
            <w:r>
              <w:t xml:space="preserve">allocated to a specific issue </w:t>
            </w:r>
            <w:r w:rsidRPr="00336A4D">
              <w:t xml:space="preserve">or does not address </w:t>
            </w:r>
            <w:r>
              <w:t xml:space="preserve">a </w:t>
            </w:r>
            <w:r w:rsidRPr="00336A4D">
              <w:t>particular issue</w:t>
            </w:r>
            <w:r>
              <w:t xml:space="preserve"> that TURN eventually addresses,</w:t>
            </w:r>
            <w:r w:rsidRPr="00336A4D">
              <w:t xml:space="preserve"> but is essential to participation in litigation, TURN has historically used the general work designation </w:t>
            </w:r>
            <w:r>
              <w:t>“</w:t>
            </w:r>
            <w:r w:rsidRPr="00336A4D">
              <w:t>GP.</w:t>
            </w:r>
            <w:r>
              <w:t>”</w:t>
            </w:r>
            <w:r w:rsidRPr="00336A4D">
              <w:t xml:space="preserve"> For example, reading Commission or ALJ Rulings typically falls into the </w:t>
            </w:r>
            <w:r>
              <w:t>“</w:t>
            </w:r>
            <w:r w:rsidRPr="00336A4D">
              <w:t>GP</w:t>
            </w:r>
            <w:r>
              <w:t>”</w:t>
            </w:r>
            <w:r w:rsidRPr="00336A4D">
              <w:t xml:space="preserve"> code category</w:t>
            </w:r>
            <w:r>
              <w:t>, as those Rulings generally address procedural issues and/or multiple issue areas</w:t>
            </w:r>
            <w:r w:rsidRPr="00336A4D">
              <w:t xml:space="preserve">. </w:t>
            </w:r>
            <w:r>
              <w:t>Similarly</w:t>
            </w:r>
            <w:r w:rsidRPr="00336A4D">
              <w:t>, early review of testimonies to identify issues</w:t>
            </w:r>
            <w:r>
              <w:t xml:space="preserve"> and preparation of the initial protest</w:t>
            </w:r>
            <w:r w:rsidRPr="00336A4D">
              <w:t xml:space="preserve"> may be coded as G</w:t>
            </w:r>
            <w:r>
              <w:t xml:space="preserve">P. </w:t>
            </w:r>
            <w:r w:rsidRPr="00336A4D">
              <w:t xml:space="preserve">Other tasks, such </w:t>
            </w:r>
            <w:r>
              <w:t xml:space="preserve">as participating in mandatory status conferences, preparing joint case management-related documents at the ALJ’s request, and </w:t>
            </w:r>
            <w:r w:rsidRPr="00336A4D">
              <w:t>general hearing activities</w:t>
            </w:r>
            <w:r>
              <w:t>,</w:t>
            </w:r>
            <w:r w:rsidRPr="00336A4D">
              <w:t xml:space="preserve"> may be coded with non-issue-specific activity codes such as </w:t>
            </w:r>
            <w:r>
              <w:t>“</w:t>
            </w:r>
            <w:r w:rsidRPr="00336A4D">
              <w:t>GH</w:t>
            </w:r>
            <w:r>
              <w:t>”.</w:t>
            </w:r>
          </w:p>
          <w:p w:rsidRPr="00336A4D" w:rsidR="00577780" w:rsidP="00577780" w:rsidRDefault="00577780" w14:paraId="32C1703E" w14:textId="77777777">
            <w:pPr>
              <w:autoSpaceDE w:val="0"/>
              <w:autoSpaceDN w:val="0"/>
              <w:adjustRightInd w:val="0"/>
            </w:pPr>
          </w:p>
          <w:p w:rsidRPr="00336A4D" w:rsidR="00577780" w:rsidP="00577780" w:rsidRDefault="00577780" w14:paraId="41FBCAC6" w14:textId="77777777">
            <w:pPr>
              <w:autoSpaceDE w:val="0"/>
              <w:autoSpaceDN w:val="0"/>
              <w:adjustRightInd w:val="0"/>
              <w:rPr>
                <w:color w:val="000000"/>
              </w:rPr>
            </w:pPr>
            <w:r w:rsidRPr="00336A4D">
              <w:rPr>
                <w:bCs/>
                <w:iCs/>
                <w:color w:val="000000"/>
              </w:rPr>
              <w:t xml:space="preserve">Based on direction from the Commission, TURN committed in 2023 to coding all time using individual issue codes as much as </w:t>
            </w:r>
            <w:proofErr w:type="gramStart"/>
            <w:r w:rsidRPr="00336A4D">
              <w:rPr>
                <w:bCs/>
                <w:iCs/>
                <w:color w:val="000000"/>
              </w:rPr>
              <w:t>possible, and</w:t>
            </w:r>
            <w:proofErr w:type="gramEnd"/>
            <w:r w:rsidRPr="00336A4D">
              <w:rPr>
                <w:bCs/>
                <w:iCs/>
                <w:color w:val="000000"/>
              </w:rPr>
              <w:t xml:space="preserve"> reducing the time coded to non-issue-specific activity and issue codes. </w:t>
            </w:r>
            <w:r>
              <w:rPr>
                <w:bCs/>
                <w:iCs/>
                <w:color w:val="000000"/>
              </w:rPr>
              <w:t xml:space="preserve">As TURN’s timesheets show, </w:t>
            </w:r>
            <w:r w:rsidRPr="00336A4D">
              <w:rPr>
                <w:bCs/>
                <w:iCs/>
                <w:color w:val="000000"/>
              </w:rPr>
              <w:t xml:space="preserve">it is impossible </w:t>
            </w:r>
            <w:r w:rsidRPr="00336A4D">
              <w:t xml:space="preserve">to </w:t>
            </w:r>
            <w:proofErr w:type="gramStart"/>
            <w:r w:rsidRPr="00336A4D">
              <w:t>entirely eliminate</w:t>
            </w:r>
            <w:proofErr w:type="gramEnd"/>
            <w:r w:rsidRPr="00336A4D">
              <w:t xml:space="preserve"> all work that is not specific to an identified issue in dispute</w:t>
            </w:r>
            <w:r>
              <w:t>, or to assign all work to a single issue</w:t>
            </w:r>
            <w:r w:rsidRPr="00336A4D">
              <w:t xml:space="preserve">. </w:t>
            </w:r>
            <w:r>
              <w:t xml:space="preserve">Nonetheless, </w:t>
            </w:r>
            <w:proofErr w:type="gramStart"/>
            <w:r>
              <w:t>the vast majority of</w:t>
            </w:r>
            <w:proofErr w:type="gramEnd"/>
            <w:r>
              <w:t xml:space="preserve"> TURN’s </w:t>
            </w:r>
            <w:proofErr w:type="gramStart"/>
            <w:r>
              <w:t>work in</w:t>
            </w:r>
            <w:proofErr w:type="gramEnd"/>
            <w:r>
              <w:t xml:space="preserve"> included in this compensation claim pertained to the specific substantive issue areas TURN focused on here.</w:t>
            </w:r>
          </w:p>
          <w:p w:rsidRPr="00230F87" w:rsidR="00691528" w:rsidP="00EC6387" w:rsidRDefault="00691528" w14:paraId="3285939A" w14:textId="77777777">
            <w:pPr>
              <w:rPr>
                <w:rFonts w:asciiTheme="majorBidi" w:hAnsiTheme="majorBidi" w:cstheme="majorBidi"/>
                <w:color w:val="000000"/>
              </w:rPr>
            </w:pPr>
          </w:p>
        </w:tc>
        <w:tc>
          <w:tcPr>
            <w:tcW w:w="2250" w:type="dxa"/>
          </w:tcPr>
          <w:p w:rsidR="00FE3BAE" w:rsidP="00382C7F" w:rsidRDefault="00FE3BAE" w14:paraId="005CAACA" w14:textId="77777777">
            <w:pPr>
              <w:jc w:val="center"/>
              <w:rPr>
                <w:rFonts w:asciiTheme="majorBidi" w:hAnsiTheme="majorBidi" w:cstheme="majorBidi"/>
                <w:color w:val="000000"/>
              </w:rPr>
            </w:pPr>
          </w:p>
          <w:p w:rsidR="00382C7F" w:rsidP="00382C7F" w:rsidRDefault="00382C7F" w14:paraId="6389D3D5" w14:textId="77777777">
            <w:pPr>
              <w:jc w:val="center"/>
              <w:rPr>
                <w:rFonts w:asciiTheme="majorBidi" w:hAnsiTheme="majorBidi" w:cstheme="majorBidi"/>
                <w:color w:val="000000"/>
              </w:rPr>
            </w:pPr>
          </w:p>
          <w:p w:rsidR="00382C7F" w:rsidP="00382C7F" w:rsidRDefault="00382C7F" w14:paraId="79DB753B" w14:textId="77777777">
            <w:pPr>
              <w:jc w:val="center"/>
              <w:rPr>
                <w:rFonts w:asciiTheme="majorBidi" w:hAnsiTheme="majorBidi" w:cstheme="majorBidi"/>
                <w:color w:val="000000"/>
              </w:rPr>
            </w:pPr>
          </w:p>
          <w:p w:rsidR="00382C7F" w:rsidP="00382C7F" w:rsidRDefault="00382C7F" w14:paraId="2ACE5812" w14:textId="77777777">
            <w:pPr>
              <w:jc w:val="center"/>
              <w:rPr>
                <w:rFonts w:asciiTheme="majorBidi" w:hAnsiTheme="majorBidi" w:cstheme="majorBidi"/>
                <w:color w:val="000000"/>
              </w:rPr>
            </w:pPr>
          </w:p>
          <w:p w:rsidRPr="00230F87" w:rsidR="00382C7F" w:rsidP="00382C7F" w:rsidRDefault="00382C7F" w14:paraId="497C4799" w14:textId="6E3B12E5">
            <w:pPr>
              <w:jc w:val="center"/>
              <w:rPr>
                <w:rFonts w:asciiTheme="majorBidi" w:hAnsiTheme="majorBidi" w:cstheme="majorBidi"/>
                <w:color w:val="000000"/>
              </w:rPr>
            </w:pPr>
            <w:r>
              <w:rPr>
                <w:rFonts w:asciiTheme="majorBidi" w:hAnsiTheme="majorBidi" w:cstheme="majorBidi"/>
                <w:color w:val="000000"/>
              </w:rPr>
              <w:t>Noted</w:t>
            </w:r>
          </w:p>
        </w:tc>
      </w:tr>
    </w:tbl>
    <w:p w:rsidRPr="00230F87" w:rsidR="00A92D0B" w:rsidP="005B5B44" w:rsidRDefault="00A92D0B" w14:paraId="710BC7D6" w14:textId="77777777">
      <w:pPr>
        <w:keepNext/>
        <w:numPr>
          <w:ilvl w:val="0"/>
          <w:numId w:val="9"/>
        </w:numPr>
        <w:spacing w:before="240" w:after="240"/>
        <w:rPr>
          <w:rFonts w:asciiTheme="majorBidi" w:hAnsiTheme="majorBidi" w:cstheme="majorBidi"/>
          <w:b/>
          <w:color w:val="000000"/>
        </w:rPr>
      </w:pPr>
      <w:r w:rsidRPr="00230F87">
        <w:rPr>
          <w:rFonts w:asciiTheme="majorBidi" w:hAnsiTheme="majorBidi" w:cstheme="majorBidi"/>
          <w:b/>
          <w:color w:val="000000"/>
        </w:rPr>
        <w:lastRenderedPageBreak/>
        <w:t xml:space="preserve">Specific </w:t>
      </w:r>
      <w:proofErr w:type="gramStart"/>
      <w:r w:rsidRPr="00230F87">
        <w:rPr>
          <w:rFonts w:asciiTheme="majorBidi" w:hAnsiTheme="majorBidi" w:cstheme="majorBidi"/>
          <w:b/>
          <w:color w:val="000000"/>
        </w:rPr>
        <w:t>Claim</w:t>
      </w:r>
      <w:r w:rsidRPr="00230F87" w:rsidR="00C02649">
        <w:rPr>
          <w:rFonts w:asciiTheme="majorBidi" w:hAnsiTheme="majorBidi" w:cstheme="majorBidi"/>
          <w:b/>
          <w:color w:val="000000"/>
        </w:rPr>
        <w:t>:</w:t>
      </w:r>
      <w:r w:rsidRPr="00230F87" w:rsidR="00D075B1">
        <w:rPr>
          <w:rFonts w:asciiTheme="majorBidi" w:hAnsiTheme="majorBidi" w:cstheme="majorBidi"/>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1121"/>
        <w:gridCol w:w="286"/>
        <w:gridCol w:w="1244"/>
        <w:gridCol w:w="1350"/>
        <w:gridCol w:w="938"/>
        <w:gridCol w:w="1146"/>
        <w:gridCol w:w="1881"/>
      </w:tblGrid>
      <w:tr w:rsidRPr="00230F87" w:rsidR="00A92D0B" w:rsidTr="00FA70D1" w14:paraId="780664A2" w14:textId="77777777">
        <w:trPr>
          <w:tblHeader/>
          <w:jc w:val="center"/>
        </w:trPr>
        <w:tc>
          <w:tcPr>
            <w:tcW w:w="7195" w:type="dxa"/>
            <w:gridSpan w:val="8"/>
            <w:tcBorders>
              <w:bottom w:val="single" w:color="auto" w:sz="4" w:space="0"/>
              <w:right w:val="single" w:color="auto" w:sz="24" w:space="0"/>
            </w:tcBorders>
          </w:tcPr>
          <w:p w:rsidRPr="00FA70D1" w:rsidR="00A92D0B" w:rsidP="00DE3A5D" w:rsidRDefault="00A92D0B" w14:paraId="6BFE54DA" w14:textId="77777777">
            <w:pPr>
              <w:keepNext/>
              <w:keepLines/>
              <w:spacing w:before="60" w:after="60"/>
              <w:jc w:val="center"/>
              <w:rPr>
                <w:rFonts w:asciiTheme="majorBidi" w:hAnsiTheme="majorBidi" w:cstheme="majorBidi"/>
                <w:b/>
                <w:smallCaps/>
                <w:color w:val="000000"/>
              </w:rPr>
            </w:pPr>
            <w:r w:rsidRPr="00FA70D1">
              <w:rPr>
                <w:rFonts w:asciiTheme="majorBidi" w:hAnsiTheme="majorBidi" w:cstheme="majorBidi"/>
                <w:b/>
                <w:smallCaps/>
                <w:color w:val="000000"/>
              </w:rPr>
              <w:t>Claimed</w:t>
            </w:r>
          </w:p>
        </w:tc>
        <w:tc>
          <w:tcPr>
            <w:tcW w:w="3965" w:type="dxa"/>
            <w:gridSpan w:val="3"/>
            <w:tcBorders>
              <w:left w:val="single" w:color="auto" w:sz="24" w:space="0"/>
              <w:bottom w:val="single" w:color="auto" w:sz="4" w:space="0"/>
            </w:tcBorders>
          </w:tcPr>
          <w:p w:rsidRPr="00FA70D1" w:rsidR="00A92D0B" w:rsidP="00DE3A5D" w:rsidRDefault="00A92D0B" w14:paraId="170A0FA1" w14:textId="77777777">
            <w:pPr>
              <w:keepNext/>
              <w:keepLines/>
              <w:spacing w:before="60" w:after="60"/>
              <w:jc w:val="center"/>
              <w:rPr>
                <w:rFonts w:asciiTheme="majorBidi" w:hAnsiTheme="majorBidi" w:cstheme="majorBidi"/>
                <w:b/>
                <w:smallCaps/>
                <w:color w:val="000000"/>
              </w:rPr>
            </w:pPr>
            <w:r w:rsidRPr="00FA70D1">
              <w:rPr>
                <w:rFonts w:asciiTheme="majorBidi" w:hAnsiTheme="majorBidi" w:cstheme="majorBidi"/>
                <w:b/>
                <w:smallCaps/>
                <w:color w:val="000000"/>
              </w:rPr>
              <w:t>CPUC Award</w:t>
            </w:r>
          </w:p>
        </w:tc>
      </w:tr>
      <w:tr w:rsidRPr="00230F87" w:rsidR="00A92D0B" w:rsidTr="00EC6387" w14:paraId="0F5B6CAA" w14:textId="77777777">
        <w:trPr>
          <w:jc w:val="center"/>
        </w:trPr>
        <w:tc>
          <w:tcPr>
            <w:tcW w:w="11160" w:type="dxa"/>
            <w:gridSpan w:val="11"/>
            <w:tcBorders>
              <w:top w:val="single" w:color="auto" w:sz="4" w:space="0"/>
              <w:left w:val="single" w:color="auto" w:sz="4" w:space="0"/>
              <w:bottom w:val="single" w:color="auto" w:sz="4" w:space="0"/>
              <w:right w:val="single" w:color="auto" w:sz="4" w:space="0"/>
            </w:tcBorders>
            <w:shd w:val="clear" w:color="auto" w:fill="E6E6E6"/>
          </w:tcPr>
          <w:p w:rsidRPr="00FA70D1" w:rsidR="00A92D0B" w:rsidP="00DE3A5D" w:rsidRDefault="00A92D0B" w14:paraId="284F9031" w14:textId="77777777">
            <w:pPr>
              <w:keepNext/>
              <w:keepLines/>
              <w:spacing w:before="60" w:after="60"/>
              <w:jc w:val="center"/>
              <w:rPr>
                <w:rFonts w:asciiTheme="majorBidi" w:hAnsiTheme="majorBidi" w:cstheme="majorBidi"/>
                <w:b/>
              </w:rPr>
            </w:pPr>
            <w:r w:rsidRPr="00FA70D1">
              <w:rPr>
                <w:rFonts w:asciiTheme="majorBidi" w:hAnsiTheme="majorBidi" w:cstheme="majorBidi"/>
                <w:b/>
              </w:rPr>
              <w:t>ATTORNEY, EXPERT, AND ADVOCATE FEES</w:t>
            </w:r>
          </w:p>
        </w:tc>
      </w:tr>
      <w:tr w:rsidRPr="00230F87" w:rsidR="00A92D0B" w:rsidTr="00D15385" w14:paraId="5A70C962" w14:textId="77777777">
        <w:trPr>
          <w:jc w:val="center"/>
        </w:trPr>
        <w:tc>
          <w:tcPr>
            <w:tcW w:w="1489" w:type="dxa"/>
            <w:tcBorders>
              <w:top w:val="single" w:color="auto" w:sz="4" w:space="0"/>
              <w:bottom w:val="single" w:color="auto" w:sz="4" w:space="0"/>
            </w:tcBorders>
            <w:vAlign w:val="bottom"/>
          </w:tcPr>
          <w:p w:rsidRPr="00FA70D1" w:rsidR="00A92D0B" w:rsidP="003B6A1B" w:rsidRDefault="00A92D0B" w14:paraId="41646676"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Item</w:t>
            </w:r>
          </w:p>
        </w:tc>
        <w:tc>
          <w:tcPr>
            <w:tcW w:w="821" w:type="dxa"/>
            <w:tcBorders>
              <w:top w:val="single" w:color="auto" w:sz="4" w:space="0"/>
              <w:bottom w:val="single" w:color="auto" w:sz="4" w:space="0"/>
            </w:tcBorders>
            <w:vAlign w:val="bottom"/>
          </w:tcPr>
          <w:p w:rsidRPr="00FA70D1" w:rsidR="00A92D0B" w:rsidP="003B6A1B" w:rsidRDefault="00A92D0B" w14:paraId="43BB9941"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FA70D1" w:rsidR="00A92D0B" w:rsidP="003B6A1B" w:rsidRDefault="00A92D0B" w14:paraId="0EF32B08"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Hours</w:t>
            </w:r>
          </w:p>
        </w:tc>
        <w:tc>
          <w:tcPr>
            <w:tcW w:w="1121" w:type="dxa"/>
            <w:tcBorders>
              <w:top w:val="single" w:color="auto" w:sz="4" w:space="0"/>
              <w:bottom w:val="single" w:color="auto" w:sz="4" w:space="0"/>
            </w:tcBorders>
            <w:vAlign w:val="bottom"/>
          </w:tcPr>
          <w:p w:rsidRPr="00FA70D1" w:rsidR="00A92D0B" w:rsidP="003B6A1B" w:rsidRDefault="00A92D0B" w14:paraId="21C69246"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Rate</w:t>
            </w:r>
            <w:r w:rsidRPr="00FA70D1" w:rsidR="00E3786F">
              <w:rPr>
                <w:rFonts w:asciiTheme="majorBidi" w:hAnsiTheme="majorBidi" w:cstheme="majorBidi"/>
                <w:b/>
                <w:color w:val="000000"/>
              </w:rPr>
              <w:t xml:space="preserve"> $</w:t>
            </w:r>
          </w:p>
        </w:tc>
        <w:tc>
          <w:tcPr>
            <w:tcW w:w="1530" w:type="dxa"/>
            <w:gridSpan w:val="2"/>
            <w:tcBorders>
              <w:top w:val="single" w:color="auto" w:sz="4" w:space="0"/>
              <w:bottom w:val="single" w:color="auto" w:sz="4" w:space="0"/>
              <w:right w:val="single" w:color="auto" w:sz="4" w:space="0"/>
            </w:tcBorders>
            <w:vAlign w:val="bottom"/>
          </w:tcPr>
          <w:p w:rsidRPr="00FA70D1" w:rsidR="00A92D0B" w:rsidP="003B6A1B" w:rsidRDefault="00A92D0B" w14:paraId="59E63C07"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Basis for Rate*</w:t>
            </w:r>
          </w:p>
        </w:tc>
        <w:tc>
          <w:tcPr>
            <w:tcW w:w="1350" w:type="dxa"/>
            <w:tcBorders>
              <w:top w:val="single" w:color="auto" w:sz="4" w:space="0"/>
              <w:left w:val="single" w:color="auto" w:sz="4" w:space="0"/>
              <w:bottom w:val="single" w:color="auto" w:sz="4" w:space="0"/>
              <w:right w:val="single" w:color="auto" w:sz="24" w:space="0"/>
            </w:tcBorders>
            <w:vAlign w:val="bottom"/>
          </w:tcPr>
          <w:p w:rsidRPr="00FA70D1" w:rsidR="00A92D0B" w:rsidP="003B6A1B" w:rsidRDefault="00A92D0B" w14:paraId="7099C603"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Total $</w:t>
            </w:r>
          </w:p>
        </w:tc>
        <w:tc>
          <w:tcPr>
            <w:tcW w:w="938" w:type="dxa"/>
            <w:tcBorders>
              <w:top w:val="single" w:color="auto" w:sz="4" w:space="0"/>
              <w:left w:val="single" w:color="auto" w:sz="4" w:space="0"/>
            </w:tcBorders>
            <w:vAlign w:val="bottom"/>
          </w:tcPr>
          <w:p w:rsidRPr="00FA70D1" w:rsidR="00A92D0B" w:rsidP="003B6A1B" w:rsidRDefault="00A92D0B" w14:paraId="564E4964"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Hours</w:t>
            </w:r>
          </w:p>
        </w:tc>
        <w:tc>
          <w:tcPr>
            <w:tcW w:w="1146" w:type="dxa"/>
            <w:tcBorders>
              <w:top w:val="single" w:color="auto" w:sz="4" w:space="0"/>
            </w:tcBorders>
            <w:vAlign w:val="bottom"/>
          </w:tcPr>
          <w:p w:rsidRPr="00FA70D1" w:rsidR="00A92D0B" w:rsidP="003B6A1B" w:rsidRDefault="00A92D0B" w14:paraId="1462552D"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Rate</w:t>
            </w:r>
            <w:r w:rsidRPr="00FA70D1" w:rsidR="00E3786F">
              <w:rPr>
                <w:rFonts w:asciiTheme="majorBidi" w:hAnsiTheme="majorBidi" w:cstheme="majorBidi"/>
                <w:b/>
                <w:color w:val="000000"/>
              </w:rPr>
              <w:t xml:space="preserve"> $</w:t>
            </w:r>
          </w:p>
        </w:tc>
        <w:tc>
          <w:tcPr>
            <w:tcW w:w="1881" w:type="dxa"/>
            <w:tcBorders>
              <w:top w:val="single" w:color="auto" w:sz="4" w:space="0"/>
            </w:tcBorders>
            <w:vAlign w:val="bottom"/>
          </w:tcPr>
          <w:p w:rsidRPr="00FA70D1" w:rsidR="00A92D0B" w:rsidP="003B6A1B" w:rsidRDefault="00A92D0B" w14:paraId="1B6A5CA4" w14:textId="77777777">
            <w:pPr>
              <w:keepNext/>
              <w:keepLines/>
              <w:spacing w:before="60" w:after="60"/>
              <w:jc w:val="center"/>
              <w:rPr>
                <w:rFonts w:asciiTheme="majorBidi" w:hAnsiTheme="majorBidi" w:cstheme="majorBidi"/>
                <w:b/>
                <w:color w:val="000000"/>
              </w:rPr>
            </w:pPr>
            <w:r w:rsidRPr="00FA70D1">
              <w:rPr>
                <w:rFonts w:asciiTheme="majorBidi" w:hAnsiTheme="majorBidi" w:cstheme="majorBidi"/>
                <w:b/>
                <w:color w:val="000000"/>
              </w:rPr>
              <w:t>Total $</w:t>
            </w:r>
          </w:p>
        </w:tc>
      </w:tr>
      <w:tr w:rsidRPr="00230F87" w:rsidR="00652A59" w:rsidTr="0090642C" w14:paraId="62E8A168" w14:textId="77777777">
        <w:trPr>
          <w:jc w:val="center"/>
        </w:trPr>
        <w:tc>
          <w:tcPr>
            <w:tcW w:w="1489" w:type="dxa"/>
            <w:vAlign w:val="bottom"/>
          </w:tcPr>
          <w:p w:rsidRPr="00FA70D1" w:rsidR="00652A59" w:rsidP="00652A59" w:rsidRDefault="00652A59" w14:paraId="33EA8B38" w14:textId="59772B12">
            <w:pPr>
              <w:spacing w:before="60" w:after="60"/>
              <w:rPr>
                <w:color w:val="000000"/>
              </w:rPr>
            </w:pPr>
            <w:r w:rsidRPr="00FA70D1">
              <w:rPr>
                <w:color w:val="000000"/>
              </w:rPr>
              <w:t>Robert Finkelstein, General Counsel</w:t>
            </w:r>
          </w:p>
        </w:tc>
        <w:tc>
          <w:tcPr>
            <w:tcW w:w="821" w:type="dxa"/>
            <w:vAlign w:val="bottom"/>
          </w:tcPr>
          <w:p w:rsidRPr="00FA70D1" w:rsidR="00652A59" w:rsidP="00652A59" w:rsidRDefault="00652A59" w14:paraId="47EBBC49" w14:textId="0164BAC0">
            <w:pPr>
              <w:spacing w:before="60" w:after="60"/>
              <w:jc w:val="center"/>
              <w:rPr>
                <w:color w:val="000000"/>
              </w:rPr>
            </w:pPr>
            <w:r w:rsidRPr="00FA70D1">
              <w:rPr>
                <w:color w:val="000000"/>
              </w:rPr>
              <w:t>202</w:t>
            </w:r>
            <w:r>
              <w:rPr>
                <w:color w:val="000000"/>
              </w:rPr>
              <w:t>3</w:t>
            </w:r>
          </w:p>
        </w:tc>
        <w:tc>
          <w:tcPr>
            <w:tcW w:w="884" w:type="dxa"/>
            <w:gridSpan w:val="2"/>
            <w:vAlign w:val="bottom"/>
          </w:tcPr>
          <w:p w:rsidRPr="00FA70D1" w:rsidR="00652A59" w:rsidP="00652A59" w:rsidRDefault="00652A59" w14:paraId="39A3074C" w14:textId="0D6C89AA">
            <w:pPr>
              <w:spacing w:before="60" w:after="60"/>
              <w:jc w:val="center"/>
              <w:rPr>
                <w:color w:val="000000"/>
              </w:rPr>
            </w:pPr>
            <w:r w:rsidRPr="00FA70D1">
              <w:rPr>
                <w:color w:val="000000"/>
              </w:rPr>
              <w:t xml:space="preserve">            </w:t>
            </w:r>
            <w:r>
              <w:rPr>
                <w:color w:val="000000"/>
              </w:rPr>
              <w:t>213.5</w:t>
            </w:r>
            <w:r w:rsidRPr="00FA70D1">
              <w:rPr>
                <w:color w:val="000000"/>
              </w:rPr>
              <w:t xml:space="preserve">0 </w:t>
            </w:r>
          </w:p>
        </w:tc>
        <w:tc>
          <w:tcPr>
            <w:tcW w:w="1121" w:type="dxa"/>
            <w:vAlign w:val="bottom"/>
          </w:tcPr>
          <w:p w:rsidRPr="00FA70D1" w:rsidR="00652A59" w:rsidP="00652A59" w:rsidRDefault="00652A59" w14:paraId="3E5BD317" w14:textId="4C3D6045">
            <w:pPr>
              <w:spacing w:before="60" w:after="60"/>
              <w:rPr>
                <w:color w:val="000000"/>
              </w:rPr>
            </w:pPr>
            <w:r w:rsidRPr="00FA70D1">
              <w:rPr>
                <w:color w:val="000000"/>
              </w:rPr>
              <w:t>$8</w:t>
            </w:r>
            <w:r>
              <w:rPr>
                <w:color w:val="000000"/>
              </w:rPr>
              <w:t>40</w:t>
            </w:r>
            <w:r w:rsidRPr="00FA70D1">
              <w:rPr>
                <w:color w:val="000000"/>
              </w:rPr>
              <w:t>.00</w:t>
            </w:r>
          </w:p>
        </w:tc>
        <w:tc>
          <w:tcPr>
            <w:tcW w:w="1530" w:type="dxa"/>
            <w:gridSpan w:val="2"/>
            <w:tcBorders>
              <w:right w:val="single" w:color="auto" w:sz="4" w:space="0"/>
            </w:tcBorders>
            <w:vAlign w:val="bottom"/>
          </w:tcPr>
          <w:p w:rsidRPr="00FA70D1" w:rsidR="00652A59" w:rsidP="00652A59" w:rsidRDefault="00652A59" w14:paraId="63BDE315" w14:textId="3FE3ED8E">
            <w:pPr>
              <w:spacing w:before="60" w:after="60"/>
              <w:rPr>
                <w:color w:val="000000"/>
              </w:rPr>
            </w:pPr>
            <w:r>
              <w:rPr>
                <w:color w:val="000000"/>
              </w:rPr>
              <w:t>D.24-02-040</w:t>
            </w:r>
          </w:p>
        </w:tc>
        <w:tc>
          <w:tcPr>
            <w:tcW w:w="1350" w:type="dxa"/>
            <w:tcBorders>
              <w:top w:val="single" w:color="auto" w:sz="4" w:space="0"/>
              <w:left w:val="single" w:color="auto" w:sz="4" w:space="0"/>
              <w:bottom w:val="single" w:color="auto" w:sz="4" w:space="0"/>
              <w:right w:val="single" w:color="auto" w:sz="24" w:space="0"/>
            </w:tcBorders>
            <w:vAlign w:val="bottom"/>
          </w:tcPr>
          <w:p w:rsidRPr="00C919A7" w:rsidR="00652A59" w:rsidP="00652A59" w:rsidRDefault="00652A59" w14:paraId="06BD92A5" w14:textId="5242708C">
            <w:pPr>
              <w:spacing w:before="60" w:after="60"/>
              <w:jc w:val="right"/>
              <w:rPr>
                <w:color w:val="000000"/>
                <w:sz w:val="22"/>
                <w:szCs w:val="22"/>
              </w:rPr>
            </w:pPr>
            <w:r w:rsidRPr="00C919A7">
              <w:rPr>
                <w:color w:val="000000"/>
                <w:sz w:val="22"/>
                <w:szCs w:val="22"/>
              </w:rPr>
              <w:t>$</w:t>
            </w:r>
            <w:r>
              <w:rPr>
                <w:color w:val="000000"/>
                <w:sz w:val="22"/>
                <w:szCs w:val="22"/>
              </w:rPr>
              <w:t>179</w:t>
            </w:r>
            <w:r w:rsidRPr="00C919A7">
              <w:rPr>
                <w:color w:val="000000"/>
                <w:sz w:val="22"/>
                <w:szCs w:val="22"/>
              </w:rPr>
              <w:t>,</w:t>
            </w:r>
            <w:r>
              <w:rPr>
                <w:color w:val="000000"/>
                <w:sz w:val="22"/>
                <w:szCs w:val="22"/>
              </w:rPr>
              <w:t>34</w:t>
            </w:r>
            <w:r w:rsidRPr="00C919A7">
              <w:rPr>
                <w:color w:val="000000"/>
                <w:sz w:val="22"/>
                <w:szCs w:val="22"/>
              </w:rPr>
              <w:t>0.00</w:t>
            </w:r>
          </w:p>
        </w:tc>
        <w:tc>
          <w:tcPr>
            <w:tcW w:w="938" w:type="dxa"/>
            <w:tcBorders>
              <w:left w:val="single" w:color="auto" w:sz="4" w:space="0"/>
            </w:tcBorders>
          </w:tcPr>
          <w:p w:rsidRPr="00FA70D1" w:rsidR="00652A59" w:rsidP="00652A59" w:rsidRDefault="00652A59" w14:paraId="31AF7AA4" w14:textId="1B47F4A5">
            <w:pPr>
              <w:spacing w:before="60" w:after="60"/>
              <w:jc w:val="center"/>
              <w:rPr>
                <w:rFonts w:asciiTheme="majorBidi" w:hAnsiTheme="majorBidi" w:cstheme="majorBidi"/>
                <w:color w:val="000000"/>
              </w:rPr>
            </w:pPr>
            <w:r>
              <w:rPr>
                <w:rFonts w:asciiTheme="majorBidi" w:hAnsiTheme="majorBidi" w:cstheme="majorBidi"/>
                <w:color w:val="000000"/>
              </w:rPr>
              <w:t>2</w:t>
            </w:r>
            <w:r w:rsidR="0090642C">
              <w:rPr>
                <w:rFonts w:asciiTheme="majorBidi" w:hAnsiTheme="majorBidi" w:cstheme="majorBidi"/>
                <w:color w:val="000000"/>
              </w:rPr>
              <w:t>13</w:t>
            </w:r>
            <w:r>
              <w:rPr>
                <w:rFonts w:asciiTheme="majorBidi" w:hAnsiTheme="majorBidi" w:cstheme="majorBidi"/>
                <w:color w:val="000000"/>
              </w:rPr>
              <w:t>.50</w:t>
            </w:r>
          </w:p>
        </w:tc>
        <w:tc>
          <w:tcPr>
            <w:tcW w:w="1146" w:type="dxa"/>
          </w:tcPr>
          <w:p w:rsidRPr="00FA70D1" w:rsidR="00652A59" w:rsidP="00652A59" w:rsidRDefault="00652A59" w14:paraId="3400AFFC" w14:textId="59E7D775">
            <w:pPr>
              <w:spacing w:before="60" w:after="60"/>
              <w:jc w:val="center"/>
              <w:rPr>
                <w:rFonts w:asciiTheme="majorBidi" w:hAnsiTheme="majorBidi" w:cstheme="majorBidi"/>
                <w:color w:val="000000"/>
              </w:rPr>
            </w:pPr>
            <w:r>
              <w:rPr>
                <w:rFonts w:asciiTheme="majorBidi" w:hAnsiTheme="majorBidi" w:cstheme="majorBidi"/>
                <w:color w:val="000000"/>
              </w:rPr>
              <w:t>$840.00 [1]</w:t>
            </w:r>
          </w:p>
        </w:tc>
        <w:tc>
          <w:tcPr>
            <w:tcW w:w="1881" w:type="dxa"/>
          </w:tcPr>
          <w:p w:rsidRPr="00FA70D1" w:rsidR="00652A59" w:rsidP="00652A59" w:rsidRDefault="0090642C" w14:paraId="196C1830" w14:textId="6A800595">
            <w:pPr>
              <w:spacing w:before="60" w:after="60"/>
              <w:jc w:val="right"/>
              <w:rPr>
                <w:rFonts w:asciiTheme="majorBidi" w:hAnsiTheme="majorBidi" w:cstheme="majorBidi"/>
                <w:color w:val="000000"/>
              </w:rPr>
            </w:pPr>
            <w:r w:rsidRPr="0090642C">
              <w:t>$179,340.00</w:t>
            </w:r>
          </w:p>
        </w:tc>
      </w:tr>
      <w:tr w:rsidRPr="00230F87" w:rsidR="00652A59" w:rsidTr="0090642C" w14:paraId="5BF6A154" w14:textId="77777777">
        <w:trPr>
          <w:jc w:val="center"/>
        </w:trPr>
        <w:tc>
          <w:tcPr>
            <w:tcW w:w="1489" w:type="dxa"/>
            <w:vAlign w:val="bottom"/>
          </w:tcPr>
          <w:p w:rsidRPr="00FA70D1" w:rsidR="00652A59" w:rsidP="00652A59" w:rsidRDefault="00652A59" w14:paraId="118506EC" w14:textId="2A3527DB">
            <w:pPr>
              <w:spacing w:before="60" w:after="60"/>
              <w:rPr>
                <w:color w:val="000000"/>
              </w:rPr>
            </w:pPr>
            <w:r w:rsidRPr="00FA70D1">
              <w:rPr>
                <w:color w:val="000000"/>
              </w:rPr>
              <w:lastRenderedPageBreak/>
              <w:t>Robert Finkelstein</w:t>
            </w:r>
          </w:p>
        </w:tc>
        <w:tc>
          <w:tcPr>
            <w:tcW w:w="821" w:type="dxa"/>
            <w:vAlign w:val="bottom"/>
          </w:tcPr>
          <w:p w:rsidRPr="00FA70D1" w:rsidR="00652A59" w:rsidP="00652A59" w:rsidRDefault="00652A59" w14:paraId="3767540B" w14:textId="6B78490C">
            <w:pPr>
              <w:spacing w:before="60" w:after="60"/>
              <w:jc w:val="center"/>
              <w:rPr>
                <w:color w:val="000000"/>
              </w:rPr>
            </w:pPr>
            <w:r>
              <w:rPr>
                <w:color w:val="000000"/>
              </w:rPr>
              <w:t>2025</w:t>
            </w:r>
          </w:p>
        </w:tc>
        <w:tc>
          <w:tcPr>
            <w:tcW w:w="884" w:type="dxa"/>
            <w:gridSpan w:val="2"/>
            <w:vAlign w:val="bottom"/>
          </w:tcPr>
          <w:p w:rsidRPr="00FA70D1" w:rsidR="00652A59" w:rsidP="00652A59" w:rsidRDefault="00652A59" w14:paraId="120FE857" w14:textId="68159707">
            <w:pPr>
              <w:spacing w:before="60" w:after="60"/>
              <w:jc w:val="center"/>
              <w:rPr>
                <w:color w:val="000000"/>
              </w:rPr>
            </w:pPr>
            <w:r w:rsidRPr="00FA70D1">
              <w:rPr>
                <w:color w:val="000000"/>
              </w:rPr>
              <w:t xml:space="preserve">         </w:t>
            </w:r>
            <w:r>
              <w:rPr>
                <w:color w:val="000000"/>
              </w:rPr>
              <w:t>5</w:t>
            </w:r>
            <w:r w:rsidRPr="00FA70D1">
              <w:rPr>
                <w:color w:val="000000"/>
              </w:rPr>
              <w:t>.</w:t>
            </w:r>
            <w:r>
              <w:rPr>
                <w:color w:val="000000"/>
              </w:rPr>
              <w:t>25</w:t>
            </w:r>
            <w:r w:rsidRPr="00FA70D1">
              <w:rPr>
                <w:color w:val="000000"/>
              </w:rPr>
              <w:t xml:space="preserve"> </w:t>
            </w:r>
          </w:p>
        </w:tc>
        <w:tc>
          <w:tcPr>
            <w:tcW w:w="1121" w:type="dxa"/>
            <w:vAlign w:val="bottom"/>
          </w:tcPr>
          <w:p w:rsidRPr="00FA70D1" w:rsidR="00652A59" w:rsidP="00652A59" w:rsidRDefault="00652A59" w14:paraId="075109E1" w14:textId="53672E9A">
            <w:pPr>
              <w:spacing w:before="60" w:after="60"/>
              <w:rPr>
                <w:color w:val="000000"/>
              </w:rPr>
            </w:pPr>
            <w:r>
              <w:rPr>
                <w:color w:val="000000"/>
              </w:rPr>
              <w:t>$905.00</w:t>
            </w:r>
          </w:p>
        </w:tc>
        <w:tc>
          <w:tcPr>
            <w:tcW w:w="1530" w:type="dxa"/>
            <w:gridSpan w:val="2"/>
            <w:tcBorders>
              <w:right w:val="single" w:color="auto" w:sz="4" w:space="0"/>
            </w:tcBorders>
            <w:vAlign w:val="bottom"/>
          </w:tcPr>
          <w:p w:rsidRPr="00FA70D1" w:rsidR="00652A59" w:rsidP="00652A59" w:rsidRDefault="00652A59" w14:paraId="4AF4C006" w14:textId="788D258F">
            <w:pPr>
              <w:spacing w:before="60" w:after="60"/>
              <w:rPr>
                <w:color w:val="000000"/>
              </w:rPr>
            </w:pPr>
            <w:r>
              <w:rPr>
                <w:color w:val="000000"/>
              </w:rPr>
              <w:t>Res. ALJ-393, 2024 rate plus 3.5% COLA; See Comment 1</w:t>
            </w:r>
          </w:p>
        </w:tc>
        <w:tc>
          <w:tcPr>
            <w:tcW w:w="1350" w:type="dxa"/>
            <w:tcBorders>
              <w:top w:val="single" w:color="auto" w:sz="4" w:space="0"/>
              <w:left w:val="single" w:color="auto" w:sz="4" w:space="0"/>
              <w:bottom w:val="single" w:color="auto" w:sz="4" w:space="0"/>
              <w:right w:val="single" w:color="auto" w:sz="24" w:space="0"/>
            </w:tcBorders>
            <w:vAlign w:val="bottom"/>
          </w:tcPr>
          <w:p w:rsidRPr="00FA70D1" w:rsidR="00652A59" w:rsidP="00652A59" w:rsidRDefault="00652A59" w14:paraId="2A77845E" w14:textId="301AA8AA">
            <w:pPr>
              <w:spacing w:before="60" w:after="60"/>
              <w:jc w:val="right"/>
              <w:rPr>
                <w:color w:val="000000"/>
              </w:rPr>
            </w:pPr>
            <w:r>
              <w:rPr>
                <w:color w:val="000000"/>
              </w:rPr>
              <w:t>$4,751.25</w:t>
            </w:r>
          </w:p>
        </w:tc>
        <w:tc>
          <w:tcPr>
            <w:tcW w:w="938" w:type="dxa"/>
            <w:tcBorders>
              <w:left w:val="single" w:color="auto" w:sz="4" w:space="0"/>
            </w:tcBorders>
          </w:tcPr>
          <w:p w:rsidRPr="00FA70D1" w:rsidR="00652A59" w:rsidP="00652A59" w:rsidRDefault="00652A59" w14:paraId="461DC9FD" w14:textId="3EE0FE4C">
            <w:pPr>
              <w:spacing w:before="60" w:after="60"/>
              <w:jc w:val="center"/>
              <w:rPr>
                <w:rFonts w:asciiTheme="majorBidi" w:hAnsiTheme="majorBidi" w:cstheme="majorBidi"/>
                <w:color w:val="000000"/>
              </w:rPr>
            </w:pPr>
            <w:r>
              <w:rPr>
                <w:rFonts w:asciiTheme="majorBidi" w:hAnsiTheme="majorBidi" w:cstheme="majorBidi"/>
                <w:color w:val="000000"/>
              </w:rPr>
              <w:t>5.25</w:t>
            </w:r>
          </w:p>
        </w:tc>
        <w:tc>
          <w:tcPr>
            <w:tcW w:w="1146" w:type="dxa"/>
          </w:tcPr>
          <w:p w:rsidRPr="00FA70D1" w:rsidR="00652A59" w:rsidP="00652A59" w:rsidRDefault="00652A59" w14:paraId="7FDABF74" w14:textId="508B7414">
            <w:pPr>
              <w:spacing w:before="60" w:after="60"/>
              <w:jc w:val="center"/>
              <w:rPr>
                <w:rFonts w:asciiTheme="majorBidi" w:hAnsiTheme="majorBidi" w:cstheme="majorBidi"/>
                <w:color w:val="000000"/>
              </w:rPr>
            </w:pPr>
            <w:r>
              <w:rPr>
                <w:rFonts w:asciiTheme="majorBidi" w:hAnsiTheme="majorBidi" w:cstheme="majorBidi"/>
                <w:color w:val="000000"/>
              </w:rPr>
              <w:t>$905.00 [1]</w:t>
            </w:r>
          </w:p>
        </w:tc>
        <w:tc>
          <w:tcPr>
            <w:tcW w:w="1881" w:type="dxa"/>
          </w:tcPr>
          <w:p w:rsidRPr="00FA70D1" w:rsidR="00652A59" w:rsidP="00652A59" w:rsidRDefault="00652A59" w14:paraId="05EFCF76" w14:textId="0441BDEF">
            <w:pPr>
              <w:spacing w:before="60" w:after="60"/>
              <w:jc w:val="right"/>
              <w:rPr>
                <w:rFonts w:asciiTheme="majorBidi" w:hAnsiTheme="majorBidi" w:cstheme="majorBidi"/>
                <w:color w:val="000000"/>
              </w:rPr>
            </w:pPr>
            <w:r w:rsidRPr="00307700">
              <w:t>$4,751.25</w:t>
            </w:r>
          </w:p>
        </w:tc>
      </w:tr>
      <w:tr w:rsidRPr="00230F87" w:rsidR="00652A59" w:rsidTr="0090642C" w14:paraId="38E0B4EA" w14:textId="77777777">
        <w:trPr>
          <w:jc w:val="center"/>
        </w:trPr>
        <w:tc>
          <w:tcPr>
            <w:tcW w:w="1489" w:type="dxa"/>
            <w:vAlign w:val="bottom"/>
          </w:tcPr>
          <w:p w:rsidRPr="00FA70D1" w:rsidR="00652A59" w:rsidP="00652A59" w:rsidRDefault="00652A59" w14:paraId="1F980DF3" w14:textId="2DE230CE">
            <w:pPr>
              <w:spacing w:before="60" w:after="60"/>
              <w:rPr>
                <w:color w:val="000000"/>
              </w:rPr>
            </w:pPr>
            <w:r>
              <w:rPr>
                <w:color w:val="000000"/>
              </w:rPr>
              <w:t xml:space="preserve">Hayley Goodson, Managing Attorney </w:t>
            </w:r>
          </w:p>
        </w:tc>
        <w:tc>
          <w:tcPr>
            <w:tcW w:w="821" w:type="dxa"/>
            <w:vAlign w:val="bottom"/>
          </w:tcPr>
          <w:p w:rsidRPr="00FA70D1" w:rsidR="00652A59" w:rsidP="00652A59" w:rsidRDefault="00652A59" w14:paraId="275BF57A" w14:textId="104B7236">
            <w:pPr>
              <w:spacing w:before="60" w:after="60"/>
              <w:jc w:val="center"/>
              <w:rPr>
                <w:color w:val="000000"/>
              </w:rPr>
            </w:pPr>
            <w:r w:rsidRPr="00FA70D1">
              <w:rPr>
                <w:color w:val="000000"/>
              </w:rPr>
              <w:t>202</w:t>
            </w:r>
            <w:r>
              <w:rPr>
                <w:color w:val="000000"/>
              </w:rPr>
              <w:t>3</w:t>
            </w:r>
          </w:p>
        </w:tc>
        <w:tc>
          <w:tcPr>
            <w:tcW w:w="884" w:type="dxa"/>
            <w:gridSpan w:val="2"/>
            <w:vAlign w:val="bottom"/>
          </w:tcPr>
          <w:p w:rsidRPr="00FA70D1" w:rsidR="00652A59" w:rsidP="00652A59" w:rsidRDefault="00652A59" w14:paraId="0DE506C4" w14:textId="6F911666">
            <w:pPr>
              <w:spacing w:before="60" w:after="60"/>
              <w:jc w:val="center"/>
              <w:rPr>
                <w:color w:val="000000"/>
              </w:rPr>
            </w:pPr>
            <w:r w:rsidRPr="00FA70D1">
              <w:rPr>
                <w:color w:val="000000"/>
              </w:rPr>
              <w:t xml:space="preserve">         </w:t>
            </w:r>
            <w:r>
              <w:rPr>
                <w:color w:val="000000"/>
              </w:rPr>
              <w:t>6.2</w:t>
            </w:r>
            <w:r w:rsidRPr="00FA70D1">
              <w:rPr>
                <w:color w:val="000000"/>
              </w:rPr>
              <w:t xml:space="preserve">5 </w:t>
            </w:r>
          </w:p>
        </w:tc>
        <w:tc>
          <w:tcPr>
            <w:tcW w:w="1121" w:type="dxa"/>
            <w:vAlign w:val="bottom"/>
          </w:tcPr>
          <w:p w:rsidRPr="00FA70D1" w:rsidR="00652A59" w:rsidP="00652A59" w:rsidRDefault="00652A59" w14:paraId="26413E95" w14:textId="61D228D9">
            <w:pPr>
              <w:spacing w:before="60" w:after="60"/>
              <w:rPr>
                <w:color w:val="000000"/>
              </w:rPr>
            </w:pPr>
            <w:r w:rsidRPr="00FA70D1">
              <w:rPr>
                <w:color w:val="000000"/>
              </w:rPr>
              <w:t>$</w:t>
            </w:r>
            <w:r>
              <w:rPr>
                <w:color w:val="000000"/>
              </w:rPr>
              <w:t>625</w:t>
            </w:r>
            <w:r w:rsidRPr="00FA70D1">
              <w:rPr>
                <w:color w:val="000000"/>
              </w:rPr>
              <w:t>.00</w:t>
            </w:r>
          </w:p>
        </w:tc>
        <w:tc>
          <w:tcPr>
            <w:tcW w:w="1530" w:type="dxa"/>
            <w:gridSpan w:val="2"/>
            <w:tcBorders>
              <w:right w:val="single" w:color="auto" w:sz="4" w:space="0"/>
            </w:tcBorders>
            <w:vAlign w:val="bottom"/>
          </w:tcPr>
          <w:p w:rsidRPr="00FA70D1" w:rsidR="00652A59" w:rsidP="00652A59" w:rsidRDefault="00652A59" w14:paraId="300AA881" w14:textId="7478979F">
            <w:pPr>
              <w:spacing w:before="60" w:after="60"/>
              <w:rPr>
                <w:color w:val="000000"/>
              </w:rPr>
            </w:pPr>
            <w:r>
              <w:rPr>
                <w:color w:val="000000"/>
              </w:rPr>
              <w:t>D.24-02-040</w:t>
            </w:r>
          </w:p>
        </w:tc>
        <w:tc>
          <w:tcPr>
            <w:tcW w:w="1350" w:type="dxa"/>
            <w:tcBorders>
              <w:top w:val="single" w:color="auto" w:sz="4" w:space="0"/>
              <w:left w:val="single" w:color="auto" w:sz="4" w:space="0"/>
              <w:bottom w:val="single" w:color="auto" w:sz="4" w:space="0"/>
              <w:right w:val="single" w:color="auto" w:sz="24" w:space="0"/>
            </w:tcBorders>
            <w:vAlign w:val="bottom"/>
          </w:tcPr>
          <w:p w:rsidRPr="00FA70D1" w:rsidR="00652A59" w:rsidP="00652A59" w:rsidRDefault="00652A59" w14:paraId="23EF368E" w14:textId="1949FE63">
            <w:pPr>
              <w:spacing w:before="60" w:after="60"/>
              <w:jc w:val="right"/>
              <w:rPr>
                <w:color w:val="000000"/>
              </w:rPr>
            </w:pPr>
            <w:r w:rsidRPr="00FA70D1">
              <w:rPr>
                <w:color w:val="000000"/>
              </w:rPr>
              <w:t xml:space="preserve"> $</w:t>
            </w:r>
            <w:r>
              <w:rPr>
                <w:color w:val="000000"/>
              </w:rPr>
              <w:t>3</w:t>
            </w:r>
            <w:r w:rsidRPr="00FA70D1">
              <w:rPr>
                <w:color w:val="000000"/>
              </w:rPr>
              <w:t>,</w:t>
            </w:r>
            <w:r>
              <w:rPr>
                <w:color w:val="000000"/>
              </w:rPr>
              <w:t>906</w:t>
            </w:r>
            <w:r w:rsidRPr="00FA70D1">
              <w:rPr>
                <w:color w:val="000000"/>
              </w:rPr>
              <w:t>.</w:t>
            </w:r>
            <w:r>
              <w:rPr>
                <w:color w:val="000000"/>
              </w:rPr>
              <w:t>25</w:t>
            </w:r>
            <w:r w:rsidRPr="00FA70D1">
              <w:rPr>
                <w:color w:val="000000"/>
              </w:rPr>
              <w:t xml:space="preserve"> </w:t>
            </w:r>
          </w:p>
        </w:tc>
        <w:tc>
          <w:tcPr>
            <w:tcW w:w="938" w:type="dxa"/>
            <w:tcBorders>
              <w:left w:val="single" w:color="auto" w:sz="4" w:space="0"/>
            </w:tcBorders>
          </w:tcPr>
          <w:p w:rsidRPr="00FA70D1" w:rsidR="00652A59" w:rsidP="00652A59" w:rsidRDefault="00652A59" w14:paraId="2B0CA953" w14:textId="4C6FC87D">
            <w:pPr>
              <w:spacing w:before="60" w:after="60"/>
              <w:jc w:val="center"/>
              <w:rPr>
                <w:rFonts w:asciiTheme="majorBidi" w:hAnsiTheme="majorBidi" w:cstheme="majorBidi"/>
                <w:color w:val="000000"/>
              </w:rPr>
            </w:pPr>
            <w:r>
              <w:rPr>
                <w:rFonts w:asciiTheme="majorBidi" w:hAnsiTheme="majorBidi" w:cstheme="majorBidi"/>
                <w:color w:val="000000"/>
              </w:rPr>
              <w:t>6.25</w:t>
            </w:r>
          </w:p>
        </w:tc>
        <w:tc>
          <w:tcPr>
            <w:tcW w:w="1146" w:type="dxa"/>
          </w:tcPr>
          <w:p w:rsidRPr="00FA70D1" w:rsidR="00652A59" w:rsidP="00652A59" w:rsidRDefault="00652A59" w14:paraId="1FC8906C" w14:textId="1988A669">
            <w:pPr>
              <w:spacing w:before="60" w:after="60"/>
              <w:jc w:val="center"/>
              <w:rPr>
                <w:rFonts w:asciiTheme="majorBidi" w:hAnsiTheme="majorBidi" w:cstheme="majorBidi"/>
                <w:color w:val="000000"/>
              </w:rPr>
            </w:pPr>
            <w:r>
              <w:rPr>
                <w:rFonts w:asciiTheme="majorBidi" w:hAnsiTheme="majorBidi" w:cstheme="majorBidi"/>
                <w:color w:val="000000"/>
              </w:rPr>
              <w:t>$625.00 [2]</w:t>
            </w:r>
          </w:p>
        </w:tc>
        <w:tc>
          <w:tcPr>
            <w:tcW w:w="1881" w:type="dxa"/>
          </w:tcPr>
          <w:p w:rsidRPr="00FA70D1" w:rsidR="00652A59" w:rsidP="00652A59" w:rsidRDefault="00652A59" w14:paraId="6C594CB5" w14:textId="6920250E">
            <w:pPr>
              <w:spacing w:before="60" w:after="60"/>
              <w:jc w:val="right"/>
              <w:rPr>
                <w:rFonts w:asciiTheme="majorBidi" w:hAnsiTheme="majorBidi" w:cstheme="majorBidi"/>
                <w:color w:val="000000"/>
              </w:rPr>
            </w:pPr>
            <w:r w:rsidRPr="00307700">
              <w:t>$3,906.25</w:t>
            </w:r>
          </w:p>
        </w:tc>
      </w:tr>
      <w:tr w:rsidRPr="00230F87" w:rsidR="00652A59" w:rsidTr="0090642C" w14:paraId="1CDE90AE" w14:textId="77777777">
        <w:trPr>
          <w:jc w:val="center"/>
        </w:trPr>
        <w:tc>
          <w:tcPr>
            <w:tcW w:w="1489" w:type="dxa"/>
            <w:vAlign w:val="bottom"/>
          </w:tcPr>
          <w:p w:rsidRPr="00FA70D1" w:rsidR="00652A59" w:rsidP="00652A59" w:rsidRDefault="00652A59" w14:paraId="62CB177B" w14:textId="13ACB829">
            <w:pPr>
              <w:spacing w:before="60" w:after="60"/>
            </w:pPr>
            <w:r>
              <w:rPr>
                <w:color w:val="000000"/>
              </w:rPr>
              <w:t>Eric Borden, Synapse</w:t>
            </w:r>
          </w:p>
        </w:tc>
        <w:tc>
          <w:tcPr>
            <w:tcW w:w="821" w:type="dxa"/>
            <w:vAlign w:val="bottom"/>
          </w:tcPr>
          <w:p w:rsidRPr="00FA70D1" w:rsidR="00652A59" w:rsidP="00652A59" w:rsidRDefault="00652A59" w14:paraId="2450C6BE" w14:textId="389FFF73">
            <w:pPr>
              <w:spacing w:before="60" w:after="60"/>
              <w:jc w:val="center"/>
              <w:rPr>
                <w:color w:val="000000"/>
              </w:rPr>
            </w:pPr>
            <w:r w:rsidRPr="00FA70D1">
              <w:rPr>
                <w:color w:val="000000"/>
              </w:rPr>
              <w:t>2023</w:t>
            </w:r>
          </w:p>
        </w:tc>
        <w:tc>
          <w:tcPr>
            <w:tcW w:w="884" w:type="dxa"/>
            <w:gridSpan w:val="2"/>
            <w:vAlign w:val="bottom"/>
          </w:tcPr>
          <w:p w:rsidRPr="00FA70D1" w:rsidR="00652A59" w:rsidP="00652A59" w:rsidRDefault="00652A59" w14:paraId="49E52091" w14:textId="685A5B89">
            <w:pPr>
              <w:spacing w:before="60" w:after="60"/>
              <w:jc w:val="center"/>
              <w:rPr>
                <w:color w:val="000000"/>
              </w:rPr>
            </w:pPr>
            <w:r>
              <w:rPr>
                <w:color w:val="000000"/>
              </w:rPr>
              <w:t>117.75</w:t>
            </w:r>
          </w:p>
        </w:tc>
        <w:tc>
          <w:tcPr>
            <w:tcW w:w="1121" w:type="dxa"/>
            <w:vAlign w:val="bottom"/>
          </w:tcPr>
          <w:p w:rsidRPr="00FA70D1" w:rsidR="00652A59" w:rsidP="00652A59" w:rsidRDefault="00652A59" w14:paraId="761F47B2" w14:textId="18E57F14">
            <w:pPr>
              <w:spacing w:before="60" w:after="60"/>
              <w:rPr>
                <w:color w:val="000000"/>
              </w:rPr>
            </w:pPr>
            <w:r w:rsidRPr="00FA70D1">
              <w:rPr>
                <w:color w:val="000000"/>
              </w:rPr>
              <w:t>$4</w:t>
            </w:r>
            <w:r>
              <w:rPr>
                <w:color w:val="000000"/>
              </w:rPr>
              <w:t>65</w:t>
            </w:r>
            <w:r w:rsidRPr="00FA70D1">
              <w:rPr>
                <w:color w:val="000000"/>
              </w:rPr>
              <w:t>.00</w:t>
            </w:r>
          </w:p>
        </w:tc>
        <w:tc>
          <w:tcPr>
            <w:tcW w:w="1530" w:type="dxa"/>
            <w:gridSpan w:val="2"/>
            <w:tcBorders>
              <w:right w:val="single" w:color="auto" w:sz="4" w:space="0"/>
            </w:tcBorders>
            <w:vAlign w:val="bottom"/>
          </w:tcPr>
          <w:p w:rsidRPr="00FA70D1" w:rsidR="00652A59" w:rsidP="00652A59" w:rsidRDefault="00652A59" w14:paraId="290E5C85" w14:textId="50441728">
            <w:pPr>
              <w:spacing w:before="60" w:after="60"/>
              <w:rPr>
                <w:color w:val="000000"/>
              </w:rPr>
            </w:pPr>
            <w:r>
              <w:rPr>
                <w:color w:val="000000"/>
              </w:rPr>
              <w:t>D.25-01-023; See Comment 2</w:t>
            </w:r>
          </w:p>
        </w:tc>
        <w:tc>
          <w:tcPr>
            <w:tcW w:w="1350" w:type="dxa"/>
            <w:tcBorders>
              <w:top w:val="single" w:color="auto" w:sz="4" w:space="0"/>
              <w:left w:val="single" w:color="auto" w:sz="4" w:space="0"/>
              <w:bottom w:val="single" w:color="auto" w:sz="4" w:space="0"/>
              <w:right w:val="single" w:color="auto" w:sz="24" w:space="0"/>
            </w:tcBorders>
            <w:vAlign w:val="bottom"/>
          </w:tcPr>
          <w:p w:rsidRPr="00FA70D1" w:rsidR="00652A59" w:rsidP="00652A59" w:rsidRDefault="00652A59" w14:paraId="27002087" w14:textId="087B7F20">
            <w:pPr>
              <w:spacing w:before="60" w:after="60"/>
              <w:jc w:val="right"/>
              <w:rPr>
                <w:color w:val="000000"/>
              </w:rPr>
            </w:pPr>
            <w:r>
              <w:rPr>
                <w:color w:val="000000"/>
              </w:rPr>
              <w:t>$54,753.75</w:t>
            </w:r>
          </w:p>
        </w:tc>
        <w:tc>
          <w:tcPr>
            <w:tcW w:w="938" w:type="dxa"/>
            <w:tcBorders>
              <w:left w:val="single" w:color="auto" w:sz="4" w:space="0"/>
            </w:tcBorders>
          </w:tcPr>
          <w:p w:rsidRPr="00FA70D1" w:rsidR="00652A59" w:rsidP="00652A59" w:rsidRDefault="00652A59" w14:paraId="4AEC9616" w14:textId="7DC165A6">
            <w:pPr>
              <w:spacing w:before="60" w:after="60"/>
              <w:jc w:val="center"/>
              <w:rPr>
                <w:rFonts w:asciiTheme="majorBidi" w:hAnsiTheme="majorBidi" w:cstheme="majorBidi"/>
                <w:color w:val="000000"/>
              </w:rPr>
            </w:pPr>
            <w:r>
              <w:rPr>
                <w:rFonts w:asciiTheme="majorBidi" w:hAnsiTheme="majorBidi" w:cstheme="majorBidi"/>
                <w:color w:val="000000"/>
              </w:rPr>
              <w:t>117.75</w:t>
            </w:r>
          </w:p>
        </w:tc>
        <w:tc>
          <w:tcPr>
            <w:tcW w:w="1146" w:type="dxa"/>
          </w:tcPr>
          <w:p w:rsidRPr="00FA70D1" w:rsidR="00652A59" w:rsidP="00652A59" w:rsidRDefault="00652A59" w14:paraId="7146A8EC" w14:textId="05CD32B2">
            <w:pPr>
              <w:spacing w:before="60" w:after="60"/>
              <w:jc w:val="center"/>
              <w:rPr>
                <w:rFonts w:asciiTheme="majorBidi" w:hAnsiTheme="majorBidi" w:cstheme="majorBidi"/>
                <w:color w:val="000000"/>
              </w:rPr>
            </w:pPr>
            <w:r>
              <w:rPr>
                <w:rFonts w:asciiTheme="majorBidi" w:hAnsiTheme="majorBidi" w:cstheme="majorBidi"/>
                <w:color w:val="000000"/>
              </w:rPr>
              <w:t>$465.00 [3]</w:t>
            </w:r>
          </w:p>
        </w:tc>
        <w:tc>
          <w:tcPr>
            <w:tcW w:w="1881" w:type="dxa"/>
          </w:tcPr>
          <w:p w:rsidRPr="00FA70D1" w:rsidR="00652A59" w:rsidP="00652A59" w:rsidRDefault="00652A59" w14:paraId="3ECB6B42" w14:textId="113A82E0">
            <w:pPr>
              <w:spacing w:before="60" w:after="60"/>
              <w:jc w:val="right"/>
              <w:rPr>
                <w:rFonts w:asciiTheme="majorBidi" w:hAnsiTheme="majorBidi" w:cstheme="majorBidi"/>
                <w:color w:val="000000"/>
              </w:rPr>
            </w:pPr>
            <w:r w:rsidRPr="00307700">
              <w:t>$54,753.75</w:t>
            </w:r>
          </w:p>
        </w:tc>
      </w:tr>
      <w:tr w:rsidRPr="00230F87" w:rsidR="00652A59" w:rsidTr="0090642C" w14:paraId="78FC5ECE" w14:textId="77777777">
        <w:trPr>
          <w:jc w:val="center"/>
        </w:trPr>
        <w:tc>
          <w:tcPr>
            <w:tcW w:w="1489" w:type="dxa"/>
            <w:vAlign w:val="bottom"/>
          </w:tcPr>
          <w:p w:rsidRPr="00FA70D1" w:rsidR="00652A59" w:rsidP="00652A59" w:rsidRDefault="00652A59" w14:paraId="1F8943E9" w14:textId="464FCF02">
            <w:pPr>
              <w:spacing w:before="60" w:after="60"/>
              <w:rPr>
                <w:color w:val="000000"/>
              </w:rPr>
            </w:pPr>
            <w:r>
              <w:rPr>
                <w:color w:val="000000"/>
              </w:rPr>
              <w:t>Sylvie Ashford, Energy and Climate Policy Analyst</w:t>
            </w:r>
          </w:p>
        </w:tc>
        <w:tc>
          <w:tcPr>
            <w:tcW w:w="821" w:type="dxa"/>
            <w:vAlign w:val="bottom"/>
          </w:tcPr>
          <w:p w:rsidRPr="00FA70D1" w:rsidR="00652A59" w:rsidP="00652A59" w:rsidRDefault="00652A59" w14:paraId="6FFEFF62" w14:textId="73AB059D">
            <w:pPr>
              <w:spacing w:before="60" w:after="60"/>
              <w:jc w:val="center"/>
              <w:rPr>
                <w:color w:val="000000"/>
              </w:rPr>
            </w:pPr>
            <w:r w:rsidRPr="00FA70D1">
              <w:rPr>
                <w:color w:val="000000"/>
              </w:rPr>
              <w:t>202</w:t>
            </w:r>
            <w:r>
              <w:rPr>
                <w:color w:val="000000"/>
              </w:rPr>
              <w:t>5</w:t>
            </w:r>
          </w:p>
        </w:tc>
        <w:tc>
          <w:tcPr>
            <w:tcW w:w="884" w:type="dxa"/>
            <w:gridSpan w:val="2"/>
            <w:vAlign w:val="bottom"/>
          </w:tcPr>
          <w:p w:rsidRPr="00FA70D1" w:rsidR="00652A59" w:rsidP="00652A59" w:rsidRDefault="00652A59" w14:paraId="24984638" w14:textId="0D1E0925">
            <w:pPr>
              <w:spacing w:before="60" w:after="60"/>
              <w:jc w:val="center"/>
              <w:rPr>
                <w:color w:val="000000"/>
              </w:rPr>
            </w:pPr>
            <w:r w:rsidRPr="00FA70D1">
              <w:rPr>
                <w:color w:val="000000"/>
              </w:rPr>
              <w:t xml:space="preserve">         </w:t>
            </w:r>
            <w:r>
              <w:rPr>
                <w:color w:val="000000"/>
              </w:rPr>
              <w:t>1.2</w:t>
            </w:r>
            <w:r w:rsidRPr="00FA70D1">
              <w:rPr>
                <w:color w:val="000000"/>
              </w:rPr>
              <w:t xml:space="preserve">5 </w:t>
            </w:r>
          </w:p>
        </w:tc>
        <w:tc>
          <w:tcPr>
            <w:tcW w:w="1121" w:type="dxa"/>
            <w:vAlign w:val="bottom"/>
          </w:tcPr>
          <w:p w:rsidRPr="00FA70D1" w:rsidR="00652A59" w:rsidP="00652A59" w:rsidRDefault="00652A59" w14:paraId="00CA9050" w14:textId="21B1F87E">
            <w:pPr>
              <w:spacing w:before="60" w:after="60"/>
              <w:jc w:val="right"/>
              <w:rPr>
                <w:color w:val="000000"/>
              </w:rPr>
            </w:pPr>
            <w:r>
              <w:rPr>
                <w:color w:val="000000"/>
              </w:rPr>
              <w:t>$265</w:t>
            </w:r>
          </w:p>
        </w:tc>
        <w:tc>
          <w:tcPr>
            <w:tcW w:w="1530" w:type="dxa"/>
            <w:gridSpan w:val="2"/>
            <w:tcBorders>
              <w:right w:val="single" w:color="auto" w:sz="4" w:space="0"/>
            </w:tcBorders>
            <w:vAlign w:val="bottom"/>
          </w:tcPr>
          <w:p w:rsidRPr="00FA70D1" w:rsidR="00652A59" w:rsidP="00652A59" w:rsidRDefault="00652A59" w14:paraId="760F08DA" w14:textId="0DECE208">
            <w:pPr>
              <w:spacing w:before="60" w:after="60"/>
              <w:rPr>
                <w:color w:val="000000"/>
              </w:rPr>
            </w:pPr>
            <w:r>
              <w:rPr>
                <w:color w:val="000000"/>
              </w:rPr>
              <w:t>Res. ALJ-393, 2024 rate plus 3.5% COLA plus 5% step increase; See Comment 3</w:t>
            </w:r>
          </w:p>
        </w:tc>
        <w:tc>
          <w:tcPr>
            <w:tcW w:w="1350" w:type="dxa"/>
            <w:tcBorders>
              <w:top w:val="single" w:color="auto" w:sz="4" w:space="0"/>
              <w:left w:val="single" w:color="auto" w:sz="4" w:space="0"/>
              <w:bottom w:val="single" w:color="auto" w:sz="4" w:space="0"/>
              <w:right w:val="single" w:color="auto" w:sz="24" w:space="0"/>
            </w:tcBorders>
            <w:vAlign w:val="bottom"/>
          </w:tcPr>
          <w:p w:rsidRPr="00FA70D1" w:rsidR="00652A59" w:rsidP="00652A59" w:rsidRDefault="00652A59" w14:paraId="39D39174" w14:textId="10D1746A">
            <w:pPr>
              <w:spacing w:before="60" w:after="60"/>
              <w:jc w:val="right"/>
              <w:rPr>
                <w:color w:val="000000"/>
              </w:rPr>
            </w:pPr>
            <w:r>
              <w:rPr>
                <w:color w:val="000000"/>
              </w:rPr>
              <w:t>$331.25</w:t>
            </w:r>
          </w:p>
        </w:tc>
        <w:tc>
          <w:tcPr>
            <w:tcW w:w="938" w:type="dxa"/>
            <w:tcBorders>
              <w:left w:val="single" w:color="auto" w:sz="4" w:space="0"/>
            </w:tcBorders>
          </w:tcPr>
          <w:p w:rsidRPr="00FA70D1" w:rsidR="00652A59" w:rsidP="00652A59" w:rsidRDefault="00652A59" w14:paraId="047FD0B5" w14:textId="244788E0">
            <w:pPr>
              <w:spacing w:before="60" w:after="60"/>
              <w:jc w:val="center"/>
              <w:rPr>
                <w:rFonts w:asciiTheme="majorBidi" w:hAnsiTheme="majorBidi" w:cstheme="majorBidi"/>
                <w:color w:val="000000"/>
              </w:rPr>
            </w:pPr>
            <w:r>
              <w:rPr>
                <w:rFonts w:asciiTheme="majorBidi" w:hAnsiTheme="majorBidi" w:cstheme="majorBidi"/>
                <w:color w:val="000000"/>
              </w:rPr>
              <w:t>1.25</w:t>
            </w:r>
          </w:p>
        </w:tc>
        <w:tc>
          <w:tcPr>
            <w:tcW w:w="1146" w:type="dxa"/>
          </w:tcPr>
          <w:p w:rsidRPr="00FA70D1" w:rsidR="00652A59" w:rsidP="00652A59" w:rsidRDefault="00652A59" w14:paraId="367660C2" w14:textId="75941D8F">
            <w:pPr>
              <w:spacing w:before="60" w:after="60"/>
              <w:jc w:val="center"/>
              <w:rPr>
                <w:rFonts w:asciiTheme="majorBidi" w:hAnsiTheme="majorBidi" w:cstheme="majorBidi"/>
                <w:color w:val="000000"/>
              </w:rPr>
            </w:pPr>
            <w:r>
              <w:rPr>
                <w:rFonts w:asciiTheme="majorBidi" w:hAnsiTheme="majorBidi" w:cstheme="majorBidi"/>
                <w:color w:val="000000"/>
              </w:rPr>
              <w:t>$265.00 [4]</w:t>
            </w:r>
          </w:p>
        </w:tc>
        <w:tc>
          <w:tcPr>
            <w:tcW w:w="1881" w:type="dxa"/>
          </w:tcPr>
          <w:p w:rsidRPr="00FA70D1" w:rsidR="00652A59" w:rsidP="00652A59" w:rsidRDefault="00652A59" w14:paraId="766AC45F" w14:textId="0CBB775D">
            <w:pPr>
              <w:spacing w:before="60" w:after="60"/>
              <w:jc w:val="right"/>
              <w:rPr>
                <w:rFonts w:asciiTheme="majorBidi" w:hAnsiTheme="majorBidi" w:cstheme="majorBidi"/>
                <w:color w:val="000000"/>
              </w:rPr>
            </w:pPr>
            <w:r w:rsidRPr="00307700">
              <w:t>$331.25</w:t>
            </w:r>
          </w:p>
        </w:tc>
      </w:tr>
      <w:tr w:rsidRPr="00230F87" w:rsidR="000505F1" w:rsidTr="00FA70D1" w14:paraId="1B237C11" w14:textId="77777777">
        <w:trPr>
          <w:jc w:val="center"/>
        </w:trPr>
        <w:tc>
          <w:tcPr>
            <w:tcW w:w="7195" w:type="dxa"/>
            <w:gridSpan w:val="8"/>
            <w:tcBorders>
              <w:bottom w:val="single" w:color="auto" w:sz="4" w:space="0"/>
              <w:right w:val="single" w:color="auto" w:sz="24" w:space="0"/>
            </w:tcBorders>
            <w:vAlign w:val="bottom"/>
          </w:tcPr>
          <w:p w:rsidRPr="00FA70D1" w:rsidR="000505F1" w:rsidP="000505F1" w:rsidRDefault="000505F1" w14:paraId="2ECB6744" w14:textId="404D2492">
            <w:pPr>
              <w:tabs>
                <w:tab w:val="left" w:pos="957"/>
              </w:tabs>
              <w:spacing w:before="60" w:after="60"/>
              <w:ind w:right="162"/>
              <w:jc w:val="right"/>
              <w:rPr>
                <w:rFonts w:asciiTheme="majorBidi" w:hAnsiTheme="majorBidi" w:cstheme="majorBidi"/>
                <w:b/>
                <w:i/>
                <w:color w:val="000000"/>
              </w:rPr>
            </w:pPr>
            <w:r w:rsidRPr="007D5984">
              <w:rPr>
                <w:rFonts w:asciiTheme="majorBidi" w:hAnsiTheme="majorBidi" w:cstheme="majorBidi"/>
                <w:b/>
                <w:i/>
                <w:color w:val="000000"/>
              </w:rPr>
              <w:t xml:space="preserve">Subtotal: </w:t>
            </w:r>
            <w:r w:rsidRPr="007D5984" w:rsidR="00FA70D1">
              <w:rPr>
                <w:rFonts w:asciiTheme="majorBidi" w:hAnsiTheme="majorBidi" w:cstheme="majorBidi"/>
                <w:b/>
                <w:i/>
                <w:color w:val="000000"/>
              </w:rPr>
              <w:t>$</w:t>
            </w:r>
            <w:r w:rsidR="00F80598">
              <w:rPr>
                <w:rFonts w:asciiTheme="majorBidi" w:hAnsiTheme="majorBidi" w:cstheme="majorBidi"/>
                <w:b/>
                <w:i/>
                <w:color w:val="000000"/>
              </w:rPr>
              <w:t>243,082.50</w:t>
            </w:r>
          </w:p>
        </w:tc>
        <w:tc>
          <w:tcPr>
            <w:tcW w:w="3965" w:type="dxa"/>
            <w:gridSpan w:val="3"/>
            <w:tcBorders>
              <w:left w:val="single" w:color="auto" w:sz="24" w:space="0"/>
              <w:bottom w:val="single" w:color="auto" w:sz="4" w:space="0"/>
            </w:tcBorders>
            <w:vAlign w:val="bottom"/>
          </w:tcPr>
          <w:p w:rsidRPr="009F328E" w:rsidR="000505F1" w:rsidP="000505F1" w:rsidRDefault="000505F1" w14:paraId="4C4556E5" w14:textId="7E3EA9F9">
            <w:pPr>
              <w:tabs>
                <w:tab w:val="left" w:pos="957"/>
              </w:tabs>
              <w:spacing w:before="60" w:after="60"/>
              <w:ind w:right="162"/>
              <w:jc w:val="right"/>
              <w:rPr>
                <w:rFonts w:asciiTheme="majorBidi" w:hAnsiTheme="majorBidi" w:cstheme="majorBidi"/>
                <w:i/>
                <w:color w:val="000000"/>
              </w:rPr>
            </w:pPr>
            <w:r w:rsidRPr="00366C6B">
              <w:rPr>
                <w:rFonts w:asciiTheme="majorBidi" w:hAnsiTheme="majorBidi" w:cstheme="majorBidi"/>
                <w:b/>
                <w:i/>
                <w:color w:val="000000"/>
              </w:rPr>
              <w:t xml:space="preserve">Subtotal: </w:t>
            </w:r>
            <w:r w:rsidRPr="009F328E" w:rsidR="0090642C">
              <w:rPr>
                <w:rFonts w:asciiTheme="majorBidi" w:hAnsiTheme="majorBidi" w:cstheme="majorBidi"/>
                <w:b/>
                <w:i/>
                <w:color w:val="000000"/>
              </w:rPr>
              <w:t>$243,082.50</w:t>
            </w:r>
          </w:p>
        </w:tc>
      </w:tr>
      <w:tr w:rsidRPr="00230F87" w:rsidR="000505F1" w:rsidTr="00EC6387" w14:paraId="4F8FAF05" w14:textId="77777777">
        <w:trPr>
          <w:jc w:val="center"/>
        </w:trPr>
        <w:tc>
          <w:tcPr>
            <w:tcW w:w="11160" w:type="dxa"/>
            <w:gridSpan w:val="11"/>
            <w:tcBorders>
              <w:top w:val="single" w:color="auto" w:sz="4" w:space="0"/>
              <w:left w:val="single" w:color="auto" w:sz="4" w:space="0"/>
              <w:bottom w:val="single" w:color="auto" w:sz="4" w:space="0"/>
              <w:right w:val="single" w:color="auto" w:sz="4" w:space="0"/>
            </w:tcBorders>
            <w:shd w:val="clear" w:color="auto" w:fill="E6E6E6"/>
          </w:tcPr>
          <w:p w:rsidRPr="00FA70D1" w:rsidR="000505F1" w:rsidP="000505F1" w:rsidRDefault="000505F1" w14:paraId="41FE304C" w14:textId="77777777">
            <w:pPr>
              <w:keepNext/>
              <w:spacing w:before="60" w:after="60"/>
              <w:jc w:val="center"/>
              <w:rPr>
                <w:rFonts w:asciiTheme="majorBidi" w:hAnsiTheme="majorBidi" w:cstheme="majorBidi"/>
                <w:color w:val="000000"/>
              </w:rPr>
            </w:pPr>
            <w:r w:rsidRPr="00FA70D1">
              <w:rPr>
                <w:rFonts w:asciiTheme="majorBidi" w:hAnsiTheme="majorBidi" w:cstheme="majorBidi"/>
                <w:b/>
                <w:color w:val="000000"/>
              </w:rPr>
              <w:t xml:space="preserve">INTERVENOR COMPENSATION CLAIM </w:t>
            </w:r>
            <w:proofErr w:type="gramStart"/>
            <w:r w:rsidRPr="00FA70D1">
              <w:rPr>
                <w:rFonts w:asciiTheme="majorBidi" w:hAnsiTheme="majorBidi" w:cstheme="majorBidi"/>
                <w:b/>
                <w:color w:val="000000"/>
              </w:rPr>
              <w:t xml:space="preserve">PREPARATION </w:t>
            </w:r>
            <w:r w:rsidRPr="00FA70D1">
              <w:rPr>
                <w:rFonts w:asciiTheme="majorBidi" w:hAnsiTheme="majorBidi" w:cstheme="majorBidi"/>
                <w:b/>
                <w:smallCaps/>
                <w:color w:val="000000"/>
              </w:rPr>
              <w:t xml:space="preserve"> *</w:t>
            </w:r>
            <w:proofErr w:type="gramEnd"/>
            <w:r w:rsidRPr="00FA70D1">
              <w:rPr>
                <w:rFonts w:asciiTheme="majorBidi" w:hAnsiTheme="majorBidi" w:cstheme="majorBidi"/>
                <w:b/>
                <w:smallCaps/>
                <w:color w:val="000000"/>
              </w:rPr>
              <w:t>*</w:t>
            </w:r>
          </w:p>
        </w:tc>
      </w:tr>
      <w:tr w:rsidRPr="00230F87" w:rsidR="000505F1" w:rsidTr="00D15385" w14:paraId="48B3E535" w14:textId="77777777">
        <w:trPr>
          <w:jc w:val="center"/>
        </w:trPr>
        <w:tc>
          <w:tcPr>
            <w:tcW w:w="1489" w:type="dxa"/>
            <w:tcBorders>
              <w:top w:val="single" w:color="auto" w:sz="4" w:space="0"/>
              <w:bottom w:val="single" w:color="auto" w:sz="4" w:space="0"/>
            </w:tcBorders>
            <w:vAlign w:val="bottom"/>
          </w:tcPr>
          <w:p w:rsidRPr="00FA70D1" w:rsidR="000505F1" w:rsidP="000505F1" w:rsidRDefault="000505F1" w14:paraId="563A43BB"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Item</w:t>
            </w:r>
          </w:p>
        </w:tc>
        <w:tc>
          <w:tcPr>
            <w:tcW w:w="821" w:type="dxa"/>
            <w:tcBorders>
              <w:top w:val="single" w:color="auto" w:sz="4" w:space="0"/>
              <w:bottom w:val="single" w:color="auto" w:sz="4" w:space="0"/>
            </w:tcBorders>
            <w:vAlign w:val="bottom"/>
          </w:tcPr>
          <w:p w:rsidRPr="00FA70D1" w:rsidR="000505F1" w:rsidP="000505F1" w:rsidRDefault="000505F1" w14:paraId="144552E0"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Year</w:t>
            </w:r>
          </w:p>
        </w:tc>
        <w:tc>
          <w:tcPr>
            <w:tcW w:w="884" w:type="dxa"/>
            <w:gridSpan w:val="2"/>
            <w:tcBorders>
              <w:top w:val="single" w:color="auto" w:sz="4" w:space="0"/>
              <w:bottom w:val="single" w:color="auto" w:sz="4" w:space="0"/>
            </w:tcBorders>
            <w:vAlign w:val="bottom"/>
          </w:tcPr>
          <w:p w:rsidRPr="00FA70D1" w:rsidR="000505F1" w:rsidP="000505F1" w:rsidRDefault="000505F1" w14:paraId="42890B1B"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Hours</w:t>
            </w:r>
          </w:p>
        </w:tc>
        <w:tc>
          <w:tcPr>
            <w:tcW w:w="1121" w:type="dxa"/>
            <w:tcBorders>
              <w:top w:val="single" w:color="auto" w:sz="4" w:space="0"/>
              <w:bottom w:val="single" w:color="auto" w:sz="4" w:space="0"/>
            </w:tcBorders>
            <w:vAlign w:val="bottom"/>
          </w:tcPr>
          <w:p w:rsidRPr="00FA70D1" w:rsidR="000505F1" w:rsidP="000505F1" w:rsidRDefault="000505F1" w14:paraId="1E7BD956" w14:textId="243077B9">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Rate $</w:t>
            </w:r>
          </w:p>
        </w:tc>
        <w:tc>
          <w:tcPr>
            <w:tcW w:w="1530" w:type="dxa"/>
            <w:gridSpan w:val="2"/>
            <w:tcBorders>
              <w:top w:val="single" w:color="auto" w:sz="4" w:space="0"/>
              <w:bottom w:val="single" w:color="auto" w:sz="4" w:space="0"/>
              <w:right w:val="single" w:color="auto" w:sz="4" w:space="0"/>
            </w:tcBorders>
            <w:vAlign w:val="bottom"/>
          </w:tcPr>
          <w:p w:rsidRPr="00FA70D1" w:rsidR="000505F1" w:rsidP="000505F1" w:rsidRDefault="000505F1" w14:paraId="104D7982"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Basis for Rate*</w:t>
            </w:r>
          </w:p>
        </w:tc>
        <w:tc>
          <w:tcPr>
            <w:tcW w:w="1350" w:type="dxa"/>
            <w:tcBorders>
              <w:top w:val="single" w:color="auto" w:sz="4" w:space="0"/>
              <w:left w:val="single" w:color="auto" w:sz="4" w:space="0"/>
              <w:bottom w:val="single" w:color="auto" w:sz="4" w:space="0"/>
              <w:right w:val="single" w:color="auto" w:sz="24" w:space="0"/>
            </w:tcBorders>
            <w:vAlign w:val="bottom"/>
          </w:tcPr>
          <w:p w:rsidRPr="00FA70D1" w:rsidR="000505F1" w:rsidP="000505F1" w:rsidRDefault="000505F1" w14:paraId="073B2BB9"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Total $</w:t>
            </w:r>
          </w:p>
        </w:tc>
        <w:tc>
          <w:tcPr>
            <w:tcW w:w="938" w:type="dxa"/>
            <w:tcBorders>
              <w:top w:val="single" w:color="auto" w:sz="4" w:space="0"/>
              <w:left w:val="single" w:color="auto" w:sz="4" w:space="0"/>
            </w:tcBorders>
            <w:vAlign w:val="bottom"/>
          </w:tcPr>
          <w:p w:rsidRPr="00FA70D1" w:rsidR="000505F1" w:rsidP="000505F1" w:rsidRDefault="000505F1" w14:paraId="0409143B"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Hours</w:t>
            </w:r>
          </w:p>
        </w:tc>
        <w:tc>
          <w:tcPr>
            <w:tcW w:w="1146" w:type="dxa"/>
            <w:tcBorders>
              <w:top w:val="single" w:color="auto" w:sz="4" w:space="0"/>
            </w:tcBorders>
            <w:vAlign w:val="bottom"/>
          </w:tcPr>
          <w:p w:rsidRPr="00FA70D1" w:rsidR="000505F1" w:rsidP="000505F1" w:rsidRDefault="000505F1" w14:paraId="6B59BB80" w14:textId="2C791D8E">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Rate $</w:t>
            </w:r>
          </w:p>
        </w:tc>
        <w:tc>
          <w:tcPr>
            <w:tcW w:w="1881" w:type="dxa"/>
            <w:tcBorders>
              <w:top w:val="single" w:color="auto" w:sz="4" w:space="0"/>
            </w:tcBorders>
            <w:vAlign w:val="bottom"/>
          </w:tcPr>
          <w:p w:rsidRPr="00FA70D1" w:rsidR="000505F1" w:rsidP="000505F1" w:rsidRDefault="000505F1" w14:paraId="6C7B13CF" w14:textId="77777777">
            <w:pPr>
              <w:keepNext/>
              <w:spacing w:before="60" w:after="60"/>
              <w:jc w:val="center"/>
              <w:rPr>
                <w:rFonts w:asciiTheme="majorBidi" w:hAnsiTheme="majorBidi" w:cstheme="majorBidi"/>
                <w:b/>
                <w:color w:val="000000"/>
              </w:rPr>
            </w:pPr>
            <w:r w:rsidRPr="00FA70D1">
              <w:rPr>
                <w:rFonts w:asciiTheme="majorBidi" w:hAnsiTheme="majorBidi" w:cstheme="majorBidi"/>
                <w:b/>
                <w:color w:val="000000"/>
              </w:rPr>
              <w:t>Total $</w:t>
            </w:r>
          </w:p>
        </w:tc>
      </w:tr>
      <w:tr w:rsidRPr="00230F87" w:rsidR="00652A59" w:rsidTr="0090642C" w14:paraId="25086E67" w14:textId="77777777">
        <w:trPr>
          <w:jc w:val="center"/>
        </w:trPr>
        <w:tc>
          <w:tcPr>
            <w:tcW w:w="1489" w:type="dxa"/>
            <w:vAlign w:val="bottom"/>
          </w:tcPr>
          <w:p w:rsidRPr="00E91A27" w:rsidR="00652A59" w:rsidP="00652A59" w:rsidRDefault="00652A59" w14:paraId="386D0995" w14:textId="22369328">
            <w:pPr>
              <w:spacing w:before="60" w:after="60"/>
              <w:rPr>
                <w:color w:val="000000"/>
              </w:rPr>
            </w:pPr>
            <w:r>
              <w:rPr>
                <w:color w:val="000000"/>
              </w:rPr>
              <w:t>Robert</w:t>
            </w:r>
            <w:r w:rsidRPr="00E91A27">
              <w:rPr>
                <w:color w:val="000000"/>
              </w:rPr>
              <w:t xml:space="preserve"> </w:t>
            </w:r>
            <w:r>
              <w:rPr>
                <w:color w:val="000000"/>
              </w:rPr>
              <w:t>Finkelstein</w:t>
            </w:r>
            <w:r w:rsidRPr="00E91A27">
              <w:rPr>
                <w:color w:val="000000"/>
              </w:rPr>
              <w:t xml:space="preserve">, TURN </w:t>
            </w:r>
            <w:r>
              <w:rPr>
                <w:color w:val="000000"/>
              </w:rPr>
              <w:t>General Counsel</w:t>
            </w:r>
          </w:p>
        </w:tc>
        <w:tc>
          <w:tcPr>
            <w:tcW w:w="821" w:type="dxa"/>
            <w:vAlign w:val="bottom"/>
          </w:tcPr>
          <w:p w:rsidRPr="00E91A27" w:rsidR="00652A59" w:rsidP="00652A59" w:rsidRDefault="00652A59" w14:paraId="4A155F1D" w14:textId="66A0A948">
            <w:pPr>
              <w:spacing w:before="60" w:after="60"/>
              <w:jc w:val="center"/>
              <w:rPr>
                <w:color w:val="000000"/>
              </w:rPr>
            </w:pPr>
            <w:r w:rsidRPr="00E91A27">
              <w:rPr>
                <w:color w:val="000000"/>
              </w:rPr>
              <w:t>2023</w:t>
            </w:r>
          </w:p>
        </w:tc>
        <w:tc>
          <w:tcPr>
            <w:tcW w:w="884" w:type="dxa"/>
            <w:gridSpan w:val="2"/>
            <w:vAlign w:val="bottom"/>
          </w:tcPr>
          <w:p w:rsidRPr="00E91A27" w:rsidR="00652A59" w:rsidP="00652A59" w:rsidRDefault="00652A59" w14:paraId="30EEA80A" w14:textId="68F83D1A">
            <w:pPr>
              <w:spacing w:before="60" w:after="60"/>
              <w:jc w:val="center"/>
              <w:rPr>
                <w:color w:val="000000"/>
              </w:rPr>
            </w:pPr>
            <w:r w:rsidRPr="00E91A27">
              <w:rPr>
                <w:color w:val="000000"/>
              </w:rPr>
              <w:t xml:space="preserve">            0.</w:t>
            </w:r>
            <w:r>
              <w:rPr>
                <w:color w:val="000000"/>
              </w:rPr>
              <w:t>5</w:t>
            </w:r>
          </w:p>
        </w:tc>
        <w:tc>
          <w:tcPr>
            <w:tcW w:w="1121" w:type="dxa"/>
            <w:vAlign w:val="bottom"/>
          </w:tcPr>
          <w:p w:rsidRPr="00E91A27" w:rsidR="00652A59" w:rsidP="00652A59" w:rsidRDefault="00652A59" w14:paraId="4EB14C91" w14:textId="15FF45E9">
            <w:pPr>
              <w:spacing w:before="60" w:after="60"/>
              <w:rPr>
                <w:color w:val="000000"/>
              </w:rPr>
            </w:pPr>
            <w:r w:rsidRPr="00E91A27">
              <w:rPr>
                <w:color w:val="000000"/>
              </w:rPr>
              <w:t>$</w:t>
            </w:r>
            <w:r>
              <w:rPr>
                <w:color w:val="000000"/>
              </w:rPr>
              <w:t>420</w:t>
            </w:r>
          </w:p>
        </w:tc>
        <w:tc>
          <w:tcPr>
            <w:tcW w:w="1530" w:type="dxa"/>
            <w:gridSpan w:val="2"/>
            <w:tcBorders>
              <w:right w:val="single" w:color="auto" w:sz="4" w:space="0"/>
            </w:tcBorders>
            <w:vAlign w:val="bottom"/>
          </w:tcPr>
          <w:p w:rsidRPr="00E91A27" w:rsidR="00652A59" w:rsidP="00652A59" w:rsidRDefault="00652A59" w14:paraId="02D334B7" w14:textId="2F61DA9B">
            <w:pPr>
              <w:spacing w:before="60" w:after="60"/>
              <w:rPr>
                <w:color w:val="000000"/>
              </w:rPr>
            </w:pPr>
            <w:r w:rsidRPr="00E91A27">
              <w:rPr>
                <w:color w:val="000000"/>
              </w:rPr>
              <w:t>Half of 2023 Rate</w:t>
            </w:r>
            <w:r>
              <w:rPr>
                <w:color w:val="000000"/>
              </w:rPr>
              <w:t>; D.24-02-040</w:t>
            </w:r>
          </w:p>
        </w:tc>
        <w:tc>
          <w:tcPr>
            <w:tcW w:w="1350" w:type="dxa"/>
            <w:tcBorders>
              <w:top w:val="single" w:color="auto" w:sz="4" w:space="0"/>
              <w:left w:val="single" w:color="auto" w:sz="4" w:space="0"/>
              <w:bottom w:val="single" w:color="auto" w:sz="4" w:space="0"/>
              <w:right w:val="single" w:color="auto" w:sz="24" w:space="0"/>
            </w:tcBorders>
            <w:vAlign w:val="bottom"/>
          </w:tcPr>
          <w:p w:rsidRPr="00E91A27" w:rsidR="00652A59" w:rsidP="00652A59" w:rsidRDefault="00652A59" w14:paraId="7B9A0261" w14:textId="4A72D2B8">
            <w:pPr>
              <w:spacing w:before="60" w:after="60"/>
              <w:jc w:val="right"/>
              <w:rPr>
                <w:color w:val="000000"/>
              </w:rPr>
            </w:pPr>
            <w:r w:rsidRPr="00E91A27">
              <w:rPr>
                <w:color w:val="000000"/>
              </w:rPr>
              <w:t xml:space="preserve"> $</w:t>
            </w:r>
            <w:r>
              <w:rPr>
                <w:color w:val="000000"/>
              </w:rPr>
              <w:t>210</w:t>
            </w:r>
            <w:r w:rsidRPr="00E91A27">
              <w:rPr>
                <w:color w:val="000000"/>
              </w:rPr>
              <w:t xml:space="preserve"> </w:t>
            </w:r>
          </w:p>
        </w:tc>
        <w:tc>
          <w:tcPr>
            <w:tcW w:w="938" w:type="dxa"/>
            <w:tcBorders>
              <w:left w:val="single" w:color="auto" w:sz="4" w:space="0"/>
              <w:right w:val="single" w:color="auto" w:sz="4" w:space="0"/>
            </w:tcBorders>
          </w:tcPr>
          <w:p w:rsidRPr="00FA70D1" w:rsidR="00652A59" w:rsidP="00652A59" w:rsidRDefault="00652A59" w14:paraId="5E5A4264" w14:textId="0F1650AE">
            <w:pPr>
              <w:spacing w:before="60" w:after="60"/>
              <w:jc w:val="center"/>
              <w:rPr>
                <w:rFonts w:asciiTheme="majorBidi" w:hAnsiTheme="majorBidi" w:cstheme="majorBidi"/>
                <w:color w:val="000000"/>
              </w:rPr>
            </w:pPr>
            <w:r>
              <w:rPr>
                <w:rFonts w:asciiTheme="majorBidi" w:hAnsiTheme="majorBidi" w:cstheme="majorBidi"/>
                <w:color w:val="000000"/>
              </w:rPr>
              <w:t>0.5</w:t>
            </w:r>
          </w:p>
        </w:tc>
        <w:tc>
          <w:tcPr>
            <w:tcW w:w="1146" w:type="dxa"/>
            <w:tcBorders>
              <w:left w:val="single" w:color="auto" w:sz="4" w:space="0"/>
            </w:tcBorders>
          </w:tcPr>
          <w:p w:rsidRPr="00FA70D1" w:rsidR="00652A59" w:rsidP="00652A59" w:rsidRDefault="00652A59" w14:paraId="47B1F089" w14:textId="37D05D26">
            <w:pPr>
              <w:spacing w:before="60" w:after="60"/>
              <w:jc w:val="center"/>
              <w:rPr>
                <w:rFonts w:asciiTheme="majorBidi" w:hAnsiTheme="majorBidi" w:cstheme="majorBidi"/>
                <w:color w:val="000000"/>
              </w:rPr>
            </w:pPr>
            <w:r>
              <w:rPr>
                <w:rFonts w:asciiTheme="majorBidi" w:hAnsiTheme="majorBidi" w:cstheme="majorBidi"/>
                <w:color w:val="000000"/>
              </w:rPr>
              <w:t>$420.00 [1]</w:t>
            </w:r>
          </w:p>
        </w:tc>
        <w:tc>
          <w:tcPr>
            <w:tcW w:w="1881" w:type="dxa"/>
          </w:tcPr>
          <w:p w:rsidRPr="00FA70D1" w:rsidR="00652A59" w:rsidP="00652A59" w:rsidRDefault="00652A59" w14:paraId="10659B6D" w14:textId="572DFB32">
            <w:pPr>
              <w:spacing w:before="60" w:after="60"/>
              <w:jc w:val="right"/>
              <w:rPr>
                <w:rFonts w:asciiTheme="majorBidi" w:hAnsiTheme="majorBidi" w:cstheme="majorBidi"/>
                <w:color w:val="000000"/>
              </w:rPr>
            </w:pPr>
            <w:r w:rsidRPr="00917707">
              <w:t>$210.00</w:t>
            </w:r>
          </w:p>
        </w:tc>
      </w:tr>
      <w:tr w:rsidRPr="00230F87" w:rsidR="00652A59" w:rsidTr="0090642C" w14:paraId="7AB9EF54" w14:textId="77777777">
        <w:trPr>
          <w:jc w:val="center"/>
        </w:trPr>
        <w:tc>
          <w:tcPr>
            <w:tcW w:w="1489" w:type="dxa"/>
            <w:vAlign w:val="bottom"/>
          </w:tcPr>
          <w:p w:rsidRPr="00E91A27" w:rsidR="00652A59" w:rsidP="00652A59" w:rsidRDefault="00652A59" w14:paraId="4F803C09" w14:textId="62666206">
            <w:pPr>
              <w:spacing w:before="60" w:after="60"/>
              <w:rPr>
                <w:color w:val="000000"/>
              </w:rPr>
            </w:pPr>
            <w:r>
              <w:rPr>
                <w:color w:val="000000"/>
              </w:rPr>
              <w:t>Robert</w:t>
            </w:r>
            <w:r w:rsidRPr="00E91A27">
              <w:rPr>
                <w:color w:val="000000"/>
              </w:rPr>
              <w:t xml:space="preserve"> </w:t>
            </w:r>
            <w:r>
              <w:rPr>
                <w:color w:val="000000"/>
              </w:rPr>
              <w:t>Finkelstein</w:t>
            </w:r>
          </w:p>
        </w:tc>
        <w:tc>
          <w:tcPr>
            <w:tcW w:w="821" w:type="dxa"/>
            <w:vAlign w:val="bottom"/>
          </w:tcPr>
          <w:p w:rsidRPr="00E91A27" w:rsidR="00652A59" w:rsidP="00652A59" w:rsidRDefault="00652A59" w14:paraId="058BFE37" w14:textId="6138E454">
            <w:pPr>
              <w:spacing w:before="60" w:after="60"/>
              <w:jc w:val="center"/>
              <w:rPr>
                <w:color w:val="000000"/>
              </w:rPr>
            </w:pPr>
            <w:r w:rsidRPr="00E91A27">
              <w:rPr>
                <w:color w:val="000000"/>
              </w:rPr>
              <w:t>202</w:t>
            </w:r>
            <w:r>
              <w:rPr>
                <w:color w:val="000000"/>
              </w:rPr>
              <w:t>5</w:t>
            </w:r>
          </w:p>
        </w:tc>
        <w:tc>
          <w:tcPr>
            <w:tcW w:w="884" w:type="dxa"/>
            <w:gridSpan w:val="2"/>
            <w:vAlign w:val="bottom"/>
          </w:tcPr>
          <w:p w:rsidRPr="00E91A27" w:rsidR="00652A59" w:rsidP="00652A59" w:rsidRDefault="00652A59" w14:paraId="66A42865" w14:textId="553EA61C">
            <w:pPr>
              <w:spacing w:before="60" w:after="60"/>
              <w:jc w:val="center"/>
              <w:rPr>
                <w:color w:val="000000"/>
              </w:rPr>
            </w:pPr>
            <w:r>
              <w:rPr>
                <w:color w:val="000000"/>
              </w:rPr>
              <w:t>8</w:t>
            </w:r>
          </w:p>
        </w:tc>
        <w:tc>
          <w:tcPr>
            <w:tcW w:w="1121" w:type="dxa"/>
            <w:vAlign w:val="bottom"/>
          </w:tcPr>
          <w:p w:rsidRPr="00E91A27" w:rsidR="00652A59" w:rsidP="00652A59" w:rsidRDefault="00652A59" w14:paraId="42AE8F2C" w14:textId="3484CE24">
            <w:pPr>
              <w:spacing w:before="60" w:after="60"/>
              <w:rPr>
                <w:color w:val="000000"/>
              </w:rPr>
            </w:pPr>
            <w:r>
              <w:rPr>
                <w:color w:val="000000"/>
              </w:rPr>
              <w:t>$452.50</w:t>
            </w:r>
          </w:p>
        </w:tc>
        <w:tc>
          <w:tcPr>
            <w:tcW w:w="1530" w:type="dxa"/>
            <w:gridSpan w:val="2"/>
            <w:tcBorders>
              <w:right w:val="single" w:color="auto" w:sz="4" w:space="0"/>
            </w:tcBorders>
            <w:vAlign w:val="bottom"/>
          </w:tcPr>
          <w:p w:rsidRPr="00E91A27" w:rsidR="00652A59" w:rsidP="00652A59" w:rsidRDefault="00652A59" w14:paraId="3DB754B7" w14:textId="328C876B">
            <w:pPr>
              <w:spacing w:before="60" w:after="60"/>
              <w:rPr>
                <w:color w:val="000000"/>
              </w:rPr>
            </w:pPr>
            <w:r w:rsidRPr="00E91A27">
              <w:rPr>
                <w:color w:val="000000"/>
              </w:rPr>
              <w:t xml:space="preserve">Half of </w:t>
            </w:r>
            <w:r>
              <w:rPr>
                <w:color w:val="000000"/>
              </w:rPr>
              <w:t xml:space="preserve">Requested </w:t>
            </w:r>
            <w:r w:rsidRPr="00E91A27">
              <w:rPr>
                <w:color w:val="000000"/>
              </w:rPr>
              <w:t>202</w:t>
            </w:r>
            <w:r>
              <w:rPr>
                <w:color w:val="000000"/>
              </w:rPr>
              <w:t>5</w:t>
            </w:r>
            <w:r w:rsidRPr="00E91A27">
              <w:rPr>
                <w:color w:val="000000"/>
              </w:rPr>
              <w:t xml:space="preserve"> Rate</w:t>
            </w:r>
          </w:p>
        </w:tc>
        <w:tc>
          <w:tcPr>
            <w:tcW w:w="1350" w:type="dxa"/>
            <w:tcBorders>
              <w:top w:val="single" w:color="auto" w:sz="4" w:space="0"/>
              <w:left w:val="single" w:color="auto" w:sz="4" w:space="0"/>
              <w:bottom w:val="single" w:color="auto" w:sz="4" w:space="0"/>
              <w:right w:val="single" w:color="auto" w:sz="24" w:space="0"/>
            </w:tcBorders>
            <w:vAlign w:val="bottom"/>
          </w:tcPr>
          <w:p w:rsidRPr="00E91A27" w:rsidR="00652A59" w:rsidP="00652A59" w:rsidRDefault="00652A59" w14:paraId="3D39C021" w14:textId="468A7BD2">
            <w:pPr>
              <w:spacing w:before="60" w:after="60"/>
              <w:jc w:val="right"/>
              <w:rPr>
                <w:color w:val="000000"/>
              </w:rPr>
            </w:pPr>
            <w:r w:rsidRPr="00E91A27">
              <w:rPr>
                <w:color w:val="000000"/>
              </w:rPr>
              <w:t xml:space="preserve"> $</w:t>
            </w:r>
            <w:r>
              <w:rPr>
                <w:color w:val="000000"/>
              </w:rPr>
              <w:t>3,620</w:t>
            </w:r>
            <w:r w:rsidRPr="00E91A27">
              <w:rPr>
                <w:color w:val="000000"/>
              </w:rPr>
              <w:t xml:space="preserve">                                      </w:t>
            </w:r>
          </w:p>
        </w:tc>
        <w:tc>
          <w:tcPr>
            <w:tcW w:w="938" w:type="dxa"/>
            <w:tcBorders>
              <w:left w:val="single" w:color="auto" w:sz="4" w:space="0"/>
              <w:right w:val="single" w:color="auto" w:sz="4" w:space="0"/>
            </w:tcBorders>
          </w:tcPr>
          <w:p w:rsidRPr="00FA70D1" w:rsidR="00652A59" w:rsidP="00652A59" w:rsidRDefault="00652A59" w14:paraId="6B8C8F0C" w14:textId="0D623410">
            <w:pPr>
              <w:spacing w:before="60" w:after="60"/>
              <w:jc w:val="center"/>
              <w:rPr>
                <w:rFonts w:asciiTheme="majorBidi" w:hAnsiTheme="majorBidi" w:cstheme="majorBidi"/>
                <w:color w:val="000000"/>
              </w:rPr>
            </w:pPr>
            <w:r>
              <w:rPr>
                <w:rFonts w:asciiTheme="majorBidi" w:hAnsiTheme="majorBidi" w:cstheme="majorBidi"/>
                <w:color w:val="000000"/>
              </w:rPr>
              <w:t>8.0</w:t>
            </w:r>
          </w:p>
        </w:tc>
        <w:tc>
          <w:tcPr>
            <w:tcW w:w="1146" w:type="dxa"/>
            <w:tcBorders>
              <w:left w:val="single" w:color="auto" w:sz="4" w:space="0"/>
            </w:tcBorders>
          </w:tcPr>
          <w:p w:rsidRPr="00FA70D1" w:rsidR="00652A59" w:rsidP="00652A59" w:rsidRDefault="00652A59" w14:paraId="0A58B021" w14:textId="38D1EEAB">
            <w:pPr>
              <w:spacing w:before="60" w:after="60"/>
              <w:jc w:val="center"/>
              <w:rPr>
                <w:rFonts w:asciiTheme="majorBidi" w:hAnsiTheme="majorBidi" w:cstheme="majorBidi"/>
                <w:color w:val="000000"/>
              </w:rPr>
            </w:pPr>
            <w:r>
              <w:rPr>
                <w:rFonts w:asciiTheme="majorBidi" w:hAnsiTheme="majorBidi" w:cstheme="majorBidi"/>
                <w:color w:val="000000"/>
              </w:rPr>
              <w:t>$452.50 [1]</w:t>
            </w:r>
          </w:p>
        </w:tc>
        <w:tc>
          <w:tcPr>
            <w:tcW w:w="1881" w:type="dxa"/>
          </w:tcPr>
          <w:p w:rsidRPr="00FA70D1" w:rsidR="00652A59" w:rsidP="00652A59" w:rsidRDefault="00652A59" w14:paraId="0769A3B4" w14:textId="1A0A89A1">
            <w:pPr>
              <w:spacing w:before="60" w:after="60"/>
              <w:jc w:val="right"/>
              <w:rPr>
                <w:rFonts w:asciiTheme="majorBidi" w:hAnsiTheme="majorBidi" w:cstheme="majorBidi"/>
                <w:color w:val="000000"/>
              </w:rPr>
            </w:pPr>
            <w:r w:rsidRPr="00917707">
              <w:t>$3,620.00</w:t>
            </w:r>
          </w:p>
        </w:tc>
      </w:tr>
      <w:tr w:rsidRPr="00230F87" w:rsidR="00ED5DBB" w:rsidTr="00FA70D1" w14:paraId="266CEDD5" w14:textId="77777777">
        <w:trPr>
          <w:jc w:val="center"/>
        </w:trPr>
        <w:tc>
          <w:tcPr>
            <w:tcW w:w="7195" w:type="dxa"/>
            <w:gridSpan w:val="8"/>
            <w:tcBorders>
              <w:bottom w:val="single" w:color="auto" w:sz="4" w:space="0"/>
              <w:right w:val="single" w:color="auto" w:sz="24" w:space="0"/>
            </w:tcBorders>
            <w:vAlign w:val="bottom"/>
          </w:tcPr>
          <w:p w:rsidRPr="00FA70D1" w:rsidR="00ED5DBB" w:rsidP="00ED5DBB" w:rsidRDefault="00ED5DBB" w14:paraId="4A1F5988" w14:textId="071F1584">
            <w:pPr>
              <w:tabs>
                <w:tab w:val="left" w:pos="957"/>
              </w:tabs>
              <w:spacing w:before="60" w:after="60"/>
              <w:ind w:right="162"/>
              <w:jc w:val="right"/>
              <w:rPr>
                <w:rFonts w:asciiTheme="majorBidi" w:hAnsiTheme="majorBidi" w:cstheme="majorBidi"/>
                <w:b/>
                <w:i/>
                <w:color w:val="000000"/>
              </w:rPr>
            </w:pPr>
            <w:r w:rsidRPr="001364D7">
              <w:rPr>
                <w:rFonts w:asciiTheme="majorBidi" w:hAnsiTheme="majorBidi" w:cstheme="majorBidi"/>
                <w:b/>
                <w:i/>
                <w:color w:val="000000"/>
              </w:rPr>
              <w:t xml:space="preserve">Subtotal: </w:t>
            </w:r>
            <w:r>
              <w:rPr>
                <w:rFonts w:asciiTheme="majorBidi" w:hAnsiTheme="majorBidi" w:cstheme="majorBidi"/>
                <w:b/>
                <w:i/>
                <w:color w:val="000000"/>
              </w:rPr>
              <w:t>$</w:t>
            </w:r>
            <w:r w:rsidR="005228AB">
              <w:rPr>
                <w:rFonts w:asciiTheme="majorBidi" w:hAnsiTheme="majorBidi" w:cstheme="majorBidi"/>
                <w:b/>
                <w:i/>
                <w:color w:val="000000"/>
              </w:rPr>
              <w:t>3,830</w:t>
            </w:r>
          </w:p>
        </w:tc>
        <w:tc>
          <w:tcPr>
            <w:tcW w:w="3965" w:type="dxa"/>
            <w:gridSpan w:val="3"/>
            <w:tcBorders>
              <w:left w:val="single" w:color="auto" w:sz="24" w:space="0"/>
              <w:bottom w:val="single" w:color="auto" w:sz="4" w:space="0"/>
            </w:tcBorders>
            <w:vAlign w:val="bottom"/>
          </w:tcPr>
          <w:p w:rsidRPr="00310A0D" w:rsidR="00ED5DBB" w:rsidP="00ED5DBB" w:rsidRDefault="00ED5DBB" w14:paraId="2FBAA587" w14:textId="21B20316">
            <w:pPr>
              <w:tabs>
                <w:tab w:val="left" w:pos="957"/>
              </w:tabs>
              <w:spacing w:before="60" w:after="60"/>
              <w:ind w:right="162"/>
              <w:jc w:val="right"/>
              <w:rPr>
                <w:rFonts w:asciiTheme="majorBidi" w:hAnsiTheme="majorBidi" w:cstheme="majorBidi"/>
                <w:b/>
                <w:i/>
                <w:color w:val="000000"/>
              </w:rPr>
            </w:pPr>
            <w:r w:rsidRPr="00310A0D">
              <w:rPr>
                <w:rFonts w:asciiTheme="majorBidi" w:hAnsiTheme="majorBidi" w:cstheme="majorBidi"/>
                <w:b/>
                <w:i/>
                <w:color w:val="000000"/>
              </w:rPr>
              <w:t xml:space="preserve">Subtotal: </w:t>
            </w:r>
            <w:r w:rsidRPr="00310A0D" w:rsidR="00652A59">
              <w:rPr>
                <w:rFonts w:asciiTheme="majorBidi" w:hAnsiTheme="majorBidi" w:cstheme="majorBidi"/>
                <w:b/>
                <w:i/>
                <w:color w:val="000000"/>
              </w:rPr>
              <w:t>$3,830.00</w:t>
            </w:r>
          </w:p>
        </w:tc>
      </w:tr>
      <w:tr w:rsidRPr="00230F87" w:rsidR="00ED5DBB" w:rsidTr="00FA70D1" w14:paraId="06E7371A" w14:textId="77777777">
        <w:trPr>
          <w:jc w:val="center"/>
        </w:trPr>
        <w:tc>
          <w:tcPr>
            <w:tcW w:w="7195" w:type="dxa"/>
            <w:gridSpan w:val="8"/>
            <w:tcBorders>
              <w:top w:val="single" w:color="auto" w:sz="4" w:space="0"/>
              <w:bottom w:val="single" w:color="auto" w:sz="4" w:space="0"/>
              <w:right w:val="single" w:color="auto" w:sz="24" w:space="0"/>
            </w:tcBorders>
            <w:shd w:val="clear" w:color="auto" w:fill="E6E6E6"/>
            <w:vAlign w:val="bottom"/>
          </w:tcPr>
          <w:p w:rsidRPr="00230F87" w:rsidR="00ED5DBB" w:rsidP="00ED5DBB" w:rsidRDefault="00ED5DBB" w14:paraId="11B3B704" w14:textId="3BEF6846">
            <w:pPr>
              <w:tabs>
                <w:tab w:val="left" w:pos="957"/>
              </w:tabs>
              <w:spacing w:before="60" w:after="60"/>
              <w:ind w:right="72"/>
              <w:jc w:val="right"/>
              <w:rPr>
                <w:rFonts w:asciiTheme="majorBidi" w:hAnsiTheme="majorBidi" w:cstheme="majorBidi"/>
                <w:b/>
                <w:color w:val="000000"/>
              </w:rPr>
            </w:pPr>
            <w:r w:rsidRPr="00230F87">
              <w:rPr>
                <w:rFonts w:asciiTheme="majorBidi" w:hAnsiTheme="majorBidi" w:cstheme="majorBidi"/>
                <w:b/>
                <w:i/>
                <w:color w:val="000000"/>
              </w:rPr>
              <w:t>TOTAL REQUEST: $</w:t>
            </w:r>
            <w:r w:rsidR="008868BA">
              <w:rPr>
                <w:rFonts w:asciiTheme="majorBidi" w:hAnsiTheme="majorBidi" w:cstheme="majorBidi"/>
                <w:b/>
                <w:i/>
                <w:color w:val="000000"/>
              </w:rPr>
              <w:t>246,912.50</w:t>
            </w:r>
          </w:p>
        </w:tc>
        <w:tc>
          <w:tcPr>
            <w:tcW w:w="3965" w:type="dxa"/>
            <w:gridSpan w:val="3"/>
            <w:tcBorders>
              <w:left w:val="single" w:color="auto" w:sz="24" w:space="0"/>
            </w:tcBorders>
            <w:shd w:val="clear" w:color="auto" w:fill="E6E6E6"/>
            <w:vAlign w:val="bottom"/>
          </w:tcPr>
          <w:p w:rsidRPr="00230F87" w:rsidR="00ED5DBB" w:rsidP="00ED5DBB" w:rsidRDefault="00ED5DBB" w14:paraId="3680D139" w14:textId="332A7F20">
            <w:pPr>
              <w:tabs>
                <w:tab w:val="left" w:pos="957"/>
              </w:tabs>
              <w:spacing w:before="60" w:after="60"/>
              <w:ind w:right="72"/>
              <w:jc w:val="right"/>
              <w:rPr>
                <w:rFonts w:asciiTheme="majorBidi" w:hAnsiTheme="majorBidi" w:cstheme="majorBidi"/>
                <w:b/>
                <w:color w:val="000000"/>
              </w:rPr>
            </w:pPr>
            <w:r w:rsidRPr="00230F87">
              <w:rPr>
                <w:rFonts w:asciiTheme="majorBidi" w:hAnsiTheme="majorBidi" w:cstheme="majorBidi"/>
                <w:b/>
                <w:i/>
                <w:color w:val="000000"/>
              </w:rPr>
              <w:t xml:space="preserve">TOTAL AWARD: </w:t>
            </w:r>
            <w:r w:rsidRPr="0090642C" w:rsidR="0090642C">
              <w:rPr>
                <w:rFonts w:asciiTheme="majorBidi" w:hAnsiTheme="majorBidi" w:cstheme="majorBidi"/>
                <w:b/>
                <w:i/>
                <w:color w:val="000000"/>
              </w:rPr>
              <w:t>$246,912.50</w:t>
            </w:r>
          </w:p>
        </w:tc>
      </w:tr>
      <w:tr w:rsidRPr="00230F87" w:rsidR="00ED5DBB" w:rsidTr="00EC6387" w14:paraId="6A909BC1" w14:textId="77777777">
        <w:trPr>
          <w:jc w:val="center"/>
        </w:trPr>
        <w:tc>
          <w:tcPr>
            <w:tcW w:w="11160" w:type="dxa"/>
            <w:gridSpan w:val="11"/>
            <w:tcBorders>
              <w:top w:val="single" w:color="auto" w:sz="4" w:space="0"/>
              <w:bottom w:val="single" w:color="auto" w:sz="4" w:space="0"/>
            </w:tcBorders>
          </w:tcPr>
          <w:p w:rsidRPr="00230F87" w:rsidR="00ED5DBB" w:rsidP="00ED5DBB" w:rsidRDefault="00ED5DBB" w14:paraId="6F39872E" w14:textId="77777777">
            <w:pPr>
              <w:spacing w:before="60" w:after="60"/>
              <w:rPr>
                <w:rFonts w:asciiTheme="majorBidi" w:hAnsiTheme="majorBidi" w:cstheme="majorBidi"/>
                <w:color w:val="000000"/>
              </w:rPr>
            </w:pPr>
            <w:r w:rsidRPr="00230F87">
              <w:rPr>
                <w:rFonts w:asciiTheme="majorBidi" w:hAnsiTheme="majorBidi" w:cstheme="majorBidi"/>
                <w:color w:val="000000"/>
              </w:rPr>
              <w:t xml:space="preserve">  *We remind all intervenors that Commission staff may audit </w:t>
            </w:r>
            <w:r w:rsidRPr="00230F87">
              <w:rPr>
                <w:rFonts w:asciiTheme="majorBidi" w:hAnsiTheme="majorBidi" w:cstheme="majorBidi"/>
              </w:rPr>
              <w:t>the records and books of the intervenors to the extent necessary to verify the basis for the award (§1804(d)).  I</w:t>
            </w:r>
            <w:r w:rsidRPr="00230F87">
              <w:rPr>
                <w:rFonts w:asciiTheme="majorBidi" w:hAnsiTheme="majorBidi" w:cstheme="majorBidi"/>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w:t>
            </w:r>
            <w:r w:rsidRPr="00230F87">
              <w:rPr>
                <w:rFonts w:asciiTheme="majorBidi" w:hAnsiTheme="majorBidi" w:cstheme="majorBidi"/>
                <w:color w:val="000000"/>
              </w:rPr>
              <w:lastRenderedPageBreak/>
              <w:t xml:space="preserve">claimed.  The records pertaining to an award of compensation shall be retained for at least three years from the date of the final decision making the award. </w:t>
            </w:r>
          </w:p>
          <w:p w:rsidRPr="00230F87" w:rsidR="00ED5DBB" w:rsidP="00ED5DBB" w:rsidRDefault="00ED5DBB" w14:paraId="0D03EC65" w14:textId="77777777">
            <w:pPr>
              <w:spacing w:before="60" w:after="60"/>
              <w:rPr>
                <w:rFonts w:asciiTheme="majorBidi" w:hAnsiTheme="majorBidi" w:cstheme="majorBidi"/>
                <w:color w:val="000000"/>
              </w:rPr>
            </w:pPr>
            <w:r w:rsidRPr="00230F87">
              <w:rPr>
                <w:rFonts w:asciiTheme="majorBidi" w:hAnsiTheme="majorBidi" w:cstheme="majorBidi"/>
                <w:color w:val="000000"/>
              </w:rPr>
              <w:t>**Travel and Reasonable Claim preparation time are typically compensated at ½ of preparer’s normal hourly rate</w:t>
            </w:r>
            <w:r w:rsidRPr="00230F87" w:rsidDel="00D075B1">
              <w:rPr>
                <w:rFonts w:asciiTheme="majorBidi" w:hAnsiTheme="majorBidi" w:cstheme="majorBidi"/>
                <w:color w:val="000000"/>
              </w:rPr>
              <w:t xml:space="preserve"> </w:t>
            </w:r>
          </w:p>
        </w:tc>
      </w:tr>
      <w:tr w:rsidRPr="00230F87" w:rsidR="00ED5DBB" w:rsidTr="00EC6387" w14:paraId="458B01A4" w14:textId="77777777">
        <w:trPr>
          <w:jc w:val="center"/>
        </w:trPr>
        <w:tc>
          <w:tcPr>
            <w:tcW w:w="11160"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30F87" w:rsidR="00ED5DBB" w:rsidP="00ED5DBB" w:rsidRDefault="00ED5DBB" w14:paraId="48B43CBD" w14:textId="77777777">
            <w:pPr>
              <w:keepNext/>
              <w:spacing w:before="60" w:after="60"/>
              <w:jc w:val="center"/>
              <w:rPr>
                <w:rFonts w:asciiTheme="majorBidi" w:hAnsiTheme="majorBidi" w:cstheme="majorBidi"/>
                <w:b/>
                <w:smallCaps/>
                <w:color w:val="000000"/>
              </w:rPr>
            </w:pPr>
            <w:r w:rsidRPr="00230F87">
              <w:rPr>
                <w:rFonts w:asciiTheme="majorBidi" w:hAnsiTheme="majorBidi" w:cstheme="majorBidi"/>
                <w:b/>
                <w:smallCaps/>
                <w:color w:val="000000"/>
              </w:rPr>
              <w:lastRenderedPageBreak/>
              <w:t>ATTORNEY INFORMATION</w:t>
            </w:r>
          </w:p>
        </w:tc>
      </w:tr>
      <w:tr w:rsidRPr="00230F87" w:rsidR="00ED5DBB" w:rsidTr="00A94552"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230F87" w:rsidR="00ED5DBB" w:rsidP="00ED5DBB" w:rsidRDefault="00ED5DBB" w14:paraId="00CAC866" w14:textId="77777777">
            <w:pPr>
              <w:keepNext/>
              <w:keepLines/>
              <w:spacing w:before="60" w:after="60"/>
              <w:jc w:val="center"/>
              <w:rPr>
                <w:rFonts w:asciiTheme="majorBidi" w:hAnsiTheme="majorBidi" w:cstheme="majorBidi"/>
                <w:b/>
                <w:color w:val="000000"/>
              </w:rPr>
            </w:pPr>
            <w:r w:rsidRPr="00230F87">
              <w:rPr>
                <w:rFonts w:asciiTheme="majorBidi" w:hAnsiTheme="majorBidi" w:cstheme="majorBidi"/>
                <w:b/>
              </w:rPr>
              <w:t>Attorney</w:t>
            </w:r>
          </w:p>
        </w:tc>
        <w:tc>
          <w:tcPr>
            <w:tcW w:w="1909" w:type="dxa"/>
            <w:gridSpan w:val="3"/>
            <w:tcBorders>
              <w:top w:val="single" w:color="auto" w:sz="4" w:space="0"/>
              <w:bottom w:val="single" w:color="auto" w:sz="4" w:space="0"/>
            </w:tcBorders>
            <w:shd w:val="clear" w:color="auto" w:fill="FFFFFF"/>
            <w:vAlign w:val="bottom"/>
          </w:tcPr>
          <w:p w:rsidRPr="00230F87" w:rsidR="00ED5DBB" w:rsidP="00ED5DBB" w:rsidRDefault="00ED5DBB" w14:paraId="7E76A008" w14:textId="77777777">
            <w:pPr>
              <w:keepNext/>
              <w:keepLines/>
              <w:spacing w:before="60" w:after="60"/>
              <w:jc w:val="center"/>
              <w:rPr>
                <w:rFonts w:asciiTheme="majorBidi" w:hAnsiTheme="majorBidi" w:cstheme="majorBidi"/>
                <w:b/>
                <w:color w:val="000000"/>
              </w:rPr>
            </w:pPr>
            <w:r w:rsidRPr="00230F87">
              <w:rPr>
                <w:rFonts w:asciiTheme="majorBidi" w:hAnsiTheme="majorBidi" w:cstheme="majorBidi"/>
                <w:b/>
              </w:rPr>
              <w:t>Date Admitted to CA BAR</w:t>
            </w:r>
            <w:r w:rsidRPr="00230F87">
              <w:rPr>
                <w:rStyle w:val="FootnoteReference"/>
                <w:rFonts w:asciiTheme="majorBidi" w:hAnsiTheme="majorBidi" w:cstheme="majorBidi"/>
                <w:b/>
              </w:rPr>
              <w:footnoteReference w:id="2"/>
            </w:r>
          </w:p>
        </w:tc>
        <w:tc>
          <w:tcPr>
            <w:tcW w:w="2594" w:type="dxa"/>
            <w:gridSpan w:val="2"/>
            <w:tcBorders>
              <w:top w:val="single" w:color="auto" w:sz="4" w:space="0"/>
              <w:bottom w:val="single" w:color="auto" w:sz="4" w:space="0"/>
            </w:tcBorders>
            <w:shd w:val="clear" w:color="auto" w:fill="FFFFFF"/>
            <w:vAlign w:val="bottom"/>
          </w:tcPr>
          <w:p w:rsidRPr="00230F87" w:rsidR="00ED5DBB" w:rsidP="00ED5DBB" w:rsidRDefault="00ED5DBB" w14:paraId="27E64ED7" w14:textId="77777777">
            <w:pPr>
              <w:keepNext/>
              <w:keepLines/>
              <w:spacing w:before="60" w:after="60"/>
              <w:jc w:val="center"/>
              <w:rPr>
                <w:rFonts w:asciiTheme="majorBidi" w:hAnsiTheme="majorBidi" w:cstheme="majorBidi"/>
                <w:b/>
                <w:color w:val="000000"/>
              </w:rPr>
            </w:pPr>
            <w:r w:rsidRPr="00230F87">
              <w:rPr>
                <w:rFonts w:asciiTheme="majorBidi" w:hAnsiTheme="majorBidi" w:cstheme="majorBidi"/>
                <w:b/>
              </w:rPr>
              <w:t>Member Number</w:t>
            </w:r>
          </w:p>
        </w:tc>
        <w:tc>
          <w:tcPr>
            <w:tcW w:w="3965" w:type="dxa"/>
            <w:gridSpan w:val="3"/>
            <w:tcBorders>
              <w:top w:val="single" w:color="auto" w:sz="4" w:space="0"/>
              <w:bottom w:val="single" w:color="auto" w:sz="4" w:space="0"/>
            </w:tcBorders>
            <w:shd w:val="clear" w:color="auto" w:fill="FFFFFF"/>
            <w:vAlign w:val="bottom"/>
          </w:tcPr>
          <w:p w:rsidRPr="00230F87" w:rsidR="00ED5DBB" w:rsidP="00ED5DBB" w:rsidRDefault="00ED5DBB" w14:paraId="496B5DC1" w14:textId="77777777">
            <w:pPr>
              <w:keepNext/>
              <w:keepLines/>
              <w:spacing w:before="60" w:after="60"/>
              <w:jc w:val="center"/>
              <w:rPr>
                <w:rFonts w:asciiTheme="majorBidi" w:hAnsiTheme="majorBidi" w:cstheme="majorBidi"/>
                <w:b/>
              </w:rPr>
            </w:pPr>
            <w:r w:rsidRPr="00230F87">
              <w:rPr>
                <w:rFonts w:asciiTheme="majorBidi" w:hAnsiTheme="majorBidi" w:cstheme="majorBidi"/>
                <w:b/>
              </w:rPr>
              <w:t>Actions Affecting Eligibility (Yes/No?)</w:t>
            </w:r>
          </w:p>
          <w:p w:rsidRPr="00230F87" w:rsidR="00ED5DBB" w:rsidP="00ED5DBB" w:rsidRDefault="00ED5DBB" w14:paraId="36F8922D" w14:textId="77777777">
            <w:pPr>
              <w:keepNext/>
              <w:keepLines/>
              <w:spacing w:before="60" w:after="60"/>
              <w:jc w:val="center"/>
              <w:rPr>
                <w:rFonts w:asciiTheme="majorBidi" w:hAnsiTheme="majorBidi" w:cstheme="majorBidi"/>
                <w:b/>
                <w:color w:val="000000"/>
              </w:rPr>
            </w:pPr>
            <w:r w:rsidRPr="00230F87">
              <w:rPr>
                <w:rFonts w:asciiTheme="majorBidi" w:hAnsiTheme="majorBidi" w:cstheme="majorBidi"/>
                <w:b/>
              </w:rPr>
              <w:t>If “Yes”, attach explanation</w:t>
            </w:r>
          </w:p>
        </w:tc>
      </w:tr>
      <w:tr w:rsidRPr="00230F87" w:rsidR="00ED5DBB" w:rsidTr="0029471B" w14:paraId="495E3970" w14:textId="77777777">
        <w:trPr>
          <w:trHeight w:val="172"/>
          <w:jc w:val="center"/>
        </w:trPr>
        <w:tc>
          <w:tcPr>
            <w:tcW w:w="2692" w:type="dxa"/>
            <w:gridSpan w:val="3"/>
            <w:tcBorders>
              <w:top w:val="single" w:color="auto" w:sz="4" w:space="0"/>
              <w:bottom w:val="single" w:color="auto" w:sz="4" w:space="0"/>
            </w:tcBorders>
            <w:vAlign w:val="bottom"/>
          </w:tcPr>
          <w:p w:rsidRPr="0017407A" w:rsidR="00ED5DBB" w:rsidP="00ED5DBB" w:rsidRDefault="00ED5DBB" w14:paraId="7687CCFA" w14:textId="7276899E">
            <w:pPr>
              <w:keepLines/>
              <w:spacing w:before="60" w:after="60"/>
              <w:jc w:val="center"/>
              <w:rPr>
                <w:color w:val="000000"/>
              </w:rPr>
            </w:pPr>
            <w:r w:rsidRPr="0017407A">
              <w:rPr>
                <w:color w:val="000000"/>
              </w:rPr>
              <w:t>Robert Finkelstein</w:t>
            </w:r>
          </w:p>
        </w:tc>
        <w:tc>
          <w:tcPr>
            <w:tcW w:w="1909" w:type="dxa"/>
            <w:gridSpan w:val="3"/>
            <w:tcBorders>
              <w:top w:val="single" w:color="auto" w:sz="4" w:space="0"/>
              <w:bottom w:val="single" w:color="auto" w:sz="4" w:space="0"/>
            </w:tcBorders>
            <w:vAlign w:val="bottom"/>
          </w:tcPr>
          <w:p w:rsidRPr="0017407A" w:rsidR="00ED5DBB" w:rsidP="00ED5DBB" w:rsidRDefault="00ED5DBB" w14:paraId="52CF88FB" w14:textId="0210930F">
            <w:pPr>
              <w:keepLines/>
              <w:spacing w:before="60" w:after="60"/>
              <w:jc w:val="center"/>
              <w:rPr>
                <w:color w:val="000000"/>
              </w:rPr>
            </w:pPr>
            <w:r w:rsidRPr="0017407A">
              <w:rPr>
                <w:color w:val="000000"/>
              </w:rPr>
              <w:t>June 1990</w:t>
            </w:r>
          </w:p>
        </w:tc>
        <w:tc>
          <w:tcPr>
            <w:tcW w:w="2594" w:type="dxa"/>
            <w:gridSpan w:val="2"/>
            <w:tcBorders>
              <w:top w:val="single" w:color="auto" w:sz="4" w:space="0"/>
              <w:bottom w:val="single" w:color="auto" w:sz="4" w:space="0"/>
            </w:tcBorders>
            <w:vAlign w:val="bottom"/>
          </w:tcPr>
          <w:p w:rsidRPr="0017407A" w:rsidR="00ED5DBB" w:rsidP="00ED5DBB" w:rsidRDefault="00ED5DBB" w14:paraId="7EC6F041" w14:textId="2FDE0D3B">
            <w:pPr>
              <w:keepLines/>
              <w:spacing w:before="60" w:after="60"/>
              <w:jc w:val="center"/>
              <w:rPr>
                <w:color w:val="000000"/>
              </w:rPr>
            </w:pPr>
            <w:r w:rsidRPr="0017407A">
              <w:rPr>
                <w:color w:val="000000"/>
              </w:rPr>
              <w:t>146391</w:t>
            </w:r>
          </w:p>
        </w:tc>
        <w:tc>
          <w:tcPr>
            <w:tcW w:w="3965" w:type="dxa"/>
            <w:gridSpan w:val="3"/>
            <w:tcBorders>
              <w:top w:val="single" w:color="auto" w:sz="4" w:space="0"/>
              <w:bottom w:val="single" w:color="auto" w:sz="4" w:space="0"/>
            </w:tcBorders>
            <w:vAlign w:val="bottom"/>
          </w:tcPr>
          <w:p w:rsidRPr="0017407A" w:rsidR="00ED5DBB" w:rsidP="00ED5DBB" w:rsidRDefault="00ED5DBB" w14:paraId="30FBDD1C" w14:textId="600DA9AC">
            <w:pPr>
              <w:keepLines/>
              <w:spacing w:before="60" w:after="60"/>
              <w:jc w:val="center"/>
              <w:rPr>
                <w:color w:val="000000"/>
              </w:rPr>
            </w:pPr>
            <w:r w:rsidRPr="0017407A">
              <w:rPr>
                <w:color w:val="000000"/>
              </w:rPr>
              <w:t>No</w:t>
            </w:r>
          </w:p>
        </w:tc>
      </w:tr>
      <w:tr w:rsidRPr="00230F87" w:rsidR="00463EC6" w:rsidTr="0029471B" w14:paraId="5D036E2E" w14:textId="77777777">
        <w:trPr>
          <w:trHeight w:val="172"/>
          <w:jc w:val="center"/>
        </w:trPr>
        <w:tc>
          <w:tcPr>
            <w:tcW w:w="2692" w:type="dxa"/>
            <w:gridSpan w:val="3"/>
            <w:tcBorders>
              <w:top w:val="single" w:color="auto" w:sz="4" w:space="0"/>
              <w:bottom w:val="single" w:color="auto" w:sz="4" w:space="0"/>
            </w:tcBorders>
            <w:vAlign w:val="bottom"/>
          </w:tcPr>
          <w:p w:rsidRPr="0017407A" w:rsidR="00463EC6" w:rsidP="00463EC6" w:rsidRDefault="00463EC6" w14:paraId="3D5F8F51" w14:textId="5F01C40F">
            <w:pPr>
              <w:keepLines/>
              <w:spacing w:before="60" w:after="60"/>
              <w:jc w:val="center"/>
              <w:rPr>
                <w:color w:val="000000"/>
              </w:rPr>
            </w:pPr>
            <w:r>
              <w:rPr>
                <w:color w:val="000000"/>
              </w:rPr>
              <w:t>Hayley Goodson</w:t>
            </w:r>
          </w:p>
        </w:tc>
        <w:tc>
          <w:tcPr>
            <w:tcW w:w="1909" w:type="dxa"/>
            <w:gridSpan w:val="3"/>
            <w:tcBorders>
              <w:top w:val="single" w:color="auto" w:sz="4" w:space="0"/>
              <w:bottom w:val="single" w:color="auto" w:sz="4" w:space="0"/>
            </w:tcBorders>
            <w:vAlign w:val="center"/>
          </w:tcPr>
          <w:p w:rsidRPr="0017407A" w:rsidR="00463EC6" w:rsidP="00463EC6" w:rsidRDefault="00463EC6" w14:paraId="1609FC8E" w14:textId="55635320">
            <w:pPr>
              <w:keepLines/>
              <w:spacing w:before="60" w:after="60"/>
              <w:jc w:val="center"/>
              <w:rPr>
                <w:color w:val="000000"/>
              </w:rPr>
            </w:pPr>
            <w:r>
              <w:t>December 2003</w:t>
            </w:r>
          </w:p>
        </w:tc>
        <w:tc>
          <w:tcPr>
            <w:tcW w:w="2594" w:type="dxa"/>
            <w:gridSpan w:val="2"/>
            <w:tcBorders>
              <w:top w:val="single" w:color="auto" w:sz="4" w:space="0"/>
              <w:bottom w:val="single" w:color="auto" w:sz="4" w:space="0"/>
            </w:tcBorders>
            <w:vAlign w:val="center"/>
          </w:tcPr>
          <w:p w:rsidRPr="0017407A" w:rsidR="00463EC6" w:rsidP="00463EC6" w:rsidRDefault="00463EC6" w14:paraId="182A9D2B" w14:textId="5E090337">
            <w:pPr>
              <w:keepLines/>
              <w:spacing w:before="60" w:after="60"/>
              <w:jc w:val="center"/>
              <w:rPr>
                <w:color w:val="000000"/>
              </w:rPr>
            </w:pPr>
            <w:r>
              <w:t>228535</w:t>
            </w:r>
          </w:p>
        </w:tc>
        <w:tc>
          <w:tcPr>
            <w:tcW w:w="3965" w:type="dxa"/>
            <w:gridSpan w:val="3"/>
            <w:tcBorders>
              <w:top w:val="single" w:color="auto" w:sz="4" w:space="0"/>
              <w:bottom w:val="single" w:color="auto" w:sz="4" w:space="0"/>
            </w:tcBorders>
            <w:vAlign w:val="bottom"/>
          </w:tcPr>
          <w:p w:rsidRPr="0017407A" w:rsidR="00463EC6" w:rsidP="00463EC6" w:rsidRDefault="00463EC6" w14:paraId="35DC3C56" w14:textId="12406DAB">
            <w:pPr>
              <w:keepLines/>
              <w:spacing w:before="60" w:after="60"/>
              <w:jc w:val="center"/>
              <w:rPr>
                <w:color w:val="000000"/>
              </w:rPr>
            </w:pPr>
            <w:r w:rsidRPr="0017407A">
              <w:rPr>
                <w:color w:val="000000"/>
              </w:rPr>
              <w:t>No</w:t>
            </w:r>
          </w:p>
        </w:tc>
      </w:tr>
    </w:tbl>
    <w:p w:rsidRPr="00EE1466" w:rsidR="00A92D0B" w:rsidP="00B46B87" w:rsidRDefault="00A92D0B" w14:paraId="04BC309E" w14:textId="33925526">
      <w:pPr>
        <w:keepNext/>
        <w:numPr>
          <w:ilvl w:val="0"/>
          <w:numId w:val="9"/>
        </w:numPr>
        <w:spacing w:before="240" w:after="240"/>
        <w:rPr>
          <w:rFonts w:asciiTheme="majorBidi" w:hAnsiTheme="majorBidi" w:cstheme="majorBidi"/>
          <w:b/>
          <w:i/>
          <w:color w:val="000000"/>
          <w:u w:val="single"/>
        </w:rPr>
      </w:pPr>
      <w:r w:rsidRPr="00230F87">
        <w:rPr>
          <w:rFonts w:asciiTheme="majorBidi" w:hAnsiTheme="majorBidi" w:cstheme="majorBidi"/>
          <w:b/>
          <w:color w:val="000000"/>
        </w:rPr>
        <w:t>Attachments</w:t>
      </w:r>
      <w:r w:rsidRPr="00230F87">
        <w:rPr>
          <w:rFonts w:asciiTheme="majorBidi" w:hAnsiTheme="majorBidi" w:cstheme="majorBidi"/>
          <w:b/>
        </w:rPr>
        <w:t xml:space="preserve"> Documenting Specific Claim and Comments on Part III</w:t>
      </w:r>
      <w:r w:rsidR="00652A59">
        <w:rPr>
          <w:rStyle w:val="FootnoteReference"/>
          <w:rFonts w:asciiTheme="majorBidi" w:hAnsiTheme="majorBidi" w:cstheme="majorBidi"/>
          <w:b/>
        </w:rPr>
        <w:footnoteReference w:id="3"/>
      </w:r>
      <w:r w:rsidRPr="00230F87" w:rsidR="00C02649">
        <w:rPr>
          <w:rFonts w:asciiTheme="majorBidi" w:hAnsiTheme="majorBidi" w:cstheme="majorBidi"/>
          <w:b/>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230F87" w:rsidR="00A92D0B" w:rsidTr="001A3CF3" w14:paraId="0C2B760A" w14:textId="77777777">
        <w:trPr>
          <w:tblHeader/>
        </w:trPr>
        <w:tc>
          <w:tcPr>
            <w:tcW w:w="1795" w:type="dxa"/>
            <w:shd w:val="clear" w:color="auto" w:fill="D9D9D9" w:themeFill="background1" w:themeFillShade="D9"/>
            <w:vAlign w:val="bottom"/>
          </w:tcPr>
          <w:p w:rsidRPr="00230F87" w:rsidR="00A92D0B" w:rsidP="001A3CF3" w:rsidRDefault="00A92D0B" w14:paraId="42A1D838" w14:textId="77777777">
            <w:pPr>
              <w:tabs>
                <w:tab w:val="left" w:pos="1260"/>
              </w:tabs>
              <w:jc w:val="center"/>
              <w:rPr>
                <w:rFonts w:asciiTheme="majorBidi" w:hAnsiTheme="majorBidi" w:cstheme="majorBidi"/>
                <w:b/>
                <w:color w:val="000000"/>
              </w:rPr>
            </w:pPr>
            <w:r w:rsidRPr="00230F87">
              <w:rPr>
                <w:rFonts w:asciiTheme="majorBidi" w:hAnsiTheme="majorBidi" w:cstheme="majorBidi"/>
                <w:b/>
                <w:color w:val="000000"/>
              </w:rPr>
              <w:t xml:space="preserve">Attachment or </w:t>
            </w:r>
            <w:proofErr w:type="gramStart"/>
            <w:r w:rsidRPr="00230F87">
              <w:rPr>
                <w:rFonts w:asciiTheme="majorBidi" w:hAnsiTheme="majorBidi" w:cstheme="majorBidi"/>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230F87" w:rsidR="00A92D0B" w:rsidP="001A3CF3" w:rsidRDefault="00A92D0B" w14:paraId="55F0A65F" w14:textId="77777777">
            <w:pPr>
              <w:tabs>
                <w:tab w:val="left" w:pos="1260"/>
              </w:tabs>
              <w:jc w:val="center"/>
              <w:rPr>
                <w:rFonts w:asciiTheme="majorBidi" w:hAnsiTheme="majorBidi" w:cstheme="majorBidi"/>
                <w:b/>
                <w:color w:val="000000"/>
              </w:rPr>
            </w:pPr>
            <w:r w:rsidRPr="00230F87">
              <w:rPr>
                <w:rFonts w:asciiTheme="majorBidi" w:hAnsiTheme="majorBidi" w:cstheme="majorBidi"/>
                <w:b/>
                <w:color w:val="000000"/>
              </w:rPr>
              <w:t>Description/Comment</w:t>
            </w:r>
          </w:p>
        </w:tc>
      </w:tr>
      <w:tr w:rsidRPr="00230F87" w:rsidR="00A92D0B" w:rsidTr="00652A59" w14:paraId="71F47148" w14:textId="77777777">
        <w:tc>
          <w:tcPr>
            <w:tcW w:w="1795" w:type="dxa"/>
            <w:tcBorders>
              <w:bottom w:val="single" w:color="auto" w:sz="4" w:space="0"/>
            </w:tcBorders>
          </w:tcPr>
          <w:p w:rsidRPr="00230F87" w:rsidR="00A92D0B" w:rsidP="001A3CF3" w:rsidRDefault="00E75662" w14:paraId="7A5C03D8" w14:textId="58D28187">
            <w:pPr>
              <w:tabs>
                <w:tab w:val="left" w:pos="1260"/>
              </w:tabs>
              <w:rPr>
                <w:rFonts w:asciiTheme="majorBidi" w:hAnsiTheme="majorBidi" w:cstheme="majorBidi"/>
                <w:color w:val="000000"/>
              </w:rPr>
            </w:pPr>
            <w:r w:rsidRPr="00230F87">
              <w:rPr>
                <w:rFonts w:asciiTheme="majorBidi" w:hAnsiTheme="majorBidi" w:cstheme="majorBidi"/>
                <w:color w:val="000000"/>
              </w:rPr>
              <w:t xml:space="preserve">Attachment </w:t>
            </w:r>
            <w:r w:rsidRPr="00230F87" w:rsidR="00A92D0B">
              <w:rPr>
                <w:rFonts w:asciiTheme="majorBidi" w:hAnsiTheme="majorBidi" w:cstheme="majorBidi"/>
                <w:color w:val="000000"/>
              </w:rPr>
              <w:t>1</w:t>
            </w:r>
          </w:p>
        </w:tc>
        <w:tc>
          <w:tcPr>
            <w:tcW w:w="7565" w:type="dxa"/>
            <w:tcBorders>
              <w:bottom w:val="single" w:color="auto" w:sz="4" w:space="0"/>
            </w:tcBorders>
          </w:tcPr>
          <w:p w:rsidRPr="00230F87" w:rsidR="00A92D0B" w:rsidP="001A3CF3" w:rsidRDefault="00A92D0B" w14:paraId="370C67BC" w14:textId="77777777">
            <w:pPr>
              <w:tabs>
                <w:tab w:val="left" w:pos="1260"/>
              </w:tabs>
              <w:rPr>
                <w:rFonts w:asciiTheme="majorBidi" w:hAnsiTheme="majorBidi" w:cstheme="majorBidi"/>
                <w:color w:val="000000"/>
              </w:rPr>
            </w:pPr>
            <w:r w:rsidRPr="00230F87">
              <w:rPr>
                <w:rFonts w:asciiTheme="majorBidi" w:hAnsiTheme="majorBidi" w:cstheme="majorBidi"/>
                <w:color w:val="000000"/>
              </w:rPr>
              <w:t>Certificate of Service</w:t>
            </w:r>
          </w:p>
        </w:tc>
      </w:tr>
      <w:tr w:rsidRPr="00230F87" w:rsidR="00A92D0B" w:rsidTr="00652A59" w14:paraId="72C869B0" w14:textId="77777777">
        <w:tc>
          <w:tcPr>
            <w:tcW w:w="1795" w:type="dxa"/>
          </w:tcPr>
          <w:p w:rsidRPr="00230F87" w:rsidR="00A92D0B" w:rsidP="001A3CF3" w:rsidRDefault="00E75662" w14:paraId="49AADD21" w14:textId="07656B50">
            <w:pPr>
              <w:tabs>
                <w:tab w:val="left" w:pos="1260"/>
              </w:tabs>
              <w:rPr>
                <w:rFonts w:asciiTheme="majorBidi" w:hAnsiTheme="majorBidi" w:cstheme="majorBidi"/>
                <w:color w:val="000000"/>
              </w:rPr>
            </w:pPr>
            <w:r w:rsidRPr="00230F87">
              <w:rPr>
                <w:rFonts w:asciiTheme="majorBidi" w:hAnsiTheme="majorBidi" w:cstheme="majorBidi"/>
                <w:color w:val="000000"/>
              </w:rPr>
              <w:t xml:space="preserve">Attachment </w:t>
            </w:r>
            <w:r w:rsidRPr="00230F87" w:rsidR="0022302F">
              <w:rPr>
                <w:rFonts w:asciiTheme="majorBidi" w:hAnsiTheme="majorBidi" w:cstheme="majorBidi"/>
                <w:color w:val="000000"/>
              </w:rPr>
              <w:t>2</w:t>
            </w:r>
          </w:p>
        </w:tc>
        <w:tc>
          <w:tcPr>
            <w:tcW w:w="7565" w:type="dxa"/>
          </w:tcPr>
          <w:p w:rsidRPr="00230F87" w:rsidR="00A92D0B" w:rsidP="000505F1" w:rsidRDefault="00E75662" w14:paraId="3AF20C23" w14:textId="7BFE7E00">
            <w:pPr>
              <w:tabs>
                <w:tab w:val="left" w:pos="1260"/>
              </w:tabs>
              <w:rPr>
                <w:rFonts w:asciiTheme="majorBidi" w:hAnsiTheme="majorBidi" w:cstheme="majorBidi"/>
                <w:b/>
                <w:color w:val="000000"/>
              </w:rPr>
            </w:pPr>
            <w:r w:rsidRPr="00230F87">
              <w:rPr>
                <w:rFonts w:asciiTheme="majorBidi" w:hAnsiTheme="majorBidi" w:cstheme="majorBidi"/>
                <w:color w:val="000000"/>
              </w:rPr>
              <w:t>Timesheets for TURN’s Attorneys &amp; Expert</w:t>
            </w:r>
            <w:r w:rsidR="007728B6">
              <w:rPr>
                <w:rFonts w:asciiTheme="majorBidi" w:hAnsiTheme="majorBidi" w:cstheme="majorBidi"/>
                <w:color w:val="000000"/>
              </w:rPr>
              <w:t>s</w:t>
            </w:r>
          </w:p>
        </w:tc>
      </w:tr>
      <w:tr w:rsidRPr="00230F87" w:rsidR="000505F1" w:rsidTr="00652A59" w14:paraId="7F653B80" w14:textId="77777777">
        <w:tc>
          <w:tcPr>
            <w:tcW w:w="1795" w:type="dxa"/>
          </w:tcPr>
          <w:p w:rsidRPr="00230F87" w:rsidR="000505F1" w:rsidP="000505F1" w:rsidRDefault="000505F1" w14:paraId="139CCED6" w14:textId="49F4F431">
            <w:pPr>
              <w:tabs>
                <w:tab w:val="left" w:pos="1260"/>
              </w:tabs>
              <w:rPr>
                <w:rFonts w:asciiTheme="majorBidi" w:hAnsiTheme="majorBidi" w:cstheme="majorBidi"/>
                <w:color w:val="000000"/>
              </w:rPr>
            </w:pPr>
            <w:r w:rsidRPr="00230F87">
              <w:rPr>
                <w:rFonts w:asciiTheme="majorBidi" w:hAnsiTheme="majorBidi" w:cstheme="majorBidi"/>
                <w:color w:val="000000"/>
              </w:rPr>
              <w:t>Attachment 3</w:t>
            </w:r>
          </w:p>
        </w:tc>
        <w:tc>
          <w:tcPr>
            <w:tcW w:w="7565" w:type="dxa"/>
          </w:tcPr>
          <w:p w:rsidRPr="00230F87" w:rsidR="000505F1" w:rsidP="000505F1" w:rsidRDefault="000505F1" w14:paraId="01B7B346" w14:textId="5548CE85">
            <w:pPr>
              <w:tabs>
                <w:tab w:val="left" w:pos="1260"/>
              </w:tabs>
              <w:rPr>
                <w:rFonts w:asciiTheme="majorBidi" w:hAnsiTheme="majorBidi" w:cstheme="majorBidi"/>
                <w:bCs/>
                <w:color w:val="000000"/>
              </w:rPr>
            </w:pPr>
            <w:r w:rsidRPr="00230F87">
              <w:rPr>
                <w:rFonts w:asciiTheme="majorBidi" w:hAnsiTheme="majorBidi" w:cstheme="majorBidi"/>
                <w:bCs/>
                <w:color w:val="000000"/>
              </w:rPr>
              <w:t>Time Allocation by Issue</w:t>
            </w:r>
          </w:p>
        </w:tc>
      </w:tr>
      <w:tr w:rsidRPr="00230F87" w:rsidR="004D00D9" w:rsidTr="00652A59" w14:paraId="62A5FEFD" w14:textId="77777777">
        <w:tc>
          <w:tcPr>
            <w:tcW w:w="1795" w:type="dxa"/>
          </w:tcPr>
          <w:p w:rsidRPr="00426239" w:rsidR="004D00D9" w:rsidP="000505F1" w:rsidRDefault="00EE4D20" w14:paraId="37CCDBB7" w14:textId="6F1BB404">
            <w:pPr>
              <w:tabs>
                <w:tab w:val="left" w:pos="1260"/>
              </w:tabs>
              <w:rPr>
                <w:rFonts w:asciiTheme="majorBidi" w:hAnsiTheme="majorBidi" w:cstheme="majorBidi"/>
                <w:color w:val="000000"/>
              </w:rPr>
            </w:pPr>
            <w:r w:rsidRPr="00426239">
              <w:rPr>
                <w:rFonts w:asciiTheme="majorBidi" w:hAnsiTheme="majorBidi" w:cstheme="majorBidi"/>
                <w:color w:val="000000"/>
              </w:rPr>
              <w:t>Attachment 4</w:t>
            </w:r>
          </w:p>
        </w:tc>
        <w:tc>
          <w:tcPr>
            <w:tcW w:w="7565" w:type="dxa"/>
          </w:tcPr>
          <w:p w:rsidRPr="00426239" w:rsidR="004D00D9" w:rsidP="000505F1" w:rsidRDefault="006D1CF6" w14:paraId="4915C150" w14:textId="68035F71">
            <w:pPr>
              <w:tabs>
                <w:tab w:val="left" w:pos="1260"/>
              </w:tabs>
              <w:rPr>
                <w:rFonts w:asciiTheme="majorBidi" w:hAnsiTheme="majorBidi" w:cstheme="majorBidi"/>
                <w:bCs/>
                <w:color w:val="000000"/>
              </w:rPr>
            </w:pPr>
            <w:r w:rsidRPr="00426239">
              <w:rPr>
                <w:rFonts w:asciiTheme="majorBidi" w:hAnsiTheme="majorBidi" w:cstheme="majorBidi"/>
                <w:bCs/>
                <w:color w:val="000000"/>
              </w:rPr>
              <w:t xml:space="preserve">Support for Requested Hourly Rate for Consultant </w:t>
            </w:r>
            <w:r w:rsidRPr="00426239" w:rsidR="00B5118D">
              <w:rPr>
                <w:rFonts w:asciiTheme="majorBidi" w:hAnsiTheme="majorBidi" w:cstheme="majorBidi"/>
                <w:bCs/>
                <w:color w:val="000000"/>
              </w:rPr>
              <w:t>Eric Borden, Synapse Energy Economics</w:t>
            </w:r>
          </w:p>
        </w:tc>
      </w:tr>
      <w:tr w:rsidRPr="00230F87" w:rsidR="000654EA" w:rsidTr="00652A59" w14:paraId="24389F1F" w14:textId="77777777">
        <w:tc>
          <w:tcPr>
            <w:tcW w:w="1795" w:type="dxa"/>
          </w:tcPr>
          <w:p w:rsidRPr="00230F87" w:rsidR="000654EA" w:rsidP="000505F1" w:rsidRDefault="00504E1D" w14:paraId="58AF40CA" w14:textId="67A7C184">
            <w:pPr>
              <w:tabs>
                <w:tab w:val="left" w:pos="1260"/>
              </w:tabs>
              <w:rPr>
                <w:rFonts w:asciiTheme="majorBidi" w:hAnsiTheme="majorBidi" w:cstheme="majorBidi"/>
                <w:color w:val="000000"/>
              </w:rPr>
            </w:pPr>
            <w:r w:rsidRPr="003349DE">
              <w:rPr>
                <w:color w:val="000000"/>
              </w:rPr>
              <w:t xml:space="preserve">Comment </w:t>
            </w:r>
            <w:r>
              <w:rPr>
                <w:color w:val="000000"/>
              </w:rPr>
              <w:t>1</w:t>
            </w:r>
          </w:p>
        </w:tc>
        <w:tc>
          <w:tcPr>
            <w:tcW w:w="7565" w:type="dxa"/>
          </w:tcPr>
          <w:p w:rsidRPr="00994F03" w:rsidR="00994F03" w:rsidP="00994F03" w:rsidRDefault="000654EA" w14:paraId="6EE4240F" w14:textId="5669439F">
            <w:pPr>
              <w:tabs>
                <w:tab w:val="left" w:pos="1260"/>
              </w:tabs>
              <w:spacing w:before="120"/>
              <w:rPr>
                <w:b/>
                <w:bCs/>
                <w:color w:val="000000"/>
              </w:rPr>
            </w:pPr>
            <w:r w:rsidRPr="00822ED5">
              <w:rPr>
                <w:b/>
                <w:bCs/>
                <w:color w:val="000000"/>
              </w:rPr>
              <w:t>202</w:t>
            </w:r>
            <w:r w:rsidR="00817C5C">
              <w:rPr>
                <w:b/>
                <w:bCs/>
                <w:color w:val="000000"/>
              </w:rPr>
              <w:t>5</w:t>
            </w:r>
            <w:r w:rsidRPr="00822ED5">
              <w:rPr>
                <w:b/>
                <w:bCs/>
                <w:color w:val="000000"/>
              </w:rPr>
              <w:t xml:space="preserve"> Hourly Rate for </w:t>
            </w:r>
            <w:r w:rsidR="00817C5C">
              <w:rPr>
                <w:b/>
                <w:bCs/>
                <w:color w:val="000000"/>
              </w:rPr>
              <w:t>Robert Finkelstein</w:t>
            </w:r>
          </w:p>
          <w:p w:rsidRPr="00237448" w:rsidR="000654EA" w:rsidP="00994F03" w:rsidRDefault="00994F03" w14:paraId="56555F5F" w14:textId="41483455">
            <w:pPr>
              <w:tabs>
                <w:tab w:val="left" w:pos="1260"/>
              </w:tabs>
              <w:spacing w:before="120"/>
              <w:rPr>
                <w:b/>
                <w:bCs/>
                <w:u w:val="single"/>
              </w:rPr>
            </w:pPr>
            <w:r>
              <w:t xml:space="preserve">TURN requests an hourly rate of $905 for work conducted by TURN General Counsel Robert Finkelstein in 2025.  The requested rate is equal to the rate authorized by the Commission </w:t>
            </w:r>
            <w:r w:rsidRPr="00B456BA">
              <w:t>in D.</w:t>
            </w:r>
            <w:r>
              <w:t>24-07-033</w:t>
            </w:r>
            <w:r w:rsidRPr="00B456BA">
              <w:t xml:space="preserve"> for </w:t>
            </w:r>
            <w:r>
              <w:t>Mr. Finkelstein</w:t>
            </w:r>
            <w:r w:rsidRPr="00B456BA">
              <w:t>’s work</w:t>
            </w:r>
            <w:r>
              <w:t xml:space="preserve"> </w:t>
            </w:r>
            <w:r w:rsidRPr="00B456BA">
              <w:t>in 2024, $</w:t>
            </w:r>
            <w:r>
              <w:t>875</w:t>
            </w:r>
            <w:r w:rsidRPr="00B456BA">
              <w:t>, adjusted by the 2025 escalation rate of 3.46%</w:t>
            </w:r>
            <w:r>
              <w:t>.  Calculation</w:t>
            </w:r>
            <w:proofErr w:type="gramStart"/>
            <w:r>
              <w:t>:  $</w:t>
            </w:r>
            <w:proofErr w:type="gramEnd"/>
            <w:r>
              <w:t>875 x [1.0346 (COLA)] = $905.28, rounded to $905.</w:t>
            </w:r>
          </w:p>
        </w:tc>
      </w:tr>
      <w:tr w:rsidRPr="00230F87" w:rsidR="00354768" w:rsidTr="00652A59" w14:paraId="63BA248C" w14:textId="77777777">
        <w:tc>
          <w:tcPr>
            <w:tcW w:w="1795" w:type="dxa"/>
          </w:tcPr>
          <w:p w:rsidRPr="00230F87" w:rsidR="00354768" w:rsidP="000505F1" w:rsidRDefault="00354768" w14:paraId="6FB1DE3E" w14:textId="6DDD3B30">
            <w:pPr>
              <w:tabs>
                <w:tab w:val="left" w:pos="1260"/>
              </w:tabs>
              <w:rPr>
                <w:rFonts w:asciiTheme="majorBidi" w:hAnsiTheme="majorBidi" w:cstheme="majorBidi"/>
                <w:color w:val="000000"/>
              </w:rPr>
            </w:pPr>
            <w:r w:rsidRPr="003349DE">
              <w:rPr>
                <w:color w:val="000000"/>
              </w:rPr>
              <w:t xml:space="preserve">Comment </w:t>
            </w:r>
            <w:r>
              <w:rPr>
                <w:color w:val="000000"/>
              </w:rPr>
              <w:t>2</w:t>
            </w:r>
          </w:p>
        </w:tc>
        <w:tc>
          <w:tcPr>
            <w:tcW w:w="7565" w:type="dxa"/>
          </w:tcPr>
          <w:p w:rsidR="00994F03" w:rsidP="00354768" w:rsidRDefault="00354768" w14:paraId="16C9726B" w14:textId="49373D20">
            <w:pPr>
              <w:tabs>
                <w:tab w:val="left" w:pos="1260"/>
              </w:tabs>
              <w:spacing w:before="120"/>
              <w:rPr>
                <w:b/>
                <w:bCs/>
                <w:color w:val="000000"/>
              </w:rPr>
            </w:pPr>
            <w:r w:rsidRPr="00822ED5">
              <w:rPr>
                <w:b/>
                <w:bCs/>
                <w:color w:val="000000"/>
              </w:rPr>
              <w:t>202</w:t>
            </w:r>
            <w:r w:rsidR="00994F03">
              <w:rPr>
                <w:b/>
                <w:bCs/>
                <w:color w:val="000000"/>
              </w:rPr>
              <w:t>3</w:t>
            </w:r>
            <w:r w:rsidRPr="00822ED5">
              <w:rPr>
                <w:b/>
                <w:bCs/>
                <w:color w:val="000000"/>
              </w:rPr>
              <w:t xml:space="preserve"> Hourly Rate for </w:t>
            </w:r>
            <w:r w:rsidR="00994F03">
              <w:rPr>
                <w:b/>
                <w:bCs/>
                <w:color w:val="000000"/>
              </w:rPr>
              <w:t>Eric Borden, Synapse Energy Economics</w:t>
            </w:r>
          </w:p>
          <w:p w:rsidR="00994F03" w:rsidP="00994F03" w:rsidRDefault="00994F03" w14:paraId="56761C83" w14:textId="77777777"/>
          <w:p w:rsidRPr="00994F03" w:rsidR="00354768" w:rsidP="00994F03" w:rsidRDefault="00994F03" w14:paraId="15A7DC46" w14:textId="45682C88">
            <w:r>
              <w:t xml:space="preserve">TURN requests an hourly rate of $465 for work conducted by Eric Borden in 2023.  This rate is equal to Mr. Borden’s 2022 authorized rate of $445 (D.23-05-032), adjusted by the Commission’s 2023 escalation rate of 4.5% (Res. ALJ-393).  This is also the rate charged by Synapse Energy Economics, Inc. to TURN for Mr. Borden’s work in this matter. </w:t>
            </w:r>
          </w:p>
        </w:tc>
      </w:tr>
      <w:tr w:rsidRPr="00230F87" w:rsidR="0088027A" w:rsidTr="00652A59" w14:paraId="77F68D32" w14:textId="77777777">
        <w:tc>
          <w:tcPr>
            <w:tcW w:w="1795" w:type="dxa"/>
          </w:tcPr>
          <w:p w:rsidRPr="003349DE" w:rsidR="0088027A" w:rsidP="000505F1" w:rsidRDefault="0088027A" w14:paraId="009433A6" w14:textId="46248D21">
            <w:pPr>
              <w:tabs>
                <w:tab w:val="left" w:pos="1260"/>
              </w:tabs>
              <w:rPr>
                <w:color w:val="000000"/>
              </w:rPr>
            </w:pPr>
            <w:r w:rsidRPr="003349DE">
              <w:rPr>
                <w:color w:val="000000"/>
              </w:rPr>
              <w:t xml:space="preserve">Comment </w:t>
            </w:r>
            <w:r>
              <w:rPr>
                <w:color w:val="000000"/>
              </w:rPr>
              <w:t>3</w:t>
            </w:r>
          </w:p>
        </w:tc>
        <w:tc>
          <w:tcPr>
            <w:tcW w:w="7565" w:type="dxa"/>
          </w:tcPr>
          <w:p w:rsidR="0088027A" w:rsidP="0088027A" w:rsidRDefault="0088027A" w14:paraId="66341C8C" w14:textId="0AE0DF29">
            <w:pPr>
              <w:tabs>
                <w:tab w:val="left" w:pos="1260"/>
              </w:tabs>
              <w:spacing w:before="120"/>
              <w:rPr>
                <w:b/>
                <w:bCs/>
                <w:color w:val="000000"/>
              </w:rPr>
            </w:pPr>
            <w:r w:rsidRPr="00822ED5">
              <w:rPr>
                <w:b/>
                <w:bCs/>
                <w:color w:val="000000"/>
              </w:rPr>
              <w:t>202</w:t>
            </w:r>
            <w:r w:rsidR="00994F03">
              <w:rPr>
                <w:b/>
                <w:bCs/>
                <w:color w:val="000000"/>
              </w:rPr>
              <w:t>5</w:t>
            </w:r>
            <w:r w:rsidRPr="00822ED5">
              <w:rPr>
                <w:b/>
                <w:bCs/>
                <w:color w:val="000000"/>
              </w:rPr>
              <w:t xml:space="preserve"> Hourly Rate for </w:t>
            </w:r>
            <w:r w:rsidR="00994F03">
              <w:rPr>
                <w:b/>
                <w:bCs/>
                <w:color w:val="000000"/>
              </w:rPr>
              <w:t xml:space="preserve">Sylvie Ashford </w:t>
            </w:r>
          </w:p>
          <w:p w:rsidR="00F5274C" w:rsidP="00F5274C" w:rsidRDefault="00F5274C" w14:paraId="4B65AB8F" w14:textId="77777777"/>
          <w:p w:rsidRPr="00F5274C" w:rsidR="0088027A" w:rsidP="00F5274C" w:rsidRDefault="00F5274C" w14:paraId="508E238C" w14:textId="6AF4C63B">
            <w:r w:rsidRPr="00C70622">
              <w:t>TURN requests that the Commission adopt a 2025 hourly rate of $265 for TURN Energy Policy Analyst Sylvie Ashford.  This rate is equal to the rate authorized by the Commission in D.25-06-030 for Ms. Ashford’s work in 2024, $245, adjusted by both (1) the annual escalation rate of 3.46% for 2025 and (2) the first 5% step increase for Ms. Ashford in the Public Policy Analyst – Level II experience tier.  Calculation</w:t>
            </w:r>
            <w:proofErr w:type="gramStart"/>
            <w:r w:rsidRPr="00C70622">
              <w:t>:  $</w:t>
            </w:r>
            <w:proofErr w:type="gramEnd"/>
            <w:r w:rsidRPr="00C70622">
              <w:t>245 x [1.0346 (COLA) + 0.05 (step increase)] = $265.</w:t>
            </w:r>
            <w:r>
              <w:t>73</w:t>
            </w:r>
            <w:r w:rsidRPr="00C70622">
              <w:t>, rounded to $265.</w:t>
            </w:r>
          </w:p>
        </w:tc>
      </w:tr>
    </w:tbl>
    <w:p w:rsidRPr="00230F87" w:rsidR="00A92D0B" w:rsidP="005B5B44" w:rsidRDefault="00A92D0B" w14:paraId="0D8B7003" w14:textId="6DA95B59">
      <w:pPr>
        <w:keepNext/>
        <w:numPr>
          <w:ilvl w:val="0"/>
          <w:numId w:val="9"/>
        </w:numPr>
        <w:spacing w:before="240" w:after="240"/>
        <w:rPr>
          <w:rFonts w:asciiTheme="majorBidi" w:hAnsiTheme="majorBidi" w:cstheme="majorBidi"/>
          <w:b/>
          <w:color w:val="000000"/>
        </w:rPr>
      </w:pPr>
      <w:r w:rsidRPr="00230F87">
        <w:rPr>
          <w:rFonts w:asciiTheme="majorBidi" w:hAnsiTheme="majorBidi" w:cstheme="majorBidi"/>
          <w:b/>
          <w:color w:val="000000"/>
        </w:rPr>
        <w:lastRenderedPageBreak/>
        <w:t xml:space="preserve">CPUC </w:t>
      </w:r>
      <w:r w:rsidRPr="00230F87" w:rsidR="008C09F7">
        <w:rPr>
          <w:rFonts w:asciiTheme="majorBidi" w:hAnsiTheme="majorBidi" w:cstheme="majorBidi"/>
          <w:b/>
          <w:color w:val="000000"/>
        </w:rPr>
        <w:t xml:space="preserve">Comments, </w:t>
      </w:r>
      <w:r w:rsidRPr="00230F87">
        <w:rPr>
          <w:rFonts w:asciiTheme="majorBidi" w:hAnsiTheme="majorBidi" w:cstheme="majorBidi"/>
          <w:b/>
          <w:color w:val="000000"/>
        </w:rPr>
        <w:t>Disallowances</w:t>
      </w:r>
      <w:r w:rsidRPr="00230F87" w:rsidR="008C09F7">
        <w:rPr>
          <w:rFonts w:asciiTheme="majorBidi" w:hAnsiTheme="majorBidi" w:cstheme="majorBidi"/>
          <w:b/>
          <w:color w:val="000000"/>
        </w:rPr>
        <w:t>,</w:t>
      </w:r>
      <w:r w:rsidRPr="00230F87" w:rsidR="00D075B1">
        <w:rPr>
          <w:rFonts w:asciiTheme="majorBidi" w:hAnsiTheme="majorBidi" w:cstheme="majorBidi"/>
          <w:b/>
          <w:color w:val="000000"/>
        </w:rPr>
        <w:t xml:space="preserve"> </w:t>
      </w:r>
      <w:r w:rsidRPr="00230F87" w:rsidR="00A319DE">
        <w:rPr>
          <w:rFonts w:asciiTheme="majorBidi" w:hAnsiTheme="majorBidi" w:cstheme="majorBidi"/>
          <w:b/>
          <w:color w:val="000000"/>
        </w:rPr>
        <w:t>and</w:t>
      </w:r>
      <w:r w:rsidRPr="00230F87" w:rsidR="00D075B1">
        <w:rPr>
          <w:rFonts w:asciiTheme="majorBidi" w:hAnsiTheme="majorBidi" w:cstheme="majorBidi"/>
          <w:b/>
          <w:color w:val="000000"/>
        </w:rPr>
        <w:t xml:space="preserve"> </w:t>
      </w:r>
      <w:r w:rsidRPr="00230F87">
        <w:rPr>
          <w:rFonts w:asciiTheme="majorBidi" w:hAnsiTheme="majorBidi" w:cstheme="majorBidi"/>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230F87" w:rsidR="00A92D0B" w:rsidTr="00FC27AE" w14:paraId="52CD0603" w14:textId="77777777">
        <w:trPr>
          <w:tblHeader/>
        </w:trPr>
        <w:tc>
          <w:tcPr>
            <w:tcW w:w="1540" w:type="dxa"/>
            <w:shd w:val="pct12" w:color="auto" w:fill="auto"/>
          </w:tcPr>
          <w:p w:rsidRPr="00230F87" w:rsidR="00A92D0B" w:rsidP="00EB64CF" w:rsidRDefault="00072C81" w14:paraId="3954EC4C" w14:textId="77777777">
            <w:pPr>
              <w:tabs>
                <w:tab w:val="left" w:pos="1440"/>
              </w:tabs>
              <w:jc w:val="center"/>
              <w:rPr>
                <w:rFonts w:asciiTheme="majorBidi" w:hAnsiTheme="majorBidi" w:cstheme="majorBidi"/>
                <w:b/>
                <w:color w:val="000000"/>
              </w:rPr>
            </w:pPr>
            <w:r w:rsidRPr="00230F87">
              <w:rPr>
                <w:rFonts w:asciiTheme="majorBidi" w:hAnsiTheme="majorBidi" w:cstheme="majorBidi"/>
                <w:b/>
                <w:color w:val="000000"/>
              </w:rPr>
              <w:t>Item</w:t>
            </w:r>
          </w:p>
        </w:tc>
        <w:tc>
          <w:tcPr>
            <w:tcW w:w="7820" w:type="dxa"/>
            <w:shd w:val="pct12" w:color="auto" w:fill="auto"/>
          </w:tcPr>
          <w:p w:rsidRPr="00230F87" w:rsidR="00A92D0B" w:rsidP="00EB64CF" w:rsidRDefault="00A92D0B" w14:paraId="09F9E4D9" w14:textId="77777777">
            <w:pPr>
              <w:tabs>
                <w:tab w:val="left" w:pos="1440"/>
              </w:tabs>
              <w:jc w:val="center"/>
              <w:rPr>
                <w:rFonts w:asciiTheme="majorBidi" w:hAnsiTheme="majorBidi" w:cstheme="majorBidi"/>
                <w:b/>
                <w:color w:val="000000"/>
              </w:rPr>
            </w:pPr>
            <w:r w:rsidRPr="00230F87">
              <w:rPr>
                <w:rFonts w:asciiTheme="majorBidi" w:hAnsiTheme="majorBidi" w:cstheme="majorBidi"/>
                <w:b/>
                <w:color w:val="000000"/>
              </w:rPr>
              <w:t>Reason</w:t>
            </w:r>
          </w:p>
        </w:tc>
      </w:tr>
      <w:tr w:rsidRPr="00230F87" w:rsidR="00A92D0B" w:rsidTr="00FC27AE" w14:paraId="69DEE01C" w14:textId="77777777">
        <w:tc>
          <w:tcPr>
            <w:tcW w:w="1540" w:type="dxa"/>
          </w:tcPr>
          <w:p w:rsidRPr="00230F87" w:rsidR="00A92D0B" w:rsidP="00EB64CF" w:rsidRDefault="00BA6438" w14:paraId="1E6C8F3D" w14:textId="3A2707DF">
            <w:pPr>
              <w:tabs>
                <w:tab w:val="left" w:pos="1440"/>
              </w:tabs>
              <w:rPr>
                <w:rFonts w:asciiTheme="majorBidi" w:hAnsiTheme="majorBidi" w:cstheme="majorBidi"/>
                <w:color w:val="000000"/>
              </w:rPr>
            </w:pPr>
            <w:r>
              <w:rPr>
                <w:rFonts w:asciiTheme="majorBidi" w:hAnsiTheme="majorBidi" w:cstheme="majorBidi"/>
                <w:color w:val="000000"/>
              </w:rPr>
              <w:t>[1] Robert Finkelstein 2023 and 2025 Hourly Rates</w:t>
            </w:r>
          </w:p>
        </w:tc>
        <w:tc>
          <w:tcPr>
            <w:tcW w:w="7820" w:type="dxa"/>
          </w:tcPr>
          <w:p w:rsidR="00FC27AE" w:rsidP="00FC27AE" w:rsidRDefault="00FC27AE" w14:paraId="77C1FE27" w14:textId="72BA4016">
            <w:pPr>
              <w:tabs>
                <w:tab w:val="left" w:pos="1440"/>
              </w:tabs>
              <w:rPr>
                <w:rFonts w:asciiTheme="majorBidi" w:hAnsiTheme="majorBidi" w:cstheme="majorBidi"/>
                <w:color w:val="000000"/>
              </w:rPr>
            </w:pPr>
            <w:r w:rsidRPr="00FC27AE">
              <w:rPr>
                <w:rFonts w:asciiTheme="majorBidi" w:hAnsiTheme="majorBidi" w:cstheme="majorBidi"/>
                <w:color w:val="000000"/>
              </w:rPr>
              <w:t>D.24-03-036</w:t>
            </w:r>
            <w:r>
              <w:rPr>
                <w:rFonts w:asciiTheme="majorBidi" w:hAnsiTheme="majorBidi" w:cstheme="majorBidi"/>
                <w:color w:val="000000"/>
              </w:rPr>
              <w:t xml:space="preserve"> verified a 2023 hourly rate of $840.00 as a Legal – Legal Director – V. We apply the same rate here.</w:t>
            </w:r>
          </w:p>
          <w:p w:rsidRPr="00FC27AE" w:rsidR="00FC27AE" w:rsidP="00FC27AE" w:rsidRDefault="00FC27AE" w14:paraId="2ED5C228" w14:textId="77777777">
            <w:pPr>
              <w:tabs>
                <w:tab w:val="left" w:pos="1440"/>
              </w:tabs>
              <w:rPr>
                <w:rFonts w:asciiTheme="majorBidi" w:hAnsiTheme="majorBidi" w:cstheme="majorBidi"/>
                <w:color w:val="000000"/>
              </w:rPr>
            </w:pPr>
          </w:p>
          <w:p w:rsidR="00BA6438" w:rsidP="00FC27AE" w:rsidRDefault="00FC27AE" w14:paraId="57A6054D" w14:textId="1E585FB9">
            <w:pPr>
              <w:tabs>
                <w:tab w:val="left" w:pos="1440"/>
              </w:tabs>
              <w:rPr>
                <w:rFonts w:asciiTheme="majorBidi" w:hAnsiTheme="majorBidi" w:cstheme="majorBidi"/>
                <w:color w:val="000000"/>
              </w:rPr>
            </w:pPr>
            <w:r w:rsidRPr="00FC27AE">
              <w:rPr>
                <w:rFonts w:asciiTheme="majorBidi" w:hAnsiTheme="majorBidi" w:cstheme="majorBidi"/>
                <w:color w:val="000000"/>
              </w:rPr>
              <w:t>D.26-02-022</w:t>
            </w:r>
            <w:r>
              <w:rPr>
                <w:rFonts w:asciiTheme="majorBidi" w:hAnsiTheme="majorBidi" w:cstheme="majorBidi"/>
                <w:color w:val="000000"/>
              </w:rPr>
              <w:t xml:space="preserve"> verified a 202</w:t>
            </w:r>
            <w:r w:rsidR="00DF5DC2">
              <w:rPr>
                <w:rFonts w:asciiTheme="majorBidi" w:hAnsiTheme="majorBidi" w:cstheme="majorBidi"/>
                <w:color w:val="000000"/>
              </w:rPr>
              <w:t>4</w:t>
            </w:r>
            <w:r>
              <w:rPr>
                <w:rFonts w:asciiTheme="majorBidi" w:hAnsiTheme="majorBidi" w:cstheme="majorBidi"/>
                <w:color w:val="000000"/>
              </w:rPr>
              <w:t xml:space="preserve"> hourly rate of $875.00 as a Legal – Legal Director – V. Using our calculation methodology, based on the verified 2024 hourly rate of $875.00, </w:t>
            </w:r>
            <w:r w:rsidR="005F5FC2">
              <w:rPr>
                <w:rFonts w:asciiTheme="majorBidi" w:hAnsiTheme="majorBidi" w:cstheme="majorBidi"/>
                <w:color w:val="000000"/>
              </w:rPr>
              <w:t>2025 escalation factor of 3.46% and rounding to the nearest allowable $5 increment:</w:t>
            </w:r>
          </w:p>
          <w:p w:rsidR="005F5FC2" w:rsidP="00FC27AE" w:rsidRDefault="005F5FC2" w14:paraId="441DBAD6" w14:textId="77777777">
            <w:pPr>
              <w:tabs>
                <w:tab w:val="left" w:pos="1440"/>
              </w:tabs>
              <w:rPr>
                <w:rFonts w:asciiTheme="majorBidi" w:hAnsiTheme="majorBidi" w:cstheme="majorBidi"/>
                <w:color w:val="000000"/>
              </w:rPr>
            </w:pPr>
          </w:p>
          <w:p w:rsidR="005F5FC2" w:rsidP="00FC27AE" w:rsidRDefault="005F5FC2" w14:paraId="5614306D" w14:textId="4BDE54F4">
            <w:pPr>
              <w:tabs>
                <w:tab w:val="left" w:pos="1440"/>
              </w:tabs>
              <w:rPr>
                <w:rFonts w:asciiTheme="majorBidi" w:hAnsiTheme="majorBidi" w:cstheme="majorBidi"/>
                <w:color w:val="000000"/>
              </w:rPr>
            </w:pPr>
            <w:r>
              <w:rPr>
                <w:rFonts w:asciiTheme="majorBidi" w:hAnsiTheme="majorBidi" w:cstheme="majorBidi"/>
                <w:color w:val="000000"/>
              </w:rPr>
              <w:t>2025: $875.00 x 1.0346 = $905.00</w:t>
            </w:r>
          </w:p>
          <w:p w:rsidR="005F5FC2" w:rsidP="00FC27AE" w:rsidRDefault="005F5FC2" w14:paraId="34C72652" w14:textId="77777777">
            <w:pPr>
              <w:tabs>
                <w:tab w:val="left" w:pos="1440"/>
              </w:tabs>
              <w:rPr>
                <w:rFonts w:asciiTheme="majorBidi" w:hAnsiTheme="majorBidi" w:cstheme="majorBidi"/>
                <w:color w:val="000000"/>
              </w:rPr>
            </w:pPr>
          </w:p>
          <w:p w:rsidR="00BA6438" w:rsidP="00BA6438" w:rsidRDefault="005F5FC2" w14:paraId="33A4949E" w14:textId="1EF665BA">
            <w:pPr>
              <w:tabs>
                <w:tab w:val="left" w:pos="1440"/>
              </w:tabs>
              <w:rPr>
                <w:rFonts w:asciiTheme="majorBidi" w:hAnsiTheme="majorBidi" w:cstheme="majorBidi"/>
                <w:color w:val="000000"/>
              </w:rPr>
            </w:pPr>
            <w:r>
              <w:rPr>
                <w:rFonts w:asciiTheme="majorBidi" w:hAnsiTheme="majorBidi" w:cstheme="majorBidi"/>
                <w:color w:val="000000"/>
              </w:rPr>
              <w:t>We find the requested 2025 hourly rate of $905.00 reasonable and adopt it here. Intervenor Compensation Claim Preparation is rated at ½ preparer’s normal rate, bringing the 2025 claim preparation rate to $452.50.</w:t>
            </w:r>
          </w:p>
          <w:p w:rsidRPr="00230F87" w:rsidR="00A92D0B" w:rsidP="00BA6438" w:rsidRDefault="00A92D0B" w14:paraId="45BFCB16" w14:textId="283F7888">
            <w:pPr>
              <w:tabs>
                <w:tab w:val="left" w:pos="1440"/>
              </w:tabs>
              <w:rPr>
                <w:rFonts w:asciiTheme="majorBidi" w:hAnsiTheme="majorBidi" w:cstheme="majorBidi"/>
                <w:color w:val="000000"/>
              </w:rPr>
            </w:pPr>
          </w:p>
        </w:tc>
      </w:tr>
      <w:tr w:rsidRPr="00230F87" w:rsidR="005F5FC2" w:rsidTr="00FC27AE" w14:paraId="6CCCFF72" w14:textId="77777777">
        <w:tc>
          <w:tcPr>
            <w:tcW w:w="1540" w:type="dxa"/>
          </w:tcPr>
          <w:p w:rsidR="005F5FC2" w:rsidP="00EB64CF" w:rsidRDefault="005F5FC2" w14:paraId="6BEE860B" w14:textId="277C83E9">
            <w:pPr>
              <w:tabs>
                <w:tab w:val="left" w:pos="1440"/>
              </w:tabs>
              <w:rPr>
                <w:rFonts w:asciiTheme="majorBidi" w:hAnsiTheme="majorBidi" w:cstheme="majorBidi"/>
                <w:color w:val="000000"/>
              </w:rPr>
            </w:pPr>
            <w:r>
              <w:rPr>
                <w:rFonts w:asciiTheme="majorBidi" w:hAnsiTheme="majorBidi" w:cstheme="majorBidi"/>
                <w:color w:val="000000"/>
              </w:rPr>
              <w:t>[2] Hayley Goodson 2023 Hourly Rate</w:t>
            </w:r>
          </w:p>
        </w:tc>
        <w:tc>
          <w:tcPr>
            <w:tcW w:w="7820" w:type="dxa"/>
          </w:tcPr>
          <w:p w:rsidRPr="00FC27AE" w:rsidR="005F5FC2" w:rsidP="00FC27AE" w:rsidRDefault="005F5FC2" w14:paraId="38995134" w14:textId="3AF7B923">
            <w:pPr>
              <w:tabs>
                <w:tab w:val="left" w:pos="1440"/>
              </w:tabs>
              <w:rPr>
                <w:rFonts w:asciiTheme="majorBidi" w:hAnsiTheme="majorBidi" w:cstheme="majorBidi"/>
                <w:color w:val="000000"/>
              </w:rPr>
            </w:pPr>
            <w:r>
              <w:rPr>
                <w:rFonts w:asciiTheme="majorBidi" w:hAnsiTheme="majorBidi" w:cstheme="majorBidi"/>
                <w:color w:val="000000"/>
              </w:rPr>
              <w:t>D.24-02-040 verified a 2023 hourly rate of $625.00 as a Legal – Attorney – V. We apply the same rate here.</w:t>
            </w:r>
          </w:p>
        </w:tc>
      </w:tr>
      <w:tr w:rsidRPr="00230F87" w:rsidR="00A92D0B" w:rsidTr="00FC27AE" w14:paraId="52155EFC" w14:textId="77777777">
        <w:tc>
          <w:tcPr>
            <w:tcW w:w="1540" w:type="dxa"/>
          </w:tcPr>
          <w:p w:rsidRPr="00230F87" w:rsidR="00A92D0B" w:rsidP="00EB64CF" w:rsidRDefault="00FC27AE" w14:paraId="26487933" w14:textId="6F569A86">
            <w:pPr>
              <w:tabs>
                <w:tab w:val="left" w:pos="1440"/>
              </w:tabs>
              <w:rPr>
                <w:rFonts w:asciiTheme="majorBidi" w:hAnsiTheme="majorBidi" w:cstheme="majorBidi"/>
                <w:color w:val="000000"/>
              </w:rPr>
            </w:pPr>
            <w:r>
              <w:rPr>
                <w:rFonts w:asciiTheme="majorBidi" w:hAnsiTheme="majorBidi" w:cstheme="majorBidi"/>
                <w:color w:val="000000"/>
              </w:rPr>
              <w:t>[</w:t>
            </w:r>
            <w:r w:rsidR="005F5FC2">
              <w:rPr>
                <w:rFonts w:asciiTheme="majorBidi" w:hAnsiTheme="majorBidi" w:cstheme="majorBidi"/>
                <w:color w:val="000000"/>
              </w:rPr>
              <w:t>3</w:t>
            </w:r>
            <w:r>
              <w:rPr>
                <w:rFonts w:asciiTheme="majorBidi" w:hAnsiTheme="majorBidi" w:cstheme="majorBidi"/>
                <w:color w:val="000000"/>
              </w:rPr>
              <w:t>] Eric Borden 2023 Hourly Rate</w:t>
            </w:r>
          </w:p>
        </w:tc>
        <w:tc>
          <w:tcPr>
            <w:tcW w:w="7820" w:type="dxa"/>
          </w:tcPr>
          <w:p w:rsidRPr="00BA6438" w:rsidR="00FC27AE" w:rsidP="00FC27AE" w:rsidRDefault="00FC27AE" w14:paraId="25FFBE91" w14:textId="7ED08EA3">
            <w:pPr>
              <w:tabs>
                <w:tab w:val="left" w:pos="1440"/>
              </w:tabs>
              <w:rPr>
                <w:rFonts w:asciiTheme="majorBidi" w:hAnsiTheme="majorBidi" w:cstheme="majorBidi"/>
                <w:color w:val="000000"/>
              </w:rPr>
            </w:pPr>
            <w:r>
              <w:rPr>
                <w:rFonts w:asciiTheme="majorBidi" w:hAnsiTheme="majorBidi" w:cstheme="majorBidi"/>
                <w:color w:val="000000"/>
              </w:rPr>
              <w:t xml:space="preserve">TURN </w:t>
            </w:r>
            <w:r w:rsidRPr="00BA6438">
              <w:rPr>
                <w:rFonts w:asciiTheme="majorBidi" w:hAnsiTheme="majorBidi" w:cstheme="majorBidi"/>
                <w:color w:val="000000"/>
              </w:rPr>
              <w:t xml:space="preserve">has confirmed that </w:t>
            </w:r>
            <w:r>
              <w:rPr>
                <w:rFonts w:asciiTheme="majorBidi" w:hAnsiTheme="majorBidi" w:cstheme="majorBidi"/>
                <w:color w:val="000000"/>
              </w:rPr>
              <w:t>Eric Borden</w:t>
            </w:r>
            <w:r w:rsidRPr="00BA6438">
              <w:rPr>
                <w:rFonts w:asciiTheme="majorBidi" w:hAnsiTheme="majorBidi" w:cstheme="majorBidi"/>
                <w:color w:val="000000"/>
              </w:rPr>
              <w:t xml:space="preserve"> is a consultant</w:t>
            </w:r>
            <w:r>
              <w:rPr>
                <w:rFonts w:asciiTheme="majorBidi" w:hAnsiTheme="majorBidi" w:cstheme="majorBidi"/>
                <w:color w:val="000000"/>
              </w:rPr>
              <w:t xml:space="preserve">. </w:t>
            </w:r>
            <w:r w:rsidRPr="00BA6438">
              <w:rPr>
                <w:rFonts w:asciiTheme="majorBidi" w:hAnsiTheme="majorBidi" w:cstheme="majorBidi"/>
                <w:color w:val="000000"/>
              </w:rPr>
              <w:t>Pursuant to Commission policy, the rate requested by an intervenor must not exceed the rate billed to that intervenor by any outside consultant it hires, even if the consultant’s billed rate is below the floor for a given experience level</w:t>
            </w:r>
            <w:r>
              <w:rPr>
                <w:rStyle w:val="FootnoteReference"/>
                <w:rFonts w:asciiTheme="majorBidi" w:hAnsiTheme="majorBidi" w:cstheme="majorBidi"/>
                <w:color w:val="000000"/>
              </w:rPr>
              <w:footnoteReference w:id="4"/>
            </w:r>
            <w:r w:rsidRPr="00BA6438">
              <w:rPr>
                <w:rFonts w:asciiTheme="majorBidi" w:hAnsiTheme="majorBidi" w:cstheme="majorBidi"/>
                <w:color w:val="000000"/>
              </w:rPr>
              <w:t xml:space="preserve">. Per the </w:t>
            </w:r>
            <w:proofErr w:type="spellStart"/>
            <w:r w:rsidRPr="00BA6438">
              <w:rPr>
                <w:rFonts w:asciiTheme="majorBidi" w:hAnsiTheme="majorBidi" w:cstheme="majorBidi"/>
                <w:color w:val="000000"/>
              </w:rPr>
              <w:t>IComp</w:t>
            </w:r>
            <w:proofErr w:type="spellEnd"/>
            <w:r w:rsidRPr="00BA6438">
              <w:rPr>
                <w:rFonts w:asciiTheme="majorBidi" w:hAnsiTheme="majorBidi" w:cstheme="majorBidi"/>
                <w:color w:val="000000"/>
              </w:rPr>
              <w:t xml:space="preserve"> Program Guide at 24, the Commission may audit the records and books of the intervenors to the extent necessary to verify the basis for the award (§ 1804(d)).</w:t>
            </w:r>
          </w:p>
          <w:p w:rsidRPr="00BA6438" w:rsidR="00FC27AE" w:rsidP="00FC27AE" w:rsidRDefault="00FC27AE" w14:paraId="5F3E8D40" w14:textId="77777777">
            <w:pPr>
              <w:tabs>
                <w:tab w:val="left" w:pos="1440"/>
              </w:tabs>
              <w:rPr>
                <w:rFonts w:asciiTheme="majorBidi" w:hAnsiTheme="majorBidi" w:cstheme="majorBidi"/>
                <w:color w:val="000000"/>
              </w:rPr>
            </w:pPr>
          </w:p>
          <w:p w:rsidRPr="00BA6438" w:rsidR="00FC27AE" w:rsidP="00FC27AE" w:rsidRDefault="00FC27AE" w14:paraId="7DBDC283" w14:textId="6E73798B">
            <w:pPr>
              <w:tabs>
                <w:tab w:val="left" w:pos="1440"/>
              </w:tabs>
              <w:rPr>
                <w:rFonts w:asciiTheme="majorBidi" w:hAnsiTheme="majorBidi" w:cstheme="majorBidi"/>
                <w:color w:val="000000"/>
              </w:rPr>
            </w:pPr>
            <w:r>
              <w:rPr>
                <w:rFonts w:asciiTheme="majorBidi" w:hAnsiTheme="majorBidi" w:cstheme="majorBidi"/>
                <w:color w:val="000000"/>
              </w:rPr>
              <w:lastRenderedPageBreak/>
              <w:t xml:space="preserve">TURN </w:t>
            </w:r>
            <w:r w:rsidRPr="00BA6438">
              <w:rPr>
                <w:rFonts w:asciiTheme="majorBidi" w:hAnsiTheme="majorBidi" w:cstheme="majorBidi"/>
                <w:color w:val="000000"/>
              </w:rPr>
              <w:t xml:space="preserve">has confirmed that it paid </w:t>
            </w:r>
            <w:r>
              <w:rPr>
                <w:rFonts w:asciiTheme="majorBidi" w:hAnsiTheme="majorBidi" w:cstheme="majorBidi"/>
                <w:color w:val="000000"/>
              </w:rPr>
              <w:t>Eric Borden</w:t>
            </w:r>
            <w:r w:rsidRPr="00BA6438">
              <w:rPr>
                <w:rFonts w:asciiTheme="majorBidi" w:hAnsiTheme="majorBidi" w:cstheme="majorBidi"/>
                <w:color w:val="000000"/>
              </w:rPr>
              <w:t xml:space="preserve"> $</w:t>
            </w:r>
            <w:r>
              <w:rPr>
                <w:rFonts w:asciiTheme="majorBidi" w:hAnsiTheme="majorBidi" w:cstheme="majorBidi"/>
                <w:color w:val="000000"/>
              </w:rPr>
              <w:t>465.00</w:t>
            </w:r>
            <w:r w:rsidRPr="00BA6438">
              <w:rPr>
                <w:rFonts w:asciiTheme="majorBidi" w:hAnsiTheme="majorBidi" w:cstheme="majorBidi"/>
                <w:color w:val="000000"/>
              </w:rPr>
              <w:t xml:space="preserve"> per hour for work in this proceeding. We find this rate reasonable given </w:t>
            </w:r>
            <w:r>
              <w:rPr>
                <w:rFonts w:asciiTheme="majorBidi" w:hAnsiTheme="majorBidi" w:cstheme="majorBidi"/>
                <w:color w:val="000000"/>
              </w:rPr>
              <w:t>Eric Borden’s</w:t>
            </w:r>
            <w:r w:rsidRPr="00BA6438">
              <w:rPr>
                <w:rFonts w:asciiTheme="majorBidi" w:hAnsiTheme="majorBidi" w:cstheme="majorBidi"/>
                <w:color w:val="000000"/>
              </w:rPr>
              <w:t xml:space="preserve"> </w:t>
            </w:r>
            <w:proofErr w:type="gramStart"/>
            <w:r w:rsidRPr="00BA6438">
              <w:rPr>
                <w:rFonts w:asciiTheme="majorBidi" w:hAnsiTheme="majorBidi" w:cstheme="majorBidi"/>
                <w:color w:val="000000"/>
              </w:rPr>
              <w:t>experience, and</w:t>
            </w:r>
            <w:proofErr w:type="gramEnd"/>
            <w:r w:rsidRPr="00BA6438">
              <w:rPr>
                <w:rFonts w:asciiTheme="majorBidi" w:hAnsiTheme="majorBidi" w:cstheme="majorBidi"/>
                <w:color w:val="000000"/>
              </w:rPr>
              <w:t xml:space="preserve"> approve this rate here.</w:t>
            </w:r>
          </w:p>
          <w:p w:rsidRPr="00BA6438" w:rsidR="00FC27AE" w:rsidP="00FC27AE" w:rsidRDefault="00FC27AE" w14:paraId="73DC1BDD" w14:textId="77777777">
            <w:pPr>
              <w:tabs>
                <w:tab w:val="left" w:pos="1440"/>
              </w:tabs>
              <w:rPr>
                <w:rFonts w:asciiTheme="majorBidi" w:hAnsiTheme="majorBidi" w:cstheme="majorBidi"/>
                <w:color w:val="000000"/>
              </w:rPr>
            </w:pPr>
          </w:p>
          <w:p w:rsidRPr="00230F87" w:rsidR="00A92D0B" w:rsidP="00FC27AE" w:rsidRDefault="00FC27AE" w14:paraId="455E6A00" w14:textId="2E02DE25">
            <w:pPr>
              <w:tabs>
                <w:tab w:val="left" w:pos="1440"/>
              </w:tabs>
              <w:rPr>
                <w:rFonts w:asciiTheme="majorBidi" w:hAnsiTheme="majorBidi" w:cstheme="majorBidi"/>
                <w:color w:val="000000"/>
              </w:rPr>
            </w:pPr>
            <w:r w:rsidRPr="00BA6438">
              <w:rPr>
                <w:rFonts w:asciiTheme="majorBidi" w:hAnsiTheme="majorBidi" w:cstheme="majorBidi"/>
                <w:color w:val="000000"/>
              </w:rPr>
              <w:t xml:space="preserve">The award determined herein for </w:t>
            </w:r>
            <w:r w:rsidR="00B72507">
              <w:rPr>
                <w:rFonts w:asciiTheme="majorBidi" w:hAnsiTheme="majorBidi" w:cstheme="majorBidi"/>
                <w:color w:val="000000"/>
              </w:rPr>
              <w:t>Eric Borden’s</w:t>
            </w:r>
            <w:r w:rsidRPr="00BA6438">
              <w:rPr>
                <w:rFonts w:asciiTheme="majorBidi" w:hAnsiTheme="majorBidi" w:cstheme="majorBidi"/>
                <w:color w:val="000000"/>
              </w:rPr>
              <w:t xml:space="preserve"> contribution in this proceeding shall be paid in full to </w:t>
            </w:r>
            <w:r w:rsidR="00B72507">
              <w:rPr>
                <w:rFonts w:asciiTheme="majorBidi" w:hAnsiTheme="majorBidi" w:cstheme="majorBidi"/>
                <w:color w:val="000000"/>
              </w:rPr>
              <w:t>Eric Borden,</w:t>
            </w:r>
            <w:r w:rsidRPr="00BA6438">
              <w:rPr>
                <w:rFonts w:asciiTheme="majorBidi" w:hAnsiTheme="majorBidi" w:cstheme="majorBidi"/>
                <w:color w:val="000000"/>
              </w:rPr>
              <w:t xml:space="preserve"> and no portion of this part of the award shall be kept by </w:t>
            </w:r>
            <w:r w:rsidR="00B72507">
              <w:rPr>
                <w:rFonts w:asciiTheme="majorBidi" w:hAnsiTheme="majorBidi" w:cstheme="majorBidi"/>
                <w:color w:val="000000"/>
              </w:rPr>
              <w:t>TURN</w:t>
            </w:r>
            <w:r w:rsidRPr="00BA6438">
              <w:rPr>
                <w:rFonts w:asciiTheme="majorBidi" w:hAnsiTheme="majorBidi" w:cstheme="majorBidi"/>
                <w:color w:val="000000"/>
              </w:rPr>
              <w:t>. Additionally, the rates approved here are specific to work in this proceeding and the contract terms between the consultant and intervenor, as they are established in accordance with the Commission’s policy on consultant compensation.</w:t>
            </w:r>
          </w:p>
        </w:tc>
      </w:tr>
      <w:tr w:rsidRPr="00230F87" w:rsidR="00202413" w:rsidTr="00FC27AE" w14:paraId="2D9B668A" w14:textId="77777777">
        <w:tc>
          <w:tcPr>
            <w:tcW w:w="1540" w:type="dxa"/>
          </w:tcPr>
          <w:p w:rsidRPr="00230F87" w:rsidR="00202413" w:rsidP="00202413" w:rsidRDefault="00202413" w14:paraId="68EA2237" w14:textId="18090353">
            <w:pPr>
              <w:tabs>
                <w:tab w:val="left" w:pos="1440"/>
              </w:tabs>
              <w:rPr>
                <w:rFonts w:asciiTheme="majorBidi" w:hAnsiTheme="majorBidi" w:cstheme="majorBidi"/>
                <w:color w:val="000000"/>
              </w:rPr>
            </w:pPr>
            <w:r>
              <w:rPr>
                <w:rFonts w:asciiTheme="majorBidi" w:hAnsiTheme="majorBidi" w:cstheme="majorBidi"/>
                <w:color w:val="000000"/>
              </w:rPr>
              <w:lastRenderedPageBreak/>
              <w:t>[4] Sylvie Ashford 2025 Hourly Rate</w:t>
            </w:r>
          </w:p>
        </w:tc>
        <w:tc>
          <w:tcPr>
            <w:tcW w:w="7820" w:type="dxa"/>
          </w:tcPr>
          <w:p w:rsidR="00202413" w:rsidP="00202413" w:rsidRDefault="00202413" w14:paraId="2EF13B0A" w14:textId="32AFACDE">
            <w:pPr>
              <w:tabs>
                <w:tab w:val="left" w:pos="1440"/>
              </w:tabs>
              <w:rPr>
                <w:color w:val="000000"/>
              </w:rPr>
            </w:pPr>
            <w:r w:rsidRPr="00E9475E">
              <w:rPr>
                <w:color w:val="000000"/>
              </w:rPr>
              <w:t xml:space="preserve">TURN </w:t>
            </w:r>
            <w:r>
              <w:rPr>
                <w:color w:val="000000"/>
              </w:rPr>
              <w:t>requested a 2025 hourly rate of $265.00 as an Expert – Public Policy Analyst - II. We note TURN’s requested hourly rate was based on the 2024 escalation rate of 3.46% and the first available step-increase as an Expert – Public Policy Analyst – II.</w:t>
            </w:r>
          </w:p>
          <w:p w:rsidR="00202413" w:rsidP="00202413" w:rsidRDefault="00202413" w14:paraId="7772B7E9" w14:textId="77777777">
            <w:pPr>
              <w:tabs>
                <w:tab w:val="left" w:pos="1440"/>
              </w:tabs>
              <w:rPr>
                <w:color w:val="000000"/>
              </w:rPr>
            </w:pPr>
          </w:p>
          <w:p w:rsidR="00202413" w:rsidP="00202413" w:rsidRDefault="00202413" w14:paraId="07065837" w14:textId="77777777">
            <w:pPr>
              <w:tabs>
                <w:tab w:val="left" w:pos="1440"/>
              </w:tabs>
              <w:rPr>
                <w:color w:val="000000"/>
              </w:rPr>
            </w:pPr>
            <w:r w:rsidRPr="005F3413">
              <w:rPr>
                <w:color w:val="000000"/>
              </w:rPr>
              <w:t>D.25-06-030</w:t>
            </w:r>
            <w:r>
              <w:rPr>
                <w:color w:val="000000"/>
              </w:rPr>
              <w:t xml:space="preserve"> verified a 2024 hourly rate of $245.00 as an Expert – Public Policy Analyst – I. We apply the same rate here.</w:t>
            </w:r>
            <w:r w:rsidRPr="00E9475E">
              <w:rPr>
                <w:color w:val="000000"/>
              </w:rPr>
              <w:t xml:space="preserve"> </w:t>
            </w:r>
          </w:p>
          <w:p w:rsidR="00202413" w:rsidP="00202413" w:rsidRDefault="00202413" w14:paraId="7B3F3F57" w14:textId="77777777">
            <w:pPr>
              <w:tabs>
                <w:tab w:val="left" w:pos="1440"/>
              </w:tabs>
              <w:rPr>
                <w:color w:val="000000"/>
              </w:rPr>
            </w:pPr>
          </w:p>
          <w:p w:rsidR="00202413" w:rsidP="00202413" w:rsidRDefault="00202413" w14:paraId="1972DF1E" w14:textId="77777777">
            <w:pPr>
              <w:tabs>
                <w:tab w:val="left" w:pos="1440"/>
              </w:tabs>
              <w:rPr>
                <w:color w:val="000000"/>
              </w:rPr>
            </w:pPr>
            <w:r>
              <w:rPr>
                <w:color w:val="000000"/>
              </w:rPr>
              <w:t>Review</w:t>
            </w:r>
            <w:r w:rsidRPr="009344F4">
              <w:rPr>
                <w:color w:val="000000"/>
              </w:rPr>
              <w:t xml:space="preserve"> of the submitted resume found 2+ years of relevant experience as a Public Policy Analyst, beginning with NRDC in September 2022, at the time of filing. </w:t>
            </w:r>
            <w:r>
              <w:rPr>
                <w:color w:val="000000"/>
              </w:rPr>
              <w:t xml:space="preserve">We, therefore, find Sylvie Ashford qualifies as an Expert – Public Policy Analyst – II at the time of filing and adopt the new experience level for 2025. </w:t>
            </w:r>
            <w:r w:rsidRPr="009344F4">
              <w:rPr>
                <w:color w:val="000000"/>
              </w:rPr>
              <w:t xml:space="preserve">Per the Market Rate Study Hourly Rate Chart, the 2025 rate range for an Expert – Public Policy Analyst – II is $204.98 to $348.40, with a median of $271.94. </w:t>
            </w:r>
            <w:r>
              <w:rPr>
                <w:color w:val="000000"/>
              </w:rPr>
              <w:t>We find a 2025 rate of $250.00 as an Expert – Public Policy Expert – II reasonable and adopt it here.</w:t>
            </w:r>
          </w:p>
          <w:p w:rsidR="00202413" w:rsidP="00202413" w:rsidRDefault="00202413" w14:paraId="66E65105" w14:textId="77777777">
            <w:pPr>
              <w:tabs>
                <w:tab w:val="left" w:pos="1440"/>
              </w:tabs>
              <w:rPr>
                <w:color w:val="000000"/>
              </w:rPr>
            </w:pPr>
          </w:p>
          <w:p w:rsidR="00202413" w:rsidP="00202413" w:rsidRDefault="00202413" w14:paraId="2CBF25D4" w14:textId="77777777">
            <w:pPr>
              <w:tabs>
                <w:tab w:val="left" w:pos="1440"/>
              </w:tabs>
              <w:rPr>
                <w:color w:val="000000"/>
              </w:rPr>
            </w:pPr>
            <w:r>
              <w:rPr>
                <w:color w:val="000000"/>
              </w:rPr>
              <w:t>Additionally, TURN requested the first 5% step-increase as an Expert – Public Policy Analyst – II, therefore, we find the following:</w:t>
            </w:r>
          </w:p>
          <w:p w:rsidR="00202413" w:rsidP="00202413" w:rsidRDefault="00202413" w14:paraId="3C1AF6E7" w14:textId="77777777">
            <w:pPr>
              <w:tabs>
                <w:tab w:val="left" w:pos="1440"/>
              </w:tabs>
              <w:rPr>
                <w:color w:val="000000"/>
              </w:rPr>
            </w:pPr>
          </w:p>
          <w:p w:rsidR="00202413" w:rsidP="00202413" w:rsidRDefault="00202413" w14:paraId="717EE14B" w14:textId="77777777">
            <w:pPr>
              <w:tabs>
                <w:tab w:val="left" w:pos="1440"/>
              </w:tabs>
              <w:rPr>
                <w:color w:val="000000"/>
              </w:rPr>
            </w:pPr>
            <w:r>
              <w:rPr>
                <w:color w:val="000000"/>
              </w:rPr>
              <w:t>2025: $250.00 x 1.05 = $265.00</w:t>
            </w:r>
          </w:p>
          <w:p w:rsidR="00202413" w:rsidP="00202413" w:rsidRDefault="00202413" w14:paraId="2B95F13C" w14:textId="77777777">
            <w:pPr>
              <w:tabs>
                <w:tab w:val="left" w:pos="1440"/>
              </w:tabs>
              <w:rPr>
                <w:color w:val="000000"/>
              </w:rPr>
            </w:pPr>
          </w:p>
          <w:p w:rsidRPr="00230F87" w:rsidR="00202413" w:rsidP="00202413" w:rsidRDefault="00202413" w14:paraId="792F7B55" w14:textId="011B2455">
            <w:pPr>
              <w:tabs>
                <w:tab w:val="left" w:pos="1440"/>
              </w:tabs>
              <w:rPr>
                <w:rFonts w:asciiTheme="majorBidi" w:hAnsiTheme="majorBidi" w:cstheme="majorBidi"/>
                <w:color w:val="000000"/>
              </w:rPr>
            </w:pPr>
            <w:r>
              <w:rPr>
                <w:color w:val="000000"/>
              </w:rPr>
              <w:t xml:space="preserve">We find the 2025 hourly rate of $265.00 for Sylvie Ashford as an Expert – Public Policy Analyst – II reasonable and adopt it here. We reiterate the adopted rate </w:t>
            </w:r>
            <w:r>
              <w:rPr>
                <w:i/>
                <w:iCs/>
                <w:color w:val="000000"/>
              </w:rPr>
              <w:t>includes</w:t>
            </w:r>
            <w:r>
              <w:rPr>
                <w:color w:val="000000"/>
              </w:rPr>
              <w:t xml:space="preserve"> the first available step-increase in the </w:t>
            </w:r>
            <w:r>
              <w:rPr>
                <w:i/>
                <w:iCs/>
                <w:color w:val="000000"/>
              </w:rPr>
              <w:t>new</w:t>
            </w:r>
            <w:r>
              <w:rPr>
                <w:color w:val="000000"/>
              </w:rPr>
              <w:t xml:space="preserve"> experience level of Public Policy Analyst – II.</w:t>
            </w:r>
          </w:p>
        </w:tc>
      </w:tr>
      <w:tr w:rsidRPr="00230F87" w:rsidR="00202413" w:rsidTr="00FC27AE" w14:paraId="1C57E92B" w14:textId="77777777">
        <w:tc>
          <w:tcPr>
            <w:tcW w:w="1540" w:type="dxa"/>
          </w:tcPr>
          <w:p w:rsidR="00202413" w:rsidP="00202413" w:rsidRDefault="00202413" w14:paraId="4F4A4578" w14:textId="584FD25B">
            <w:pPr>
              <w:tabs>
                <w:tab w:val="left" w:pos="1440"/>
              </w:tabs>
              <w:rPr>
                <w:rFonts w:asciiTheme="majorBidi" w:hAnsiTheme="majorBidi" w:cstheme="majorBidi"/>
                <w:color w:val="000000"/>
              </w:rPr>
            </w:pPr>
            <w:r>
              <w:rPr>
                <w:rFonts w:asciiTheme="majorBidi" w:hAnsiTheme="majorBidi" w:cstheme="majorBidi"/>
                <w:color w:val="000000"/>
              </w:rPr>
              <w:t xml:space="preserve">[5] </w:t>
            </w:r>
            <w:r w:rsidRPr="00C752B1" w:rsidR="00C752B1">
              <w:rPr>
                <w:rFonts w:asciiTheme="majorBidi" w:hAnsiTheme="majorBidi" w:cstheme="majorBidi"/>
                <w:color w:val="000000"/>
              </w:rPr>
              <w:t>Intervenor Responsibility for Transparency and Accuracy in Compensation Requests</w:t>
            </w:r>
          </w:p>
        </w:tc>
        <w:tc>
          <w:tcPr>
            <w:tcW w:w="7820" w:type="dxa"/>
          </w:tcPr>
          <w:p w:rsidRPr="00CB0456" w:rsidR="00202413" w:rsidP="00202413" w:rsidRDefault="00202413" w14:paraId="30AE917A" w14:textId="77777777">
            <w:pPr>
              <w:tabs>
                <w:tab w:val="left" w:pos="1440"/>
              </w:tabs>
              <w:rPr>
                <w:rFonts w:asciiTheme="majorBidi" w:hAnsiTheme="majorBidi" w:cstheme="majorBidi"/>
                <w:color w:val="000000"/>
              </w:rPr>
            </w:pPr>
            <w:r w:rsidRPr="00CB0456">
              <w:rPr>
                <w:rFonts w:asciiTheme="majorBidi" w:hAnsiTheme="majorBidi" w:cstheme="majorBidi"/>
                <w:color w:val="000000"/>
              </w:rPr>
              <w:t xml:space="preserve">The Commission takes this opportunity to remind all intervenors that they bear the burden of providing accurate, complete, and honest information </w:t>
            </w:r>
            <w:proofErr w:type="gramStart"/>
            <w:r w:rsidRPr="00CB0456">
              <w:rPr>
                <w:rFonts w:asciiTheme="majorBidi" w:hAnsiTheme="majorBidi" w:cstheme="majorBidi"/>
                <w:color w:val="000000"/>
              </w:rPr>
              <w:t>in</w:t>
            </w:r>
            <w:proofErr w:type="gramEnd"/>
            <w:r w:rsidRPr="00CB0456">
              <w:rPr>
                <w:rFonts w:asciiTheme="majorBidi" w:hAnsiTheme="majorBidi" w:cstheme="majorBidi"/>
                <w:color w:val="000000"/>
              </w:rPr>
              <w:t xml:space="preserve"> all compensation requests. The Commission relies on intervenors' good faith representations, particularly regarding consultant agreements and payments, as it does not have the resources to review every contract or non-standard arrangement in detail.</w:t>
            </w:r>
          </w:p>
          <w:p w:rsidRPr="00CB0456" w:rsidR="00202413" w:rsidP="00202413" w:rsidRDefault="00202413" w14:paraId="340FB8D5" w14:textId="77777777">
            <w:pPr>
              <w:tabs>
                <w:tab w:val="left" w:pos="1440"/>
              </w:tabs>
              <w:rPr>
                <w:rFonts w:asciiTheme="majorBidi" w:hAnsiTheme="majorBidi" w:cstheme="majorBidi"/>
                <w:color w:val="000000"/>
              </w:rPr>
            </w:pPr>
          </w:p>
          <w:p w:rsidRPr="00CB0456" w:rsidR="00202413" w:rsidP="00202413" w:rsidRDefault="00202413" w14:paraId="5A32901B" w14:textId="77777777">
            <w:pPr>
              <w:tabs>
                <w:tab w:val="left" w:pos="1440"/>
              </w:tabs>
              <w:rPr>
                <w:rFonts w:asciiTheme="majorBidi" w:hAnsiTheme="majorBidi" w:cstheme="majorBidi"/>
                <w:color w:val="000000"/>
              </w:rPr>
            </w:pPr>
            <w:r w:rsidRPr="00CB0456">
              <w:rPr>
                <w:rFonts w:asciiTheme="majorBidi" w:hAnsiTheme="majorBidi" w:cstheme="majorBidi"/>
                <w:color w:val="000000"/>
              </w:rPr>
              <w:lastRenderedPageBreak/>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CB0456" w:rsidR="00202413" w:rsidP="00202413" w:rsidRDefault="00202413" w14:paraId="60CF35A5" w14:textId="77777777">
            <w:pPr>
              <w:tabs>
                <w:tab w:val="left" w:pos="1440"/>
              </w:tabs>
              <w:rPr>
                <w:rFonts w:asciiTheme="majorBidi" w:hAnsiTheme="majorBidi" w:cstheme="majorBidi"/>
                <w:color w:val="000000"/>
              </w:rPr>
            </w:pPr>
          </w:p>
          <w:p w:rsidR="00202413" w:rsidP="00202413" w:rsidRDefault="00202413" w14:paraId="6F57F4D1" w14:textId="0849F2FB">
            <w:pPr>
              <w:tabs>
                <w:tab w:val="left" w:pos="1440"/>
              </w:tabs>
              <w:rPr>
                <w:rFonts w:asciiTheme="majorBidi" w:hAnsiTheme="majorBidi" w:cstheme="majorBidi"/>
                <w:color w:val="000000"/>
              </w:rPr>
            </w:pPr>
            <w:r w:rsidRPr="00CB0456">
              <w:rPr>
                <w:rFonts w:asciiTheme="majorBidi" w:hAnsiTheme="majorBidi" w:cstheme="majorBidi"/>
                <w:color w:val="000000"/>
              </w:rPr>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230F87" w:rsidR="00A92D0B" w:rsidP="00B46B87" w:rsidRDefault="00A92D0B" w14:paraId="18E9D359" w14:textId="6CF07914">
      <w:pPr>
        <w:keepNext/>
        <w:tabs>
          <w:tab w:val="left" w:pos="1260"/>
        </w:tabs>
        <w:spacing w:before="360"/>
        <w:jc w:val="center"/>
        <w:rPr>
          <w:rFonts w:asciiTheme="majorBidi" w:hAnsiTheme="majorBidi" w:cstheme="majorBidi"/>
          <w:b/>
          <w:color w:val="000000"/>
        </w:rPr>
      </w:pPr>
      <w:r w:rsidRPr="00230F87">
        <w:rPr>
          <w:rFonts w:asciiTheme="majorBidi" w:hAnsiTheme="majorBidi" w:cstheme="majorBidi"/>
          <w:b/>
          <w:color w:val="000000"/>
        </w:rPr>
        <w:lastRenderedPageBreak/>
        <w:t>PART IV</w:t>
      </w:r>
      <w:proofErr w:type="gramStart"/>
      <w:r w:rsidRPr="00230F87">
        <w:rPr>
          <w:rFonts w:asciiTheme="majorBidi" w:hAnsiTheme="majorBidi" w:cstheme="majorBidi"/>
          <w:b/>
          <w:color w:val="000000"/>
        </w:rPr>
        <w:t>:</w:t>
      </w:r>
      <w:r w:rsidRPr="00230F87" w:rsidR="00D1778A">
        <w:rPr>
          <w:rFonts w:asciiTheme="majorBidi" w:hAnsiTheme="majorBidi" w:cstheme="majorBidi"/>
          <w:b/>
          <w:color w:val="000000"/>
        </w:rPr>
        <w:t xml:space="preserve">  </w:t>
      </w:r>
      <w:r w:rsidRPr="00230F87">
        <w:rPr>
          <w:rFonts w:asciiTheme="majorBidi" w:hAnsiTheme="majorBidi" w:cstheme="majorBidi"/>
          <w:b/>
          <w:color w:val="000000"/>
        </w:rPr>
        <w:t>OPPOSITIONS</w:t>
      </w:r>
      <w:proofErr w:type="gramEnd"/>
      <w:r w:rsidRPr="00230F87">
        <w:rPr>
          <w:rFonts w:asciiTheme="majorBidi" w:hAnsiTheme="majorBidi" w:cstheme="majorBidi"/>
          <w:b/>
          <w:color w:val="000000"/>
        </w:rPr>
        <w:t xml:space="preserve"> AND COMMENTS</w:t>
      </w:r>
    </w:p>
    <w:p w:rsidRPr="00230F87" w:rsidR="00D1778A" w:rsidP="00575494" w:rsidRDefault="00A92D0B" w14:paraId="4E460EA0" w14:textId="77777777">
      <w:pPr>
        <w:keepNext/>
        <w:tabs>
          <w:tab w:val="left" w:pos="1260"/>
        </w:tabs>
        <w:ind w:left="1267" w:hanging="1267"/>
        <w:jc w:val="center"/>
        <w:rPr>
          <w:rFonts w:asciiTheme="majorBidi" w:hAnsiTheme="majorBidi" w:cstheme="majorBidi"/>
          <w:b/>
          <w:color w:val="000000"/>
        </w:rPr>
      </w:pPr>
      <w:r w:rsidRPr="00230F87">
        <w:rPr>
          <w:rFonts w:asciiTheme="majorBidi" w:hAnsiTheme="majorBidi" w:cstheme="majorBidi"/>
          <w:b/>
          <w:color w:val="000000"/>
        </w:rPr>
        <w:t>Within 30 days after service of this Claim, Commission Staff</w:t>
      </w:r>
    </w:p>
    <w:p w:rsidRPr="00230F87" w:rsidR="00A92D0B" w:rsidP="00575494" w:rsidRDefault="00F20061" w14:paraId="5D5DC317" w14:textId="6B3AEA94">
      <w:pPr>
        <w:keepNext/>
        <w:tabs>
          <w:tab w:val="left" w:pos="1260"/>
        </w:tabs>
        <w:spacing w:after="240"/>
        <w:ind w:left="1267" w:hanging="1267"/>
        <w:jc w:val="center"/>
        <w:rPr>
          <w:rFonts w:asciiTheme="majorBidi" w:hAnsiTheme="majorBidi" w:cstheme="majorBidi"/>
          <w:b/>
          <w:color w:val="000000"/>
        </w:rPr>
      </w:pPr>
      <w:r w:rsidRPr="00230F87">
        <w:rPr>
          <w:rFonts w:asciiTheme="majorBidi" w:hAnsiTheme="majorBidi" w:cstheme="majorBidi"/>
          <w:b/>
          <w:color w:val="000000"/>
        </w:rPr>
        <w:t xml:space="preserve"> </w:t>
      </w:r>
      <w:r w:rsidRPr="00230F87" w:rsidR="00A92D0B">
        <w:rPr>
          <w:rFonts w:asciiTheme="majorBidi" w:hAnsiTheme="majorBidi" w:cstheme="majorBidi"/>
          <w:b/>
          <w:color w:val="000000"/>
        </w:rPr>
        <w:t>or any other party may file a response to the Claim (</w:t>
      </w:r>
      <w:r w:rsidRPr="00230F87" w:rsidR="00A92D0B">
        <w:rPr>
          <w:rFonts w:asciiTheme="majorBidi" w:hAnsiTheme="majorBidi" w:cstheme="majorBidi"/>
          <w:b/>
          <w:i/>
          <w:color w:val="000000"/>
        </w:rPr>
        <w:t>see</w:t>
      </w:r>
      <w:r w:rsidRPr="00230F87" w:rsidR="00A92D0B">
        <w:rPr>
          <w:rFonts w:asciiTheme="majorBidi" w:hAnsiTheme="majorBidi" w:cstheme="majorBidi"/>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230F87" w:rsidR="00A92D0B" w:rsidTr="005A3018" w14:paraId="46A51699" w14:textId="77777777">
        <w:tc>
          <w:tcPr>
            <w:tcW w:w="7336" w:type="dxa"/>
          </w:tcPr>
          <w:p w:rsidRPr="00230F87" w:rsidR="00A92D0B" w:rsidP="005A3018" w:rsidRDefault="00A92D0B" w14:paraId="607B1FB9" w14:textId="639D7800">
            <w:pPr>
              <w:ind w:left="360" w:hanging="360"/>
              <w:rPr>
                <w:rFonts w:asciiTheme="majorBidi" w:hAnsiTheme="majorBidi" w:cstheme="majorBidi"/>
                <w:color w:val="000000"/>
              </w:rPr>
            </w:pPr>
            <w:r w:rsidRPr="00230F87">
              <w:rPr>
                <w:rFonts w:asciiTheme="majorBidi" w:hAnsiTheme="majorBidi" w:cstheme="majorBidi"/>
                <w:b/>
                <w:color w:val="000000"/>
              </w:rPr>
              <w:t>A.</w:t>
            </w:r>
            <w:r w:rsidRPr="00230F87" w:rsidR="005A3018">
              <w:rPr>
                <w:rFonts w:asciiTheme="majorBidi" w:hAnsiTheme="majorBidi" w:cstheme="majorBidi"/>
                <w:b/>
                <w:color w:val="000000"/>
              </w:rPr>
              <w:tab/>
            </w:r>
            <w:r w:rsidRPr="00230F87">
              <w:rPr>
                <w:rFonts w:asciiTheme="majorBidi" w:hAnsiTheme="majorBidi" w:cstheme="majorBidi"/>
                <w:b/>
                <w:color w:val="000000"/>
              </w:rPr>
              <w:t>Opposition:  Did any party oppose the Claim?</w:t>
            </w:r>
          </w:p>
        </w:tc>
        <w:tc>
          <w:tcPr>
            <w:tcW w:w="2024" w:type="dxa"/>
          </w:tcPr>
          <w:p w:rsidRPr="00230F87" w:rsidR="00A92D0B" w:rsidP="0029471B" w:rsidRDefault="0029471B" w14:paraId="6E7CD931" w14:textId="126A8482">
            <w:pPr>
              <w:jc w:val="center"/>
              <w:rPr>
                <w:rFonts w:asciiTheme="majorBidi" w:hAnsiTheme="majorBidi" w:cstheme="majorBidi"/>
                <w:color w:val="000000"/>
              </w:rPr>
            </w:pPr>
            <w:r>
              <w:rPr>
                <w:rFonts w:asciiTheme="majorBidi" w:hAnsiTheme="majorBidi" w:cstheme="majorBidi"/>
                <w:color w:val="000000"/>
              </w:rPr>
              <w:t>No</w:t>
            </w:r>
          </w:p>
        </w:tc>
      </w:tr>
    </w:tbl>
    <w:p w:rsidRPr="00230F87" w:rsidR="00A92D0B" w:rsidRDefault="00A92D0B" w14:paraId="23420BFC" w14:textId="77777777">
      <w:pPr>
        <w:tabs>
          <w:tab w:val="left" w:pos="1260"/>
        </w:tabs>
        <w:spacing w:before="60"/>
        <w:ind w:left="1267" w:hanging="1267"/>
        <w:jc w:val="center"/>
        <w:rPr>
          <w:rFonts w:asciiTheme="majorBidi" w:hAnsiTheme="majorBidi" w:cstheme="majorBidi"/>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230F87" w:rsidR="00A92D0B" w:rsidTr="005A3018" w14:paraId="7A0D8740" w14:textId="77777777">
        <w:tc>
          <w:tcPr>
            <w:tcW w:w="7488" w:type="dxa"/>
          </w:tcPr>
          <w:p w:rsidRPr="00230F87" w:rsidR="00A92D0B" w:rsidP="005A3018" w:rsidRDefault="00A92D0B" w14:paraId="37D28D8D" w14:textId="4DD2F575">
            <w:pPr>
              <w:ind w:left="360" w:hanging="360"/>
              <w:rPr>
                <w:rFonts w:asciiTheme="majorBidi" w:hAnsiTheme="majorBidi" w:cstheme="majorBidi"/>
                <w:color w:val="000000"/>
              </w:rPr>
            </w:pPr>
            <w:r w:rsidRPr="00230F87">
              <w:rPr>
                <w:rFonts w:asciiTheme="majorBidi" w:hAnsiTheme="majorBidi" w:cstheme="majorBidi"/>
                <w:b/>
                <w:color w:val="000000"/>
              </w:rPr>
              <w:t>B.</w:t>
            </w:r>
            <w:r w:rsidRPr="00230F87" w:rsidR="005A3018">
              <w:rPr>
                <w:rFonts w:asciiTheme="majorBidi" w:hAnsiTheme="majorBidi" w:cstheme="majorBidi"/>
                <w:b/>
                <w:color w:val="000000"/>
              </w:rPr>
              <w:tab/>
            </w:r>
            <w:r w:rsidRPr="00230F87">
              <w:rPr>
                <w:rFonts w:asciiTheme="majorBidi" w:hAnsiTheme="majorBidi" w:cstheme="majorBidi"/>
                <w:b/>
                <w:color w:val="000000"/>
              </w:rPr>
              <w:t>Comment Period</w:t>
            </w:r>
            <w:proofErr w:type="gramStart"/>
            <w:r w:rsidRPr="00230F87">
              <w:rPr>
                <w:rFonts w:asciiTheme="majorBidi" w:hAnsiTheme="majorBidi" w:cstheme="majorBidi"/>
                <w:b/>
                <w:color w:val="000000"/>
              </w:rPr>
              <w:t>:  Was</w:t>
            </w:r>
            <w:proofErr w:type="gramEnd"/>
            <w:r w:rsidRPr="00230F87">
              <w:rPr>
                <w:rFonts w:asciiTheme="majorBidi" w:hAnsiTheme="majorBidi" w:cstheme="majorBidi"/>
                <w:b/>
                <w:color w:val="000000"/>
              </w:rPr>
              <w:t xml:space="preserve"> the 30-day comment period waived (</w:t>
            </w:r>
            <w:r w:rsidRPr="00230F87">
              <w:rPr>
                <w:rFonts w:asciiTheme="majorBidi" w:hAnsiTheme="majorBidi" w:cstheme="majorBidi"/>
                <w:b/>
                <w:i/>
                <w:color w:val="000000"/>
              </w:rPr>
              <w:t>see</w:t>
            </w:r>
            <w:r w:rsidRPr="00230F87" w:rsidR="00A60203">
              <w:rPr>
                <w:rFonts w:asciiTheme="majorBidi" w:hAnsiTheme="majorBidi" w:cstheme="majorBidi"/>
                <w:b/>
                <w:color w:val="000000"/>
              </w:rPr>
              <w:t> </w:t>
            </w:r>
            <w:r w:rsidRPr="00230F87">
              <w:rPr>
                <w:rFonts w:asciiTheme="majorBidi" w:hAnsiTheme="majorBidi" w:cstheme="majorBidi"/>
                <w:b/>
                <w:color w:val="000000"/>
              </w:rPr>
              <w:t>Rule 14.6(</w:t>
            </w:r>
            <w:r w:rsidRPr="00230F87" w:rsidR="00963EEF">
              <w:rPr>
                <w:rFonts w:asciiTheme="majorBidi" w:hAnsiTheme="majorBidi" w:cstheme="majorBidi"/>
                <w:b/>
                <w:color w:val="000000"/>
              </w:rPr>
              <w:t>c</w:t>
            </w:r>
            <w:r w:rsidRPr="00230F87">
              <w:rPr>
                <w:rFonts w:asciiTheme="majorBidi" w:hAnsiTheme="majorBidi" w:cstheme="majorBidi"/>
                <w:b/>
                <w:color w:val="000000"/>
              </w:rPr>
              <w:t>)(6))?</w:t>
            </w:r>
          </w:p>
        </w:tc>
        <w:tc>
          <w:tcPr>
            <w:tcW w:w="2070" w:type="dxa"/>
          </w:tcPr>
          <w:p w:rsidRPr="00230F87" w:rsidR="00A92D0B" w:rsidP="0029471B" w:rsidRDefault="0029471B" w14:paraId="238D2D3F" w14:textId="64E81B3F">
            <w:pPr>
              <w:keepNext/>
              <w:keepLines/>
              <w:spacing w:after="240"/>
              <w:jc w:val="center"/>
              <w:rPr>
                <w:rFonts w:asciiTheme="majorBidi" w:hAnsiTheme="majorBidi" w:cstheme="majorBidi"/>
                <w:color w:val="000000"/>
              </w:rPr>
            </w:pPr>
            <w:r>
              <w:rPr>
                <w:rFonts w:asciiTheme="majorBidi" w:hAnsiTheme="majorBidi" w:cstheme="majorBidi"/>
                <w:color w:val="000000"/>
              </w:rPr>
              <w:t>Yes</w:t>
            </w:r>
          </w:p>
        </w:tc>
      </w:tr>
    </w:tbl>
    <w:p w:rsidRPr="00230F87" w:rsidR="00BE45D0" w:rsidRDefault="00BE45D0" w14:paraId="4C76EB64" w14:textId="77777777">
      <w:pPr>
        <w:jc w:val="center"/>
        <w:rPr>
          <w:rFonts w:asciiTheme="majorBidi" w:hAnsiTheme="majorBidi" w:cstheme="majorBidi"/>
          <w:b/>
          <w:color w:val="000000"/>
          <w:u w:val="single"/>
        </w:rPr>
      </w:pPr>
    </w:p>
    <w:p w:rsidRPr="00230F87" w:rsidR="00A92D0B" w:rsidP="00B46B87" w:rsidRDefault="00A92D0B" w14:paraId="186E115A" w14:textId="77777777">
      <w:pPr>
        <w:keepNext/>
        <w:spacing w:before="120" w:after="240"/>
        <w:jc w:val="center"/>
        <w:rPr>
          <w:rFonts w:asciiTheme="majorBidi" w:hAnsiTheme="majorBidi" w:cstheme="majorBidi"/>
          <w:b/>
          <w:color w:val="000000"/>
          <w:u w:val="single"/>
        </w:rPr>
      </w:pPr>
      <w:r w:rsidRPr="00230F87">
        <w:rPr>
          <w:rFonts w:asciiTheme="majorBidi" w:hAnsiTheme="majorBidi" w:cstheme="majorBidi"/>
          <w:b/>
          <w:color w:val="000000"/>
          <w:u w:val="single"/>
        </w:rPr>
        <w:t>FINDINGS OF FACT</w:t>
      </w:r>
    </w:p>
    <w:p w:rsidRPr="00230F87" w:rsidR="00A92D0B" w:rsidRDefault="00BA6438" w14:paraId="7772A9DC" w14:textId="4F68A7CB">
      <w:pPr>
        <w:numPr>
          <w:ilvl w:val="0"/>
          <w:numId w:val="3"/>
        </w:numPr>
        <w:tabs>
          <w:tab w:val="num" w:pos="540"/>
        </w:tabs>
        <w:ind w:left="540" w:hanging="540"/>
        <w:rPr>
          <w:rFonts w:asciiTheme="majorBidi" w:hAnsiTheme="majorBidi" w:cstheme="majorBidi"/>
        </w:rPr>
      </w:pPr>
      <w:r>
        <w:rPr>
          <w:rFonts w:asciiTheme="majorBidi" w:hAnsiTheme="majorBidi" w:cstheme="majorBidi"/>
        </w:rPr>
        <w:t>The Utility Reform Network</w:t>
      </w:r>
      <w:r w:rsidRPr="00230F87">
        <w:rPr>
          <w:rFonts w:asciiTheme="majorBidi" w:hAnsiTheme="majorBidi" w:cstheme="majorBidi"/>
        </w:rPr>
        <w:t xml:space="preserve"> </w:t>
      </w:r>
      <w:r w:rsidRPr="00230F87" w:rsidR="00A92D0B">
        <w:rPr>
          <w:rFonts w:asciiTheme="majorBidi" w:hAnsiTheme="majorBidi" w:cstheme="majorBidi"/>
        </w:rPr>
        <w:t>has made a substantia</w:t>
      </w:r>
      <w:r w:rsidRPr="00230F87" w:rsidR="00DE3A5D">
        <w:rPr>
          <w:rFonts w:asciiTheme="majorBidi" w:hAnsiTheme="majorBidi" w:cstheme="majorBidi"/>
        </w:rPr>
        <w:t>l contribution to D</w:t>
      </w:r>
      <w:r w:rsidRPr="009F423E" w:rsidR="00DE3A5D">
        <w:rPr>
          <w:rFonts w:asciiTheme="majorBidi" w:hAnsiTheme="majorBidi" w:cstheme="majorBidi"/>
        </w:rPr>
        <w:t>.</w:t>
      </w:r>
      <w:r w:rsidRPr="009F423E" w:rsidR="00D2565A">
        <w:rPr>
          <w:rFonts w:asciiTheme="majorBidi" w:hAnsiTheme="majorBidi" w:cstheme="majorBidi"/>
        </w:rPr>
        <w:t>2</w:t>
      </w:r>
      <w:r w:rsidRPr="009F423E" w:rsidR="00994F03">
        <w:rPr>
          <w:rFonts w:asciiTheme="majorBidi" w:hAnsiTheme="majorBidi" w:cstheme="majorBidi"/>
        </w:rPr>
        <w:t>5</w:t>
      </w:r>
      <w:r w:rsidRPr="009F423E" w:rsidR="00D2565A">
        <w:rPr>
          <w:rFonts w:asciiTheme="majorBidi" w:hAnsiTheme="majorBidi" w:cstheme="majorBidi"/>
        </w:rPr>
        <w:t>-0</w:t>
      </w:r>
      <w:r w:rsidRPr="009F423E" w:rsidR="00994F03">
        <w:rPr>
          <w:rFonts w:asciiTheme="majorBidi" w:hAnsiTheme="majorBidi" w:cstheme="majorBidi"/>
        </w:rPr>
        <w:t>9</w:t>
      </w:r>
      <w:r w:rsidRPr="009F423E" w:rsidR="00D2565A">
        <w:rPr>
          <w:rFonts w:asciiTheme="majorBidi" w:hAnsiTheme="majorBidi" w:cstheme="majorBidi"/>
        </w:rPr>
        <w:t>-00</w:t>
      </w:r>
      <w:r w:rsidRPr="009F423E" w:rsidR="00994F03">
        <w:rPr>
          <w:rFonts w:asciiTheme="majorBidi" w:hAnsiTheme="majorBidi" w:cstheme="majorBidi"/>
        </w:rPr>
        <w:t>8</w:t>
      </w:r>
      <w:r w:rsidRPr="00230F87" w:rsidR="00A92D0B">
        <w:rPr>
          <w:rFonts w:asciiTheme="majorBidi" w:hAnsiTheme="majorBidi" w:cstheme="majorBidi"/>
        </w:rPr>
        <w:t>.</w:t>
      </w:r>
    </w:p>
    <w:p w:rsidRPr="00230F87" w:rsidR="00A92D0B" w:rsidRDefault="00BA6438" w14:paraId="04EB50FD" w14:textId="73209371">
      <w:pPr>
        <w:numPr>
          <w:ilvl w:val="0"/>
          <w:numId w:val="3"/>
        </w:numPr>
        <w:tabs>
          <w:tab w:val="num" w:pos="540"/>
        </w:tabs>
        <w:spacing w:before="240"/>
        <w:rPr>
          <w:rFonts w:asciiTheme="majorBidi" w:hAnsiTheme="majorBidi" w:cstheme="majorBidi"/>
        </w:rPr>
      </w:pPr>
      <w:r w:rsidRPr="00BA6438">
        <w:rPr>
          <w:rFonts w:asciiTheme="majorBidi" w:hAnsiTheme="majorBidi" w:cstheme="majorBidi"/>
        </w:rPr>
        <w:t xml:space="preserve">The requested hourly rates for </w:t>
      </w:r>
      <w:r>
        <w:rPr>
          <w:rFonts w:asciiTheme="majorBidi" w:hAnsiTheme="majorBidi" w:cstheme="majorBidi"/>
        </w:rPr>
        <w:t>The Utility Reform Network</w:t>
      </w:r>
      <w:r w:rsidRPr="00BA6438">
        <w:rPr>
          <w:rFonts w:asciiTheme="majorBidi" w:hAnsiTheme="majorBidi" w:cstheme="majorBidi"/>
        </w:rPr>
        <w:t xml:space="preserve">’s representatives are comparable to market rates paid to experts and </w:t>
      </w:r>
      <w:proofErr w:type="gramStart"/>
      <w:r w:rsidRPr="00BA6438">
        <w:rPr>
          <w:rFonts w:asciiTheme="majorBidi" w:hAnsiTheme="majorBidi" w:cstheme="majorBidi"/>
        </w:rPr>
        <w:t>advocates</w:t>
      </w:r>
      <w:proofErr w:type="gramEnd"/>
      <w:r w:rsidRPr="00BA6438">
        <w:rPr>
          <w:rFonts w:asciiTheme="majorBidi" w:hAnsiTheme="majorBidi" w:cstheme="majorBidi"/>
        </w:rPr>
        <w:t xml:space="preserve"> having comparable training and experience and offering similar services, and/or </w:t>
      </w:r>
      <w:proofErr w:type="gramStart"/>
      <w:r w:rsidRPr="00BA6438">
        <w:rPr>
          <w:rFonts w:asciiTheme="majorBidi" w:hAnsiTheme="majorBidi" w:cstheme="majorBidi"/>
        </w:rPr>
        <w:t>reflect</w:t>
      </w:r>
      <w:proofErr w:type="gramEnd"/>
      <w:r w:rsidRPr="00BA6438">
        <w:rPr>
          <w:rFonts w:asciiTheme="majorBidi" w:hAnsiTheme="majorBidi" w:cstheme="majorBidi"/>
        </w:rPr>
        <w:t xml:space="preserve"> the actual rates billed to, and paid by the intervenor, for consultant services rendered.</w:t>
      </w:r>
    </w:p>
    <w:p w:rsidRPr="00230F87" w:rsidR="00A92D0B" w:rsidRDefault="00A92D0B" w14:paraId="528EBB52" w14:textId="43C54DC9">
      <w:pPr>
        <w:numPr>
          <w:ilvl w:val="0"/>
          <w:numId w:val="3"/>
        </w:numPr>
        <w:tabs>
          <w:tab w:val="num" w:pos="540"/>
        </w:tabs>
        <w:spacing w:before="240"/>
        <w:rPr>
          <w:rFonts w:asciiTheme="majorBidi" w:hAnsiTheme="majorBidi" w:cstheme="majorBidi"/>
        </w:rPr>
      </w:pPr>
      <w:r w:rsidRPr="00230F87">
        <w:rPr>
          <w:rFonts w:asciiTheme="majorBidi" w:hAnsiTheme="majorBidi" w:cstheme="majorBidi"/>
        </w:rPr>
        <w:t xml:space="preserve">The claimed costs and expenses are reasonable and commensurate with the work performed. </w:t>
      </w:r>
    </w:p>
    <w:p w:rsidRPr="00230F87" w:rsidR="00A92D0B" w:rsidRDefault="00A92D0B" w14:paraId="48B52895" w14:textId="3BBA7024">
      <w:pPr>
        <w:numPr>
          <w:ilvl w:val="0"/>
          <w:numId w:val="3"/>
        </w:numPr>
        <w:tabs>
          <w:tab w:val="num" w:pos="540"/>
        </w:tabs>
        <w:spacing w:before="240"/>
        <w:rPr>
          <w:rFonts w:asciiTheme="majorBidi" w:hAnsiTheme="majorBidi" w:cstheme="majorBidi"/>
        </w:rPr>
      </w:pPr>
      <w:r w:rsidRPr="00230F87">
        <w:rPr>
          <w:rFonts w:asciiTheme="majorBidi" w:hAnsiTheme="majorBidi" w:cstheme="majorBidi"/>
        </w:rPr>
        <w:t xml:space="preserve">The total of reasonable </w:t>
      </w:r>
      <w:r w:rsidRPr="00230F87" w:rsidR="003C608A">
        <w:rPr>
          <w:rFonts w:asciiTheme="majorBidi" w:hAnsiTheme="majorBidi" w:cstheme="majorBidi"/>
        </w:rPr>
        <w:t xml:space="preserve">compensation </w:t>
      </w:r>
      <w:r w:rsidRPr="00230F87">
        <w:rPr>
          <w:rFonts w:asciiTheme="majorBidi" w:hAnsiTheme="majorBidi" w:cstheme="majorBidi"/>
        </w:rPr>
        <w:t xml:space="preserve">is </w:t>
      </w:r>
      <w:r w:rsidRPr="0090642C" w:rsidR="0090642C">
        <w:rPr>
          <w:rFonts w:asciiTheme="majorBidi" w:hAnsiTheme="majorBidi" w:cstheme="majorBidi"/>
        </w:rPr>
        <w:t>$246,912.50</w:t>
      </w:r>
      <w:r w:rsidRPr="00230F87">
        <w:rPr>
          <w:rFonts w:asciiTheme="majorBidi" w:hAnsiTheme="majorBidi" w:cstheme="majorBidi"/>
        </w:rPr>
        <w:t>.</w:t>
      </w:r>
    </w:p>
    <w:p w:rsidRPr="00230F87" w:rsidR="00A92D0B" w:rsidP="00CE057B" w:rsidRDefault="00A92D0B" w14:paraId="5C773C3F" w14:textId="77777777">
      <w:pPr>
        <w:keepNext/>
        <w:spacing w:before="480" w:after="240"/>
        <w:jc w:val="center"/>
        <w:rPr>
          <w:rFonts w:asciiTheme="majorBidi" w:hAnsiTheme="majorBidi" w:cstheme="majorBidi"/>
          <w:b/>
          <w:color w:val="000000"/>
          <w:u w:val="single"/>
        </w:rPr>
      </w:pPr>
      <w:r w:rsidRPr="00230F87">
        <w:rPr>
          <w:rFonts w:asciiTheme="majorBidi" w:hAnsiTheme="majorBidi" w:cstheme="majorBidi"/>
          <w:b/>
          <w:color w:val="000000"/>
          <w:u w:val="single"/>
        </w:rPr>
        <w:t>CONCLUSION OF LAW</w:t>
      </w:r>
    </w:p>
    <w:p w:rsidRPr="00230F87" w:rsidR="00A92D0B" w:rsidP="00575494" w:rsidRDefault="00A92D0B" w14:paraId="654F2C27" w14:textId="36DCB082">
      <w:pPr>
        <w:numPr>
          <w:ilvl w:val="0"/>
          <w:numId w:val="10"/>
        </w:numPr>
        <w:spacing w:before="240"/>
        <w:rPr>
          <w:rFonts w:asciiTheme="majorBidi" w:hAnsiTheme="majorBidi" w:cstheme="majorBidi"/>
          <w:color w:val="000000"/>
        </w:rPr>
      </w:pPr>
      <w:r w:rsidRPr="00230F87">
        <w:rPr>
          <w:rFonts w:asciiTheme="majorBidi" w:hAnsiTheme="majorBidi" w:cstheme="majorBidi"/>
        </w:rPr>
        <w:t>The</w:t>
      </w:r>
      <w:r w:rsidRPr="00230F87">
        <w:rPr>
          <w:rFonts w:asciiTheme="majorBidi" w:hAnsiTheme="majorBidi" w:cstheme="majorBidi"/>
          <w:color w:val="000000"/>
        </w:rPr>
        <w:t xml:space="preserve"> Claim, with any adjustment set forth above, satisfies</w:t>
      </w:r>
      <w:r w:rsidRPr="00230F87" w:rsidR="00DE3A5D">
        <w:rPr>
          <w:rFonts w:asciiTheme="majorBidi" w:hAnsiTheme="majorBidi" w:cstheme="majorBidi"/>
          <w:color w:val="000000"/>
        </w:rPr>
        <w:t xml:space="preserve"> all requirements of Pub. Util.</w:t>
      </w:r>
      <w:r w:rsidRPr="00230F87">
        <w:rPr>
          <w:rFonts w:asciiTheme="majorBidi" w:hAnsiTheme="majorBidi" w:cstheme="majorBidi"/>
          <w:color w:val="000000"/>
        </w:rPr>
        <w:t xml:space="preserve"> Code §§ 1801-1812.</w:t>
      </w:r>
    </w:p>
    <w:p w:rsidRPr="00230F87" w:rsidR="00A92D0B" w:rsidP="00CE057B" w:rsidRDefault="00A92D0B" w14:paraId="0E2503A5" w14:textId="77777777">
      <w:pPr>
        <w:keepNext/>
        <w:spacing w:before="480" w:after="240"/>
        <w:jc w:val="center"/>
        <w:rPr>
          <w:rFonts w:asciiTheme="majorBidi" w:hAnsiTheme="majorBidi" w:cstheme="majorBidi"/>
          <w:b/>
          <w:color w:val="000000"/>
          <w:u w:val="single"/>
        </w:rPr>
      </w:pPr>
      <w:r w:rsidRPr="00230F87">
        <w:rPr>
          <w:rFonts w:asciiTheme="majorBidi" w:hAnsiTheme="majorBidi" w:cstheme="majorBidi"/>
          <w:b/>
          <w:color w:val="000000"/>
          <w:u w:val="single"/>
        </w:rPr>
        <w:lastRenderedPageBreak/>
        <w:t>ORDER</w:t>
      </w:r>
    </w:p>
    <w:p w:rsidRPr="00230F87" w:rsidR="00A92D0B" w:rsidP="00CE057B" w:rsidRDefault="00FC27AE" w14:paraId="33FB4E15" w14:textId="0B5519C5">
      <w:pPr>
        <w:keepNext/>
        <w:numPr>
          <w:ilvl w:val="0"/>
          <w:numId w:val="4"/>
        </w:numPr>
        <w:tabs>
          <w:tab w:val="clear" w:pos="900"/>
          <w:tab w:val="num" w:pos="540"/>
        </w:tabs>
        <w:ind w:left="547" w:hanging="547"/>
        <w:rPr>
          <w:rFonts w:asciiTheme="majorBidi" w:hAnsiTheme="majorBidi" w:cstheme="majorBidi"/>
          <w:color w:val="000000"/>
        </w:rPr>
      </w:pPr>
      <w:r>
        <w:rPr>
          <w:rFonts w:asciiTheme="majorBidi" w:hAnsiTheme="majorBidi" w:cstheme="majorBidi"/>
        </w:rPr>
        <w:t>The Utility Reform Network</w:t>
      </w:r>
      <w:r w:rsidRPr="00230F87">
        <w:rPr>
          <w:rFonts w:asciiTheme="majorBidi" w:hAnsiTheme="majorBidi" w:cstheme="majorBidi"/>
        </w:rPr>
        <w:t xml:space="preserve"> </w:t>
      </w:r>
      <w:r w:rsidRPr="00230F87" w:rsidR="00831652">
        <w:rPr>
          <w:rFonts w:asciiTheme="majorBidi" w:hAnsiTheme="majorBidi" w:cstheme="majorBidi"/>
        </w:rPr>
        <w:t>is</w:t>
      </w:r>
      <w:r w:rsidRPr="00230F87" w:rsidR="00FE3BAE">
        <w:rPr>
          <w:rFonts w:asciiTheme="majorBidi" w:hAnsiTheme="majorBidi" w:cstheme="majorBidi"/>
        </w:rPr>
        <w:t xml:space="preserve"> </w:t>
      </w:r>
      <w:r w:rsidRPr="00230F87" w:rsidR="00A92D0B">
        <w:rPr>
          <w:rFonts w:asciiTheme="majorBidi" w:hAnsiTheme="majorBidi" w:cstheme="majorBidi"/>
          <w:color w:val="000000"/>
        </w:rPr>
        <w:t xml:space="preserve">awarded </w:t>
      </w:r>
      <w:r w:rsidRPr="0090642C" w:rsidR="0090642C">
        <w:rPr>
          <w:rFonts w:asciiTheme="majorBidi" w:hAnsiTheme="majorBidi" w:cstheme="majorBidi"/>
          <w:color w:val="000000"/>
        </w:rPr>
        <w:t>$246,912.50</w:t>
      </w:r>
      <w:r w:rsidRPr="00230F87" w:rsidR="00A92D0B">
        <w:rPr>
          <w:rFonts w:asciiTheme="majorBidi" w:hAnsiTheme="majorBidi" w:cstheme="majorBidi"/>
          <w:color w:val="000000"/>
        </w:rPr>
        <w:t>.</w:t>
      </w:r>
    </w:p>
    <w:p w:rsidRPr="00230F87" w:rsidR="00A92D0B" w:rsidRDefault="00A92D0B" w14:paraId="4AEF5671" w14:textId="7750C8D6">
      <w:pPr>
        <w:numPr>
          <w:ilvl w:val="0"/>
          <w:numId w:val="4"/>
        </w:numPr>
        <w:tabs>
          <w:tab w:val="clear" w:pos="900"/>
          <w:tab w:val="num" w:pos="540"/>
        </w:tabs>
        <w:spacing w:before="240"/>
        <w:ind w:left="547" w:hanging="547"/>
        <w:rPr>
          <w:rFonts w:asciiTheme="majorBidi" w:hAnsiTheme="majorBidi" w:cstheme="majorBidi"/>
        </w:rPr>
      </w:pPr>
      <w:r w:rsidRPr="00230F87">
        <w:rPr>
          <w:rFonts w:asciiTheme="majorBidi" w:hAnsiTheme="majorBidi" w:cstheme="majorBidi"/>
        </w:rPr>
        <w:t xml:space="preserve">Within 30 days of the effective date of this decision, </w:t>
      </w:r>
      <w:r w:rsidR="00FC27AE">
        <w:rPr>
          <w:rFonts w:asciiTheme="majorBidi" w:hAnsiTheme="majorBidi" w:cstheme="majorBidi"/>
        </w:rPr>
        <w:t>Pacific Gas and Electric Company</w:t>
      </w:r>
      <w:r w:rsidRPr="00230F87">
        <w:rPr>
          <w:rFonts w:asciiTheme="majorBidi" w:hAnsiTheme="majorBidi" w:cstheme="majorBidi"/>
        </w:rPr>
        <w:t xml:space="preserve"> shall pay </w:t>
      </w:r>
      <w:r w:rsidR="00FC27AE">
        <w:rPr>
          <w:rFonts w:asciiTheme="majorBidi" w:hAnsiTheme="majorBidi" w:cstheme="majorBidi"/>
        </w:rPr>
        <w:t>The Utility Reform Network</w:t>
      </w:r>
      <w:r w:rsidRPr="00230F87" w:rsidR="00FC27AE">
        <w:rPr>
          <w:rFonts w:asciiTheme="majorBidi" w:hAnsiTheme="majorBidi" w:cstheme="majorBidi"/>
        </w:rPr>
        <w:t xml:space="preserve"> </w:t>
      </w:r>
      <w:r w:rsidRPr="00230F87">
        <w:rPr>
          <w:rFonts w:asciiTheme="majorBidi" w:hAnsiTheme="majorBidi" w:cstheme="majorBidi"/>
        </w:rPr>
        <w:t>the total award. Payment of the award shall include</w:t>
      </w:r>
      <w:r w:rsidRPr="00230F87" w:rsidR="004E3939">
        <w:rPr>
          <w:rFonts w:asciiTheme="majorBidi" w:hAnsiTheme="majorBidi" w:cstheme="majorBidi"/>
        </w:rPr>
        <w:t xml:space="preserve"> compound </w:t>
      </w:r>
      <w:r w:rsidRPr="00230F87">
        <w:rPr>
          <w:rFonts w:asciiTheme="majorBidi" w:hAnsiTheme="majorBidi" w:cstheme="majorBidi"/>
        </w:rPr>
        <w:t xml:space="preserve">interest at the rate earned on prime, three-month </w:t>
      </w:r>
      <w:r w:rsidRPr="00230F87" w:rsidR="00214B22">
        <w:rPr>
          <w:rFonts w:asciiTheme="majorBidi" w:hAnsiTheme="majorBidi" w:cstheme="majorBidi"/>
        </w:rPr>
        <w:t xml:space="preserve">non-financial </w:t>
      </w:r>
      <w:r w:rsidRPr="00230F87">
        <w:rPr>
          <w:rFonts w:asciiTheme="majorBidi" w:hAnsiTheme="majorBidi" w:cstheme="majorBidi"/>
        </w:rPr>
        <w:t>commercial paper as reported in Federal Reserve Statistical Release H.15, beginning</w:t>
      </w:r>
      <w:r w:rsidRPr="00230F87" w:rsidR="00357F1A">
        <w:rPr>
          <w:rFonts w:asciiTheme="majorBidi" w:hAnsiTheme="majorBidi" w:cstheme="majorBidi"/>
        </w:rPr>
        <w:t xml:space="preserve"> </w:t>
      </w:r>
      <w:r w:rsidR="00FC27AE">
        <w:rPr>
          <w:rFonts w:asciiTheme="majorBidi" w:hAnsiTheme="majorBidi" w:cstheme="majorBidi"/>
        </w:rPr>
        <w:t>February 4, 2026,</w:t>
      </w:r>
      <w:r w:rsidRPr="00230F87" w:rsidR="00357F1A">
        <w:rPr>
          <w:rFonts w:asciiTheme="majorBidi" w:hAnsiTheme="majorBidi" w:cstheme="majorBidi"/>
        </w:rPr>
        <w:t xml:space="preserve"> </w:t>
      </w:r>
      <w:r w:rsidRPr="00230F87">
        <w:rPr>
          <w:rFonts w:asciiTheme="majorBidi" w:hAnsiTheme="majorBidi" w:cstheme="majorBidi"/>
        </w:rPr>
        <w:t>the 75</w:t>
      </w:r>
      <w:r w:rsidRPr="00230F87">
        <w:rPr>
          <w:rFonts w:asciiTheme="majorBidi" w:hAnsiTheme="majorBidi" w:cstheme="majorBidi"/>
          <w:vertAlign w:val="superscript"/>
        </w:rPr>
        <w:t>th</w:t>
      </w:r>
      <w:r w:rsidRPr="00230F87">
        <w:rPr>
          <w:rFonts w:asciiTheme="majorBidi" w:hAnsiTheme="majorBidi" w:cstheme="majorBidi"/>
        </w:rPr>
        <w:t xml:space="preserve"> day after the filing of </w:t>
      </w:r>
      <w:r w:rsidR="00FC27AE">
        <w:rPr>
          <w:rFonts w:asciiTheme="majorBidi" w:hAnsiTheme="majorBidi" w:cstheme="majorBidi"/>
        </w:rPr>
        <w:t>The Utility Reform Network</w:t>
      </w:r>
      <w:r w:rsidRPr="00230F87" w:rsidR="00FE3BAE">
        <w:rPr>
          <w:rFonts w:asciiTheme="majorBidi" w:hAnsiTheme="majorBidi" w:cstheme="majorBidi"/>
        </w:rPr>
        <w:t>’s</w:t>
      </w:r>
      <w:r w:rsidRPr="00230F87" w:rsidR="00FE3BAE">
        <w:rPr>
          <w:rFonts w:asciiTheme="majorBidi" w:hAnsiTheme="majorBidi" w:cstheme="majorBidi"/>
          <w:b/>
        </w:rPr>
        <w:t xml:space="preserve"> </w:t>
      </w:r>
      <w:r w:rsidRPr="00230F87">
        <w:rPr>
          <w:rFonts w:asciiTheme="majorBidi" w:hAnsiTheme="majorBidi" w:cstheme="majorBidi"/>
        </w:rPr>
        <w:t>request, and continuing until full payment is made.</w:t>
      </w:r>
    </w:p>
    <w:p w:rsidRPr="00230F87" w:rsidR="00A92D0B" w:rsidP="00DE3A5D" w:rsidRDefault="00A92D0B" w14:paraId="5AD40C95" w14:textId="5E125C92">
      <w:pPr>
        <w:keepNext/>
        <w:keepLines/>
        <w:numPr>
          <w:ilvl w:val="0"/>
          <w:numId w:val="4"/>
        </w:numPr>
        <w:tabs>
          <w:tab w:val="clear" w:pos="900"/>
          <w:tab w:val="num" w:pos="540"/>
        </w:tabs>
        <w:spacing w:before="240"/>
        <w:ind w:left="547" w:hanging="547"/>
        <w:rPr>
          <w:rFonts w:asciiTheme="majorBidi" w:hAnsiTheme="majorBidi" w:cstheme="majorBidi"/>
        </w:rPr>
      </w:pPr>
      <w:r w:rsidRPr="00230F87">
        <w:rPr>
          <w:rFonts w:asciiTheme="majorBidi" w:hAnsiTheme="majorBidi" w:cstheme="majorBidi"/>
        </w:rPr>
        <w:t>The comment period for today’s decision is waived.</w:t>
      </w:r>
    </w:p>
    <w:p w:rsidRPr="00230F87" w:rsidR="00A92D0B" w:rsidP="00467E65" w:rsidRDefault="00A92D0B" w14:paraId="13F3A0AD" w14:textId="77777777">
      <w:pPr>
        <w:keepNext/>
        <w:keepLines/>
        <w:spacing w:before="240"/>
        <w:ind w:left="547"/>
        <w:rPr>
          <w:rFonts w:asciiTheme="majorBidi" w:hAnsiTheme="majorBidi" w:cstheme="majorBidi"/>
          <w:color w:val="000000"/>
        </w:rPr>
      </w:pPr>
      <w:r w:rsidRPr="00230F87">
        <w:rPr>
          <w:rFonts w:asciiTheme="majorBidi" w:hAnsiTheme="majorBidi" w:cstheme="majorBidi"/>
          <w:color w:val="000000"/>
        </w:rPr>
        <w:t>This decision is effective today.</w:t>
      </w:r>
    </w:p>
    <w:p w:rsidRPr="00230F87" w:rsidR="00A92D0B" w:rsidP="00357623" w:rsidRDefault="00A92D0B" w14:paraId="0467B995" w14:textId="3AF8C1A3">
      <w:pPr>
        <w:keepNext/>
        <w:keepLines/>
        <w:spacing w:before="240"/>
        <w:ind w:left="547"/>
        <w:rPr>
          <w:rFonts w:asciiTheme="majorBidi" w:hAnsiTheme="majorBidi" w:cstheme="majorBidi"/>
          <w:color w:val="000000"/>
        </w:rPr>
      </w:pPr>
      <w:r w:rsidRPr="00230F87">
        <w:rPr>
          <w:rFonts w:asciiTheme="majorBidi" w:hAnsiTheme="majorBidi" w:cstheme="majorBidi"/>
          <w:color w:val="000000"/>
        </w:rPr>
        <w:t>Dated</w:t>
      </w:r>
      <w:r w:rsidR="008D1114">
        <w:rPr>
          <w:rFonts w:asciiTheme="majorBidi" w:hAnsiTheme="majorBidi" w:cstheme="majorBidi"/>
          <w:color w:val="000000"/>
        </w:rPr>
        <w:t xml:space="preserve"> April 9, 2026</w:t>
      </w:r>
      <w:r w:rsidRPr="00230F87">
        <w:rPr>
          <w:rFonts w:asciiTheme="majorBidi" w:hAnsiTheme="majorBidi" w:cstheme="majorBidi"/>
          <w:color w:val="000000"/>
        </w:rPr>
        <w:t>, at San Francisco, California.</w:t>
      </w:r>
    </w:p>
    <w:p w:rsidRPr="00230F87" w:rsidR="00A92D0B" w:rsidRDefault="00A92D0B" w14:paraId="1A474D77" w14:textId="77777777">
      <w:pPr>
        <w:rPr>
          <w:rFonts w:asciiTheme="majorBidi" w:hAnsiTheme="majorBidi" w:cstheme="majorBidi"/>
        </w:rPr>
      </w:pPr>
    </w:p>
    <w:p w:rsidRPr="00230F87" w:rsidR="00FE3BAE" w:rsidRDefault="00FE3BAE" w14:paraId="3C739AE2" w14:textId="71F3AFC8">
      <w:pPr>
        <w:rPr>
          <w:rFonts w:asciiTheme="majorBidi" w:hAnsiTheme="majorBidi" w:cstheme="majorBidi"/>
        </w:rPr>
      </w:pPr>
    </w:p>
    <w:p w:rsidRPr="004B3027" w:rsidR="004B3027" w:rsidP="004B3027" w:rsidRDefault="004B3027" w14:paraId="60AD4965" w14:textId="77777777">
      <w:pPr>
        <w:autoSpaceDE w:val="0"/>
        <w:autoSpaceDN w:val="0"/>
        <w:adjustRightInd w:val="0"/>
        <w:ind w:left="3600" w:firstLine="720"/>
        <w:jc w:val="both"/>
        <w:rPr>
          <w:rFonts w:eastAsia="Calibri"/>
        </w:rPr>
      </w:pPr>
      <w:r w:rsidRPr="004B3027">
        <w:rPr>
          <w:rFonts w:eastAsia="Calibri"/>
        </w:rPr>
        <w:t>JOHN REYNOLDS</w:t>
      </w:r>
    </w:p>
    <w:p w:rsidRPr="004B3027" w:rsidR="004B3027" w:rsidP="004B3027" w:rsidRDefault="004B3027" w14:paraId="72E59083" w14:textId="77777777">
      <w:pPr>
        <w:autoSpaceDE w:val="0"/>
        <w:autoSpaceDN w:val="0"/>
        <w:adjustRightInd w:val="0"/>
        <w:ind w:firstLine="720"/>
        <w:jc w:val="both"/>
        <w:rPr>
          <w:rFonts w:eastAsia="Calibri"/>
        </w:rPr>
      </w:pPr>
      <w:r w:rsidRPr="004B3027">
        <w:rPr>
          <w:rFonts w:eastAsia="Calibri"/>
        </w:rPr>
        <w:tab/>
      </w:r>
      <w:r w:rsidRPr="004B3027">
        <w:rPr>
          <w:rFonts w:eastAsia="Calibri"/>
        </w:rPr>
        <w:tab/>
      </w:r>
      <w:r w:rsidRPr="004B3027">
        <w:rPr>
          <w:rFonts w:eastAsia="Calibri"/>
        </w:rPr>
        <w:tab/>
      </w:r>
      <w:r w:rsidRPr="004B3027">
        <w:rPr>
          <w:rFonts w:eastAsia="Calibri"/>
        </w:rPr>
        <w:tab/>
      </w:r>
      <w:r w:rsidRPr="004B3027">
        <w:rPr>
          <w:rFonts w:eastAsia="Calibri"/>
        </w:rPr>
        <w:tab/>
        <w:t xml:space="preserve">                       President</w:t>
      </w:r>
    </w:p>
    <w:p w:rsidRPr="004B3027" w:rsidR="004B3027" w:rsidP="004B3027" w:rsidRDefault="004B3027" w14:paraId="6BE5F636" w14:textId="77777777">
      <w:pPr>
        <w:autoSpaceDE w:val="0"/>
        <w:autoSpaceDN w:val="0"/>
        <w:adjustRightInd w:val="0"/>
        <w:ind w:left="3600" w:firstLine="720"/>
        <w:jc w:val="both"/>
        <w:rPr>
          <w:rFonts w:eastAsia="Calibri"/>
        </w:rPr>
      </w:pPr>
      <w:r w:rsidRPr="004B3027">
        <w:rPr>
          <w:rFonts w:eastAsia="Calibri"/>
        </w:rPr>
        <w:t>DARCIE L. HOUCK</w:t>
      </w:r>
    </w:p>
    <w:p w:rsidRPr="004B3027" w:rsidR="004B3027" w:rsidP="004B3027" w:rsidRDefault="004B3027" w14:paraId="702362EF" w14:textId="77777777">
      <w:pPr>
        <w:autoSpaceDE w:val="0"/>
        <w:autoSpaceDN w:val="0"/>
        <w:adjustRightInd w:val="0"/>
        <w:ind w:left="3600" w:firstLine="720"/>
        <w:jc w:val="both"/>
        <w:rPr>
          <w:color w:val="000000"/>
        </w:rPr>
      </w:pPr>
      <w:r w:rsidRPr="004B3027">
        <w:rPr>
          <w:color w:val="000000"/>
        </w:rPr>
        <w:t>KAREN DOUGLAS</w:t>
      </w:r>
    </w:p>
    <w:p w:rsidRPr="004B3027" w:rsidR="004B3027" w:rsidP="004B3027" w:rsidRDefault="004B3027" w14:paraId="18976BA1" w14:textId="77777777">
      <w:pPr>
        <w:autoSpaceDE w:val="0"/>
        <w:autoSpaceDN w:val="0"/>
        <w:adjustRightInd w:val="0"/>
        <w:ind w:left="3600" w:firstLine="720"/>
        <w:jc w:val="both"/>
        <w:rPr>
          <w:rFonts w:eastAsia="Calibri"/>
        </w:rPr>
      </w:pPr>
      <w:r w:rsidRPr="004B3027">
        <w:rPr>
          <w:rFonts w:eastAsia="Calibri"/>
        </w:rPr>
        <w:t>CHRISTINE HARADA</w:t>
      </w:r>
    </w:p>
    <w:p w:rsidRPr="004B3027" w:rsidR="004B3027" w:rsidP="004B3027" w:rsidRDefault="004B3027" w14:paraId="0408BC42" w14:textId="77777777">
      <w:pPr>
        <w:autoSpaceDE w:val="0"/>
        <w:autoSpaceDN w:val="0"/>
        <w:adjustRightInd w:val="0"/>
        <w:ind w:left="4320" w:firstLine="720"/>
        <w:jc w:val="both"/>
        <w:rPr>
          <w:rFonts w:eastAsia="Calibri"/>
        </w:rPr>
      </w:pPr>
      <w:r w:rsidRPr="004B3027">
        <w:rPr>
          <w:rFonts w:eastAsia="Calibri"/>
        </w:rPr>
        <w:t xml:space="preserve">            Commissioners</w:t>
      </w:r>
    </w:p>
    <w:p w:rsidRPr="004B3027" w:rsidR="004B3027" w:rsidP="004B3027" w:rsidRDefault="004B3027" w14:paraId="5E2AEF5D" w14:textId="77777777">
      <w:pPr>
        <w:keepNext/>
        <w:keepLines/>
        <w:spacing w:line="360" w:lineRule="auto"/>
        <w:ind w:firstLine="720"/>
        <w:rPr>
          <w:rFonts w:eastAsia="Calibri"/>
        </w:rPr>
      </w:pPr>
    </w:p>
    <w:p w:rsidRPr="004B3027" w:rsidR="004B3027" w:rsidP="004B3027" w:rsidRDefault="004B3027" w14:paraId="302DB640" w14:textId="77777777">
      <w:pPr>
        <w:keepNext/>
        <w:keepLines/>
        <w:autoSpaceDE w:val="0"/>
        <w:autoSpaceDN w:val="0"/>
        <w:adjustRightInd w:val="0"/>
        <w:ind w:left="4380"/>
        <w:rPr>
          <w:rFonts w:eastAsia="Calibri"/>
        </w:rPr>
      </w:pPr>
      <w:r w:rsidRPr="004B3027">
        <w:rPr>
          <w:rFonts w:eastAsia="Calibri"/>
        </w:rPr>
        <w:t>Commissioner Matthew Baker recused himself from this agenda item and was not part of the quorum in its consideration.</w:t>
      </w:r>
    </w:p>
    <w:p w:rsidRPr="00230F87" w:rsidR="006B7228" w:rsidRDefault="006B7228" w14:paraId="37D74F32" w14:textId="77777777">
      <w:pPr>
        <w:rPr>
          <w:rFonts w:asciiTheme="majorBidi" w:hAnsiTheme="majorBidi" w:cstheme="majorBidi"/>
        </w:rPr>
        <w:sectPr w:rsidRPr="00230F87" w:rsidR="006B7228" w:rsidSect="00032923">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46B87" w:rsidR="00FE3BAE" w:rsidP="00FE3BAE" w:rsidRDefault="00FE3BAE" w14:paraId="7A1C7043" w14:textId="77777777">
      <w:pPr>
        <w:pStyle w:val="standard"/>
        <w:ind w:firstLine="0"/>
        <w:jc w:val="center"/>
        <w:rPr>
          <w:rFonts w:asciiTheme="majorBidi" w:hAnsiTheme="majorBidi" w:cstheme="majorBidi"/>
          <w:b/>
          <w:szCs w:val="26"/>
        </w:rPr>
      </w:pPr>
      <w:r w:rsidRPr="00B46B87">
        <w:rPr>
          <w:rFonts w:asciiTheme="majorBidi" w:hAnsiTheme="majorBidi" w:cstheme="majorBidi"/>
          <w:b/>
          <w:szCs w:val="26"/>
        </w:rPr>
        <w:lastRenderedPageBreak/>
        <w:t>APPENDIX</w:t>
      </w:r>
    </w:p>
    <w:p w:rsidRPr="00B46B87" w:rsidR="00FE3BAE" w:rsidP="00F7579D" w:rsidRDefault="00FE3BAE" w14:paraId="300BB274" w14:textId="77777777">
      <w:pPr>
        <w:pStyle w:val="standard"/>
        <w:ind w:firstLine="0"/>
        <w:jc w:val="center"/>
        <w:rPr>
          <w:rFonts w:asciiTheme="majorBidi" w:hAnsiTheme="majorBidi" w:cstheme="majorBidi"/>
          <w:b/>
          <w:bCs/>
          <w:sz w:val="28"/>
          <w:szCs w:val="28"/>
        </w:rPr>
      </w:pPr>
      <w:r w:rsidRPr="00B46B87">
        <w:rPr>
          <w:rFonts w:asciiTheme="majorBidi" w:hAnsiTheme="majorBidi" w:cstheme="majorBidi"/>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230F87"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4BC9C636" w14:textId="77777777">
            <w:pPr>
              <w:rPr>
                <w:rFonts w:asciiTheme="majorBidi" w:hAnsiTheme="majorBidi" w:cstheme="majorBidi"/>
                <w:b/>
                <w:bCs/>
              </w:rPr>
            </w:pPr>
            <w:r w:rsidRPr="00230F87">
              <w:rPr>
                <w:rFonts w:asciiTheme="majorBidi" w:hAnsiTheme="majorBidi" w:cstheme="majorBidi"/>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600416" w:rsidR="00FE3BAE" w:rsidP="00A23C17" w:rsidRDefault="00600416" w14:paraId="16C5D6B1" w14:textId="04CF05ED">
            <w:pPr>
              <w:rPr>
                <w:rFonts w:asciiTheme="majorBidi" w:hAnsiTheme="majorBidi" w:cstheme="majorBidi"/>
                <w:highlight w:val="yellow"/>
              </w:rPr>
            </w:pPr>
            <w:r w:rsidRPr="00600416">
              <w:rPr>
                <w:rFonts w:asciiTheme="majorBidi" w:hAnsiTheme="majorBidi" w:cstheme="majorBidi"/>
              </w:rPr>
              <w:t>D2604019</w:t>
            </w:r>
          </w:p>
        </w:tc>
        <w:tc>
          <w:tcPr>
            <w:tcW w:w="2475"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3ECA0C4F" w14:textId="77777777">
            <w:pPr>
              <w:rPr>
                <w:rFonts w:asciiTheme="majorBidi" w:hAnsiTheme="majorBidi" w:cstheme="majorBidi"/>
                <w:b/>
                <w:bCs/>
              </w:rPr>
            </w:pPr>
            <w:r w:rsidRPr="00230F87">
              <w:rPr>
                <w:rFonts w:asciiTheme="majorBidi" w:hAnsiTheme="majorBidi" w:cstheme="majorBidi"/>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230F87" w:rsidR="00FE3BAE" w:rsidP="00A23C17" w:rsidRDefault="0029471B" w14:paraId="6846FB87" w14:textId="2BCFE280">
            <w:pPr>
              <w:jc w:val="center"/>
              <w:rPr>
                <w:rFonts w:asciiTheme="majorBidi" w:hAnsiTheme="majorBidi" w:cstheme="majorBidi"/>
              </w:rPr>
            </w:pPr>
            <w:r>
              <w:rPr>
                <w:rFonts w:asciiTheme="majorBidi" w:hAnsiTheme="majorBidi" w:cstheme="majorBidi"/>
              </w:rPr>
              <w:t>No</w:t>
            </w:r>
          </w:p>
        </w:tc>
      </w:tr>
      <w:tr w:rsidRPr="00230F87" w:rsidR="00FE3BAE" w:rsidTr="009F423E"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6E65620B" w14:textId="77777777">
            <w:pPr>
              <w:rPr>
                <w:rFonts w:asciiTheme="majorBidi" w:hAnsiTheme="majorBidi" w:cstheme="majorBidi"/>
                <w:b/>
                <w:bCs/>
              </w:rPr>
            </w:pPr>
            <w:r w:rsidRPr="00230F87">
              <w:rPr>
                <w:rFonts w:asciiTheme="majorBidi" w:hAnsiTheme="majorBidi" w:cstheme="majorBidi"/>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0F87" w:rsidR="00FE3BAE" w:rsidP="00A23C17" w:rsidRDefault="000505F1" w14:paraId="426F2C45" w14:textId="2DA77897">
            <w:pPr>
              <w:rPr>
                <w:rFonts w:asciiTheme="majorBidi" w:hAnsiTheme="majorBidi" w:cstheme="majorBidi"/>
              </w:rPr>
            </w:pPr>
            <w:r w:rsidRPr="00230F87">
              <w:rPr>
                <w:rFonts w:asciiTheme="majorBidi" w:hAnsiTheme="majorBidi" w:cstheme="majorBidi"/>
              </w:rPr>
              <w:t>D</w:t>
            </w:r>
            <w:r w:rsidRPr="00D2565A" w:rsidR="00D2565A">
              <w:rPr>
                <w:rFonts w:asciiTheme="majorBidi" w:hAnsiTheme="majorBidi" w:cstheme="majorBidi"/>
              </w:rPr>
              <w:t>2</w:t>
            </w:r>
            <w:r w:rsidR="00B5118D">
              <w:rPr>
                <w:rFonts w:asciiTheme="majorBidi" w:hAnsiTheme="majorBidi" w:cstheme="majorBidi"/>
              </w:rPr>
              <w:t>5</w:t>
            </w:r>
            <w:r w:rsidRPr="00D2565A" w:rsidR="00D2565A">
              <w:rPr>
                <w:rFonts w:asciiTheme="majorBidi" w:hAnsiTheme="majorBidi" w:cstheme="majorBidi"/>
              </w:rPr>
              <w:t>0</w:t>
            </w:r>
            <w:r w:rsidR="00B5118D">
              <w:rPr>
                <w:rFonts w:asciiTheme="majorBidi" w:hAnsiTheme="majorBidi" w:cstheme="majorBidi"/>
              </w:rPr>
              <w:t>9</w:t>
            </w:r>
            <w:r w:rsidRPr="00D2565A" w:rsidR="00D2565A">
              <w:rPr>
                <w:rFonts w:asciiTheme="majorBidi" w:hAnsiTheme="majorBidi" w:cstheme="majorBidi"/>
              </w:rPr>
              <w:t>00</w:t>
            </w:r>
            <w:r w:rsidR="00B5118D">
              <w:rPr>
                <w:rFonts w:asciiTheme="majorBidi" w:hAnsiTheme="majorBidi" w:cstheme="majorBidi"/>
              </w:rPr>
              <w:t>8</w:t>
            </w:r>
          </w:p>
        </w:tc>
      </w:tr>
      <w:tr w:rsidRPr="00230F87" w:rsidR="00FE3BAE" w:rsidTr="009F423E"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717974DE" w14:textId="77777777">
            <w:pPr>
              <w:rPr>
                <w:rFonts w:asciiTheme="majorBidi" w:hAnsiTheme="majorBidi" w:cstheme="majorBidi"/>
                <w:b/>
                <w:bCs/>
              </w:rPr>
            </w:pPr>
            <w:r w:rsidRPr="00230F87">
              <w:rPr>
                <w:rFonts w:asciiTheme="majorBidi" w:hAnsiTheme="majorBidi" w:cstheme="majorBidi"/>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0F87" w:rsidR="00FE3BAE" w:rsidP="00A23C17" w:rsidRDefault="000505F1" w14:paraId="5B85688D" w14:textId="07178D62">
            <w:pPr>
              <w:rPr>
                <w:rFonts w:asciiTheme="majorBidi" w:hAnsiTheme="majorBidi" w:cstheme="majorBidi"/>
              </w:rPr>
            </w:pPr>
            <w:r w:rsidRPr="00230F87">
              <w:rPr>
                <w:rFonts w:asciiTheme="majorBidi" w:hAnsiTheme="majorBidi" w:cstheme="majorBidi"/>
              </w:rPr>
              <w:t>A2</w:t>
            </w:r>
            <w:r w:rsidR="006A5D72">
              <w:rPr>
                <w:rFonts w:asciiTheme="majorBidi" w:hAnsiTheme="majorBidi" w:cstheme="majorBidi"/>
              </w:rPr>
              <w:t>2</w:t>
            </w:r>
            <w:r w:rsidR="00B5118D">
              <w:rPr>
                <w:rFonts w:asciiTheme="majorBidi" w:hAnsiTheme="majorBidi" w:cstheme="majorBidi"/>
              </w:rPr>
              <w:t>12</w:t>
            </w:r>
            <w:r w:rsidRPr="00230F87">
              <w:rPr>
                <w:rFonts w:asciiTheme="majorBidi" w:hAnsiTheme="majorBidi" w:cstheme="majorBidi"/>
              </w:rPr>
              <w:t>0</w:t>
            </w:r>
            <w:r w:rsidR="00B5118D">
              <w:rPr>
                <w:rFonts w:asciiTheme="majorBidi" w:hAnsiTheme="majorBidi" w:cstheme="majorBidi"/>
              </w:rPr>
              <w:t>09</w:t>
            </w:r>
          </w:p>
        </w:tc>
      </w:tr>
      <w:tr w:rsidRPr="00230F87"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738C0A58" w14:textId="77777777">
            <w:pPr>
              <w:rPr>
                <w:rFonts w:asciiTheme="majorBidi" w:hAnsiTheme="majorBidi" w:cstheme="majorBidi"/>
                <w:b/>
                <w:bCs/>
              </w:rPr>
            </w:pPr>
            <w:r w:rsidRPr="00230F87">
              <w:rPr>
                <w:rFonts w:asciiTheme="majorBidi" w:hAnsiTheme="majorBidi" w:cstheme="majorBidi"/>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230F87" w:rsidR="00FE3BAE" w:rsidP="00A23C17" w:rsidRDefault="0029471B" w14:paraId="5E75C0F0" w14:textId="5D1A051F">
            <w:pPr>
              <w:rPr>
                <w:rFonts w:asciiTheme="majorBidi" w:hAnsiTheme="majorBidi" w:cstheme="majorBidi"/>
              </w:rPr>
            </w:pPr>
            <w:r>
              <w:rPr>
                <w:rFonts w:asciiTheme="majorBidi" w:hAnsiTheme="majorBidi" w:cstheme="majorBidi"/>
              </w:rPr>
              <w:t>ALJ Watts-Zagha</w:t>
            </w:r>
          </w:p>
        </w:tc>
      </w:tr>
      <w:tr w:rsidRPr="00230F87"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1414CA71" w14:textId="77777777">
            <w:pPr>
              <w:rPr>
                <w:rFonts w:asciiTheme="majorBidi" w:hAnsiTheme="majorBidi" w:cstheme="majorBidi"/>
                <w:b/>
                <w:bCs/>
              </w:rPr>
            </w:pPr>
            <w:r w:rsidRPr="00230F87">
              <w:rPr>
                <w:rFonts w:asciiTheme="majorBidi" w:hAnsiTheme="majorBidi" w:cstheme="majorBidi"/>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230F87" w:rsidR="00FE3BAE" w:rsidP="00A23C17" w:rsidRDefault="00904962" w14:paraId="7CA711B6" w14:textId="6B7AA6E6">
            <w:pPr>
              <w:rPr>
                <w:rFonts w:asciiTheme="majorBidi" w:hAnsiTheme="majorBidi" w:cstheme="majorBidi"/>
              </w:rPr>
            </w:pPr>
            <w:r>
              <w:rPr>
                <w:rFonts w:asciiTheme="majorBidi" w:hAnsiTheme="majorBidi" w:cstheme="majorBidi"/>
              </w:rPr>
              <w:t>Pacific Gas and Electric Company</w:t>
            </w:r>
          </w:p>
        </w:tc>
      </w:tr>
    </w:tbl>
    <w:p w:rsidRPr="00B46B87" w:rsidR="00FE3BAE" w:rsidP="00CE057B" w:rsidRDefault="00FE3BAE" w14:paraId="7F0236A2" w14:textId="77777777">
      <w:pPr>
        <w:spacing w:before="480" w:after="240"/>
        <w:jc w:val="center"/>
        <w:rPr>
          <w:rFonts w:asciiTheme="majorBidi" w:hAnsiTheme="majorBidi" w:cstheme="majorBidi"/>
          <w:b/>
          <w:bCs/>
          <w:sz w:val="28"/>
          <w:szCs w:val="28"/>
        </w:rPr>
      </w:pPr>
      <w:r w:rsidRPr="00B46B87">
        <w:rPr>
          <w:rFonts w:asciiTheme="majorBidi" w:hAnsiTheme="majorBidi" w:cstheme="majorBidi"/>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230F87"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230F87" w:rsidR="00FE3BAE" w:rsidP="00CE057B" w:rsidRDefault="00FE3BAE" w14:paraId="2578F35B" w14:textId="77777777">
            <w:pPr>
              <w:jc w:val="center"/>
              <w:rPr>
                <w:rFonts w:asciiTheme="majorBidi" w:hAnsiTheme="majorBidi" w:cstheme="majorBidi"/>
                <w:b/>
                <w:bCs/>
              </w:rPr>
            </w:pPr>
            <w:r w:rsidRPr="00230F87">
              <w:rPr>
                <w:rFonts w:asciiTheme="majorBidi" w:hAnsiTheme="majorBidi" w:cstheme="majorBidi"/>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Pr="00230F87" w:rsidR="00B803D5" w:rsidP="00CE057B" w:rsidRDefault="0081626F" w14:paraId="1A2BF295" w14:textId="77777777">
            <w:pPr>
              <w:jc w:val="center"/>
              <w:rPr>
                <w:rFonts w:asciiTheme="majorBidi" w:hAnsiTheme="majorBidi" w:cstheme="majorBidi"/>
                <w:b/>
                <w:bCs/>
              </w:rPr>
            </w:pPr>
            <w:r w:rsidRPr="00230F87">
              <w:rPr>
                <w:rFonts w:asciiTheme="majorBidi" w:hAnsiTheme="majorBidi" w:cstheme="majorBidi"/>
                <w:b/>
                <w:bCs/>
              </w:rPr>
              <w:t>Date</w:t>
            </w:r>
          </w:p>
          <w:p w:rsidRPr="00230F87" w:rsidR="00FE3BAE" w:rsidP="00CE057B" w:rsidRDefault="0081626F" w14:paraId="2C1C9DC3" w14:textId="2305FDF8">
            <w:pPr>
              <w:jc w:val="center"/>
              <w:rPr>
                <w:rFonts w:asciiTheme="majorBidi" w:hAnsiTheme="majorBidi" w:cstheme="majorBidi"/>
                <w:b/>
                <w:bCs/>
              </w:rPr>
            </w:pPr>
            <w:r w:rsidRPr="00230F87">
              <w:rPr>
                <w:rFonts w:asciiTheme="majorBidi" w:hAnsiTheme="majorBidi" w:cstheme="majorBidi"/>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230F87" w:rsidR="00FE3BAE" w:rsidP="00CE057B" w:rsidRDefault="00FE3BAE" w14:paraId="60DD020D" w14:textId="77777777">
            <w:pPr>
              <w:jc w:val="center"/>
              <w:rPr>
                <w:rFonts w:asciiTheme="majorBidi" w:hAnsiTheme="majorBidi" w:cstheme="majorBidi"/>
                <w:b/>
                <w:bCs/>
              </w:rPr>
            </w:pPr>
            <w:r w:rsidRPr="00230F87">
              <w:rPr>
                <w:rFonts w:asciiTheme="majorBidi" w:hAnsiTheme="majorBidi" w:cstheme="majorBidi"/>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230F87" w:rsidR="00FE3BAE" w:rsidP="00CE057B" w:rsidRDefault="00FE3BAE" w14:paraId="19A4A01D" w14:textId="77777777">
            <w:pPr>
              <w:jc w:val="center"/>
              <w:rPr>
                <w:rFonts w:asciiTheme="majorBidi" w:hAnsiTheme="majorBidi" w:cstheme="majorBidi"/>
                <w:b/>
                <w:bCs/>
              </w:rPr>
            </w:pPr>
            <w:r w:rsidRPr="00230F87">
              <w:rPr>
                <w:rFonts w:asciiTheme="majorBidi" w:hAnsiTheme="majorBidi" w:cstheme="majorBidi"/>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230F87" w:rsidR="00FE3BAE" w:rsidP="00CE057B" w:rsidRDefault="00FE3BAE" w14:paraId="5B9F47E2" w14:textId="77777777">
            <w:pPr>
              <w:jc w:val="center"/>
              <w:rPr>
                <w:rFonts w:asciiTheme="majorBidi" w:hAnsiTheme="majorBidi" w:cstheme="majorBidi"/>
                <w:b/>
                <w:bCs/>
              </w:rPr>
            </w:pPr>
            <w:r w:rsidRPr="00230F87">
              <w:rPr>
                <w:rFonts w:asciiTheme="majorBidi" w:hAnsiTheme="majorBidi" w:cstheme="majorBidi"/>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230F87" w:rsidR="00FE3BAE" w:rsidP="00CE057B" w:rsidRDefault="00FE3BAE" w14:paraId="089590A8" w14:textId="77777777">
            <w:pPr>
              <w:jc w:val="center"/>
              <w:rPr>
                <w:rFonts w:asciiTheme="majorBidi" w:hAnsiTheme="majorBidi" w:cstheme="majorBidi"/>
                <w:b/>
                <w:bCs/>
              </w:rPr>
            </w:pPr>
            <w:r w:rsidRPr="00230F87">
              <w:rPr>
                <w:rFonts w:asciiTheme="majorBidi" w:hAnsiTheme="majorBidi" w:cstheme="majorBidi"/>
                <w:b/>
                <w:bCs/>
              </w:rPr>
              <w:t>Reason Change/Disallowance</w:t>
            </w:r>
          </w:p>
        </w:tc>
      </w:tr>
      <w:tr w:rsidRPr="00230F87" w:rsidR="00FE3BAE" w:rsidTr="0090642C"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230F87" w:rsidR="00FE3BAE" w:rsidP="00A23C17" w:rsidRDefault="0090642C" w14:paraId="3008FB17" w14:textId="370D0962">
            <w:pPr>
              <w:jc w:val="center"/>
              <w:rPr>
                <w:rFonts w:asciiTheme="majorBidi" w:hAnsiTheme="majorBidi" w:cstheme="majorBidi"/>
              </w:rPr>
            </w:pPr>
            <w:r w:rsidRPr="0090642C">
              <w:rPr>
                <w:rFonts w:asciiTheme="majorBidi" w:hAnsiTheme="majorBidi" w:cstheme="majorBidi"/>
                <w:sz w:val="22"/>
                <w:szCs w:val="22"/>
              </w:rPr>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654581" w:rsidR="00FE3BAE" w:rsidP="00A23C17" w:rsidRDefault="00B5118D" w14:paraId="63956769" w14:textId="24D6ABB1">
            <w:pPr>
              <w:jc w:val="center"/>
              <w:rPr>
                <w:rFonts w:asciiTheme="majorBidi" w:hAnsiTheme="majorBidi" w:cstheme="majorBidi"/>
                <w:sz w:val="22"/>
                <w:szCs w:val="22"/>
              </w:rPr>
            </w:pPr>
            <w:r w:rsidRPr="00654581">
              <w:rPr>
                <w:rFonts w:asciiTheme="majorBidi" w:hAnsiTheme="majorBidi" w:cstheme="majorBidi"/>
                <w:sz w:val="22"/>
                <w:szCs w:val="22"/>
              </w:rPr>
              <w:t xml:space="preserve">November </w:t>
            </w:r>
            <w:r w:rsidRPr="00654581" w:rsidR="00654581">
              <w:rPr>
                <w:rFonts w:asciiTheme="majorBidi" w:hAnsiTheme="majorBidi" w:cstheme="majorBidi"/>
                <w:sz w:val="22"/>
                <w:szCs w:val="22"/>
              </w:rPr>
              <w:t>21</w:t>
            </w:r>
            <w:r w:rsidRPr="00654581">
              <w:rPr>
                <w:rFonts w:asciiTheme="majorBidi" w:hAnsiTheme="majorBidi" w:cstheme="majorBidi"/>
                <w:sz w:val="22"/>
                <w:szCs w:val="22"/>
              </w:rPr>
              <w:t>, 2025</w:t>
            </w:r>
          </w:p>
        </w:tc>
        <w:tc>
          <w:tcPr>
            <w:tcW w:w="1405" w:type="dxa"/>
            <w:tcBorders>
              <w:top w:val="single" w:color="auto" w:sz="4" w:space="0"/>
              <w:left w:val="single" w:color="auto" w:sz="4" w:space="0"/>
              <w:bottom w:val="single" w:color="auto" w:sz="4" w:space="0"/>
              <w:right w:val="single" w:color="auto" w:sz="4" w:space="0"/>
            </w:tcBorders>
            <w:hideMark/>
          </w:tcPr>
          <w:p w:rsidRPr="00654581" w:rsidR="00FE3BAE" w:rsidP="00A23C17" w:rsidRDefault="00B5118D" w14:paraId="75AD20FA" w14:textId="6D8CFED9">
            <w:pPr>
              <w:jc w:val="center"/>
              <w:rPr>
                <w:rFonts w:asciiTheme="majorBidi" w:hAnsiTheme="majorBidi" w:cstheme="majorBidi"/>
                <w:sz w:val="22"/>
                <w:szCs w:val="22"/>
              </w:rPr>
            </w:pPr>
            <w:r w:rsidRPr="00654581">
              <w:rPr>
                <w:rFonts w:asciiTheme="majorBidi" w:hAnsiTheme="majorBidi" w:cstheme="majorBidi"/>
                <w:sz w:val="22"/>
                <w:szCs w:val="22"/>
              </w:rPr>
              <w:t>$246,912.50</w:t>
            </w:r>
          </w:p>
        </w:tc>
        <w:tc>
          <w:tcPr>
            <w:tcW w:w="1571" w:type="dxa"/>
            <w:tcBorders>
              <w:top w:val="single" w:color="auto" w:sz="4" w:space="0"/>
              <w:left w:val="single" w:color="auto" w:sz="4" w:space="0"/>
              <w:bottom w:val="single" w:color="auto" w:sz="4" w:space="0"/>
              <w:right w:val="single" w:color="auto" w:sz="4" w:space="0"/>
            </w:tcBorders>
            <w:hideMark/>
          </w:tcPr>
          <w:p w:rsidRPr="00230F87" w:rsidR="00FE3BAE" w:rsidP="00A23C17" w:rsidRDefault="0090642C" w14:paraId="0DD6FE00" w14:textId="666544C4">
            <w:pPr>
              <w:jc w:val="center"/>
              <w:rPr>
                <w:rFonts w:asciiTheme="majorBidi" w:hAnsiTheme="majorBidi" w:cstheme="majorBidi"/>
              </w:rPr>
            </w:pPr>
            <w:r w:rsidRPr="0090642C">
              <w:rPr>
                <w:rFonts w:asciiTheme="majorBidi" w:hAnsiTheme="majorBidi" w:cstheme="majorBidi"/>
              </w:rPr>
              <w:t>$246,912.50</w:t>
            </w:r>
          </w:p>
        </w:tc>
        <w:tc>
          <w:tcPr>
            <w:tcW w:w="1390" w:type="dxa"/>
            <w:tcBorders>
              <w:top w:val="single" w:color="auto" w:sz="4" w:space="0"/>
              <w:left w:val="single" w:color="auto" w:sz="4" w:space="0"/>
              <w:bottom w:val="single" w:color="auto" w:sz="4" w:space="0"/>
              <w:right w:val="single" w:color="auto" w:sz="4" w:space="0"/>
            </w:tcBorders>
            <w:hideMark/>
          </w:tcPr>
          <w:p w:rsidRPr="00230F87" w:rsidR="00FE3BAE" w:rsidP="00A23C17" w:rsidRDefault="00FE3BAE" w14:paraId="0BDAFE20" w14:textId="77777777">
            <w:pPr>
              <w:jc w:val="center"/>
              <w:rPr>
                <w:rFonts w:asciiTheme="majorBidi" w:hAnsiTheme="majorBidi" w:cstheme="majorBidi"/>
              </w:rPr>
            </w:pPr>
            <w:r w:rsidRPr="00230F87">
              <w:rPr>
                <w:rFonts w:asciiTheme="majorBidi" w:hAnsiTheme="majorBidi" w:cstheme="majorBidi"/>
              </w:rPr>
              <w:t>N/A</w:t>
            </w:r>
          </w:p>
        </w:tc>
        <w:tc>
          <w:tcPr>
            <w:tcW w:w="2474" w:type="dxa"/>
            <w:tcBorders>
              <w:top w:val="single" w:color="auto" w:sz="4" w:space="0"/>
              <w:left w:val="single" w:color="auto" w:sz="4" w:space="0"/>
              <w:bottom w:val="single" w:color="auto" w:sz="4" w:space="0"/>
              <w:right w:val="single" w:color="auto" w:sz="4" w:space="0"/>
            </w:tcBorders>
            <w:hideMark/>
          </w:tcPr>
          <w:p w:rsidRPr="00904962" w:rsidR="00FE3BAE" w:rsidP="00A23C17" w:rsidRDefault="0045669D" w14:paraId="6B53C6F9" w14:textId="5502A75A">
            <w:pPr>
              <w:jc w:val="center"/>
            </w:pPr>
            <w:r>
              <w:t>N/A</w:t>
            </w:r>
          </w:p>
        </w:tc>
      </w:tr>
    </w:tbl>
    <w:p w:rsidRPr="00B46B87" w:rsidR="00FE3BAE" w:rsidP="00CE057B" w:rsidRDefault="0022302F" w14:paraId="2841210B" w14:textId="77777777">
      <w:pPr>
        <w:spacing w:before="480" w:after="240"/>
        <w:jc w:val="center"/>
        <w:rPr>
          <w:rFonts w:asciiTheme="majorBidi" w:hAnsiTheme="majorBidi" w:cstheme="majorBidi"/>
          <w:b/>
          <w:bCs/>
          <w:sz w:val="28"/>
          <w:szCs w:val="28"/>
        </w:rPr>
      </w:pPr>
      <w:r w:rsidRPr="00B46B87">
        <w:rPr>
          <w:rFonts w:asciiTheme="majorBidi" w:hAnsiTheme="majorBidi" w:cstheme="majorBidi"/>
          <w:b/>
          <w:bCs/>
          <w:sz w:val="28"/>
          <w:szCs w:val="28"/>
        </w:rPr>
        <w:t>Hourly Fee</w:t>
      </w:r>
      <w:r w:rsidRPr="00B46B87" w:rsidR="00FE3BAE">
        <w:rPr>
          <w:rFonts w:asciiTheme="majorBidi" w:hAnsiTheme="majorBidi" w:cstheme="majorBidi"/>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230F87" w:rsidR="00C02649" w:rsidTr="004F7E1D"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230F87" w:rsidR="003B6A1B" w:rsidP="00CE057B" w:rsidRDefault="003B6A1B" w14:paraId="61500303" w14:textId="77777777">
            <w:pPr>
              <w:jc w:val="center"/>
              <w:rPr>
                <w:rFonts w:asciiTheme="majorBidi" w:hAnsiTheme="majorBidi" w:cstheme="majorBidi"/>
                <w:b/>
                <w:bCs/>
              </w:rPr>
            </w:pPr>
            <w:r w:rsidRPr="00230F87">
              <w:rPr>
                <w:rFonts w:asciiTheme="majorBidi" w:hAnsiTheme="majorBidi" w:cstheme="majorBidi"/>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30F87" w:rsidR="003B6A1B" w:rsidP="00CE057B" w:rsidRDefault="003B6A1B" w14:paraId="55908486" w14:textId="77777777">
            <w:pPr>
              <w:jc w:val="center"/>
              <w:rPr>
                <w:rFonts w:asciiTheme="majorBidi" w:hAnsiTheme="majorBidi" w:cstheme="majorBidi"/>
                <w:b/>
                <w:bCs/>
              </w:rPr>
            </w:pPr>
            <w:r w:rsidRPr="00230F87">
              <w:rPr>
                <w:rFonts w:asciiTheme="majorBidi" w:hAnsiTheme="majorBidi" w:cstheme="majorBidi"/>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230F87" w:rsidR="003B6A1B" w:rsidP="00CE057B" w:rsidRDefault="00171EBF" w14:paraId="2438DAE1" w14:textId="77777777">
            <w:pPr>
              <w:ind w:left="12" w:firstLine="12"/>
              <w:jc w:val="center"/>
              <w:rPr>
                <w:rFonts w:asciiTheme="majorBidi" w:hAnsiTheme="majorBidi" w:cstheme="majorBidi"/>
                <w:b/>
                <w:bCs/>
              </w:rPr>
            </w:pPr>
            <w:r w:rsidRPr="00230F87">
              <w:rPr>
                <w:rFonts w:asciiTheme="majorBidi" w:hAnsiTheme="majorBidi" w:cstheme="majorBidi"/>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230F87" w:rsidR="00B803D5" w:rsidP="00CE057B" w:rsidRDefault="003B6A1B" w14:paraId="30FCBD16" w14:textId="77777777">
            <w:pPr>
              <w:jc w:val="center"/>
              <w:rPr>
                <w:rFonts w:asciiTheme="majorBidi" w:hAnsiTheme="majorBidi" w:cstheme="majorBidi"/>
                <w:b/>
                <w:bCs/>
              </w:rPr>
            </w:pPr>
            <w:r w:rsidRPr="00230F87">
              <w:rPr>
                <w:rFonts w:asciiTheme="majorBidi" w:hAnsiTheme="majorBidi" w:cstheme="majorBidi"/>
                <w:b/>
                <w:bCs/>
              </w:rPr>
              <w:t>Hourly</w:t>
            </w:r>
          </w:p>
          <w:p w:rsidRPr="00230F87" w:rsidR="003B6A1B" w:rsidP="00CE057B" w:rsidRDefault="003B6A1B" w14:paraId="3431A72E" w14:textId="15E5EE89">
            <w:pPr>
              <w:jc w:val="center"/>
              <w:rPr>
                <w:rFonts w:asciiTheme="majorBidi" w:hAnsiTheme="majorBidi" w:cstheme="majorBidi"/>
                <w:b/>
                <w:bCs/>
              </w:rPr>
            </w:pPr>
            <w:r w:rsidRPr="00230F87">
              <w:rPr>
                <w:rFonts w:asciiTheme="majorBidi" w:hAnsiTheme="majorBidi" w:cstheme="majorBidi"/>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230F87" w:rsidR="00B803D5" w:rsidP="00CE057B" w:rsidRDefault="003B6A1B" w14:paraId="27A4F1D1" w14:textId="77777777">
            <w:pPr>
              <w:jc w:val="center"/>
              <w:rPr>
                <w:rFonts w:asciiTheme="majorBidi" w:hAnsiTheme="majorBidi" w:cstheme="majorBidi"/>
                <w:b/>
                <w:bCs/>
              </w:rPr>
            </w:pPr>
            <w:r w:rsidRPr="00230F87">
              <w:rPr>
                <w:rFonts w:asciiTheme="majorBidi" w:hAnsiTheme="majorBidi" w:cstheme="majorBidi"/>
                <w:b/>
                <w:bCs/>
              </w:rPr>
              <w:t>Year Hourly</w:t>
            </w:r>
          </w:p>
          <w:p w:rsidRPr="00230F87" w:rsidR="003B6A1B" w:rsidP="00CE057B" w:rsidRDefault="003B6A1B" w14:paraId="6FE76773" w14:textId="7DDDAF05">
            <w:pPr>
              <w:jc w:val="center"/>
              <w:rPr>
                <w:rFonts w:asciiTheme="majorBidi" w:hAnsiTheme="majorBidi" w:cstheme="majorBidi"/>
                <w:b/>
                <w:bCs/>
              </w:rPr>
            </w:pPr>
            <w:r w:rsidRPr="00230F87">
              <w:rPr>
                <w:rFonts w:asciiTheme="majorBidi" w:hAnsiTheme="majorBidi" w:cstheme="majorBidi"/>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230F87" w:rsidR="00B803D5" w:rsidP="00CE057B" w:rsidRDefault="003B6A1B" w14:paraId="08CD8CFB" w14:textId="50A63D11">
            <w:pPr>
              <w:jc w:val="center"/>
              <w:rPr>
                <w:rFonts w:asciiTheme="majorBidi" w:hAnsiTheme="majorBidi" w:cstheme="majorBidi"/>
                <w:b/>
                <w:bCs/>
              </w:rPr>
            </w:pPr>
            <w:r w:rsidRPr="00230F87">
              <w:rPr>
                <w:rFonts w:asciiTheme="majorBidi" w:hAnsiTheme="majorBidi" w:cstheme="majorBidi"/>
                <w:b/>
                <w:bCs/>
              </w:rPr>
              <w:t>Hourly</w:t>
            </w:r>
          </w:p>
          <w:p w:rsidRPr="00230F87" w:rsidR="003B6A1B" w:rsidP="00CE057B" w:rsidRDefault="003B6A1B" w14:paraId="1B789B85" w14:textId="3C9059B0">
            <w:pPr>
              <w:jc w:val="center"/>
              <w:rPr>
                <w:rFonts w:asciiTheme="majorBidi" w:hAnsiTheme="majorBidi" w:cstheme="majorBidi"/>
                <w:b/>
                <w:bCs/>
              </w:rPr>
            </w:pPr>
            <w:r w:rsidRPr="00230F87">
              <w:rPr>
                <w:rFonts w:asciiTheme="majorBidi" w:hAnsiTheme="majorBidi" w:cstheme="majorBidi"/>
                <w:b/>
                <w:bCs/>
              </w:rPr>
              <w:t>Fee Adopted</w:t>
            </w:r>
          </w:p>
        </w:tc>
      </w:tr>
      <w:tr w:rsidRPr="00230F87" w:rsidR="003313BE" w:rsidTr="009F423E"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313BE" w:rsidR="003313BE" w:rsidP="003313BE" w:rsidRDefault="003313BE" w14:paraId="0F0C6D6C" w14:textId="3680EA67">
            <w:pPr>
              <w:jc w:val="center"/>
              <w:rPr>
                <w:sz w:val="22"/>
                <w:szCs w:val="22"/>
                <w:shd w:val="clear" w:color="auto" w:fill="CCFFCC"/>
              </w:rPr>
            </w:pPr>
            <w:r w:rsidRPr="003313BE">
              <w:rPr>
                <w:color w:val="000000"/>
                <w:sz w:val="22"/>
                <w:szCs w:val="22"/>
              </w:rPr>
              <w:t>Robert</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6ACE7B68" w14:textId="3697245B">
            <w:pPr>
              <w:jc w:val="center"/>
              <w:rPr>
                <w:sz w:val="22"/>
                <w:szCs w:val="22"/>
                <w:shd w:val="clear" w:color="auto" w:fill="CCFFCC"/>
              </w:rPr>
            </w:pPr>
            <w:r w:rsidRPr="003313BE">
              <w:rPr>
                <w:color w:val="000000"/>
                <w:sz w:val="22"/>
                <w:szCs w:val="22"/>
              </w:rPr>
              <w:t>Finkelstein</w:t>
            </w:r>
          </w:p>
        </w:tc>
        <w:tc>
          <w:tcPr>
            <w:tcW w:w="208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0E61474F" w14:textId="2D50BD70">
            <w:pPr>
              <w:jc w:val="center"/>
              <w:rPr>
                <w:sz w:val="22"/>
                <w:szCs w:val="22"/>
                <w:shd w:val="clear" w:color="auto" w:fill="CCFFCC"/>
              </w:rPr>
            </w:pPr>
            <w:r w:rsidRPr="003313BE">
              <w:rPr>
                <w:color w:val="000000"/>
                <w:sz w:val="22"/>
                <w:szCs w:val="22"/>
              </w:rPr>
              <w:t xml:space="preserve">Attorney </w:t>
            </w:r>
          </w:p>
        </w:tc>
        <w:tc>
          <w:tcPr>
            <w:tcW w:w="174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44F9655C" w14:textId="6282B240">
            <w:pPr>
              <w:jc w:val="center"/>
              <w:rPr>
                <w:sz w:val="22"/>
                <w:szCs w:val="22"/>
              </w:rPr>
            </w:pPr>
            <w:r w:rsidRPr="003313BE">
              <w:rPr>
                <w:color w:val="000000"/>
                <w:sz w:val="22"/>
                <w:szCs w:val="22"/>
              </w:rPr>
              <w:t>$8</w:t>
            </w:r>
            <w:r w:rsidR="00B5118D">
              <w:rPr>
                <w:color w:val="000000"/>
                <w:sz w:val="22"/>
                <w:szCs w:val="22"/>
              </w:rPr>
              <w:t>40</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2EB25516" w14:textId="54EE9F4C">
            <w:pPr>
              <w:jc w:val="center"/>
              <w:rPr>
                <w:sz w:val="22"/>
                <w:szCs w:val="22"/>
              </w:rPr>
            </w:pPr>
            <w:r w:rsidRPr="003313BE">
              <w:rPr>
                <w:color w:val="000000"/>
                <w:sz w:val="22"/>
                <w:szCs w:val="22"/>
              </w:rPr>
              <w:t>202</w:t>
            </w:r>
            <w:r w:rsidR="00B5118D">
              <w:rPr>
                <w:color w:val="000000"/>
                <w:sz w:val="22"/>
                <w:szCs w:val="22"/>
              </w:rPr>
              <w:t>3</w:t>
            </w:r>
          </w:p>
        </w:tc>
        <w:tc>
          <w:tcPr>
            <w:tcW w:w="1634" w:type="dxa"/>
            <w:tcBorders>
              <w:top w:val="single" w:color="auto" w:sz="4" w:space="0"/>
              <w:left w:val="single" w:color="auto" w:sz="4" w:space="0"/>
              <w:bottom w:val="single" w:color="auto" w:sz="4" w:space="0"/>
              <w:right w:val="single" w:color="auto" w:sz="4" w:space="0"/>
            </w:tcBorders>
          </w:tcPr>
          <w:p w:rsidRPr="003313BE" w:rsidR="003313BE" w:rsidP="003313BE" w:rsidRDefault="00BA6438" w14:paraId="0A76FE98" w14:textId="2BBC36D5">
            <w:pPr>
              <w:jc w:val="center"/>
              <w:rPr>
                <w:color w:val="000000"/>
                <w:sz w:val="22"/>
                <w:szCs w:val="22"/>
              </w:rPr>
            </w:pPr>
            <w:r>
              <w:rPr>
                <w:color w:val="000000"/>
                <w:sz w:val="22"/>
                <w:szCs w:val="22"/>
              </w:rPr>
              <w:t>$840.00</w:t>
            </w:r>
          </w:p>
        </w:tc>
      </w:tr>
      <w:tr w:rsidRPr="00230F87" w:rsidR="003313BE" w:rsidTr="009F423E"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313BE" w:rsidR="003313BE" w:rsidP="003313BE" w:rsidRDefault="003313BE" w14:paraId="4CFDAB24" w14:textId="4EEFE7CE">
            <w:pPr>
              <w:jc w:val="center"/>
              <w:rPr>
                <w:sz w:val="22"/>
                <w:szCs w:val="22"/>
                <w:shd w:val="clear" w:color="auto" w:fill="CCFFCC"/>
              </w:rPr>
            </w:pPr>
            <w:r w:rsidRPr="003313BE">
              <w:rPr>
                <w:color w:val="000000"/>
                <w:sz w:val="22"/>
                <w:szCs w:val="22"/>
              </w:rPr>
              <w:t>Robert</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3A9B4F75" w14:textId="675A16DE">
            <w:pPr>
              <w:jc w:val="center"/>
              <w:rPr>
                <w:sz w:val="22"/>
                <w:szCs w:val="22"/>
                <w:shd w:val="clear" w:color="auto" w:fill="CCFFCC"/>
              </w:rPr>
            </w:pPr>
            <w:r w:rsidRPr="003313BE">
              <w:rPr>
                <w:color w:val="000000"/>
                <w:sz w:val="22"/>
                <w:szCs w:val="22"/>
              </w:rPr>
              <w:t>Finkelstein</w:t>
            </w:r>
          </w:p>
        </w:tc>
        <w:tc>
          <w:tcPr>
            <w:tcW w:w="208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73440B00" w14:textId="674A8230">
            <w:pPr>
              <w:jc w:val="center"/>
              <w:rPr>
                <w:sz w:val="22"/>
                <w:szCs w:val="22"/>
                <w:shd w:val="clear" w:color="auto" w:fill="CCFFCC"/>
              </w:rPr>
            </w:pPr>
            <w:r w:rsidRPr="003313BE">
              <w:rPr>
                <w:color w:val="000000"/>
                <w:sz w:val="22"/>
                <w:szCs w:val="22"/>
              </w:rPr>
              <w:t xml:space="preserve">Attorney </w:t>
            </w:r>
          </w:p>
        </w:tc>
        <w:tc>
          <w:tcPr>
            <w:tcW w:w="174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1466F47E" w14:textId="0E78A0E4">
            <w:pPr>
              <w:jc w:val="center"/>
              <w:rPr>
                <w:sz w:val="22"/>
                <w:szCs w:val="22"/>
              </w:rPr>
            </w:pPr>
            <w:r w:rsidRPr="003313BE">
              <w:rPr>
                <w:color w:val="000000"/>
                <w:sz w:val="22"/>
                <w:szCs w:val="22"/>
              </w:rPr>
              <w:t>$</w:t>
            </w:r>
            <w:r w:rsidR="00B5118D">
              <w:rPr>
                <w:color w:val="000000"/>
                <w:sz w:val="22"/>
                <w:szCs w:val="22"/>
              </w:rPr>
              <w:t>905</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4CBE320E" w14:textId="28A877FF">
            <w:pPr>
              <w:jc w:val="center"/>
              <w:rPr>
                <w:sz w:val="22"/>
                <w:szCs w:val="22"/>
              </w:rPr>
            </w:pPr>
            <w:r>
              <w:rPr>
                <w:color w:val="000000"/>
                <w:sz w:val="22"/>
                <w:szCs w:val="22"/>
              </w:rPr>
              <w:t>2025</w:t>
            </w:r>
          </w:p>
        </w:tc>
        <w:tc>
          <w:tcPr>
            <w:tcW w:w="1634" w:type="dxa"/>
            <w:tcBorders>
              <w:top w:val="single" w:color="auto" w:sz="4" w:space="0"/>
              <w:left w:val="single" w:color="auto" w:sz="4" w:space="0"/>
              <w:bottom w:val="single" w:color="auto" w:sz="4" w:space="0"/>
              <w:right w:val="single" w:color="auto" w:sz="4" w:space="0"/>
            </w:tcBorders>
          </w:tcPr>
          <w:p w:rsidRPr="003313BE" w:rsidR="003313BE" w:rsidP="003313BE" w:rsidRDefault="00BA6438" w14:paraId="37932A57" w14:textId="3F9461DF">
            <w:pPr>
              <w:jc w:val="center"/>
              <w:rPr>
                <w:color w:val="000000"/>
                <w:sz w:val="22"/>
                <w:szCs w:val="22"/>
              </w:rPr>
            </w:pPr>
            <w:r>
              <w:rPr>
                <w:color w:val="000000"/>
                <w:sz w:val="22"/>
                <w:szCs w:val="22"/>
              </w:rPr>
              <w:t>$905.00</w:t>
            </w:r>
          </w:p>
        </w:tc>
      </w:tr>
      <w:tr w:rsidRPr="00230F87" w:rsidR="003313BE" w:rsidTr="009F423E"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313BE" w:rsidR="003313BE" w:rsidP="003313BE" w:rsidRDefault="00B5118D" w14:paraId="65C04662" w14:textId="5B8286A3">
            <w:pPr>
              <w:jc w:val="center"/>
              <w:rPr>
                <w:sz w:val="22"/>
                <w:szCs w:val="22"/>
                <w:shd w:val="clear" w:color="auto" w:fill="CCFFCC"/>
              </w:rPr>
            </w:pPr>
            <w:r>
              <w:rPr>
                <w:color w:val="000000"/>
                <w:sz w:val="22"/>
                <w:szCs w:val="22"/>
              </w:rPr>
              <w:t>Eric</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1C590887" w14:textId="6A4A86FD">
            <w:pPr>
              <w:jc w:val="center"/>
              <w:rPr>
                <w:sz w:val="22"/>
                <w:szCs w:val="22"/>
                <w:shd w:val="clear" w:color="auto" w:fill="CCFFCC"/>
              </w:rPr>
            </w:pPr>
            <w:r>
              <w:rPr>
                <w:color w:val="000000"/>
                <w:sz w:val="22"/>
                <w:szCs w:val="22"/>
              </w:rPr>
              <w:t>Borden</w:t>
            </w:r>
            <w:r w:rsidR="002713DB">
              <w:rPr>
                <w:rStyle w:val="FootnoteReference"/>
                <w:color w:val="000000"/>
                <w:sz w:val="22"/>
                <w:szCs w:val="22"/>
              </w:rPr>
              <w:footnoteReference w:id="5"/>
            </w:r>
          </w:p>
        </w:tc>
        <w:tc>
          <w:tcPr>
            <w:tcW w:w="208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1EA8DE3D" w14:textId="3D93DCDC">
            <w:pPr>
              <w:jc w:val="center"/>
              <w:rPr>
                <w:sz w:val="22"/>
                <w:szCs w:val="22"/>
                <w:shd w:val="clear" w:color="auto" w:fill="CCFFCC"/>
              </w:rPr>
            </w:pPr>
            <w:r>
              <w:rPr>
                <w:color w:val="000000"/>
                <w:sz w:val="22"/>
                <w:szCs w:val="22"/>
              </w:rPr>
              <w:t>Expert</w:t>
            </w:r>
          </w:p>
        </w:tc>
        <w:tc>
          <w:tcPr>
            <w:tcW w:w="174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4F6290AB" w14:textId="584BB0BE">
            <w:pPr>
              <w:jc w:val="center"/>
              <w:rPr>
                <w:sz w:val="22"/>
                <w:szCs w:val="22"/>
              </w:rPr>
            </w:pPr>
            <w:r>
              <w:rPr>
                <w:color w:val="000000"/>
                <w:sz w:val="22"/>
                <w:szCs w:val="22"/>
              </w:rPr>
              <w:t>$465</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1354C70A" w14:textId="57C11162">
            <w:pPr>
              <w:jc w:val="center"/>
              <w:rPr>
                <w:sz w:val="22"/>
                <w:szCs w:val="22"/>
              </w:rPr>
            </w:pPr>
            <w:r>
              <w:rPr>
                <w:color w:val="000000"/>
                <w:sz w:val="22"/>
                <w:szCs w:val="22"/>
              </w:rPr>
              <w:t>2023</w:t>
            </w:r>
          </w:p>
        </w:tc>
        <w:tc>
          <w:tcPr>
            <w:tcW w:w="1634" w:type="dxa"/>
            <w:tcBorders>
              <w:top w:val="single" w:color="auto" w:sz="4" w:space="0"/>
              <w:left w:val="single" w:color="auto" w:sz="4" w:space="0"/>
              <w:bottom w:val="single" w:color="auto" w:sz="4" w:space="0"/>
              <w:right w:val="single" w:color="auto" w:sz="4" w:space="0"/>
            </w:tcBorders>
          </w:tcPr>
          <w:p w:rsidRPr="003313BE" w:rsidR="003313BE" w:rsidP="003313BE" w:rsidRDefault="00BA6438" w14:paraId="36649915" w14:textId="7360D25B">
            <w:pPr>
              <w:jc w:val="center"/>
              <w:rPr>
                <w:color w:val="000000"/>
                <w:sz w:val="22"/>
                <w:szCs w:val="22"/>
              </w:rPr>
            </w:pPr>
            <w:r>
              <w:rPr>
                <w:color w:val="000000"/>
                <w:sz w:val="22"/>
                <w:szCs w:val="22"/>
              </w:rPr>
              <w:t>$465.00</w:t>
            </w:r>
          </w:p>
        </w:tc>
      </w:tr>
      <w:tr w:rsidRPr="00230F87" w:rsidR="003313BE" w:rsidTr="009F423E"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313BE" w:rsidR="003313BE" w:rsidP="003313BE" w:rsidRDefault="00B5118D" w14:paraId="71BF257F" w14:textId="53987215">
            <w:pPr>
              <w:jc w:val="center"/>
              <w:rPr>
                <w:sz w:val="22"/>
                <w:szCs w:val="22"/>
                <w:shd w:val="clear" w:color="auto" w:fill="CCFFCC"/>
              </w:rPr>
            </w:pPr>
            <w:r>
              <w:rPr>
                <w:color w:val="000000"/>
                <w:sz w:val="22"/>
                <w:szCs w:val="22"/>
              </w:rPr>
              <w:t>Hayley</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4D0E5B24" w14:textId="3158189D">
            <w:pPr>
              <w:jc w:val="center"/>
              <w:rPr>
                <w:sz w:val="22"/>
                <w:szCs w:val="22"/>
                <w:shd w:val="clear" w:color="auto" w:fill="CCFFCC"/>
              </w:rPr>
            </w:pPr>
            <w:r>
              <w:rPr>
                <w:color w:val="000000"/>
                <w:sz w:val="22"/>
                <w:szCs w:val="22"/>
              </w:rPr>
              <w:t>Goodson</w:t>
            </w:r>
          </w:p>
        </w:tc>
        <w:tc>
          <w:tcPr>
            <w:tcW w:w="208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3ACB6465" w14:textId="757C1D7D">
            <w:pPr>
              <w:jc w:val="center"/>
              <w:rPr>
                <w:sz w:val="22"/>
                <w:szCs w:val="22"/>
                <w:shd w:val="clear" w:color="auto" w:fill="CCFFCC"/>
              </w:rPr>
            </w:pPr>
            <w:r w:rsidRPr="003313BE">
              <w:rPr>
                <w:color w:val="000000"/>
                <w:sz w:val="22"/>
                <w:szCs w:val="22"/>
              </w:rPr>
              <w:t xml:space="preserve">Attorney </w:t>
            </w:r>
          </w:p>
        </w:tc>
        <w:tc>
          <w:tcPr>
            <w:tcW w:w="174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27D75B3F" w14:textId="312D6F50">
            <w:pPr>
              <w:jc w:val="center"/>
              <w:rPr>
                <w:sz w:val="22"/>
                <w:szCs w:val="22"/>
              </w:rPr>
            </w:pPr>
            <w:r>
              <w:rPr>
                <w:color w:val="000000"/>
                <w:sz w:val="22"/>
                <w:szCs w:val="22"/>
              </w:rPr>
              <w:t>$625</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3313BE" w14:paraId="0BD45097" w14:textId="36C534EF">
            <w:pPr>
              <w:jc w:val="center"/>
              <w:rPr>
                <w:sz w:val="22"/>
                <w:szCs w:val="22"/>
              </w:rPr>
            </w:pPr>
            <w:r w:rsidRPr="003313BE">
              <w:rPr>
                <w:color w:val="000000"/>
                <w:sz w:val="22"/>
                <w:szCs w:val="22"/>
              </w:rPr>
              <w:t>2023</w:t>
            </w:r>
          </w:p>
        </w:tc>
        <w:tc>
          <w:tcPr>
            <w:tcW w:w="1634" w:type="dxa"/>
            <w:tcBorders>
              <w:top w:val="single" w:color="auto" w:sz="4" w:space="0"/>
              <w:left w:val="single" w:color="auto" w:sz="4" w:space="0"/>
              <w:bottom w:val="single" w:color="auto" w:sz="4" w:space="0"/>
              <w:right w:val="single" w:color="auto" w:sz="4" w:space="0"/>
            </w:tcBorders>
          </w:tcPr>
          <w:p w:rsidRPr="003313BE" w:rsidR="003313BE" w:rsidP="003313BE" w:rsidRDefault="009F423E" w14:paraId="6B245605" w14:textId="5F0CF76D">
            <w:pPr>
              <w:jc w:val="center"/>
              <w:rPr>
                <w:color w:val="000000"/>
                <w:sz w:val="22"/>
                <w:szCs w:val="22"/>
              </w:rPr>
            </w:pPr>
            <w:r>
              <w:rPr>
                <w:color w:val="000000"/>
                <w:sz w:val="22"/>
                <w:szCs w:val="22"/>
              </w:rPr>
              <w:t>$625.00</w:t>
            </w:r>
          </w:p>
        </w:tc>
      </w:tr>
      <w:tr w:rsidRPr="00230F87" w:rsidR="003313BE" w:rsidTr="009F423E"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313BE" w:rsidR="003313BE" w:rsidP="003313BE" w:rsidRDefault="00B5118D" w14:paraId="115C1393" w14:textId="16E05962">
            <w:pPr>
              <w:jc w:val="center"/>
              <w:rPr>
                <w:sz w:val="22"/>
                <w:szCs w:val="22"/>
                <w:shd w:val="clear" w:color="auto" w:fill="CCFFCC"/>
              </w:rPr>
            </w:pPr>
            <w:r>
              <w:rPr>
                <w:color w:val="000000"/>
                <w:sz w:val="22"/>
                <w:szCs w:val="22"/>
              </w:rPr>
              <w:t>Sylvie</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1467A27B" w14:textId="159F4622">
            <w:pPr>
              <w:jc w:val="center"/>
              <w:rPr>
                <w:sz w:val="22"/>
                <w:szCs w:val="22"/>
                <w:shd w:val="clear" w:color="auto" w:fill="CCFFCC"/>
              </w:rPr>
            </w:pPr>
            <w:r>
              <w:rPr>
                <w:color w:val="000000"/>
                <w:sz w:val="22"/>
                <w:szCs w:val="22"/>
              </w:rPr>
              <w:t>Ashford</w:t>
            </w:r>
          </w:p>
        </w:tc>
        <w:tc>
          <w:tcPr>
            <w:tcW w:w="208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66D10560" w14:textId="728A0988">
            <w:pPr>
              <w:jc w:val="center"/>
              <w:rPr>
                <w:sz w:val="22"/>
                <w:szCs w:val="22"/>
                <w:shd w:val="clear" w:color="auto" w:fill="CCFFCC"/>
              </w:rPr>
            </w:pPr>
            <w:r>
              <w:rPr>
                <w:color w:val="000000"/>
                <w:sz w:val="22"/>
                <w:szCs w:val="22"/>
              </w:rPr>
              <w:t>Expert</w:t>
            </w:r>
            <w:r w:rsidR="00F37AB5">
              <w:rPr>
                <w:rStyle w:val="FootnoteReference"/>
                <w:color w:val="000000"/>
                <w:sz w:val="22"/>
                <w:szCs w:val="22"/>
              </w:rPr>
              <w:footnoteReference w:id="6"/>
            </w:r>
          </w:p>
        </w:tc>
        <w:tc>
          <w:tcPr>
            <w:tcW w:w="1748"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7BC812A8" w14:textId="3A42DB5A">
            <w:pPr>
              <w:jc w:val="center"/>
              <w:rPr>
                <w:sz w:val="22"/>
                <w:szCs w:val="22"/>
              </w:rPr>
            </w:pPr>
            <w:r>
              <w:rPr>
                <w:color w:val="000000"/>
                <w:sz w:val="22"/>
                <w:szCs w:val="22"/>
              </w:rPr>
              <w:t>$265</w:t>
            </w:r>
          </w:p>
        </w:tc>
        <w:tc>
          <w:tcPr>
            <w:tcW w:w="1725" w:type="dxa"/>
            <w:tcBorders>
              <w:top w:val="single" w:color="auto" w:sz="4" w:space="0"/>
              <w:left w:val="single" w:color="auto" w:sz="4" w:space="0"/>
              <w:bottom w:val="single" w:color="auto" w:sz="4" w:space="0"/>
              <w:right w:val="single" w:color="auto" w:sz="4" w:space="0"/>
            </w:tcBorders>
            <w:vAlign w:val="bottom"/>
          </w:tcPr>
          <w:p w:rsidRPr="003313BE" w:rsidR="003313BE" w:rsidP="003313BE" w:rsidRDefault="00B5118D" w14:paraId="4580AE9E" w14:textId="219ACD92">
            <w:pPr>
              <w:jc w:val="center"/>
              <w:rPr>
                <w:sz w:val="22"/>
                <w:szCs w:val="22"/>
              </w:rPr>
            </w:pPr>
            <w:r>
              <w:rPr>
                <w:color w:val="000000"/>
                <w:sz w:val="22"/>
                <w:szCs w:val="22"/>
              </w:rPr>
              <w:t>2025</w:t>
            </w:r>
          </w:p>
        </w:tc>
        <w:tc>
          <w:tcPr>
            <w:tcW w:w="1634" w:type="dxa"/>
            <w:tcBorders>
              <w:top w:val="single" w:color="auto" w:sz="4" w:space="0"/>
              <w:left w:val="single" w:color="auto" w:sz="4" w:space="0"/>
              <w:bottom w:val="single" w:color="auto" w:sz="4" w:space="0"/>
              <w:right w:val="single" w:color="auto" w:sz="4" w:space="0"/>
            </w:tcBorders>
          </w:tcPr>
          <w:p w:rsidRPr="003313BE" w:rsidR="003313BE" w:rsidP="003313BE" w:rsidRDefault="009F423E" w14:paraId="74B7B957" w14:textId="44A40BD9">
            <w:pPr>
              <w:jc w:val="center"/>
              <w:rPr>
                <w:color w:val="000000"/>
                <w:sz w:val="22"/>
                <w:szCs w:val="22"/>
              </w:rPr>
            </w:pPr>
            <w:r>
              <w:rPr>
                <w:color w:val="000000"/>
                <w:sz w:val="22"/>
                <w:szCs w:val="22"/>
              </w:rPr>
              <w:t>$265.00</w:t>
            </w:r>
          </w:p>
        </w:tc>
      </w:tr>
    </w:tbl>
    <w:p w:rsidR="000C6F7E" w:rsidP="00380EBC" w:rsidRDefault="000C6F7E" w14:paraId="48DDA58E" w14:textId="77777777">
      <w:pPr>
        <w:jc w:val="center"/>
        <w:rPr>
          <w:rFonts w:asciiTheme="majorBidi" w:hAnsiTheme="majorBidi" w:cstheme="majorBidi"/>
          <w:b/>
        </w:rPr>
      </w:pPr>
    </w:p>
    <w:p w:rsidR="000C6F7E" w:rsidP="00380EBC" w:rsidRDefault="000C6F7E" w14:paraId="7C910223" w14:textId="77777777">
      <w:pPr>
        <w:jc w:val="center"/>
        <w:rPr>
          <w:rFonts w:asciiTheme="majorBidi" w:hAnsiTheme="majorBidi" w:cstheme="majorBidi"/>
          <w:b/>
        </w:rPr>
      </w:pPr>
    </w:p>
    <w:p w:rsidRPr="00380EBC" w:rsidR="00380EBC" w:rsidP="00970A39" w:rsidRDefault="00380EBC" w14:paraId="6F3BA47F" w14:textId="1CDF4ED3">
      <w:pPr>
        <w:jc w:val="center"/>
        <w:rPr>
          <w:b/>
        </w:rPr>
      </w:pPr>
      <w:r w:rsidRPr="00230F87">
        <w:rPr>
          <w:rFonts w:asciiTheme="majorBidi" w:hAnsiTheme="majorBidi" w:cstheme="majorBidi"/>
          <w:b/>
        </w:rPr>
        <w:t>(END OF APPEND</w:t>
      </w:r>
      <w:r w:rsidRPr="00B803D5">
        <w:rPr>
          <w:b/>
          <w:szCs w:val="26"/>
        </w:rPr>
        <w:t>IX</w:t>
      </w:r>
      <w:r w:rsidRPr="00B803D5">
        <w:rPr>
          <w:b/>
        </w:rPr>
        <w:t>)</w:t>
      </w:r>
    </w:p>
    <w:sectPr w:rsidRPr="00380EBC" w:rsidR="00380EBC" w:rsidSect="00032923">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23A5" w14:textId="77777777" w:rsidR="000E4AA7" w:rsidRDefault="000E4AA7" w:rsidP="00885956">
      <w:r>
        <w:separator/>
      </w:r>
    </w:p>
  </w:endnote>
  <w:endnote w:type="continuationSeparator" w:id="0">
    <w:p w14:paraId="193CE884" w14:textId="77777777" w:rsidR="000E4AA7" w:rsidRDefault="000E4AA7"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2FD3F18D" w:rsidR="00CF1129" w:rsidRDefault="000D5C9B" w:rsidP="002F0014">
        <w:pPr>
          <w:pStyle w:val="Footer"/>
          <w:tabs>
            <w:tab w:val="left" w:pos="645"/>
          </w:tabs>
        </w:pPr>
        <w:r w:rsidRPr="000D5C9B">
          <w:rPr>
            <w:sz w:val="16"/>
            <w:szCs w:val="16"/>
          </w:rPr>
          <w:t>605141359</w:t>
        </w:r>
        <w:r w:rsidR="002F0014">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9051" w14:textId="77777777" w:rsidR="000E4AA7" w:rsidRDefault="000E4AA7" w:rsidP="00885956">
      <w:r>
        <w:separator/>
      </w:r>
    </w:p>
  </w:footnote>
  <w:footnote w:type="continuationSeparator" w:id="0">
    <w:p w14:paraId="7E864C2F" w14:textId="77777777" w:rsidR="000E4AA7" w:rsidRDefault="000E4AA7"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2951A6A1" w:rsidR="00ED5DBB" w:rsidRPr="00DE3A5D" w:rsidRDefault="00ED5DBB"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ed through the State Bar of California’s website at</w:t>
      </w:r>
      <w:r w:rsidR="00A66BBE">
        <w:rPr>
          <w:color w:val="000000"/>
        </w:rPr>
        <w:t xml:space="preserve"> </w:t>
      </w:r>
      <w:hyperlink r:id="rId1" w:history="1">
        <w:r w:rsidR="00A66BBE" w:rsidRPr="004A1F5A">
          <w:rPr>
            <w:rStyle w:val="Hyperlink"/>
          </w:rPr>
          <w:t>http://members.calbar.ca.gov/fal/MemberSearch/QuickSearch</w:t>
        </w:r>
      </w:hyperlink>
      <w:r w:rsidR="00A66BBE">
        <w:rPr>
          <w:color w:val="000000"/>
        </w:rPr>
        <w:t xml:space="preserve"> .</w:t>
      </w:r>
    </w:p>
  </w:footnote>
  <w:footnote w:id="3">
    <w:p w14:paraId="352DFB20" w14:textId="07B303EE" w:rsidR="00652A59" w:rsidRDefault="00652A59">
      <w:pPr>
        <w:pStyle w:val="FootnoteText"/>
      </w:pPr>
      <w:r>
        <w:rPr>
          <w:rStyle w:val="FootnoteReference"/>
        </w:rPr>
        <w:footnoteRef/>
      </w:r>
      <w:r>
        <w:t xml:space="preserve"> A</w:t>
      </w:r>
      <w:r w:rsidRPr="00652A59">
        <w:t xml:space="preserve">ttachments not </w:t>
      </w:r>
      <w:r w:rsidR="00C7661E">
        <w:t>included in</w:t>
      </w:r>
      <w:r w:rsidRPr="00652A59">
        <w:t xml:space="preserve"> final Decision</w:t>
      </w:r>
      <w:r w:rsidR="002671CC">
        <w:t>.</w:t>
      </w:r>
    </w:p>
  </w:footnote>
  <w:footnote w:id="4">
    <w:p w14:paraId="6FE6A839" w14:textId="77777777" w:rsidR="00FC27AE" w:rsidRDefault="00FC27AE" w:rsidP="00FC27AE">
      <w:pPr>
        <w:pStyle w:val="FootnoteText"/>
      </w:pPr>
      <w:r>
        <w:rPr>
          <w:rStyle w:val="FootnoteReference"/>
        </w:rPr>
        <w:footnoteRef/>
      </w:r>
      <w:r>
        <w:t xml:space="preserve"> </w:t>
      </w:r>
      <w:r w:rsidRPr="00BA6438">
        <w:t>D.07-01-009, D.08-04-010, and ALJ Resolution ALJ 235.</w:t>
      </w:r>
    </w:p>
  </w:footnote>
  <w:footnote w:id="5">
    <w:p w14:paraId="482982F2" w14:textId="6A665FD5" w:rsidR="002713DB" w:rsidRDefault="002713DB">
      <w:pPr>
        <w:pStyle w:val="FootnoteText"/>
      </w:pPr>
      <w:r>
        <w:rPr>
          <w:rStyle w:val="FootnoteReference"/>
        </w:rPr>
        <w:footnoteRef/>
      </w:r>
      <w:r>
        <w:t xml:space="preserve"> Eric Borden served as a consultant in 2023.</w:t>
      </w:r>
    </w:p>
  </w:footnote>
  <w:footnote w:id="6">
    <w:p w14:paraId="349C9D2B" w14:textId="47D40265" w:rsidR="00F37AB5" w:rsidRDefault="00F37AB5">
      <w:pPr>
        <w:pStyle w:val="FootnoteText"/>
      </w:pPr>
      <w:r>
        <w:rPr>
          <w:rStyle w:val="FootnoteReference"/>
        </w:rPr>
        <w:footnoteRef/>
      </w:r>
      <w:r>
        <w:t xml:space="preserve"> Sylvie Ashford served as a consultant in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9E48" w14:textId="733F39AC" w:rsidR="003173FA" w:rsidRDefault="003173FA">
    <w:pPr>
      <w:pStyle w:val="Header"/>
    </w:pPr>
    <w:r>
      <w:t>A.22-12-</w:t>
    </w:r>
    <w:proofErr w:type="gramStart"/>
    <w:r>
      <w:t>009  ALJ</w:t>
    </w:r>
    <w:proofErr w:type="gramEnd"/>
    <w:r>
      <w:t>/KWZ/vj4</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923"/>
    <w:multiLevelType w:val="hybridMultilevel"/>
    <w:tmpl w:val="69681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56FEB"/>
    <w:multiLevelType w:val="hybridMultilevel"/>
    <w:tmpl w:val="32A4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41FD"/>
    <w:multiLevelType w:val="hybridMultilevel"/>
    <w:tmpl w:val="6968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484DE9"/>
    <w:multiLevelType w:val="hybridMultilevel"/>
    <w:tmpl w:val="69681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15:restartNumberingAfterBreak="0">
    <w:nsid w:val="6F753109"/>
    <w:multiLevelType w:val="hybridMultilevel"/>
    <w:tmpl w:val="4F84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23F87"/>
    <w:multiLevelType w:val="hybridMultilevel"/>
    <w:tmpl w:val="484E3342"/>
    <w:lvl w:ilvl="0" w:tplc="BC1E43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27156"/>
    <w:multiLevelType w:val="hybridMultilevel"/>
    <w:tmpl w:val="986E2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5"/>
  </w:num>
  <w:num w:numId="2" w16cid:durableId="296566636">
    <w:abstractNumId w:val="3"/>
  </w:num>
  <w:num w:numId="3" w16cid:durableId="2098595014">
    <w:abstractNumId w:val="16"/>
  </w:num>
  <w:num w:numId="4" w16cid:durableId="1312905431">
    <w:abstractNumId w:val="9"/>
  </w:num>
  <w:num w:numId="5" w16cid:durableId="417093550">
    <w:abstractNumId w:val="6"/>
  </w:num>
  <w:num w:numId="6" w16cid:durableId="1486429129">
    <w:abstractNumId w:val="11"/>
  </w:num>
  <w:num w:numId="7" w16cid:durableId="258221757">
    <w:abstractNumId w:val="7"/>
  </w:num>
  <w:num w:numId="8" w16cid:durableId="842936081">
    <w:abstractNumId w:val="10"/>
  </w:num>
  <w:num w:numId="9" w16cid:durableId="1685205339">
    <w:abstractNumId w:val="4"/>
  </w:num>
  <w:num w:numId="10" w16cid:durableId="789317941">
    <w:abstractNumId w:val="5"/>
  </w:num>
  <w:num w:numId="11" w16cid:durableId="665520878">
    <w:abstractNumId w:val="2"/>
  </w:num>
  <w:num w:numId="12" w16cid:durableId="892694745">
    <w:abstractNumId w:val="8"/>
  </w:num>
  <w:num w:numId="13" w16cid:durableId="1009407130">
    <w:abstractNumId w:val="0"/>
  </w:num>
  <w:num w:numId="14" w16cid:durableId="1363288458">
    <w:abstractNumId w:val="14"/>
  </w:num>
  <w:num w:numId="15" w16cid:durableId="496387782">
    <w:abstractNumId w:val="13"/>
  </w:num>
  <w:num w:numId="16" w16cid:durableId="1544946391">
    <w:abstractNumId w:val="12"/>
  </w:num>
  <w:num w:numId="17" w16cid:durableId="115099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12B"/>
    <w:rsid w:val="00003A49"/>
    <w:rsid w:val="00004CB3"/>
    <w:rsid w:val="00010385"/>
    <w:rsid w:val="00011CAD"/>
    <w:rsid w:val="000215C4"/>
    <w:rsid w:val="00026A15"/>
    <w:rsid w:val="00032923"/>
    <w:rsid w:val="00034492"/>
    <w:rsid w:val="00036F54"/>
    <w:rsid w:val="00040A67"/>
    <w:rsid w:val="00043CDE"/>
    <w:rsid w:val="00045A2F"/>
    <w:rsid w:val="000505F1"/>
    <w:rsid w:val="00051A0B"/>
    <w:rsid w:val="0005538D"/>
    <w:rsid w:val="00055843"/>
    <w:rsid w:val="000654EA"/>
    <w:rsid w:val="00070291"/>
    <w:rsid w:val="000714AD"/>
    <w:rsid w:val="0007284F"/>
    <w:rsid w:val="00072C81"/>
    <w:rsid w:val="00073262"/>
    <w:rsid w:val="0008182A"/>
    <w:rsid w:val="00083700"/>
    <w:rsid w:val="00085C40"/>
    <w:rsid w:val="00094792"/>
    <w:rsid w:val="000971C0"/>
    <w:rsid w:val="000A0AC6"/>
    <w:rsid w:val="000C4D01"/>
    <w:rsid w:val="000C6F7E"/>
    <w:rsid w:val="000D0E8F"/>
    <w:rsid w:val="000D399D"/>
    <w:rsid w:val="000D5C9B"/>
    <w:rsid w:val="000D6CA0"/>
    <w:rsid w:val="000D6DF8"/>
    <w:rsid w:val="000E29FE"/>
    <w:rsid w:val="000E41D9"/>
    <w:rsid w:val="000E4AA7"/>
    <w:rsid w:val="000E6ABD"/>
    <w:rsid w:val="000F595C"/>
    <w:rsid w:val="000F6917"/>
    <w:rsid w:val="000F7638"/>
    <w:rsid w:val="000F7670"/>
    <w:rsid w:val="00101F07"/>
    <w:rsid w:val="0010480F"/>
    <w:rsid w:val="00110D89"/>
    <w:rsid w:val="00113464"/>
    <w:rsid w:val="00113494"/>
    <w:rsid w:val="00117426"/>
    <w:rsid w:val="00123103"/>
    <w:rsid w:val="00125492"/>
    <w:rsid w:val="001346EB"/>
    <w:rsid w:val="001364D7"/>
    <w:rsid w:val="00140E9D"/>
    <w:rsid w:val="00141A4E"/>
    <w:rsid w:val="001471B1"/>
    <w:rsid w:val="00147909"/>
    <w:rsid w:val="00151AA8"/>
    <w:rsid w:val="00152F94"/>
    <w:rsid w:val="00163917"/>
    <w:rsid w:val="0016489F"/>
    <w:rsid w:val="00170667"/>
    <w:rsid w:val="00171EBF"/>
    <w:rsid w:val="00173BC8"/>
    <w:rsid w:val="0017407A"/>
    <w:rsid w:val="00175865"/>
    <w:rsid w:val="00176F71"/>
    <w:rsid w:val="0017761D"/>
    <w:rsid w:val="00180E8C"/>
    <w:rsid w:val="00185B46"/>
    <w:rsid w:val="00191DC1"/>
    <w:rsid w:val="001933CB"/>
    <w:rsid w:val="001962E8"/>
    <w:rsid w:val="001962EB"/>
    <w:rsid w:val="001A0B4D"/>
    <w:rsid w:val="001A3CF3"/>
    <w:rsid w:val="001B4565"/>
    <w:rsid w:val="001C0DD1"/>
    <w:rsid w:val="001C14B7"/>
    <w:rsid w:val="001C21AE"/>
    <w:rsid w:val="001D3ED2"/>
    <w:rsid w:val="001D5DAB"/>
    <w:rsid w:val="001D63DA"/>
    <w:rsid w:val="001E6479"/>
    <w:rsid w:val="001E77CF"/>
    <w:rsid w:val="001E7EE2"/>
    <w:rsid w:val="001F238E"/>
    <w:rsid w:val="001F42FB"/>
    <w:rsid w:val="00201984"/>
    <w:rsid w:val="00202413"/>
    <w:rsid w:val="00204E3A"/>
    <w:rsid w:val="00205AE1"/>
    <w:rsid w:val="00212E10"/>
    <w:rsid w:val="00214B22"/>
    <w:rsid w:val="00216746"/>
    <w:rsid w:val="00217224"/>
    <w:rsid w:val="00217B8B"/>
    <w:rsid w:val="0022302F"/>
    <w:rsid w:val="00225B75"/>
    <w:rsid w:val="00230392"/>
    <w:rsid w:val="00230F87"/>
    <w:rsid w:val="00237448"/>
    <w:rsid w:val="002415DC"/>
    <w:rsid w:val="00244E4E"/>
    <w:rsid w:val="00245F87"/>
    <w:rsid w:val="002466F8"/>
    <w:rsid w:val="00256F00"/>
    <w:rsid w:val="00260518"/>
    <w:rsid w:val="00264333"/>
    <w:rsid w:val="00266BD2"/>
    <w:rsid w:val="002671CC"/>
    <w:rsid w:val="00270E2E"/>
    <w:rsid w:val="002713DB"/>
    <w:rsid w:val="0027155F"/>
    <w:rsid w:val="00273208"/>
    <w:rsid w:val="00275E43"/>
    <w:rsid w:val="002766F1"/>
    <w:rsid w:val="002777AE"/>
    <w:rsid w:val="00277B9E"/>
    <w:rsid w:val="002800DF"/>
    <w:rsid w:val="0029471B"/>
    <w:rsid w:val="002A2A0D"/>
    <w:rsid w:val="002A6C07"/>
    <w:rsid w:val="002A7BF0"/>
    <w:rsid w:val="002B197A"/>
    <w:rsid w:val="002B4645"/>
    <w:rsid w:val="002C3FA8"/>
    <w:rsid w:val="002C75E6"/>
    <w:rsid w:val="002D21CA"/>
    <w:rsid w:val="002D25F5"/>
    <w:rsid w:val="002D4186"/>
    <w:rsid w:val="002D4E7E"/>
    <w:rsid w:val="002D53AA"/>
    <w:rsid w:val="002D5893"/>
    <w:rsid w:val="002E58AC"/>
    <w:rsid w:val="002E5F83"/>
    <w:rsid w:val="002E77D8"/>
    <w:rsid w:val="002F0014"/>
    <w:rsid w:val="002F1799"/>
    <w:rsid w:val="002F381C"/>
    <w:rsid w:val="002F685D"/>
    <w:rsid w:val="003009F1"/>
    <w:rsid w:val="00303C2B"/>
    <w:rsid w:val="00310A0D"/>
    <w:rsid w:val="00311F17"/>
    <w:rsid w:val="003120E3"/>
    <w:rsid w:val="00312780"/>
    <w:rsid w:val="00315B22"/>
    <w:rsid w:val="003173FA"/>
    <w:rsid w:val="00330FAD"/>
    <w:rsid w:val="003313BE"/>
    <w:rsid w:val="00334FD8"/>
    <w:rsid w:val="00335A0C"/>
    <w:rsid w:val="003501DD"/>
    <w:rsid w:val="0035254B"/>
    <w:rsid w:val="00354768"/>
    <w:rsid w:val="00357623"/>
    <w:rsid w:val="00357F1A"/>
    <w:rsid w:val="00363571"/>
    <w:rsid w:val="00366C6B"/>
    <w:rsid w:val="00367D5E"/>
    <w:rsid w:val="003708F4"/>
    <w:rsid w:val="00374FD1"/>
    <w:rsid w:val="00377884"/>
    <w:rsid w:val="00380703"/>
    <w:rsid w:val="00380EBC"/>
    <w:rsid w:val="00382942"/>
    <w:rsid w:val="00382C7F"/>
    <w:rsid w:val="00392C1A"/>
    <w:rsid w:val="0039379C"/>
    <w:rsid w:val="003942F8"/>
    <w:rsid w:val="00397907"/>
    <w:rsid w:val="003A0A52"/>
    <w:rsid w:val="003A0BE3"/>
    <w:rsid w:val="003B1782"/>
    <w:rsid w:val="003B30CB"/>
    <w:rsid w:val="003B5EAC"/>
    <w:rsid w:val="003B6A1B"/>
    <w:rsid w:val="003C0170"/>
    <w:rsid w:val="003C6044"/>
    <w:rsid w:val="003C608A"/>
    <w:rsid w:val="003C6FDE"/>
    <w:rsid w:val="003C7275"/>
    <w:rsid w:val="003D359B"/>
    <w:rsid w:val="003D4455"/>
    <w:rsid w:val="003E1050"/>
    <w:rsid w:val="003E34FD"/>
    <w:rsid w:val="003E7BC6"/>
    <w:rsid w:val="003F06EA"/>
    <w:rsid w:val="00401347"/>
    <w:rsid w:val="004028EE"/>
    <w:rsid w:val="004070C0"/>
    <w:rsid w:val="004101B7"/>
    <w:rsid w:val="00410B63"/>
    <w:rsid w:val="00412D6F"/>
    <w:rsid w:val="00421651"/>
    <w:rsid w:val="00426239"/>
    <w:rsid w:val="004277B0"/>
    <w:rsid w:val="00435A22"/>
    <w:rsid w:val="00435C30"/>
    <w:rsid w:val="00435F4C"/>
    <w:rsid w:val="00436740"/>
    <w:rsid w:val="00440245"/>
    <w:rsid w:val="0044195C"/>
    <w:rsid w:val="004436FD"/>
    <w:rsid w:val="00445C9D"/>
    <w:rsid w:val="004534E7"/>
    <w:rsid w:val="0045669D"/>
    <w:rsid w:val="00457273"/>
    <w:rsid w:val="0046248A"/>
    <w:rsid w:val="00463EC6"/>
    <w:rsid w:val="00465B4E"/>
    <w:rsid w:val="00467E65"/>
    <w:rsid w:val="0047636F"/>
    <w:rsid w:val="0047651C"/>
    <w:rsid w:val="00480BF6"/>
    <w:rsid w:val="004840D2"/>
    <w:rsid w:val="004867E6"/>
    <w:rsid w:val="00487480"/>
    <w:rsid w:val="004901B9"/>
    <w:rsid w:val="004A6FD4"/>
    <w:rsid w:val="004A725D"/>
    <w:rsid w:val="004A7685"/>
    <w:rsid w:val="004B15D9"/>
    <w:rsid w:val="004B3027"/>
    <w:rsid w:val="004B436A"/>
    <w:rsid w:val="004C0961"/>
    <w:rsid w:val="004C2B74"/>
    <w:rsid w:val="004C39A1"/>
    <w:rsid w:val="004D00D9"/>
    <w:rsid w:val="004D6B6D"/>
    <w:rsid w:val="004D779D"/>
    <w:rsid w:val="004E0395"/>
    <w:rsid w:val="004E3939"/>
    <w:rsid w:val="004E3D93"/>
    <w:rsid w:val="004F420D"/>
    <w:rsid w:val="004F55D5"/>
    <w:rsid w:val="004F7E1D"/>
    <w:rsid w:val="00501DA1"/>
    <w:rsid w:val="00502339"/>
    <w:rsid w:val="00504E1D"/>
    <w:rsid w:val="00505890"/>
    <w:rsid w:val="00514836"/>
    <w:rsid w:val="00514F2D"/>
    <w:rsid w:val="00516CE7"/>
    <w:rsid w:val="00520497"/>
    <w:rsid w:val="005215EF"/>
    <w:rsid w:val="00521B86"/>
    <w:rsid w:val="005228AB"/>
    <w:rsid w:val="00525EA8"/>
    <w:rsid w:val="00527FDB"/>
    <w:rsid w:val="00533373"/>
    <w:rsid w:val="00534F21"/>
    <w:rsid w:val="00541582"/>
    <w:rsid w:val="00547145"/>
    <w:rsid w:val="00550E25"/>
    <w:rsid w:val="00551967"/>
    <w:rsid w:val="0055228B"/>
    <w:rsid w:val="005617DC"/>
    <w:rsid w:val="005674F6"/>
    <w:rsid w:val="0057088A"/>
    <w:rsid w:val="00570AE8"/>
    <w:rsid w:val="00573840"/>
    <w:rsid w:val="00575494"/>
    <w:rsid w:val="00577780"/>
    <w:rsid w:val="005822C0"/>
    <w:rsid w:val="00585444"/>
    <w:rsid w:val="00585528"/>
    <w:rsid w:val="00585C3E"/>
    <w:rsid w:val="005912FA"/>
    <w:rsid w:val="0059289A"/>
    <w:rsid w:val="005948E1"/>
    <w:rsid w:val="005A3018"/>
    <w:rsid w:val="005A53F1"/>
    <w:rsid w:val="005A54E4"/>
    <w:rsid w:val="005A63D4"/>
    <w:rsid w:val="005A65C2"/>
    <w:rsid w:val="005A6DAD"/>
    <w:rsid w:val="005B187E"/>
    <w:rsid w:val="005B442C"/>
    <w:rsid w:val="005B5B44"/>
    <w:rsid w:val="005C327F"/>
    <w:rsid w:val="005C4627"/>
    <w:rsid w:val="005E33A3"/>
    <w:rsid w:val="005E41ED"/>
    <w:rsid w:val="005E4893"/>
    <w:rsid w:val="005E69FC"/>
    <w:rsid w:val="005E7601"/>
    <w:rsid w:val="005E760D"/>
    <w:rsid w:val="005F35EE"/>
    <w:rsid w:val="005F4D82"/>
    <w:rsid w:val="005F5FC2"/>
    <w:rsid w:val="005F76FE"/>
    <w:rsid w:val="00600416"/>
    <w:rsid w:val="006035B1"/>
    <w:rsid w:val="006107D3"/>
    <w:rsid w:val="0061098F"/>
    <w:rsid w:val="00616B52"/>
    <w:rsid w:val="00620ADB"/>
    <w:rsid w:val="00621A7C"/>
    <w:rsid w:val="00624CA0"/>
    <w:rsid w:val="00631B3E"/>
    <w:rsid w:val="0065087E"/>
    <w:rsid w:val="00652A59"/>
    <w:rsid w:val="00652DEA"/>
    <w:rsid w:val="00654581"/>
    <w:rsid w:val="00656DCD"/>
    <w:rsid w:val="00660D7E"/>
    <w:rsid w:val="006637D2"/>
    <w:rsid w:val="00670865"/>
    <w:rsid w:val="00673595"/>
    <w:rsid w:val="00673EB1"/>
    <w:rsid w:val="00674079"/>
    <w:rsid w:val="00681F3C"/>
    <w:rsid w:val="00691528"/>
    <w:rsid w:val="00692738"/>
    <w:rsid w:val="006A26C6"/>
    <w:rsid w:val="006A5D72"/>
    <w:rsid w:val="006A7272"/>
    <w:rsid w:val="006B0BC7"/>
    <w:rsid w:val="006B7228"/>
    <w:rsid w:val="006B7375"/>
    <w:rsid w:val="006D1BE0"/>
    <w:rsid w:val="006D1CF6"/>
    <w:rsid w:val="006D4B0E"/>
    <w:rsid w:val="006D4E23"/>
    <w:rsid w:val="006D67C9"/>
    <w:rsid w:val="006E2B8E"/>
    <w:rsid w:val="006F389C"/>
    <w:rsid w:val="006F7D8C"/>
    <w:rsid w:val="00700958"/>
    <w:rsid w:val="00703D5A"/>
    <w:rsid w:val="00703E94"/>
    <w:rsid w:val="007056FC"/>
    <w:rsid w:val="007071D7"/>
    <w:rsid w:val="00707B25"/>
    <w:rsid w:val="00710622"/>
    <w:rsid w:val="007138B6"/>
    <w:rsid w:val="007232AF"/>
    <w:rsid w:val="007316B2"/>
    <w:rsid w:val="00737580"/>
    <w:rsid w:val="0074245A"/>
    <w:rsid w:val="00743846"/>
    <w:rsid w:val="0074620B"/>
    <w:rsid w:val="0075187B"/>
    <w:rsid w:val="00752428"/>
    <w:rsid w:val="00752430"/>
    <w:rsid w:val="007563F8"/>
    <w:rsid w:val="00757B44"/>
    <w:rsid w:val="00763797"/>
    <w:rsid w:val="00766F32"/>
    <w:rsid w:val="00771867"/>
    <w:rsid w:val="007728B6"/>
    <w:rsid w:val="00780C7B"/>
    <w:rsid w:val="00781C11"/>
    <w:rsid w:val="00786CAD"/>
    <w:rsid w:val="007939B1"/>
    <w:rsid w:val="007A3945"/>
    <w:rsid w:val="007A3FCC"/>
    <w:rsid w:val="007B4AC9"/>
    <w:rsid w:val="007B57E5"/>
    <w:rsid w:val="007C1B69"/>
    <w:rsid w:val="007C4A0A"/>
    <w:rsid w:val="007C6C30"/>
    <w:rsid w:val="007D5984"/>
    <w:rsid w:val="007E49BD"/>
    <w:rsid w:val="007E71C3"/>
    <w:rsid w:val="007F620E"/>
    <w:rsid w:val="007F6CF5"/>
    <w:rsid w:val="00802101"/>
    <w:rsid w:val="00802701"/>
    <w:rsid w:val="00811201"/>
    <w:rsid w:val="00811DB1"/>
    <w:rsid w:val="00814729"/>
    <w:rsid w:val="00815F1F"/>
    <w:rsid w:val="0081626F"/>
    <w:rsid w:val="00817C5C"/>
    <w:rsid w:val="008200FC"/>
    <w:rsid w:val="008215FA"/>
    <w:rsid w:val="0082759B"/>
    <w:rsid w:val="00831652"/>
    <w:rsid w:val="0083350A"/>
    <w:rsid w:val="0083442F"/>
    <w:rsid w:val="008344AC"/>
    <w:rsid w:val="00835027"/>
    <w:rsid w:val="008545A9"/>
    <w:rsid w:val="00855433"/>
    <w:rsid w:val="00855FD7"/>
    <w:rsid w:val="0087309A"/>
    <w:rsid w:val="0088027A"/>
    <w:rsid w:val="00880855"/>
    <w:rsid w:val="008844B6"/>
    <w:rsid w:val="00885956"/>
    <w:rsid w:val="00886869"/>
    <w:rsid w:val="008868BA"/>
    <w:rsid w:val="00897BB7"/>
    <w:rsid w:val="008B0416"/>
    <w:rsid w:val="008B67E2"/>
    <w:rsid w:val="008C09F7"/>
    <w:rsid w:val="008C0D91"/>
    <w:rsid w:val="008C16E8"/>
    <w:rsid w:val="008C2208"/>
    <w:rsid w:val="008D1114"/>
    <w:rsid w:val="008D2A02"/>
    <w:rsid w:val="008D441B"/>
    <w:rsid w:val="008E182E"/>
    <w:rsid w:val="008E3450"/>
    <w:rsid w:val="008E4336"/>
    <w:rsid w:val="008E738A"/>
    <w:rsid w:val="008F2252"/>
    <w:rsid w:val="00900756"/>
    <w:rsid w:val="00904962"/>
    <w:rsid w:val="0090642C"/>
    <w:rsid w:val="00907E90"/>
    <w:rsid w:val="00915118"/>
    <w:rsid w:val="00925FAB"/>
    <w:rsid w:val="00933E60"/>
    <w:rsid w:val="0094278B"/>
    <w:rsid w:val="00952B0E"/>
    <w:rsid w:val="00963EEF"/>
    <w:rsid w:val="009657C3"/>
    <w:rsid w:val="00970A39"/>
    <w:rsid w:val="00983F10"/>
    <w:rsid w:val="00994F03"/>
    <w:rsid w:val="009A6021"/>
    <w:rsid w:val="009A62F6"/>
    <w:rsid w:val="009B3757"/>
    <w:rsid w:val="009B454C"/>
    <w:rsid w:val="009D5A8F"/>
    <w:rsid w:val="009E48E4"/>
    <w:rsid w:val="009F131C"/>
    <w:rsid w:val="009F328E"/>
    <w:rsid w:val="009F423E"/>
    <w:rsid w:val="009F61E1"/>
    <w:rsid w:val="00A01A5A"/>
    <w:rsid w:val="00A0692D"/>
    <w:rsid w:val="00A07A96"/>
    <w:rsid w:val="00A1088D"/>
    <w:rsid w:val="00A15BCF"/>
    <w:rsid w:val="00A17338"/>
    <w:rsid w:val="00A235AB"/>
    <w:rsid w:val="00A23930"/>
    <w:rsid w:val="00A24E91"/>
    <w:rsid w:val="00A27047"/>
    <w:rsid w:val="00A319DE"/>
    <w:rsid w:val="00A466FC"/>
    <w:rsid w:val="00A5211C"/>
    <w:rsid w:val="00A543E4"/>
    <w:rsid w:val="00A54ED4"/>
    <w:rsid w:val="00A56C0B"/>
    <w:rsid w:val="00A60203"/>
    <w:rsid w:val="00A65110"/>
    <w:rsid w:val="00A66BBE"/>
    <w:rsid w:val="00A67E89"/>
    <w:rsid w:val="00A7187E"/>
    <w:rsid w:val="00A73712"/>
    <w:rsid w:val="00A73DC2"/>
    <w:rsid w:val="00A75D2D"/>
    <w:rsid w:val="00A81DDA"/>
    <w:rsid w:val="00A8220D"/>
    <w:rsid w:val="00A83C6F"/>
    <w:rsid w:val="00A83F2F"/>
    <w:rsid w:val="00A843F6"/>
    <w:rsid w:val="00A86489"/>
    <w:rsid w:val="00A86988"/>
    <w:rsid w:val="00A910F1"/>
    <w:rsid w:val="00A92D0B"/>
    <w:rsid w:val="00A94552"/>
    <w:rsid w:val="00AA1387"/>
    <w:rsid w:val="00AA1740"/>
    <w:rsid w:val="00AA5C5E"/>
    <w:rsid w:val="00AB2F7F"/>
    <w:rsid w:val="00AB3510"/>
    <w:rsid w:val="00AC263D"/>
    <w:rsid w:val="00AC38FF"/>
    <w:rsid w:val="00AC5A4B"/>
    <w:rsid w:val="00AD3913"/>
    <w:rsid w:val="00AD4B31"/>
    <w:rsid w:val="00AD5797"/>
    <w:rsid w:val="00AD742A"/>
    <w:rsid w:val="00AE429F"/>
    <w:rsid w:val="00AE5E48"/>
    <w:rsid w:val="00AE5EB7"/>
    <w:rsid w:val="00AE6488"/>
    <w:rsid w:val="00AF61A9"/>
    <w:rsid w:val="00B00BCD"/>
    <w:rsid w:val="00B03003"/>
    <w:rsid w:val="00B04A0F"/>
    <w:rsid w:val="00B12B61"/>
    <w:rsid w:val="00B13580"/>
    <w:rsid w:val="00B1593B"/>
    <w:rsid w:val="00B16452"/>
    <w:rsid w:val="00B17005"/>
    <w:rsid w:val="00B30F84"/>
    <w:rsid w:val="00B312DA"/>
    <w:rsid w:val="00B31565"/>
    <w:rsid w:val="00B46B87"/>
    <w:rsid w:val="00B5118D"/>
    <w:rsid w:val="00B5171D"/>
    <w:rsid w:val="00B51C2B"/>
    <w:rsid w:val="00B51F03"/>
    <w:rsid w:val="00B5200C"/>
    <w:rsid w:val="00B52B60"/>
    <w:rsid w:val="00B54991"/>
    <w:rsid w:val="00B55CCD"/>
    <w:rsid w:val="00B55D78"/>
    <w:rsid w:val="00B62AC0"/>
    <w:rsid w:val="00B65081"/>
    <w:rsid w:val="00B66CF5"/>
    <w:rsid w:val="00B72507"/>
    <w:rsid w:val="00B73DF3"/>
    <w:rsid w:val="00B75058"/>
    <w:rsid w:val="00B803D5"/>
    <w:rsid w:val="00B8721E"/>
    <w:rsid w:val="00B87BE8"/>
    <w:rsid w:val="00B93839"/>
    <w:rsid w:val="00B957A5"/>
    <w:rsid w:val="00B95FDA"/>
    <w:rsid w:val="00BA548C"/>
    <w:rsid w:val="00BA6438"/>
    <w:rsid w:val="00BB49BB"/>
    <w:rsid w:val="00BC4153"/>
    <w:rsid w:val="00BC524D"/>
    <w:rsid w:val="00BD0362"/>
    <w:rsid w:val="00BD4730"/>
    <w:rsid w:val="00BD6380"/>
    <w:rsid w:val="00BE45D0"/>
    <w:rsid w:val="00BE4A32"/>
    <w:rsid w:val="00BF2F45"/>
    <w:rsid w:val="00C02649"/>
    <w:rsid w:val="00C029C4"/>
    <w:rsid w:val="00C02F1F"/>
    <w:rsid w:val="00C0471D"/>
    <w:rsid w:val="00C063FF"/>
    <w:rsid w:val="00C11E8B"/>
    <w:rsid w:val="00C13B3F"/>
    <w:rsid w:val="00C16326"/>
    <w:rsid w:val="00C16981"/>
    <w:rsid w:val="00C20A6F"/>
    <w:rsid w:val="00C21B8C"/>
    <w:rsid w:val="00C22CAF"/>
    <w:rsid w:val="00C2385F"/>
    <w:rsid w:val="00C27262"/>
    <w:rsid w:val="00C27F14"/>
    <w:rsid w:val="00C372E0"/>
    <w:rsid w:val="00C418C3"/>
    <w:rsid w:val="00C44ED4"/>
    <w:rsid w:val="00C46698"/>
    <w:rsid w:val="00C47A2B"/>
    <w:rsid w:val="00C5075A"/>
    <w:rsid w:val="00C53862"/>
    <w:rsid w:val="00C572CB"/>
    <w:rsid w:val="00C66B56"/>
    <w:rsid w:val="00C742D7"/>
    <w:rsid w:val="00C752B1"/>
    <w:rsid w:val="00C7658C"/>
    <w:rsid w:val="00C765A2"/>
    <w:rsid w:val="00C7661E"/>
    <w:rsid w:val="00C774E8"/>
    <w:rsid w:val="00C80771"/>
    <w:rsid w:val="00C836A9"/>
    <w:rsid w:val="00C8535E"/>
    <w:rsid w:val="00C919A7"/>
    <w:rsid w:val="00CA3F73"/>
    <w:rsid w:val="00CB0456"/>
    <w:rsid w:val="00CC10AF"/>
    <w:rsid w:val="00CC1C78"/>
    <w:rsid w:val="00CC4B40"/>
    <w:rsid w:val="00CC512A"/>
    <w:rsid w:val="00CC518D"/>
    <w:rsid w:val="00CC5E4C"/>
    <w:rsid w:val="00CD6886"/>
    <w:rsid w:val="00CD7D17"/>
    <w:rsid w:val="00CE057B"/>
    <w:rsid w:val="00CE0824"/>
    <w:rsid w:val="00CF1129"/>
    <w:rsid w:val="00D01C3F"/>
    <w:rsid w:val="00D01DC3"/>
    <w:rsid w:val="00D05084"/>
    <w:rsid w:val="00D075B1"/>
    <w:rsid w:val="00D10372"/>
    <w:rsid w:val="00D15385"/>
    <w:rsid w:val="00D17064"/>
    <w:rsid w:val="00D1778A"/>
    <w:rsid w:val="00D20AF1"/>
    <w:rsid w:val="00D22640"/>
    <w:rsid w:val="00D2429F"/>
    <w:rsid w:val="00D24FA8"/>
    <w:rsid w:val="00D2565A"/>
    <w:rsid w:val="00D27D5F"/>
    <w:rsid w:val="00D30039"/>
    <w:rsid w:val="00D30C4F"/>
    <w:rsid w:val="00D36884"/>
    <w:rsid w:val="00D36927"/>
    <w:rsid w:val="00D43CED"/>
    <w:rsid w:val="00D5119D"/>
    <w:rsid w:val="00D56BCA"/>
    <w:rsid w:val="00D56DAE"/>
    <w:rsid w:val="00D630CB"/>
    <w:rsid w:val="00D71A15"/>
    <w:rsid w:val="00D71D37"/>
    <w:rsid w:val="00D74F4E"/>
    <w:rsid w:val="00D75107"/>
    <w:rsid w:val="00D76ADD"/>
    <w:rsid w:val="00D81CFD"/>
    <w:rsid w:val="00D84328"/>
    <w:rsid w:val="00D84F94"/>
    <w:rsid w:val="00D8769E"/>
    <w:rsid w:val="00DA3AEE"/>
    <w:rsid w:val="00DB2048"/>
    <w:rsid w:val="00DB21E8"/>
    <w:rsid w:val="00DC30A0"/>
    <w:rsid w:val="00DC64BB"/>
    <w:rsid w:val="00DD52BB"/>
    <w:rsid w:val="00DD7312"/>
    <w:rsid w:val="00DE3A5D"/>
    <w:rsid w:val="00DE3B58"/>
    <w:rsid w:val="00DE4BCF"/>
    <w:rsid w:val="00DE54AC"/>
    <w:rsid w:val="00DF30BE"/>
    <w:rsid w:val="00DF5DC2"/>
    <w:rsid w:val="00E008C2"/>
    <w:rsid w:val="00E00990"/>
    <w:rsid w:val="00E00D5F"/>
    <w:rsid w:val="00E00FCE"/>
    <w:rsid w:val="00E01C27"/>
    <w:rsid w:val="00E05094"/>
    <w:rsid w:val="00E131EC"/>
    <w:rsid w:val="00E13A10"/>
    <w:rsid w:val="00E15DC3"/>
    <w:rsid w:val="00E17B34"/>
    <w:rsid w:val="00E21EA5"/>
    <w:rsid w:val="00E23B0F"/>
    <w:rsid w:val="00E24FBE"/>
    <w:rsid w:val="00E25078"/>
    <w:rsid w:val="00E35D77"/>
    <w:rsid w:val="00E3786F"/>
    <w:rsid w:val="00E40140"/>
    <w:rsid w:val="00E46C5D"/>
    <w:rsid w:val="00E47F80"/>
    <w:rsid w:val="00E50347"/>
    <w:rsid w:val="00E52992"/>
    <w:rsid w:val="00E60942"/>
    <w:rsid w:val="00E61C72"/>
    <w:rsid w:val="00E6361B"/>
    <w:rsid w:val="00E64599"/>
    <w:rsid w:val="00E64A23"/>
    <w:rsid w:val="00E65B36"/>
    <w:rsid w:val="00E660DA"/>
    <w:rsid w:val="00E66FE7"/>
    <w:rsid w:val="00E72CC1"/>
    <w:rsid w:val="00E7373E"/>
    <w:rsid w:val="00E74FB8"/>
    <w:rsid w:val="00E75662"/>
    <w:rsid w:val="00E75E09"/>
    <w:rsid w:val="00E775D0"/>
    <w:rsid w:val="00E81881"/>
    <w:rsid w:val="00E856AA"/>
    <w:rsid w:val="00E907B8"/>
    <w:rsid w:val="00E91A27"/>
    <w:rsid w:val="00E92C62"/>
    <w:rsid w:val="00E9366A"/>
    <w:rsid w:val="00E94C13"/>
    <w:rsid w:val="00E959A0"/>
    <w:rsid w:val="00EA51A3"/>
    <w:rsid w:val="00EB0DBA"/>
    <w:rsid w:val="00EB1EC3"/>
    <w:rsid w:val="00EB64CF"/>
    <w:rsid w:val="00EC6387"/>
    <w:rsid w:val="00EC6B79"/>
    <w:rsid w:val="00ED20DA"/>
    <w:rsid w:val="00ED5DBB"/>
    <w:rsid w:val="00ED6B6B"/>
    <w:rsid w:val="00EE1466"/>
    <w:rsid w:val="00EE4D20"/>
    <w:rsid w:val="00EE5338"/>
    <w:rsid w:val="00F02148"/>
    <w:rsid w:val="00F028C8"/>
    <w:rsid w:val="00F04904"/>
    <w:rsid w:val="00F1200F"/>
    <w:rsid w:val="00F146F9"/>
    <w:rsid w:val="00F151A0"/>
    <w:rsid w:val="00F20061"/>
    <w:rsid w:val="00F216A2"/>
    <w:rsid w:val="00F2222E"/>
    <w:rsid w:val="00F25AF6"/>
    <w:rsid w:val="00F26213"/>
    <w:rsid w:val="00F26371"/>
    <w:rsid w:val="00F2682B"/>
    <w:rsid w:val="00F30DA8"/>
    <w:rsid w:val="00F34C1F"/>
    <w:rsid w:val="00F36D0C"/>
    <w:rsid w:val="00F375A8"/>
    <w:rsid w:val="00F3772B"/>
    <w:rsid w:val="00F37AB5"/>
    <w:rsid w:val="00F47E87"/>
    <w:rsid w:val="00F51931"/>
    <w:rsid w:val="00F5274C"/>
    <w:rsid w:val="00F5532D"/>
    <w:rsid w:val="00F55535"/>
    <w:rsid w:val="00F63C29"/>
    <w:rsid w:val="00F63ED3"/>
    <w:rsid w:val="00F650AE"/>
    <w:rsid w:val="00F736F8"/>
    <w:rsid w:val="00F7579D"/>
    <w:rsid w:val="00F77E6E"/>
    <w:rsid w:val="00F80598"/>
    <w:rsid w:val="00F81778"/>
    <w:rsid w:val="00F83A67"/>
    <w:rsid w:val="00F862A9"/>
    <w:rsid w:val="00FA0676"/>
    <w:rsid w:val="00FA4732"/>
    <w:rsid w:val="00FA4C42"/>
    <w:rsid w:val="00FA70D1"/>
    <w:rsid w:val="00FA7573"/>
    <w:rsid w:val="00FB10F5"/>
    <w:rsid w:val="00FB71DA"/>
    <w:rsid w:val="00FC1315"/>
    <w:rsid w:val="00FC27AE"/>
    <w:rsid w:val="00FC297A"/>
    <w:rsid w:val="00FC2B36"/>
    <w:rsid w:val="00FC303D"/>
    <w:rsid w:val="00FC3AF0"/>
    <w:rsid w:val="00FC5596"/>
    <w:rsid w:val="00FC72B7"/>
    <w:rsid w:val="00FD5779"/>
    <w:rsid w:val="00FD688E"/>
    <w:rsid w:val="00FD7997"/>
    <w:rsid w:val="00FE3BAE"/>
    <w:rsid w:val="00FE435E"/>
    <w:rsid w:val="00FE7E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uiPriority w:val="99"/>
    <w:rsid w:val="00963EEF"/>
    <w:rPr>
      <w:sz w:val="16"/>
      <w:szCs w:val="16"/>
    </w:rPr>
  </w:style>
  <w:style w:type="paragraph" w:styleId="CommentText">
    <w:name w:val="annotation text"/>
    <w:basedOn w:val="Normal"/>
    <w:link w:val="CommentTextChar"/>
    <w:uiPriority w:val="99"/>
    <w:rsid w:val="00963EEF"/>
    <w:rPr>
      <w:sz w:val="20"/>
      <w:szCs w:val="20"/>
    </w:rPr>
  </w:style>
  <w:style w:type="character" w:customStyle="1" w:styleId="CommentTextChar">
    <w:name w:val="Comment Text Char"/>
    <w:basedOn w:val="DefaultParagraphFont"/>
    <w:link w:val="CommentText"/>
    <w:uiPriority w:val="99"/>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customStyle="1" w:styleId="apple-converted-space">
    <w:name w:val="apple-converted-space"/>
    <w:basedOn w:val="DefaultParagraphFont"/>
    <w:rsid w:val="00176F71"/>
  </w:style>
  <w:style w:type="paragraph" w:styleId="BlockText">
    <w:name w:val="Block Text"/>
    <w:basedOn w:val="Normal"/>
    <w:link w:val="BlockTextChar"/>
    <w:rsid w:val="00C7658C"/>
    <w:pPr>
      <w:spacing w:after="120"/>
      <w:ind w:left="1440" w:right="1440"/>
    </w:pPr>
    <w:rPr>
      <w:lang w:eastAsia="zh-CN"/>
    </w:rPr>
  </w:style>
  <w:style w:type="character" w:customStyle="1" w:styleId="BlockTextChar">
    <w:name w:val="Block Text Char"/>
    <w:link w:val="BlockText"/>
    <w:rsid w:val="00C7658C"/>
    <w:rPr>
      <w:sz w:val="24"/>
      <w:szCs w:val="24"/>
      <w:lang w:eastAsia="zh-CN"/>
    </w:rPr>
  </w:style>
  <w:style w:type="paragraph" w:styleId="BodyTextIndent3">
    <w:name w:val="Body Text Indent 3"/>
    <w:basedOn w:val="Normal"/>
    <w:link w:val="BodyTextIndent3Char"/>
    <w:semiHidden/>
    <w:unhideWhenUsed/>
    <w:rsid w:val="0061098F"/>
    <w:pPr>
      <w:spacing w:after="120"/>
      <w:ind w:left="360"/>
    </w:pPr>
    <w:rPr>
      <w:sz w:val="16"/>
      <w:szCs w:val="16"/>
    </w:rPr>
  </w:style>
  <w:style w:type="character" w:customStyle="1" w:styleId="BodyTextIndent3Char">
    <w:name w:val="Body Text Indent 3 Char"/>
    <w:basedOn w:val="DefaultParagraphFont"/>
    <w:link w:val="BodyTextIndent3"/>
    <w:semiHidden/>
    <w:rsid w:val="0061098F"/>
    <w:rPr>
      <w:sz w:val="16"/>
      <w:szCs w:val="16"/>
    </w:rPr>
  </w:style>
  <w:style w:type="paragraph" w:styleId="Caption">
    <w:name w:val="caption"/>
    <w:basedOn w:val="Normal"/>
    <w:next w:val="Normal"/>
    <w:unhideWhenUsed/>
    <w:qFormat/>
    <w:rsid w:val="00F375A8"/>
    <w:pPr>
      <w:spacing w:after="200"/>
    </w:pPr>
    <w:rPr>
      <w:i/>
      <w:iCs/>
      <w:color w:val="1F497D" w:themeColor="text2"/>
      <w:sz w:val="18"/>
      <w:szCs w:val="18"/>
    </w:rPr>
  </w:style>
  <w:style w:type="paragraph" w:customStyle="1" w:styleId="p1">
    <w:name w:val="p1"/>
    <w:basedOn w:val="Normal"/>
    <w:rsid w:val="00F5532D"/>
    <w:rPr>
      <w:rFonts w:ascii="Helvetica" w:hAnsi="Helvetica"/>
      <w:sz w:val="17"/>
      <w:szCs w:val="17"/>
    </w:rPr>
  </w:style>
  <w:style w:type="character" w:styleId="UnresolvedMention">
    <w:name w:val="Unresolved Mention"/>
    <w:basedOn w:val="DefaultParagraphFont"/>
    <w:uiPriority w:val="99"/>
    <w:semiHidden/>
    <w:unhideWhenUsed/>
    <w:rsid w:val="00A66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6654">
      <w:bodyDiv w:val="1"/>
      <w:marLeft w:val="0"/>
      <w:marRight w:val="0"/>
      <w:marTop w:val="0"/>
      <w:marBottom w:val="0"/>
      <w:divBdr>
        <w:top w:val="none" w:sz="0" w:space="0" w:color="auto"/>
        <w:left w:val="none" w:sz="0" w:space="0" w:color="auto"/>
        <w:bottom w:val="none" w:sz="0" w:space="0" w:color="auto"/>
        <w:right w:val="none" w:sz="0" w:space="0" w:color="auto"/>
      </w:divBdr>
    </w:div>
    <w:div w:id="136069031">
      <w:bodyDiv w:val="1"/>
      <w:marLeft w:val="0"/>
      <w:marRight w:val="0"/>
      <w:marTop w:val="0"/>
      <w:marBottom w:val="0"/>
      <w:divBdr>
        <w:top w:val="none" w:sz="0" w:space="0" w:color="auto"/>
        <w:left w:val="none" w:sz="0" w:space="0" w:color="auto"/>
        <w:bottom w:val="none" w:sz="0" w:space="0" w:color="auto"/>
        <w:right w:val="none" w:sz="0" w:space="0" w:color="auto"/>
      </w:divBdr>
    </w:div>
    <w:div w:id="139158033">
      <w:bodyDiv w:val="1"/>
      <w:marLeft w:val="0"/>
      <w:marRight w:val="0"/>
      <w:marTop w:val="0"/>
      <w:marBottom w:val="0"/>
      <w:divBdr>
        <w:top w:val="none" w:sz="0" w:space="0" w:color="auto"/>
        <w:left w:val="none" w:sz="0" w:space="0" w:color="auto"/>
        <w:bottom w:val="none" w:sz="0" w:space="0" w:color="auto"/>
        <w:right w:val="none" w:sz="0" w:space="0" w:color="auto"/>
      </w:divBdr>
    </w:div>
    <w:div w:id="282419054">
      <w:bodyDiv w:val="1"/>
      <w:marLeft w:val="0"/>
      <w:marRight w:val="0"/>
      <w:marTop w:val="0"/>
      <w:marBottom w:val="0"/>
      <w:divBdr>
        <w:top w:val="none" w:sz="0" w:space="0" w:color="auto"/>
        <w:left w:val="none" w:sz="0" w:space="0" w:color="auto"/>
        <w:bottom w:val="none" w:sz="0" w:space="0" w:color="auto"/>
        <w:right w:val="none" w:sz="0" w:space="0" w:color="auto"/>
      </w:divBdr>
    </w:div>
    <w:div w:id="749278874">
      <w:bodyDiv w:val="1"/>
      <w:marLeft w:val="0"/>
      <w:marRight w:val="0"/>
      <w:marTop w:val="0"/>
      <w:marBottom w:val="0"/>
      <w:divBdr>
        <w:top w:val="none" w:sz="0" w:space="0" w:color="auto"/>
        <w:left w:val="none" w:sz="0" w:space="0" w:color="auto"/>
        <w:bottom w:val="none" w:sz="0" w:space="0" w:color="auto"/>
        <w:right w:val="none" w:sz="0" w:space="0" w:color="auto"/>
      </w:divBdr>
    </w:div>
    <w:div w:id="881215749">
      <w:bodyDiv w:val="1"/>
      <w:marLeft w:val="0"/>
      <w:marRight w:val="0"/>
      <w:marTop w:val="0"/>
      <w:marBottom w:val="0"/>
      <w:divBdr>
        <w:top w:val="none" w:sz="0" w:space="0" w:color="auto"/>
        <w:left w:val="none" w:sz="0" w:space="0" w:color="auto"/>
        <w:bottom w:val="none" w:sz="0" w:space="0" w:color="auto"/>
        <w:right w:val="none" w:sz="0" w:space="0" w:color="auto"/>
      </w:divBdr>
    </w:div>
    <w:div w:id="1680422896">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4113</ap:Words>
  <ap:Characters>23449</ap:Characters>
  <ap:Application>Microsoft Office Word</ap:Application>
  <ap:DocSecurity>0</ap:DocSecurity>
  <ap:Lines>195</ap:Lines>
  <ap:Paragraphs>55</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27507</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2026-04-17T14:08:42Z</dcterms:created>
  <dcterms:modified xsi:type="dcterms:W3CDTF">2026-04-17T14:08:42Z</dcterms:modified>
</cp:coreProperties>
</file>