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567E3" w:rsidR="00BD6C3F" w:rsidP="00B83EAA" w:rsidRDefault="00BD6C3F" w14:paraId="36E8DCE8" w14:textId="435CC6B6">
      <w:pPr>
        <w:pBdr>
          <w:top w:val="double" w:color="auto" w:sz="6" w:space="1"/>
        </w:pBdr>
        <w:jc w:val="both"/>
        <w:rPr>
          <w:b/>
          <w:i/>
        </w:rPr>
      </w:pPr>
      <w:bookmarkStart w:name="_Hlk35420093" w:id="0"/>
    </w:p>
    <w:p w:rsidRPr="00C567E3" w:rsidR="00BD6C3F" w:rsidRDefault="00F91FB5" w14:paraId="1E6F8C98" w14:textId="77777777">
      <w:pPr>
        <w:jc w:val="center"/>
        <w:rPr>
          <w:b/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editId="6241D0B7" wp14:anchorId="35E30BA0">
                <wp:simplePos x="0" y="0"/>
                <wp:positionH relativeFrom="margin">
                  <wp:align>center</wp:align>
                </wp:positionH>
                <wp:positionV relativeFrom="paragraph">
                  <wp:posOffset>58420</wp:posOffset>
                </wp:positionV>
                <wp:extent cx="2195195" cy="274320"/>
                <wp:effectExtent l="19050" t="20320" r="14605" b="196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5195" cy="27432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0B79" w:rsidRDefault="006A0B79" w14:paraId="6F6EB8B2" w14:textId="2D67A04A">
                            <w:pPr>
                              <w:jc w:val="center"/>
                              <w:rPr>
                                <w:rFonts w:ascii="Arial" w:hAnsi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</w:rPr>
                              <w:t xml:space="preserve">Closed to the </w:t>
                            </w:r>
                            <w:r w:rsidR="004A455E">
                              <w:rPr>
                                <w:rFonts w:ascii="Arial" w:hAnsi="Arial"/>
                                <w:sz w:val="28"/>
                              </w:rPr>
                              <w:t>Public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style="position:absolute;left:0;text-align:left;margin-left:0;margin-top:4.6pt;width:172.85pt;height:21.6pt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spid="_x0000_s1026" o:allowincell="f" fillcolor="#ccc" strokeweight="2pt" w14:anchorId="35E30BA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">
                <v:textbox inset="1pt,1pt,1pt,1pt">
                  <w:txbxContent>
                    <w:p w:rsidR="006A0B79" w:rsidRDefault="006A0B79" w14:paraId="6F6EB8B2" w14:textId="2D67A04A">
                      <w:pPr>
                        <w:jc w:val="center"/>
                        <w:rPr>
                          <w:rFonts w:ascii="Arial" w:hAnsi="Arial"/>
                          <w:sz w:val="28"/>
                        </w:rPr>
                      </w:pPr>
                      <w:r>
                        <w:rPr>
                          <w:rFonts w:ascii="Arial" w:hAnsi="Arial"/>
                          <w:sz w:val="28"/>
                        </w:rPr>
                        <w:t xml:space="preserve">Closed to the </w:t>
                      </w:r>
                      <w:r w:rsidR="004A455E">
                        <w:rPr>
                          <w:rFonts w:ascii="Arial" w:hAnsi="Arial"/>
                          <w:sz w:val="28"/>
                        </w:rPr>
                        <w:t>Public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Pr="00C567E3" w:rsidR="00BD6C3F" w:rsidRDefault="00BD6C3F" w14:paraId="387174AB" w14:textId="77777777">
      <w:pPr>
        <w:jc w:val="both"/>
        <w:rPr>
          <w:b/>
          <w:i/>
        </w:rPr>
      </w:pPr>
    </w:p>
    <w:p w:rsidRPr="00C567E3" w:rsidR="00BD6C3F" w:rsidRDefault="00BD6C3F" w14:paraId="7395889A" w14:textId="77777777">
      <w:pPr>
        <w:jc w:val="center"/>
        <w:rPr>
          <w:b/>
          <w:i/>
        </w:rPr>
      </w:pPr>
    </w:p>
    <w:p w:rsidRPr="00673366" w:rsidR="00BD6C3F" w:rsidRDefault="00BD6C3F" w14:paraId="4AA67CE6" w14:textId="77777777">
      <w:pPr>
        <w:jc w:val="center"/>
        <w:rPr>
          <w:b/>
          <w:i/>
          <w:sz w:val="26"/>
          <w:szCs w:val="26"/>
        </w:rPr>
      </w:pPr>
      <w:r w:rsidRPr="00673366">
        <w:rPr>
          <w:b/>
          <w:i/>
          <w:sz w:val="26"/>
          <w:szCs w:val="26"/>
        </w:rPr>
        <w:t>Public Utilities Commission of the State of California</w:t>
      </w:r>
    </w:p>
    <w:p w:rsidRPr="00673366" w:rsidR="00BD6C3F" w:rsidRDefault="00BD6C3F" w14:paraId="70124E41" w14:textId="77777777">
      <w:pPr>
        <w:jc w:val="center"/>
        <w:rPr>
          <w:b/>
          <w:i/>
          <w:sz w:val="26"/>
          <w:szCs w:val="26"/>
        </w:rPr>
      </w:pPr>
    </w:p>
    <w:p w:rsidRPr="00673366" w:rsidR="00BD6C3F" w:rsidRDefault="00BD6C3F" w14:paraId="0951177E" w14:textId="34615285">
      <w:pPr>
        <w:jc w:val="center"/>
        <w:rPr>
          <w:b/>
          <w:i/>
          <w:sz w:val="26"/>
          <w:szCs w:val="26"/>
        </w:rPr>
      </w:pPr>
      <w:r w:rsidRPr="00673366">
        <w:rPr>
          <w:b/>
          <w:i/>
          <w:sz w:val="26"/>
          <w:szCs w:val="26"/>
        </w:rPr>
        <w:t xml:space="preserve">Ratesetting Deliberative Meeting Agenda No. </w:t>
      </w:r>
      <w:r w:rsidRPr="00673366" w:rsidR="007852F3">
        <w:rPr>
          <w:b/>
          <w:i/>
          <w:sz w:val="26"/>
          <w:szCs w:val="26"/>
        </w:rPr>
        <w:t>1</w:t>
      </w:r>
      <w:r w:rsidR="002E1468">
        <w:rPr>
          <w:b/>
          <w:i/>
          <w:sz w:val="26"/>
          <w:szCs w:val="26"/>
        </w:rPr>
        <w:t>9</w:t>
      </w:r>
      <w:r w:rsidR="00CC2B5B">
        <w:rPr>
          <w:b/>
          <w:i/>
          <w:sz w:val="26"/>
          <w:szCs w:val="26"/>
        </w:rPr>
        <w:t>6</w:t>
      </w:r>
    </w:p>
    <w:p w:rsidRPr="00673366" w:rsidR="00BD6C3F" w:rsidRDefault="00406902" w14:paraId="06FEE444" w14:textId="556A9D4A">
      <w:pPr>
        <w:jc w:val="center"/>
        <w:rPr>
          <w:b/>
          <w:i/>
          <w:sz w:val="26"/>
          <w:szCs w:val="26"/>
        </w:rPr>
      </w:pPr>
      <w:r w:rsidRPr="00673366">
        <w:rPr>
          <w:b/>
          <w:i/>
          <w:sz w:val="26"/>
          <w:szCs w:val="26"/>
        </w:rPr>
        <w:t>Monday,</w:t>
      </w:r>
      <w:r>
        <w:rPr>
          <w:b/>
          <w:i/>
          <w:sz w:val="26"/>
          <w:szCs w:val="26"/>
        </w:rPr>
        <w:t xml:space="preserve"> </w:t>
      </w:r>
      <w:r w:rsidRPr="00673366">
        <w:rPr>
          <w:b/>
          <w:i/>
          <w:sz w:val="26"/>
          <w:szCs w:val="26"/>
        </w:rPr>
        <w:t>April</w:t>
      </w:r>
      <w:r w:rsidRPr="00673366" w:rsidR="00412ED6">
        <w:rPr>
          <w:b/>
          <w:i/>
          <w:sz w:val="26"/>
          <w:szCs w:val="26"/>
        </w:rPr>
        <w:t xml:space="preserve"> </w:t>
      </w:r>
      <w:r w:rsidR="00CC2B5B">
        <w:rPr>
          <w:b/>
          <w:i/>
          <w:sz w:val="26"/>
          <w:szCs w:val="26"/>
        </w:rPr>
        <w:t>27</w:t>
      </w:r>
      <w:r w:rsidRPr="00673366" w:rsidR="00A56A47">
        <w:rPr>
          <w:b/>
          <w:i/>
          <w:sz w:val="26"/>
          <w:szCs w:val="26"/>
        </w:rPr>
        <w:t>, 202</w:t>
      </w:r>
      <w:r w:rsidR="00183409">
        <w:rPr>
          <w:b/>
          <w:i/>
          <w:sz w:val="26"/>
          <w:szCs w:val="26"/>
        </w:rPr>
        <w:t>6</w:t>
      </w:r>
      <w:r w:rsidRPr="00673366" w:rsidR="00A56A47">
        <w:rPr>
          <w:b/>
          <w:i/>
          <w:sz w:val="26"/>
          <w:szCs w:val="26"/>
        </w:rPr>
        <w:t>,</w:t>
      </w:r>
      <w:r w:rsidRPr="00673366" w:rsidR="0089231D">
        <w:rPr>
          <w:b/>
          <w:i/>
          <w:sz w:val="26"/>
          <w:szCs w:val="26"/>
        </w:rPr>
        <w:t xml:space="preserve"> </w:t>
      </w:r>
      <w:r w:rsidRPr="00673366" w:rsidR="00792EF7">
        <w:rPr>
          <w:b/>
          <w:i/>
          <w:sz w:val="26"/>
          <w:szCs w:val="26"/>
        </w:rPr>
        <w:t>1</w:t>
      </w:r>
      <w:r w:rsidR="00346038">
        <w:rPr>
          <w:b/>
          <w:i/>
          <w:sz w:val="26"/>
          <w:szCs w:val="26"/>
        </w:rPr>
        <w:t>0</w:t>
      </w:r>
      <w:r w:rsidRPr="00673366" w:rsidR="00BD6C3F">
        <w:rPr>
          <w:b/>
          <w:i/>
          <w:sz w:val="26"/>
          <w:szCs w:val="26"/>
        </w:rPr>
        <w:t>:</w:t>
      </w:r>
      <w:r w:rsidRPr="00673366" w:rsidR="00FB5E93">
        <w:rPr>
          <w:b/>
          <w:i/>
          <w:sz w:val="26"/>
          <w:szCs w:val="26"/>
        </w:rPr>
        <w:t>0</w:t>
      </w:r>
      <w:r w:rsidRPr="00673366" w:rsidR="000E491C">
        <w:rPr>
          <w:b/>
          <w:i/>
          <w:sz w:val="26"/>
          <w:szCs w:val="26"/>
        </w:rPr>
        <w:t>0</w:t>
      </w:r>
      <w:r w:rsidRPr="00673366" w:rsidR="00F918E8">
        <w:rPr>
          <w:b/>
          <w:i/>
          <w:sz w:val="26"/>
          <w:szCs w:val="26"/>
        </w:rPr>
        <w:t xml:space="preserve"> </w:t>
      </w:r>
      <w:r w:rsidRPr="00673366" w:rsidR="00FB5E93">
        <w:rPr>
          <w:b/>
          <w:i/>
          <w:sz w:val="26"/>
          <w:szCs w:val="26"/>
        </w:rPr>
        <w:t>a</w:t>
      </w:r>
      <w:r w:rsidRPr="00673366" w:rsidR="00BD6C3F">
        <w:rPr>
          <w:b/>
          <w:i/>
          <w:sz w:val="26"/>
          <w:szCs w:val="26"/>
        </w:rPr>
        <w:t>.m</w:t>
      </w:r>
      <w:r w:rsidRPr="00673366" w:rsidR="00740B49">
        <w:rPr>
          <w:b/>
          <w:i/>
          <w:sz w:val="26"/>
          <w:szCs w:val="26"/>
        </w:rPr>
        <w:t>.</w:t>
      </w:r>
    </w:p>
    <w:p w:rsidRPr="00673366" w:rsidR="00BD6C3F" w:rsidRDefault="001147B7" w14:paraId="7B87AD9C" w14:textId="57D1464E">
      <w:pPr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San Francisco</w:t>
      </w:r>
      <w:r w:rsidRPr="00673366" w:rsidR="00D9225C">
        <w:rPr>
          <w:b/>
          <w:i/>
          <w:sz w:val="26"/>
          <w:szCs w:val="26"/>
        </w:rPr>
        <w:t>, California</w:t>
      </w:r>
    </w:p>
    <w:p w:rsidR="00BD6C3F" w:rsidRDefault="00BD6C3F" w14:paraId="1F1C409F" w14:textId="77777777">
      <w:pPr>
        <w:jc w:val="center"/>
        <w:rPr>
          <w:b/>
          <w:i/>
        </w:rPr>
      </w:pPr>
    </w:p>
    <w:p w:rsidRPr="00C567E3" w:rsidR="00D01779" w:rsidRDefault="00D01779" w14:paraId="19E7CC7C" w14:textId="77777777">
      <w:pPr>
        <w:jc w:val="center"/>
        <w:rPr>
          <w:b/>
          <w:i/>
        </w:rPr>
      </w:pPr>
    </w:p>
    <w:p w:rsidRPr="005D7BD0" w:rsidR="00BD6C3F" w:rsidRDefault="00BD6C3F" w14:paraId="6C9C77C7" w14:textId="3A21E521">
      <w:pPr>
        <w:jc w:val="center"/>
        <w:rPr>
          <w:b/>
          <w:u w:val="single"/>
        </w:rPr>
      </w:pPr>
      <w:r w:rsidRPr="005D7BD0">
        <w:rPr>
          <w:b/>
          <w:u w:val="single"/>
        </w:rPr>
        <w:t>Commissioners</w:t>
      </w:r>
    </w:p>
    <w:p w:rsidRPr="00C567E3" w:rsidR="007C30DB" w:rsidRDefault="007C30DB" w14:paraId="415FF69C" w14:textId="77777777">
      <w:pPr>
        <w:jc w:val="center"/>
        <w:rPr>
          <w:b/>
        </w:rPr>
      </w:pPr>
    </w:p>
    <w:p w:rsidR="00FB5E93" w:rsidP="00FB5E93" w:rsidRDefault="001147B7" w14:paraId="7F61E532" w14:textId="1FAC0FF4">
      <w:pPr>
        <w:jc w:val="center"/>
        <w:rPr>
          <w:b/>
          <w:bCs/>
        </w:rPr>
      </w:pPr>
      <w:r w:rsidRPr="001147B7">
        <w:rPr>
          <w:b/>
          <w:bCs/>
        </w:rPr>
        <w:t>John Reynolds</w:t>
      </w:r>
      <w:r w:rsidRPr="00FB5E93" w:rsidR="00FB5E93">
        <w:rPr>
          <w:b/>
          <w:bCs/>
        </w:rPr>
        <w:t>, President</w:t>
      </w:r>
    </w:p>
    <w:p w:rsidRPr="00FB5E93" w:rsidR="0010621F" w:rsidP="00FB5E93" w:rsidRDefault="00D9225C" w14:paraId="7C939BAE" w14:textId="7AD6EFF8">
      <w:pPr>
        <w:jc w:val="center"/>
        <w:rPr>
          <w:b/>
          <w:bCs/>
        </w:rPr>
      </w:pPr>
      <w:r>
        <w:rPr>
          <w:b/>
          <w:bCs/>
        </w:rPr>
        <w:t>Matthew</w:t>
      </w:r>
      <w:r w:rsidR="0010621F">
        <w:rPr>
          <w:b/>
          <w:bCs/>
        </w:rPr>
        <w:t xml:space="preserve"> </w:t>
      </w:r>
      <w:r>
        <w:rPr>
          <w:b/>
          <w:bCs/>
        </w:rPr>
        <w:t>Baker</w:t>
      </w:r>
    </w:p>
    <w:p w:rsidR="00FB5E93" w:rsidP="00FB5E93" w:rsidRDefault="00D9225C" w14:paraId="2125DB36" w14:textId="45E5DE72">
      <w:pPr>
        <w:jc w:val="center"/>
        <w:rPr>
          <w:b/>
          <w:bCs/>
        </w:rPr>
      </w:pPr>
      <w:r>
        <w:rPr>
          <w:b/>
          <w:bCs/>
        </w:rPr>
        <w:t>Karen</w:t>
      </w:r>
      <w:r w:rsidRPr="00FB5E93" w:rsidR="00FB5E93">
        <w:rPr>
          <w:b/>
          <w:bCs/>
        </w:rPr>
        <w:t xml:space="preserve"> </w:t>
      </w:r>
      <w:r>
        <w:rPr>
          <w:b/>
          <w:bCs/>
        </w:rPr>
        <w:t>Douglas</w:t>
      </w:r>
    </w:p>
    <w:p w:rsidRPr="00FB5E93" w:rsidR="00346038" w:rsidP="00FB5E93" w:rsidRDefault="00346038" w14:paraId="04013D85" w14:textId="71CCB17B">
      <w:pPr>
        <w:jc w:val="center"/>
        <w:rPr>
          <w:b/>
          <w:bCs/>
        </w:rPr>
      </w:pPr>
      <w:r w:rsidRPr="00346038">
        <w:rPr>
          <w:b/>
          <w:bCs/>
        </w:rPr>
        <w:t>Christine Harada</w:t>
      </w:r>
    </w:p>
    <w:p w:rsidRPr="00FB5E93" w:rsidR="00FB5E93" w:rsidP="00FB5E93" w:rsidRDefault="00FB5E93" w14:paraId="44576602" w14:textId="77777777">
      <w:pPr>
        <w:jc w:val="center"/>
        <w:rPr>
          <w:b/>
          <w:bCs/>
        </w:rPr>
      </w:pPr>
      <w:r w:rsidRPr="00FB5E93">
        <w:rPr>
          <w:b/>
          <w:bCs/>
        </w:rPr>
        <w:t>Darcie L. Houck</w:t>
      </w:r>
    </w:p>
    <w:p w:rsidR="00BD6C3F" w:rsidRDefault="00BD6C3F" w14:paraId="70D97865" w14:textId="6E7DFEB4">
      <w:pPr>
        <w:rPr>
          <w:b/>
        </w:rPr>
      </w:pPr>
    </w:p>
    <w:p w:rsidR="0035756D" w:rsidP="0035756D" w:rsidRDefault="0035756D" w14:paraId="37652C96" w14:textId="77777777">
      <w:pPr>
        <w:jc w:val="center"/>
      </w:pPr>
      <w:r>
        <w:t>Commissioners may participate remotely from teleconferencing locations.</w:t>
      </w:r>
    </w:p>
    <w:p w:rsidR="0035756D" w:rsidP="0035756D" w:rsidRDefault="0035756D" w14:paraId="3F6C3FFF" w14:textId="77777777">
      <w:pPr>
        <w:jc w:val="center"/>
      </w:pPr>
      <w:r>
        <w:t>This Ratesetting Deliberative Meeting may be continued from day to day up to the business</w:t>
      </w:r>
    </w:p>
    <w:p w:rsidR="0035756D" w:rsidP="0035756D" w:rsidRDefault="0035756D" w14:paraId="36DFFABF" w14:textId="77777777">
      <w:pPr>
        <w:jc w:val="center"/>
      </w:pPr>
      <w:r>
        <w:t>meeting on which an item appears.</w:t>
      </w:r>
    </w:p>
    <w:p w:rsidR="0035756D" w:rsidP="0035756D" w:rsidRDefault="0035756D" w14:paraId="49A33473" w14:textId="77777777">
      <w:pPr>
        <w:jc w:val="center"/>
      </w:pPr>
      <w:r>
        <w:t>This Ratesetting Deliberative Meeting is being held pursuant to Pub. Util. Code § 1701.9(a).</w:t>
      </w:r>
    </w:p>
    <w:p w:rsidR="0035756D" w:rsidP="0035756D" w:rsidRDefault="0035756D" w14:paraId="151FE90F" w14:textId="77777777">
      <w:pPr>
        <w:jc w:val="center"/>
      </w:pPr>
      <w:r>
        <w:t xml:space="preserve">Website: </w:t>
      </w:r>
      <w:hyperlink w:history="1" r:id="rId8">
        <w:r w:rsidRPr="00213119">
          <w:rPr>
            <w:rStyle w:val="Hyperlink"/>
          </w:rPr>
          <w:t>http://www.cpuc.ca.gov</w:t>
        </w:r>
      </w:hyperlink>
    </w:p>
    <w:p w:rsidRPr="00C567E3" w:rsidR="00BD6C3F" w:rsidRDefault="00BD6C3F" w14:paraId="3ACB257E" w14:textId="77777777">
      <w:pPr>
        <w:jc w:val="center"/>
      </w:pPr>
    </w:p>
    <w:p w:rsidRPr="00C567E3" w:rsidR="00BD6C3F" w:rsidRDefault="00BD6C3F" w14:paraId="1E6A2413" w14:textId="77777777">
      <w:pPr>
        <w:jc w:val="center"/>
      </w:pPr>
      <w:r w:rsidRPr="00C567E3">
        <w:t>Ratesetting Deliberative Meeting</w:t>
      </w:r>
    </w:p>
    <w:p w:rsidR="00BD6C3F" w:rsidRDefault="00792EF7" w14:paraId="68F6A373" w14:textId="2FB0E8B8">
      <w:pPr>
        <w:jc w:val="center"/>
      </w:pPr>
      <w:r>
        <w:t>1</w:t>
      </w:r>
      <w:r w:rsidR="0035756D">
        <w:t>0</w:t>
      </w:r>
      <w:r w:rsidR="004A086E">
        <w:t>:</w:t>
      </w:r>
      <w:r w:rsidR="00FB5E93">
        <w:t>0</w:t>
      </w:r>
      <w:r w:rsidRPr="00C567E3" w:rsidR="000E491C">
        <w:t>0</w:t>
      </w:r>
      <w:r w:rsidR="00566CCC">
        <w:t xml:space="preserve"> </w:t>
      </w:r>
      <w:r w:rsidR="00FB5E93">
        <w:t>a</w:t>
      </w:r>
      <w:r w:rsidRPr="00C567E3" w:rsidR="00BD6C3F">
        <w:t>.m.</w:t>
      </w:r>
    </w:p>
    <w:p w:rsidR="00AC6CB7" w:rsidRDefault="00AC6CB7" w14:paraId="6702B9F4" w14:textId="77777777">
      <w:pPr>
        <w:jc w:val="center"/>
      </w:pPr>
    </w:p>
    <w:p w:rsidRPr="00AC6CB7" w:rsidR="00406902" w:rsidRDefault="00AC6CB7" w14:paraId="0D3103A4" w14:textId="0F64C03A">
      <w:pPr>
        <w:jc w:val="center"/>
        <w:rPr>
          <w:b/>
          <w:bCs/>
        </w:rPr>
      </w:pPr>
      <w:r w:rsidRPr="00AC6CB7">
        <w:rPr>
          <w:b/>
          <w:bCs/>
        </w:rPr>
        <w:t>C</w:t>
      </w:r>
      <w:r>
        <w:rPr>
          <w:b/>
          <w:bCs/>
        </w:rPr>
        <w:t xml:space="preserve">alifornia </w:t>
      </w:r>
      <w:r w:rsidRPr="00AC6CB7">
        <w:rPr>
          <w:b/>
          <w:bCs/>
        </w:rPr>
        <w:t>P</w:t>
      </w:r>
      <w:r>
        <w:rPr>
          <w:b/>
          <w:bCs/>
        </w:rPr>
        <w:t xml:space="preserve">ublic </w:t>
      </w:r>
      <w:r w:rsidRPr="00AC6CB7">
        <w:rPr>
          <w:b/>
          <w:bCs/>
        </w:rPr>
        <w:t>U</w:t>
      </w:r>
      <w:r>
        <w:rPr>
          <w:b/>
          <w:bCs/>
        </w:rPr>
        <w:t xml:space="preserve">tilities </w:t>
      </w:r>
      <w:r w:rsidRPr="00AC6CB7">
        <w:rPr>
          <w:b/>
          <w:bCs/>
        </w:rPr>
        <w:t>C</w:t>
      </w:r>
      <w:r>
        <w:rPr>
          <w:b/>
          <w:bCs/>
        </w:rPr>
        <w:t>ommission</w:t>
      </w:r>
    </w:p>
    <w:p w:rsidRPr="00406902" w:rsidR="00406902" w:rsidP="00406902" w:rsidRDefault="00406902" w14:paraId="3253C625" w14:textId="77777777">
      <w:pPr>
        <w:jc w:val="center"/>
        <w:rPr>
          <w:b/>
          <w:bCs/>
        </w:rPr>
      </w:pPr>
      <w:r w:rsidRPr="00406902">
        <w:rPr>
          <w:b/>
          <w:bCs/>
        </w:rPr>
        <w:t>505 Van Ness Ave.</w:t>
      </w:r>
    </w:p>
    <w:p w:rsidRPr="00406902" w:rsidR="00406902" w:rsidP="00406902" w:rsidRDefault="00406902" w14:paraId="52E53E73" w14:textId="77777777">
      <w:pPr>
        <w:jc w:val="center"/>
        <w:rPr>
          <w:b/>
          <w:bCs/>
        </w:rPr>
      </w:pPr>
      <w:r w:rsidRPr="00406902">
        <w:rPr>
          <w:b/>
          <w:bCs/>
        </w:rPr>
        <w:t>Room 5305</w:t>
      </w:r>
    </w:p>
    <w:p w:rsidR="0035756D" w:rsidP="00406902" w:rsidRDefault="00406902" w14:paraId="08760C95" w14:textId="3F99A6C8">
      <w:pPr>
        <w:jc w:val="center"/>
        <w:rPr>
          <w:b/>
          <w:bCs/>
        </w:rPr>
      </w:pPr>
      <w:r w:rsidRPr="00406902">
        <w:rPr>
          <w:b/>
          <w:bCs/>
        </w:rPr>
        <w:t>San Francisco, CA 94102</w:t>
      </w:r>
    </w:p>
    <w:p w:rsidR="00D9225C" w:rsidP="00294431" w:rsidRDefault="00D9225C" w14:paraId="0BAD1EBD" w14:textId="77777777">
      <w:pPr>
        <w:jc w:val="center"/>
      </w:pPr>
    </w:p>
    <w:p w:rsidRPr="00C567E3" w:rsidR="00D865FC" w:rsidP="00D865FC" w:rsidRDefault="00D865FC" w14:paraId="7096C304" w14:textId="77777777">
      <w:pPr>
        <w:jc w:val="center"/>
      </w:pPr>
    </w:p>
    <w:p w:rsidRPr="00C567E3" w:rsidR="00BD6C3F" w:rsidRDefault="00F91FB5" w14:paraId="62C461F8" w14:textId="77777777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editId="614C2316" wp14:anchorId="11F0E349">
                <wp:simplePos x="0" y="0"/>
                <wp:positionH relativeFrom="margin">
                  <wp:align>center</wp:align>
                </wp:positionH>
                <wp:positionV relativeFrom="paragraph">
                  <wp:posOffset>-7620</wp:posOffset>
                </wp:positionV>
                <wp:extent cx="4846955" cy="458470"/>
                <wp:effectExtent l="19050" t="20955" r="20320" b="1587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46955" cy="45847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D01779" w:rsidR="006A0B79" w:rsidP="001F4B5D" w:rsidRDefault="006A0B79" w14:paraId="60A98199" w14:textId="77777777">
                            <w:pPr>
                              <w:tabs>
                                <w:tab w:val="left" w:pos="1350"/>
                              </w:tabs>
                              <w:spacing w:after="60"/>
                              <w:jc w:val="center"/>
                              <w:rPr>
                                <w:sz w:val="22"/>
                              </w:rPr>
                            </w:pPr>
                            <w:r w:rsidRPr="00D01779">
                              <w:rPr>
                                <w:sz w:val="22"/>
                              </w:rPr>
                              <w:t>For further information contact the Public Advisor</w:t>
                            </w:r>
                          </w:p>
                          <w:p w:rsidRPr="00D01779" w:rsidR="006A0B79" w:rsidRDefault="006A0B79" w14:paraId="61DDC59D" w14:textId="68B1E304">
                            <w:pPr>
                              <w:tabs>
                                <w:tab w:val="left" w:pos="1350"/>
                              </w:tabs>
                              <w:jc w:val="center"/>
                              <w:rPr>
                                <w:sz w:val="22"/>
                              </w:rPr>
                            </w:pPr>
                            <w:r w:rsidRPr="00D01779">
                              <w:rPr>
                                <w:sz w:val="22"/>
                              </w:rPr>
                              <w:t xml:space="preserve">Phone: (415) 703-2074   </w:t>
                            </w:r>
                            <w:r w:rsidR="00294431">
                              <w:rPr>
                                <w:sz w:val="22"/>
                              </w:rPr>
                              <w:t>-</w:t>
                            </w:r>
                            <w:r w:rsidRPr="00D01779">
                              <w:rPr>
                                <w:sz w:val="22"/>
                              </w:rPr>
                              <w:t xml:space="preserve">   E-mail: </w:t>
                            </w:r>
                            <w:hyperlink w:history="1" r:id="rId9">
                              <w:r w:rsidRPr="00D01779" w:rsidR="002C6125">
                                <w:rPr>
                                  <w:rStyle w:val="Hyperlink"/>
                                  <w:sz w:val="22"/>
                                </w:rPr>
                                <w:t>public.advisor@cpuc.ca.gov</w:t>
                              </w:r>
                            </w:hyperlink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style="position:absolute;margin-left:0;margin-top:-.6pt;width:381.65pt;height:36.1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spid="_x0000_s1027" o:allowincell="f" fillcolor="#ccc" strokeweight="2pt" w14:anchorId="11F0E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">
                <v:textbox inset="1pt,1pt,1pt,1pt">
                  <w:txbxContent>
                    <w:p w:rsidRPr="00D01779" w:rsidR="006A0B79" w:rsidP="001F4B5D" w:rsidRDefault="006A0B79" w14:paraId="60A98199" w14:textId="77777777">
                      <w:pPr>
                        <w:tabs>
                          <w:tab w:val="left" w:pos="1350"/>
                        </w:tabs>
                        <w:spacing w:after="60"/>
                        <w:jc w:val="center"/>
                        <w:rPr>
                          <w:sz w:val="22"/>
                        </w:rPr>
                      </w:pPr>
                      <w:r w:rsidRPr="00D01779">
                        <w:rPr>
                          <w:sz w:val="22"/>
                        </w:rPr>
                        <w:t>For further information contact the Public Advisor</w:t>
                      </w:r>
                    </w:p>
                    <w:p w:rsidRPr="00D01779" w:rsidR="006A0B79" w:rsidRDefault="006A0B79" w14:paraId="61DDC59D" w14:textId="68B1E304">
                      <w:pPr>
                        <w:tabs>
                          <w:tab w:val="left" w:pos="1350"/>
                        </w:tabs>
                        <w:jc w:val="center"/>
                        <w:rPr>
                          <w:sz w:val="22"/>
                        </w:rPr>
                      </w:pPr>
                      <w:r w:rsidRPr="00D01779">
                        <w:rPr>
                          <w:sz w:val="22"/>
                        </w:rPr>
                        <w:t xml:space="preserve">Phone: (415) 703-2074   </w:t>
                      </w:r>
                      <w:r w:rsidR="00294431">
                        <w:rPr>
                          <w:sz w:val="22"/>
                        </w:rPr>
                        <w:t>-</w:t>
                      </w:r>
                      <w:r w:rsidRPr="00D01779">
                        <w:rPr>
                          <w:sz w:val="22"/>
                        </w:rPr>
                        <w:t xml:space="preserve">   E-mail: </w:t>
                      </w:r>
                      <w:hyperlink w:history="1" r:id="rId10">
                        <w:r w:rsidRPr="00D01779" w:rsidR="002C6125">
                          <w:rPr>
                            <w:rStyle w:val="Hyperlink"/>
                            <w:sz w:val="22"/>
                          </w:rPr>
                          <w:t>public.advisor@cpuc.ca.gov</w:t>
                        </w:r>
                      </w:hyperlink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Pr="00501A9C" w:rsidR="008B347B" w:rsidP="00501A9C" w:rsidRDefault="008B347B" w14:paraId="603EDFBE" w14:textId="77777777">
      <w:pPr>
        <w:sectPr w:rsidRPr="00501A9C" w:rsidR="008B347B" w:rsidSect="00B83EAA">
          <w:pgSz w:w="12240" w:h="15840" w:code="1"/>
          <w:pgMar w:top="1440" w:right="1440" w:bottom="1440" w:left="1440" w:header="720" w:footer="720" w:gutter="0"/>
          <w:cols w:space="720"/>
          <w:titlePg/>
        </w:sectPr>
      </w:pPr>
    </w:p>
    <w:p w:rsidR="00EB4AA6" w:rsidP="00395577" w:rsidRDefault="001552C4" w14:paraId="25C064CA" w14:textId="47884E8A">
      <w:pPr>
        <w:pStyle w:val="Heading1"/>
        <w:rPr>
          <w:rFonts w:ascii="Arial" w:hAnsi="Arial" w:cs="Arial"/>
          <w:sz w:val="20"/>
          <w:szCs w:val="20"/>
        </w:rPr>
      </w:pPr>
      <w:r w:rsidRPr="00395577">
        <w:rPr>
          <w:rFonts w:ascii="Arial" w:hAnsi="Arial" w:cs="Arial"/>
          <w:sz w:val="20"/>
          <w:szCs w:val="20"/>
        </w:rPr>
        <w:lastRenderedPageBreak/>
        <w:t>AGENDA</w:t>
      </w:r>
    </w:p>
    <w:p w:rsidRPr="00395577" w:rsidR="00395577" w:rsidP="00395577" w:rsidRDefault="00395577" w14:paraId="5339DAC0" w14:textId="77777777"/>
    <w:p w:rsidR="002672F1" w:rsidP="003C668E" w:rsidRDefault="001552C4" w14:paraId="2D1DFD9A" w14:textId="0DB1A9E7">
      <w:pPr>
        <w:jc w:val="center"/>
        <w:rPr>
          <w:rFonts w:ascii="Arial" w:hAnsi="Arial" w:cs="Arial"/>
          <w:i/>
          <w:sz w:val="20"/>
          <w:szCs w:val="20"/>
        </w:rPr>
      </w:pPr>
      <w:r w:rsidRPr="00395577">
        <w:rPr>
          <w:rFonts w:ascii="Arial" w:hAnsi="Arial" w:cs="Arial"/>
          <w:i/>
          <w:sz w:val="20"/>
          <w:szCs w:val="20"/>
        </w:rPr>
        <w:t>(Agenda ID number</w:t>
      </w:r>
      <w:r w:rsidR="00C4476F">
        <w:rPr>
          <w:rFonts w:ascii="Arial" w:hAnsi="Arial" w:cs="Arial"/>
          <w:i/>
          <w:sz w:val="20"/>
          <w:szCs w:val="20"/>
        </w:rPr>
        <w:t>s</w:t>
      </w:r>
      <w:r w:rsidRPr="00395577">
        <w:rPr>
          <w:rFonts w:ascii="Arial" w:hAnsi="Arial" w:cs="Arial"/>
          <w:i/>
          <w:sz w:val="20"/>
          <w:szCs w:val="20"/>
        </w:rPr>
        <w:t xml:space="preserve"> </w:t>
      </w:r>
      <w:r w:rsidRPr="00395577" w:rsidR="00C66C15">
        <w:rPr>
          <w:rFonts w:ascii="Arial" w:hAnsi="Arial" w:cs="Arial"/>
          <w:i/>
          <w:sz w:val="20"/>
          <w:szCs w:val="20"/>
        </w:rPr>
        <w:t>correspond</w:t>
      </w:r>
      <w:r w:rsidRPr="00395577">
        <w:rPr>
          <w:rFonts w:ascii="Arial" w:hAnsi="Arial" w:cs="Arial"/>
          <w:i/>
          <w:sz w:val="20"/>
          <w:szCs w:val="20"/>
        </w:rPr>
        <w:t xml:space="preserve"> to</w:t>
      </w:r>
      <w:r w:rsidR="00C4476F">
        <w:rPr>
          <w:rFonts w:ascii="Arial" w:hAnsi="Arial" w:cs="Arial"/>
          <w:i/>
          <w:sz w:val="20"/>
          <w:szCs w:val="20"/>
        </w:rPr>
        <w:t xml:space="preserve"> the</w:t>
      </w:r>
      <w:r w:rsidR="008A60EB">
        <w:rPr>
          <w:rFonts w:ascii="Arial" w:hAnsi="Arial" w:cs="Arial"/>
          <w:i/>
          <w:sz w:val="20"/>
          <w:szCs w:val="20"/>
        </w:rPr>
        <w:t xml:space="preserve"> </w:t>
      </w:r>
      <w:r w:rsidR="00A018CC">
        <w:rPr>
          <w:rFonts w:ascii="Arial" w:hAnsi="Arial" w:cs="Arial"/>
          <w:i/>
          <w:sz w:val="20"/>
          <w:szCs w:val="20"/>
        </w:rPr>
        <w:t>April</w:t>
      </w:r>
      <w:r w:rsidR="002773A4">
        <w:rPr>
          <w:rFonts w:ascii="Arial" w:hAnsi="Arial" w:cs="Arial"/>
          <w:i/>
          <w:sz w:val="20"/>
          <w:szCs w:val="20"/>
        </w:rPr>
        <w:t xml:space="preserve"> </w:t>
      </w:r>
      <w:r w:rsidR="00CC2B5B">
        <w:rPr>
          <w:rFonts w:ascii="Arial" w:hAnsi="Arial" w:cs="Arial"/>
          <w:i/>
          <w:sz w:val="20"/>
          <w:szCs w:val="20"/>
        </w:rPr>
        <w:t>30</w:t>
      </w:r>
      <w:r w:rsidRPr="00395577" w:rsidR="00A56A47">
        <w:rPr>
          <w:rFonts w:ascii="Arial" w:hAnsi="Arial" w:cs="Arial"/>
          <w:i/>
          <w:sz w:val="20"/>
          <w:szCs w:val="20"/>
        </w:rPr>
        <w:t xml:space="preserve">, </w:t>
      </w:r>
      <w:r w:rsidRPr="00395577" w:rsidR="00135AC5">
        <w:rPr>
          <w:rFonts w:ascii="Arial" w:hAnsi="Arial" w:cs="Arial"/>
          <w:i/>
          <w:sz w:val="20"/>
          <w:szCs w:val="20"/>
        </w:rPr>
        <w:t>202</w:t>
      </w:r>
      <w:r w:rsidR="00183409">
        <w:rPr>
          <w:rFonts w:ascii="Arial" w:hAnsi="Arial" w:cs="Arial"/>
          <w:i/>
          <w:sz w:val="20"/>
          <w:szCs w:val="20"/>
        </w:rPr>
        <w:t>6</w:t>
      </w:r>
      <w:r w:rsidRPr="00395577" w:rsidR="00135AC5">
        <w:rPr>
          <w:rFonts w:ascii="Arial" w:hAnsi="Arial" w:cs="Arial"/>
          <w:i/>
          <w:sz w:val="20"/>
          <w:szCs w:val="20"/>
        </w:rPr>
        <w:t>,</w:t>
      </w:r>
      <w:r w:rsidRPr="00395577">
        <w:rPr>
          <w:rFonts w:ascii="Arial" w:hAnsi="Arial" w:cs="Arial"/>
          <w:i/>
          <w:sz w:val="20"/>
          <w:szCs w:val="20"/>
        </w:rPr>
        <w:t xml:space="preserve"> Business Meeting Agenda)</w:t>
      </w:r>
    </w:p>
    <w:p w:rsidR="00C66C15" w:rsidP="003C668E" w:rsidRDefault="00C66C15" w14:paraId="0B98DCDF" w14:textId="77777777">
      <w:pPr>
        <w:jc w:val="center"/>
        <w:rPr>
          <w:rFonts w:ascii="Arial" w:hAnsi="Arial" w:cs="Arial"/>
          <w:i/>
          <w:sz w:val="20"/>
          <w:szCs w:val="20"/>
        </w:rPr>
      </w:pPr>
    </w:p>
    <w:p w:rsidR="00C66C15" w:rsidP="003C668E" w:rsidRDefault="00C66C15" w14:paraId="6ADC8511" w14:textId="77777777">
      <w:pPr>
        <w:jc w:val="center"/>
        <w:rPr>
          <w:rFonts w:ascii="Arial" w:hAnsi="Arial" w:cs="Arial"/>
          <w:i/>
          <w:sz w:val="20"/>
          <w:szCs w:val="20"/>
        </w:rPr>
      </w:pPr>
    </w:p>
    <w:tbl>
      <w:tblPr>
        <w:tblW w:w="4985" w:type="pct"/>
        <w:tblLook w:val="0000" w:firstRow="0" w:lastRow="0" w:firstColumn="0" w:lastColumn="0" w:noHBand="0" w:noVBand="0"/>
      </w:tblPr>
      <w:tblGrid>
        <w:gridCol w:w="1017"/>
        <w:gridCol w:w="8315"/>
      </w:tblGrid>
      <w:tr w:rsidRPr="004C5B29" w:rsidR="00C66C15" w:rsidTr="00CE03AB" w14:paraId="1C4CF569" w14:textId="77777777">
        <w:trPr>
          <w:trHeight w:val="8793"/>
        </w:trPr>
        <w:tc>
          <w:tcPr>
            <w:tcW w:w="545" w:type="pct"/>
          </w:tcPr>
          <w:p w:rsidR="00C66C15" w:rsidP="00CE03AB" w:rsidRDefault="00C66C15" w14:paraId="483E011A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A5579B" w:rsidR="00C66C15" w:rsidP="00CE03AB" w:rsidRDefault="00C66C15" w14:paraId="0DBD2F65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A5579B" w:rsidR="00C66C15" w:rsidP="00CE03AB" w:rsidRDefault="00C66C15" w14:paraId="2DCFED37" w14:textId="08A6F3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[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24044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]</w:t>
            </w:r>
          </w:p>
          <w:p w:rsidR="00C66C15" w:rsidP="00CE03AB" w:rsidRDefault="00C66C15" w14:paraId="1CCC2150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A5579B" w:rsidR="00C66C15" w:rsidP="00CE03AB" w:rsidRDefault="00C66C15" w14:paraId="5E26B4BB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55" w:type="pct"/>
          </w:tcPr>
          <w:p w:rsidR="00C66C15" w:rsidP="00CE03AB" w:rsidRDefault="00C66C15" w14:paraId="0DF04C65" w14:textId="77777777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:rsidR="00C66C15" w:rsidP="00CE03AB" w:rsidRDefault="00C66C15" w14:paraId="56AF65BA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C66C15" w:rsidP="00C66C15" w:rsidRDefault="00C66C15" w14:paraId="704B45C8" w14:textId="75B1CE7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6C15">
              <w:rPr>
                <w:rFonts w:ascii="Arial" w:hAnsi="Arial" w:cs="Arial"/>
                <w:b/>
                <w:bCs/>
                <w:sz w:val="20"/>
                <w:szCs w:val="20"/>
              </w:rPr>
              <w:t>San Diego Gas &amp; Electric Company's Energy Resource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C66C15">
              <w:rPr>
                <w:rFonts w:ascii="Arial" w:hAnsi="Arial" w:cs="Arial"/>
                <w:b/>
                <w:bCs/>
                <w:sz w:val="20"/>
                <w:szCs w:val="20"/>
              </w:rPr>
              <w:t>Recovery Account Compliance for Record Year 2023</w:t>
            </w:r>
          </w:p>
          <w:p w:rsidR="00C66C15" w:rsidP="00C66C15" w:rsidRDefault="00C66C15" w14:paraId="0649FD65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Pr="00D92C33" w:rsidR="00C66C15" w:rsidP="00CE03AB" w:rsidRDefault="00C66C15" w14:paraId="12C10CC9" w14:textId="0FD3851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2C33">
              <w:rPr>
                <w:rFonts w:ascii="Arial" w:hAnsi="Arial" w:cs="Arial"/>
                <w:b/>
                <w:bCs/>
                <w:sz w:val="20"/>
                <w:szCs w:val="20"/>
              </w:rPr>
              <w:t>A.24-0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Pr="00D92C33">
              <w:rPr>
                <w:rFonts w:ascii="Arial" w:hAnsi="Arial" w:cs="Arial"/>
                <w:b/>
                <w:bCs/>
                <w:sz w:val="20"/>
                <w:szCs w:val="20"/>
              </w:rPr>
              <w:t>-00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  <w:p w:rsidR="00C66C15" w:rsidP="00CE03AB" w:rsidRDefault="00C66C15" w14:paraId="131429B4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Pr="00D92C33" w:rsidR="00C66C15" w:rsidP="00C66C15" w:rsidRDefault="00C66C15" w14:paraId="07909817" w14:textId="2C8FFC9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66C15">
              <w:rPr>
                <w:rFonts w:ascii="Arial" w:hAnsi="Arial" w:cs="Arial"/>
                <w:sz w:val="20"/>
                <w:szCs w:val="20"/>
              </w:rPr>
              <w:t>Application of San Diego Gas &amp; Electric Company for Approval of: (i) Contract Administration,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6C15">
              <w:rPr>
                <w:rFonts w:ascii="Arial" w:hAnsi="Arial" w:cs="Arial"/>
                <w:sz w:val="20"/>
                <w:szCs w:val="20"/>
              </w:rPr>
              <w:t>Least-Cost Dispatch and Power Procurement Activities in 2023, (ii) Costs Related to those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6C15">
              <w:rPr>
                <w:rFonts w:ascii="Arial" w:hAnsi="Arial" w:cs="Arial"/>
                <w:sz w:val="20"/>
                <w:szCs w:val="20"/>
              </w:rPr>
              <w:t>Activities Recorded to the Energy Resource Recovery Account, Portfolio Allocation Balancing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6C15">
              <w:rPr>
                <w:rFonts w:ascii="Arial" w:hAnsi="Arial" w:cs="Arial"/>
                <w:sz w:val="20"/>
                <w:szCs w:val="20"/>
              </w:rPr>
              <w:t>Account, Power Charge Indifference Adjustment Undercollection Balancing Account, Transition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6C15">
              <w:rPr>
                <w:rFonts w:ascii="Arial" w:hAnsi="Arial" w:cs="Arial"/>
                <w:sz w:val="20"/>
                <w:szCs w:val="20"/>
              </w:rPr>
              <w:t>Cost Balancing Account, Local Generating Balancing Account, and Modified Cost Allocation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6C15">
              <w:rPr>
                <w:rFonts w:ascii="Arial" w:hAnsi="Arial" w:cs="Arial"/>
                <w:sz w:val="20"/>
                <w:szCs w:val="20"/>
              </w:rPr>
              <w:t>Mechanism Balancing Account in 2023, and (iii) Costs Recorded in Related Regulatory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6C15">
              <w:rPr>
                <w:rFonts w:ascii="Arial" w:hAnsi="Arial" w:cs="Arial"/>
                <w:sz w:val="20"/>
                <w:szCs w:val="20"/>
              </w:rPr>
              <w:t>Accounts in 2023</w:t>
            </w:r>
            <w:r w:rsidRPr="00D92C33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66C15" w:rsidP="00CE03AB" w:rsidRDefault="00C66C15" w14:paraId="51275896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Pr="00395577" w:rsidR="00C66C15" w:rsidP="00CE03AB" w:rsidRDefault="00C66C15" w14:paraId="6D7E4F1A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0"/>
                <w:szCs w:val="20"/>
              </w:rPr>
            </w:pPr>
          </w:p>
          <w:p w:rsidRPr="00395577" w:rsidR="00C66C15" w:rsidP="00CE03AB" w:rsidRDefault="00C66C15" w14:paraId="21AD85C5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5577">
              <w:rPr>
                <w:rFonts w:ascii="Arial" w:hAnsi="Arial" w:cs="Arial"/>
                <w:b/>
                <w:bCs/>
                <w:sz w:val="20"/>
                <w:szCs w:val="20"/>
              </w:rPr>
              <w:t>PROPOSED OUTCOME:</w:t>
            </w:r>
            <w:r w:rsidRPr="00395577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</w:p>
          <w:p w:rsidRPr="00A01192" w:rsidR="00A01192" w:rsidP="00A01192" w:rsidRDefault="00A01192" w14:paraId="04EBE1E0" w14:textId="77777777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01192">
              <w:rPr>
                <w:rFonts w:ascii="Arial" w:hAnsi="Arial" w:cs="Arial"/>
                <w:sz w:val="20"/>
                <w:szCs w:val="20"/>
              </w:rPr>
              <w:t>Grants, with modifications, the Application of San Diego Gas &amp; Electric Company</w:t>
            </w:r>
          </w:p>
          <w:p w:rsidRPr="00A01192" w:rsidR="00A01192" w:rsidP="00A01192" w:rsidRDefault="00A01192" w14:paraId="6844F08A" w14:textId="77777777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01192">
              <w:rPr>
                <w:rFonts w:ascii="Arial" w:hAnsi="Arial" w:cs="Arial"/>
                <w:sz w:val="20"/>
                <w:szCs w:val="20"/>
              </w:rPr>
              <w:t>(SDG&amp;E) for approval of its Energy Resource Recovery Account Compliance for</w:t>
            </w:r>
          </w:p>
          <w:p w:rsidRPr="00A01192" w:rsidR="00A01192" w:rsidP="00A01192" w:rsidRDefault="00A01192" w14:paraId="37CCD7BE" w14:textId="77777777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01192">
              <w:rPr>
                <w:rFonts w:ascii="Arial" w:hAnsi="Arial" w:cs="Arial"/>
                <w:sz w:val="20"/>
                <w:szCs w:val="20"/>
              </w:rPr>
              <w:t>Record Period 2023.</w:t>
            </w:r>
          </w:p>
          <w:p w:rsidRPr="00A01192" w:rsidR="00A01192" w:rsidP="00A01192" w:rsidRDefault="00A01192" w14:paraId="487D664B" w14:textId="49F7833A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01192">
              <w:rPr>
                <w:rFonts w:ascii="Arial" w:hAnsi="Arial" w:cs="Arial"/>
                <w:sz w:val="20"/>
                <w:szCs w:val="20"/>
              </w:rPr>
              <w:t>Authorizes SDG&amp;E to recover the stranded costs from its Green Tariff Shared</w:t>
            </w:r>
          </w:p>
          <w:p w:rsidRPr="00A01192" w:rsidR="00A01192" w:rsidP="00A01192" w:rsidRDefault="00A01192" w14:paraId="0DCA3606" w14:textId="77777777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01192">
              <w:rPr>
                <w:rFonts w:ascii="Arial" w:hAnsi="Arial" w:cs="Arial"/>
                <w:sz w:val="20"/>
                <w:szCs w:val="20"/>
              </w:rPr>
              <w:t>Renewables programs from all ratepayers via the Public Purpose Programs charge</w:t>
            </w:r>
          </w:p>
          <w:p w:rsidR="00A01192" w:rsidP="00A01192" w:rsidRDefault="00A01192" w14:paraId="0A99F2DC" w14:textId="77777777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01192">
              <w:rPr>
                <w:rFonts w:ascii="Arial" w:hAnsi="Arial" w:cs="Arial"/>
                <w:sz w:val="20"/>
                <w:szCs w:val="20"/>
              </w:rPr>
              <w:t>in the equitable manner described herein.</w:t>
            </w:r>
          </w:p>
          <w:p w:rsidRPr="00AC4FEF" w:rsidR="00C66C15" w:rsidP="00A01192" w:rsidRDefault="00C66C15" w14:paraId="3346654E" w14:textId="5A806470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92C33">
              <w:rPr>
                <w:rFonts w:ascii="Arial" w:hAnsi="Arial" w:cs="Arial"/>
                <w:sz w:val="20"/>
                <w:szCs w:val="20"/>
              </w:rPr>
              <w:t>Closes the proceeding.</w:t>
            </w:r>
            <w:r w:rsidRPr="00AC4FEF">
              <w:rPr>
                <w:rFonts w:ascii="Arial" w:hAnsi="Arial" w:cs="Arial"/>
                <w:sz w:val="20"/>
                <w:szCs w:val="20"/>
              </w:rPr>
              <w:cr/>
            </w:r>
          </w:p>
          <w:p w:rsidRPr="00395577" w:rsidR="00C66C15" w:rsidP="00CE03AB" w:rsidRDefault="00C66C15" w14:paraId="2EA932A2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5577">
              <w:rPr>
                <w:rFonts w:ascii="Arial" w:hAnsi="Arial" w:cs="Arial"/>
                <w:b/>
                <w:bCs/>
                <w:sz w:val="20"/>
                <w:szCs w:val="20"/>
              </w:rPr>
              <w:t>SAFETY CONSIDERATIONS:</w:t>
            </w:r>
            <w:r w:rsidRPr="00395577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</w:p>
          <w:p w:rsidR="00C66C15" w:rsidP="00C66C15" w:rsidRDefault="00C66C15" w14:paraId="2C084DC4" w14:textId="77777777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C4FEF">
              <w:rPr>
                <w:rFonts w:ascii="Arial" w:hAnsi="Arial" w:cs="Arial"/>
                <w:sz w:val="20"/>
                <w:szCs w:val="20"/>
              </w:rPr>
              <w:t xml:space="preserve">There are no safety considerations associated with this </w:t>
            </w:r>
            <w:r w:rsidRPr="00D92C33">
              <w:rPr>
                <w:rFonts w:ascii="Arial" w:hAnsi="Arial" w:cs="Arial"/>
                <w:sz w:val="20"/>
                <w:szCs w:val="20"/>
              </w:rPr>
              <w:t>decision.</w:t>
            </w:r>
          </w:p>
          <w:p w:rsidRPr="00955AAA" w:rsidR="00C66C15" w:rsidP="00CE03AB" w:rsidRDefault="00C66C15" w14:paraId="559C14AB" w14:textId="77777777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Pr="00395577" w:rsidR="00C66C15" w:rsidP="00CE03AB" w:rsidRDefault="00C66C15" w14:paraId="5FD1D45D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5577">
              <w:rPr>
                <w:rFonts w:ascii="Arial" w:hAnsi="Arial" w:cs="Arial"/>
                <w:b/>
                <w:bCs/>
                <w:sz w:val="20"/>
                <w:szCs w:val="20"/>
              </w:rPr>
              <w:t>ESTIMATED COST:</w:t>
            </w:r>
            <w:r w:rsidRPr="00395577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</w:p>
          <w:p w:rsidRPr="00A01192" w:rsidR="00A01192" w:rsidP="00A01192" w:rsidRDefault="00A01192" w14:paraId="4280248C" w14:textId="77777777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</w:rPr>
            </w:pPr>
            <w:r w:rsidRPr="00A01192">
              <w:rPr>
                <w:rFonts w:ascii="Arial" w:hAnsi="Arial" w:cs="Arial"/>
                <w:sz w:val="20"/>
                <w:szCs w:val="20"/>
              </w:rPr>
              <w:t>This decision authorizes SDG&amp;E to recover certain costs incurred through its</w:t>
            </w:r>
          </w:p>
          <w:p w:rsidRPr="00A01192" w:rsidR="00A01192" w:rsidP="00A01192" w:rsidRDefault="00A01192" w14:paraId="4906F895" w14:textId="77777777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A01192">
              <w:rPr>
                <w:rFonts w:ascii="Arial" w:hAnsi="Arial" w:cs="Arial"/>
                <w:sz w:val="20"/>
                <w:szCs w:val="20"/>
              </w:rPr>
              <w:t>dispatch and procurement activities in record year 2023. This decision finds that</w:t>
            </w:r>
          </w:p>
          <w:p w:rsidRPr="00A01192" w:rsidR="00A01192" w:rsidP="00A01192" w:rsidRDefault="00A01192" w14:paraId="2B7B5149" w14:textId="11C89810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A01192">
              <w:rPr>
                <w:rFonts w:ascii="Arial" w:hAnsi="Arial" w:cs="Arial"/>
                <w:sz w:val="20"/>
                <w:szCs w:val="20"/>
              </w:rPr>
              <w:t xml:space="preserve">SDG&amp;E's </w:t>
            </w:r>
            <w:r w:rsidRPr="00A01192">
              <w:rPr>
                <w:rFonts w:ascii="Arial" w:hAnsi="Arial" w:cs="Arial"/>
                <w:sz w:val="20"/>
                <w:szCs w:val="20"/>
              </w:rPr>
              <w:t>prudently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A01192">
              <w:rPr>
                <w:rFonts w:ascii="Arial" w:hAnsi="Arial" w:cs="Arial"/>
                <w:sz w:val="20"/>
                <w:szCs w:val="20"/>
              </w:rPr>
              <w:t>managed</w:t>
            </w:r>
            <w:r w:rsidRPr="00A01192">
              <w:rPr>
                <w:rFonts w:ascii="Arial" w:hAnsi="Arial" w:cs="Arial"/>
                <w:sz w:val="20"/>
                <w:szCs w:val="20"/>
              </w:rPr>
              <w:t xml:space="preserve"> activities resulted in a recording a net undercollection</w:t>
            </w:r>
          </w:p>
          <w:p w:rsidRPr="00A01192" w:rsidR="00A01192" w:rsidP="00A01192" w:rsidRDefault="00A01192" w14:paraId="34EA193D" w14:textId="77777777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A01192">
              <w:rPr>
                <w:rFonts w:ascii="Arial" w:hAnsi="Arial" w:cs="Arial"/>
                <w:sz w:val="20"/>
                <w:szCs w:val="20"/>
              </w:rPr>
              <w:t>of $214.580 million (though this number excludes the amounts in two accounts</w:t>
            </w:r>
          </w:p>
          <w:p w:rsidR="00C66C15" w:rsidP="00A01192" w:rsidRDefault="00A01192" w14:paraId="3F88FE55" w14:textId="13D70A16">
            <w:pPr>
              <w:ind w:left="720"/>
              <w:rPr>
                <w:rFonts w:ascii="Arial" w:hAnsi="Arial" w:cs="Arial"/>
                <w:iCs/>
                <w:sz w:val="20"/>
                <w:szCs w:val="20"/>
              </w:rPr>
            </w:pPr>
            <w:r w:rsidRPr="00A01192">
              <w:rPr>
                <w:rFonts w:ascii="Arial" w:hAnsi="Arial" w:cs="Arial"/>
                <w:sz w:val="20"/>
                <w:szCs w:val="20"/>
              </w:rPr>
              <w:t>whose balances are confidential).</w:t>
            </w:r>
          </w:p>
          <w:p w:rsidR="00C66C15" w:rsidP="00CE03AB" w:rsidRDefault="00C66C15" w14:paraId="0591CE09" w14:textId="77777777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  <w:p w:rsidRPr="005A14C1" w:rsidR="00C66C15" w:rsidP="00CE03AB" w:rsidRDefault="00C66C15" w14:paraId="4599E9DD" w14:textId="68106C74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(</w:t>
            </w:r>
            <w:r w:rsidRPr="005A14C1">
              <w:rPr>
                <w:rFonts w:ascii="Arial" w:hAnsi="Arial" w:cs="Arial"/>
                <w:iCs/>
                <w:sz w:val="20"/>
                <w:szCs w:val="20"/>
              </w:rPr>
              <w:t xml:space="preserve">Comr. </w:t>
            </w:r>
            <w:r w:rsidRPr="00A01192" w:rsidR="00A01192">
              <w:rPr>
                <w:rFonts w:ascii="Arial" w:hAnsi="Arial" w:cs="Arial"/>
                <w:iCs/>
                <w:sz w:val="20"/>
                <w:szCs w:val="20"/>
              </w:rPr>
              <w:t>Harada - Judge Dugowson</w:t>
            </w:r>
            <w:r>
              <w:rPr>
                <w:rFonts w:ascii="Arial" w:hAnsi="Arial" w:cs="Arial"/>
                <w:iCs/>
                <w:sz w:val="20"/>
                <w:szCs w:val="20"/>
              </w:rPr>
              <w:t>)</w:t>
            </w:r>
          </w:p>
          <w:p w:rsidRPr="00CD7966" w:rsidR="00C66C15" w:rsidP="00CE03AB" w:rsidRDefault="00C66C15" w14:paraId="3CAD9EC6" w14:textId="77777777">
            <w:pPr>
              <w:pStyle w:val="ListParagraph"/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C66C15" w:rsidP="00CE03AB" w:rsidRDefault="00A01192" w14:paraId="6BB0E373" w14:textId="47F5D2AE">
            <w:pPr>
              <w:autoSpaceDE w:val="0"/>
              <w:autoSpaceDN w:val="0"/>
              <w:adjustRightInd w:val="0"/>
            </w:pPr>
            <w:hyperlink w:history="1" r:id="rId11">
              <w:r w:rsidRPr="00B17B4F">
                <w:rPr>
                  <w:rStyle w:val="Hyperlink"/>
                  <w:rFonts w:ascii="Arial" w:hAnsi="Arial" w:cs="Arial"/>
                  <w:sz w:val="19"/>
                  <w:szCs w:val="19"/>
                </w:rPr>
                <w:t>http://docs.cpuc.ca.gov/SearchRes.aspx?docformat=ALL&amp;docid=60</w:t>
              </w:r>
              <w:r w:rsidRPr="00B17B4F">
                <w:rPr>
                  <w:rStyle w:val="Hyperlink"/>
                  <w:rFonts w:ascii="Arial" w:hAnsi="Arial" w:cs="Arial"/>
                  <w:sz w:val="19"/>
                  <w:szCs w:val="19"/>
                </w:rPr>
                <w:t>5</w:t>
              </w:r>
              <w:r w:rsidRPr="00B17B4F">
                <w:rPr>
                  <w:rStyle w:val="Hyperlink"/>
                  <w:rFonts w:ascii="Arial" w:hAnsi="Arial" w:cs="Arial"/>
                  <w:sz w:val="19"/>
                  <w:szCs w:val="19"/>
                </w:rPr>
                <w:t>4</w:t>
              </w:r>
              <w:r w:rsidRPr="00B17B4F">
                <w:rPr>
                  <w:rStyle w:val="Hyperlink"/>
                  <w:rFonts w:ascii="Arial" w:hAnsi="Arial" w:cs="Arial"/>
                  <w:sz w:val="19"/>
                  <w:szCs w:val="19"/>
                </w:rPr>
                <w:t>54</w:t>
              </w:r>
              <w:r w:rsidRPr="00B17B4F">
                <w:rPr>
                  <w:rStyle w:val="Hyperlink"/>
                  <w:rFonts w:ascii="Arial" w:hAnsi="Arial" w:cs="Arial"/>
                  <w:sz w:val="19"/>
                  <w:szCs w:val="19"/>
                </w:rPr>
                <w:t>9</w:t>
              </w:r>
              <w:r w:rsidRPr="00B17B4F">
                <w:rPr>
                  <w:rStyle w:val="Hyperlink"/>
                  <w:rFonts w:ascii="Arial" w:hAnsi="Arial" w:cs="Arial"/>
                  <w:sz w:val="19"/>
                  <w:szCs w:val="19"/>
                </w:rPr>
                <w:t>5</w:t>
              </w:r>
              <w:r w:rsidRPr="00B17B4F">
                <w:rPr>
                  <w:rStyle w:val="Hyperlink"/>
                  <w:rFonts w:ascii="Arial" w:hAnsi="Arial" w:cs="Arial"/>
                  <w:sz w:val="19"/>
                  <w:szCs w:val="19"/>
                </w:rPr>
                <w:t>8</w:t>
              </w:r>
            </w:hyperlink>
          </w:p>
          <w:p w:rsidRPr="00D92C33" w:rsidR="00C66C15" w:rsidP="00CE03AB" w:rsidRDefault="00C66C15" w14:paraId="7C12A497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D92C33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Pub. Util. Code § 311 – This item was mailed for Public Comment.</w:t>
            </w:r>
          </w:p>
          <w:p w:rsidR="00C66C15" w:rsidP="00CE03AB" w:rsidRDefault="00C66C15" w14:paraId="724131C2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u w:val="single"/>
              </w:rPr>
            </w:pPr>
            <w:r w:rsidRPr="00CC2B5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u w:val="single"/>
              </w:rPr>
              <w:t>Pub. Util. Code §1701.1 -- This proceeding is categorized as Ratesetting.</w:t>
            </w:r>
          </w:p>
          <w:p w:rsidRPr="00A01192" w:rsidR="00A01192" w:rsidP="00A01192" w:rsidRDefault="00A01192" w14:paraId="15145A8F" w14:textId="51A4B10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9"/>
                <w:szCs w:val="19"/>
              </w:rPr>
            </w:pPr>
            <w:r w:rsidRPr="00A01192">
              <w:rPr>
                <w:rFonts w:ascii="Arial" w:hAnsi="Arial" w:cs="Arial"/>
                <w:bCs/>
                <w:sz w:val="19"/>
                <w:szCs w:val="19"/>
              </w:rPr>
              <w:t>Agenda 3578, Item 20 3/19/2026 (Staff</w:t>
            </w:r>
            <w:r w:rsidRPr="00A01192">
              <w:rPr>
                <w:rFonts w:ascii="Arial" w:hAnsi="Arial" w:cs="Arial"/>
                <w:bCs/>
                <w:sz w:val="19"/>
                <w:szCs w:val="19"/>
              </w:rPr>
              <w:t>)</w:t>
            </w:r>
            <w:r>
              <w:rPr>
                <w:rFonts w:ascii="Arial" w:hAnsi="Arial" w:cs="Arial"/>
                <w:bCs/>
                <w:sz w:val="19"/>
                <w:szCs w:val="19"/>
              </w:rPr>
              <w:t>;</w:t>
            </w:r>
          </w:p>
          <w:p w:rsidRPr="00CC2B5B" w:rsidR="00C66C15" w:rsidP="00A01192" w:rsidRDefault="00A01192" w14:paraId="4A1ED7E3" w14:textId="48E2CC6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9"/>
                <w:szCs w:val="19"/>
              </w:rPr>
            </w:pPr>
            <w:r w:rsidRPr="00A01192">
              <w:rPr>
                <w:rFonts w:ascii="Arial" w:hAnsi="Arial" w:cs="Arial"/>
                <w:bCs/>
                <w:sz w:val="19"/>
                <w:szCs w:val="19"/>
              </w:rPr>
              <w:t>Agenda 3579, Item 5 4/9/2026 (Staff)</w:t>
            </w:r>
          </w:p>
        </w:tc>
      </w:tr>
    </w:tbl>
    <w:p w:rsidR="00C66C15" w:rsidP="003C668E" w:rsidRDefault="00C66C15" w14:paraId="281B3F20" w14:textId="77777777">
      <w:pPr>
        <w:jc w:val="center"/>
        <w:rPr>
          <w:rFonts w:ascii="Arial" w:hAnsi="Arial" w:cs="Arial"/>
          <w:i/>
          <w:sz w:val="20"/>
          <w:szCs w:val="20"/>
        </w:rPr>
      </w:pPr>
    </w:p>
    <w:p w:rsidR="00C66C15" w:rsidP="003C668E" w:rsidRDefault="00C66C15" w14:paraId="27AE5447" w14:textId="77777777">
      <w:pPr>
        <w:jc w:val="center"/>
        <w:rPr>
          <w:rFonts w:ascii="Arial" w:hAnsi="Arial" w:cs="Arial"/>
          <w:i/>
          <w:sz w:val="20"/>
          <w:szCs w:val="20"/>
        </w:rPr>
      </w:pPr>
    </w:p>
    <w:p w:rsidR="00C66C15" w:rsidP="003C668E" w:rsidRDefault="00C66C15" w14:paraId="77505352" w14:textId="77777777">
      <w:pPr>
        <w:jc w:val="center"/>
        <w:rPr>
          <w:rFonts w:ascii="Arial" w:hAnsi="Arial" w:cs="Arial"/>
          <w:i/>
          <w:sz w:val="20"/>
          <w:szCs w:val="20"/>
        </w:rPr>
      </w:pPr>
    </w:p>
    <w:p w:rsidR="00C66C15" w:rsidP="003C668E" w:rsidRDefault="00C66C15" w14:paraId="1D7F275D" w14:textId="77777777">
      <w:pPr>
        <w:jc w:val="center"/>
        <w:rPr>
          <w:rFonts w:ascii="Arial" w:hAnsi="Arial" w:cs="Arial"/>
          <w:i/>
          <w:sz w:val="20"/>
          <w:szCs w:val="20"/>
        </w:rPr>
      </w:pPr>
    </w:p>
    <w:p w:rsidR="00C66C15" w:rsidP="003C668E" w:rsidRDefault="00C66C15" w14:paraId="0C17B52D" w14:textId="77777777">
      <w:pPr>
        <w:jc w:val="center"/>
        <w:rPr>
          <w:rFonts w:ascii="Arial" w:hAnsi="Arial" w:cs="Arial"/>
          <w:i/>
          <w:sz w:val="20"/>
          <w:szCs w:val="20"/>
        </w:rPr>
      </w:pPr>
    </w:p>
    <w:p w:rsidR="00C66C15" w:rsidP="003C668E" w:rsidRDefault="00C66C15" w14:paraId="5E717820" w14:textId="77777777">
      <w:pPr>
        <w:jc w:val="center"/>
        <w:rPr>
          <w:rFonts w:ascii="Arial" w:hAnsi="Arial" w:cs="Arial"/>
          <w:i/>
          <w:sz w:val="20"/>
          <w:szCs w:val="20"/>
        </w:rPr>
      </w:pPr>
    </w:p>
    <w:p w:rsidR="00C66C15" w:rsidP="003C668E" w:rsidRDefault="00C66C15" w14:paraId="04A3652C" w14:textId="77777777">
      <w:pPr>
        <w:jc w:val="center"/>
        <w:rPr>
          <w:rFonts w:ascii="Arial" w:hAnsi="Arial" w:cs="Arial"/>
          <w:i/>
          <w:sz w:val="20"/>
          <w:szCs w:val="20"/>
        </w:rPr>
      </w:pPr>
    </w:p>
    <w:p w:rsidR="002672F1" w:rsidP="003C668E" w:rsidRDefault="002672F1" w14:paraId="1AB008C3" w14:textId="77777777">
      <w:pPr>
        <w:jc w:val="center"/>
        <w:rPr>
          <w:rFonts w:ascii="Arial" w:hAnsi="Arial" w:cs="Arial"/>
          <w:i/>
          <w:sz w:val="20"/>
          <w:szCs w:val="20"/>
        </w:rPr>
      </w:pPr>
    </w:p>
    <w:p w:rsidR="00CD7966" w:rsidP="003C668E" w:rsidRDefault="00CD7966" w14:paraId="32060984" w14:textId="77777777">
      <w:pPr>
        <w:jc w:val="center"/>
        <w:rPr>
          <w:rFonts w:ascii="Arial" w:hAnsi="Arial" w:cs="Arial"/>
          <w:i/>
          <w:sz w:val="20"/>
          <w:szCs w:val="20"/>
        </w:rPr>
      </w:pPr>
    </w:p>
    <w:bookmarkEnd w:id="0"/>
    <w:tbl>
      <w:tblPr>
        <w:tblW w:w="4985" w:type="pct"/>
        <w:tblLook w:val="0000" w:firstRow="0" w:lastRow="0" w:firstColumn="0" w:lastColumn="0" w:noHBand="0" w:noVBand="0"/>
      </w:tblPr>
      <w:tblGrid>
        <w:gridCol w:w="1017"/>
        <w:gridCol w:w="8315"/>
      </w:tblGrid>
      <w:tr w:rsidRPr="004C5B29" w:rsidR="00183409" w:rsidTr="00444F3F" w14:paraId="7376BA66" w14:textId="77777777">
        <w:trPr>
          <w:trHeight w:val="8793"/>
        </w:trPr>
        <w:tc>
          <w:tcPr>
            <w:tcW w:w="545" w:type="pct"/>
          </w:tcPr>
          <w:p w:rsidR="00183409" w:rsidP="00444F3F" w:rsidRDefault="00183409" w14:paraId="13FD9212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A5579B" w:rsidR="00183409" w:rsidP="00444F3F" w:rsidRDefault="00183409" w14:paraId="01D986A6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A5579B" w:rsidR="00183409" w:rsidP="00444F3F" w:rsidRDefault="00183409" w14:paraId="110F3412" w14:textId="0977F54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[</w:t>
            </w:r>
            <w:r w:rsidR="00406902">
              <w:rPr>
                <w:rFonts w:ascii="Arial" w:hAnsi="Arial" w:cs="Arial"/>
                <w:b/>
                <w:bCs/>
                <w:sz w:val="20"/>
                <w:szCs w:val="20"/>
              </w:rPr>
              <w:t>24087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]</w:t>
            </w:r>
          </w:p>
          <w:p w:rsidR="00183409" w:rsidP="00444F3F" w:rsidRDefault="00183409" w14:paraId="0F4D5F00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A5579B" w:rsidR="00183409" w:rsidP="00444F3F" w:rsidRDefault="00183409" w14:paraId="26423FEB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55" w:type="pct"/>
          </w:tcPr>
          <w:p w:rsidR="00183409" w:rsidP="00444F3F" w:rsidRDefault="00183409" w14:paraId="569AE7B2" w14:textId="77777777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:rsidR="00D92C33" w:rsidP="00D92C33" w:rsidRDefault="00D92C33" w14:paraId="61741C68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183409" w:rsidP="00D92C33" w:rsidRDefault="00D92C33" w14:paraId="3FB7DECB" w14:textId="07EB1AE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2C33">
              <w:rPr>
                <w:rFonts w:ascii="Arial" w:hAnsi="Arial" w:cs="Arial"/>
                <w:b/>
                <w:bCs/>
                <w:sz w:val="20"/>
                <w:szCs w:val="20"/>
              </w:rPr>
              <w:t>Pacific Gas and Electric Company Authorization of Lease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D92C33">
              <w:rPr>
                <w:rFonts w:ascii="Arial" w:hAnsi="Arial" w:cs="Arial"/>
                <w:b/>
                <w:bCs/>
                <w:sz w:val="20"/>
                <w:szCs w:val="20"/>
              </w:rPr>
              <w:t>Entitlements to Citizens Energy Corporation for Transmission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D92C33">
              <w:rPr>
                <w:rFonts w:ascii="Arial" w:hAnsi="Arial" w:cs="Arial"/>
                <w:b/>
                <w:bCs/>
                <w:sz w:val="20"/>
                <w:szCs w:val="20"/>
              </w:rPr>
              <w:t>Projects</w:t>
            </w:r>
          </w:p>
          <w:p w:rsidR="00D92C33" w:rsidP="00D92C33" w:rsidRDefault="00D92C33" w14:paraId="1A34ED44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Pr="00D92C33" w:rsidR="00D92C33" w:rsidP="00D92C33" w:rsidRDefault="00D92C33" w14:paraId="45CE30E4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2C33">
              <w:rPr>
                <w:rFonts w:ascii="Arial" w:hAnsi="Arial" w:cs="Arial"/>
                <w:b/>
                <w:bCs/>
                <w:sz w:val="20"/>
                <w:szCs w:val="20"/>
              </w:rPr>
              <w:t>A.24-03-009</w:t>
            </w:r>
          </w:p>
          <w:p w:rsidR="00D92C33" w:rsidP="00D92C33" w:rsidRDefault="00D92C33" w14:paraId="6CAE0023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Pr="00D92C33" w:rsidR="00D92C33" w:rsidP="00D92C33" w:rsidRDefault="00D92C33" w14:paraId="54084542" w14:textId="2AF0A3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92C33">
              <w:rPr>
                <w:rFonts w:ascii="Arial" w:hAnsi="Arial" w:cs="Arial"/>
                <w:sz w:val="20"/>
                <w:szCs w:val="20"/>
              </w:rPr>
              <w:t xml:space="preserve">Application of Pacific Gas and Electric Company for Approval Under Public Utilities Code Section 851 to Lease Entitlements to Transmission Projects to Citizens Energy 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D92C33">
              <w:rPr>
                <w:rFonts w:ascii="Arial" w:hAnsi="Arial" w:cs="Arial"/>
                <w:sz w:val="20"/>
                <w:szCs w:val="20"/>
              </w:rPr>
              <w:t>orporation.</w:t>
            </w:r>
          </w:p>
          <w:p w:rsidR="00D92C33" w:rsidP="00D92C33" w:rsidRDefault="00D92C33" w14:paraId="3729481A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Pr="00395577" w:rsidR="00183409" w:rsidP="00444F3F" w:rsidRDefault="00183409" w14:paraId="24E567BA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0"/>
                <w:szCs w:val="20"/>
              </w:rPr>
            </w:pPr>
          </w:p>
          <w:p w:rsidRPr="00395577" w:rsidR="00183409" w:rsidP="00444F3F" w:rsidRDefault="00183409" w14:paraId="0FC911AE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5577">
              <w:rPr>
                <w:rFonts w:ascii="Arial" w:hAnsi="Arial" w:cs="Arial"/>
                <w:b/>
                <w:bCs/>
                <w:sz w:val="20"/>
                <w:szCs w:val="20"/>
              </w:rPr>
              <w:t>PROPOSED OUTCOME:</w:t>
            </w:r>
            <w:r w:rsidRPr="00395577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</w:p>
          <w:p w:rsidRPr="00D92C33" w:rsidR="00D92C33" w:rsidP="00D92C33" w:rsidRDefault="00D92C33" w14:paraId="20E871CE" w14:textId="77777777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92C33">
              <w:rPr>
                <w:rFonts w:ascii="Arial" w:hAnsi="Arial" w:cs="Arial"/>
                <w:sz w:val="20"/>
                <w:szCs w:val="20"/>
              </w:rPr>
              <w:t>Authorizes Pacific Gas and Electric Company (PG&amp;E) to file Tier 3 Advice Letters</w:t>
            </w:r>
          </w:p>
          <w:p w:rsidRPr="00D92C33" w:rsidR="00D92C33" w:rsidP="00D92C33" w:rsidRDefault="00D92C33" w14:paraId="36522606" w14:textId="5118EE48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92C33">
              <w:rPr>
                <w:rFonts w:ascii="Arial" w:hAnsi="Arial" w:cs="Arial"/>
                <w:sz w:val="20"/>
                <w:szCs w:val="20"/>
              </w:rPr>
              <w:t>seeking authorization to enter into up to five Option Period Entitlements Leases with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92C33">
              <w:rPr>
                <w:rFonts w:ascii="Arial" w:hAnsi="Arial" w:cs="Arial"/>
                <w:sz w:val="20"/>
                <w:szCs w:val="20"/>
              </w:rPr>
              <w:t>Citizens Energy (Citizens) for specific transmission projects.</w:t>
            </w:r>
          </w:p>
          <w:p w:rsidRPr="00D92C33" w:rsidR="00D92C33" w:rsidP="00D92C33" w:rsidRDefault="00D92C33" w14:paraId="088981BC" w14:textId="1CFBE986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92C33">
              <w:rPr>
                <w:rFonts w:ascii="Arial" w:hAnsi="Arial" w:cs="Arial"/>
                <w:sz w:val="20"/>
                <w:szCs w:val="20"/>
              </w:rPr>
              <w:t>Requires PG&amp;E to seek in its Option Period Tier 3 Advice Letters authorization for</w:t>
            </w:r>
          </w:p>
          <w:p w:rsidRPr="00D92C33" w:rsidR="00D92C33" w:rsidP="00D92C33" w:rsidRDefault="00D92C33" w14:paraId="1E42BCB3" w14:textId="77777777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92C33">
              <w:rPr>
                <w:rFonts w:ascii="Arial" w:hAnsi="Arial" w:cs="Arial"/>
                <w:sz w:val="20"/>
                <w:szCs w:val="20"/>
              </w:rPr>
              <w:t>Citizens' ratepayer assistance program for each Option Period.</w:t>
            </w:r>
          </w:p>
          <w:p w:rsidRPr="00D92C33" w:rsidR="00D92C33" w:rsidP="00D92C33" w:rsidRDefault="00D92C33" w14:paraId="014DE9BC" w14:textId="6AA7E49A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92C33">
              <w:rPr>
                <w:rFonts w:ascii="Arial" w:hAnsi="Arial" w:cs="Arial"/>
                <w:sz w:val="20"/>
                <w:szCs w:val="20"/>
              </w:rPr>
              <w:t>Requires PG&amp;E to include in Tier 3 Advice Letters for Option Periods 2 through 5</w:t>
            </w:r>
          </w:p>
          <w:p w:rsidRPr="00D92C33" w:rsidR="00D92C33" w:rsidP="00D92C33" w:rsidRDefault="00D92C33" w14:paraId="250C8872" w14:textId="77777777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92C33">
              <w:rPr>
                <w:rFonts w:ascii="Arial" w:hAnsi="Arial" w:cs="Arial"/>
                <w:sz w:val="20"/>
                <w:szCs w:val="20"/>
              </w:rPr>
              <w:t>detail about how Citizens distributed ratepayer assistance in the previous Option</w:t>
            </w:r>
          </w:p>
          <w:p w:rsidRPr="00D92C33" w:rsidR="00D92C33" w:rsidP="00D92C33" w:rsidRDefault="00D92C33" w14:paraId="6CDB4B43" w14:textId="77777777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92C33">
              <w:rPr>
                <w:rFonts w:ascii="Arial" w:hAnsi="Arial" w:cs="Arial"/>
                <w:sz w:val="20"/>
                <w:szCs w:val="20"/>
              </w:rPr>
              <w:t>Period.</w:t>
            </w:r>
          </w:p>
          <w:p w:rsidRPr="00D92C33" w:rsidR="00D92C33" w:rsidP="00D92C33" w:rsidRDefault="00D92C33" w14:paraId="33E34A7B" w14:textId="1CED46C4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92C33">
              <w:rPr>
                <w:rFonts w:ascii="Arial" w:hAnsi="Arial" w:cs="Arial"/>
                <w:sz w:val="20"/>
                <w:szCs w:val="20"/>
              </w:rPr>
              <w:t>Directs PG&amp;E to file a Tier 1 Advice Letter each time it receives approval of a new</w:t>
            </w:r>
          </w:p>
          <w:p w:rsidRPr="00D92C33" w:rsidR="00D92C33" w:rsidP="00D92C33" w:rsidRDefault="00D92C33" w14:paraId="31AD1997" w14:textId="77777777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92C33">
              <w:rPr>
                <w:rFonts w:ascii="Arial" w:hAnsi="Arial" w:cs="Arial"/>
                <w:sz w:val="20"/>
                <w:szCs w:val="20"/>
              </w:rPr>
              <w:t>Federal Energy Regulatory Commission (FERC) formula rate updating its</w:t>
            </w:r>
          </w:p>
          <w:p w:rsidRPr="00D92C33" w:rsidR="00D92C33" w:rsidP="00D92C33" w:rsidRDefault="00D92C33" w14:paraId="58BB8594" w14:textId="77777777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92C33">
              <w:rPr>
                <w:rFonts w:ascii="Arial" w:hAnsi="Arial" w:cs="Arial"/>
                <w:sz w:val="20"/>
                <w:szCs w:val="20"/>
              </w:rPr>
              <w:t>representative rate model using the newly FERC-approved formula rate terms.</w:t>
            </w:r>
          </w:p>
          <w:p w:rsidRPr="00AC4FEF" w:rsidR="00183409" w:rsidP="00D92C33" w:rsidRDefault="00D92C33" w14:paraId="134E2212" w14:textId="58D8598F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92C33">
              <w:rPr>
                <w:rFonts w:ascii="Arial" w:hAnsi="Arial" w:cs="Arial"/>
                <w:sz w:val="20"/>
                <w:szCs w:val="20"/>
              </w:rPr>
              <w:t>Closes the proceeding.</w:t>
            </w:r>
            <w:r w:rsidRPr="00AC4FEF" w:rsidR="00183409">
              <w:rPr>
                <w:rFonts w:ascii="Arial" w:hAnsi="Arial" w:cs="Arial"/>
                <w:sz w:val="20"/>
                <w:szCs w:val="20"/>
              </w:rPr>
              <w:cr/>
            </w:r>
          </w:p>
          <w:p w:rsidRPr="00395577" w:rsidR="00183409" w:rsidP="00444F3F" w:rsidRDefault="00183409" w14:paraId="377DB8AC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5577">
              <w:rPr>
                <w:rFonts w:ascii="Arial" w:hAnsi="Arial" w:cs="Arial"/>
                <w:b/>
                <w:bCs/>
                <w:sz w:val="20"/>
                <w:szCs w:val="20"/>
              </w:rPr>
              <w:t>SAFETY CONSIDERATIONS:</w:t>
            </w:r>
            <w:r w:rsidRPr="00395577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</w:p>
          <w:p w:rsidR="00183409" w:rsidP="00AC4FEF" w:rsidRDefault="00AC4FEF" w14:paraId="5E5ABABA" w14:textId="1AB7E941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C4FEF">
              <w:rPr>
                <w:rFonts w:ascii="Arial" w:hAnsi="Arial" w:cs="Arial"/>
                <w:sz w:val="20"/>
                <w:szCs w:val="20"/>
              </w:rPr>
              <w:t xml:space="preserve">There are no safety considerations associated with this </w:t>
            </w:r>
            <w:r w:rsidRPr="00D92C33" w:rsidR="00D92C33">
              <w:rPr>
                <w:rFonts w:ascii="Arial" w:hAnsi="Arial" w:cs="Arial"/>
                <w:sz w:val="20"/>
                <w:szCs w:val="20"/>
              </w:rPr>
              <w:t>decision.</w:t>
            </w:r>
          </w:p>
          <w:p w:rsidRPr="00955AAA" w:rsidR="00183409" w:rsidP="00444F3F" w:rsidRDefault="00183409" w14:paraId="59BA67E1" w14:textId="77777777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Pr="00395577" w:rsidR="00183409" w:rsidP="00444F3F" w:rsidRDefault="00183409" w14:paraId="5F301BAC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5577">
              <w:rPr>
                <w:rFonts w:ascii="Arial" w:hAnsi="Arial" w:cs="Arial"/>
                <w:b/>
                <w:bCs/>
                <w:sz w:val="20"/>
                <w:szCs w:val="20"/>
              </w:rPr>
              <w:t>ESTIMATED COST:</w:t>
            </w:r>
            <w:r w:rsidRPr="00395577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</w:p>
          <w:p w:rsidRPr="00047570" w:rsidR="00183409" w:rsidP="00183409" w:rsidRDefault="00D92C33" w14:paraId="53A275C4" w14:textId="7495F12A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D92C33">
              <w:rPr>
                <w:rFonts w:ascii="Arial" w:hAnsi="Arial" w:cs="Arial"/>
                <w:sz w:val="20"/>
                <w:szCs w:val="20"/>
              </w:rPr>
              <w:t>The impact on rates cannot be estimated at this time.</w:t>
            </w:r>
          </w:p>
          <w:p w:rsidR="00047570" w:rsidP="00047570" w:rsidRDefault="00047570" w14:paraId="7ACC6B5E" w14:textId="77777777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047570" w:rsidP="00047570" w:rsidRDefault="00047570" w14:paraId="446F120C" w14:textId="77777777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  <w:p w:rsidRPr="005A14C1" w:rsidR="00183409" w:rsidP="00444F3F" w:rsidRDefault="005A14C1" w14:paraId="2622CEA4" w14:textId="1D53A6E2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(</w:t>
            </w:r>
            <w:r w:rsidRPr="005A14C1" w:rsidR="00047570">
              <w:rPr>
                <w:rFonts w:ascii="Arial" w:hAnsi="Arial" w:cs="Arial"/>
                <w:iCs/>
                <w:sz w:val="20"/>
                <w:szCs w:val="20"/>
              </w:rPr>
              <w:t>Comr. Douglas - Judge Chang</w:t>
            </w:r>
            <w:r>
              <w:rPr>
                <w:rFonts w:ascii="Arial" w:hAnsi="Arial" w:cs="Arial"/>
                <w:iCs/>
                <w:sz w:val="20"/>
                <w:szCs w:val="20"/>
              </w:rPr>
              <w:t>)</w:t>
            </w:r>
          </w:p>
          <w:p w:rsidRPr="00CD7966" w:rsidR="00183409" w:rsidP="00444F3F" w:rsidRDefault="00183409" w14:paraId="58A3F031" w14:textId="77777777">
            <w:pPr>
              <w:pStyle w:val="ListParagraph"/>
              <w:rPr>
                <w:rFonts w:ascii="Arial" w:hAnsi="Arial" w:cs="Arial"/>
                <w:iCs/>
                <w:sz w:val="20"/>
                <w:szCs w:val="20"/>
              </w:rPr>
            </w:pPr>
          </w:p>
          <w:p w:rsidRPr="00CC2B5B" w:rsidR="00CC2B5B" w:rsidP="00444F3F" w:rsidRDefault="00CC2B5B" w14:paraId="4D0C8FA4" w14:textId="75EF56E3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hyperlink w:history="1" r:id="rId12">
              <w:r w:rsidRPr="00CC2B5B">
                <w:rPr>
                  <w:rStyle w:val="Hyperlink"/>
                  <w:rFonts w:ascii="Arial" w:hAnsi="Arial" w:cs="Arial"/>
                  <w:sz w:val="19"/>
                  <w:szCs w:val="19"/>
                </w:rPr>
                <w:t>http://docs.cpuc.ca.gov/SearchRes.aspx?docformat=ALL&amp;docid=604928020</w:t>
              </w:r>
            </w:hyperlink>
          </w:p>
          <w:p w:rsidRPr="00D92C33" w:rsidR="00D92C33" w:rsidP="00D92C33" w:rsidRDefault="00D92C33" w14:paraId="3A391A46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D92C33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Pub. Util. Code § 311 – This item was mailed for Public Comment.</w:t>
            </w:r>
          </w:p>
          <w:p w:rsidR="00183409" w:rsidP="00D92C33" w:rsidRDefault="00D92C33" w14:paraId="61D81D50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u w:val="single"/>
              </w:rPr>
            </w:pPr>
            <w:r w:rsidRPr="00CC2B5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u w:val="single"/>
              </w:rPr>
              <w:t>Pub. Util. Code §1701.1 -- This proceeding is categorized as Ratesetting.</w:t>
            </w:r>
          </w:p>
          <w:p w:rsidRPr="00CC2B5B" w:rsidR="00CC2B5B" w:rsidP="00D92C33" w:rsidRDefault="00CC2B5B" w14:paraId="442FA917" w14:textId="4A34C97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9"/>
                <w:szCs w:val="19"/>
              </w:rPr>
            </w:pPr>
            <w:r w:rsidRPr="00CC2B5B">
              <w:rPr>
                <w:rFonts w:ascii="Arial" w:hAnsi="Arial" w:cs="Arial"/>
                <w:bCs/>
                <w:sz w:val="19"/>
                <w:szCs w:val="19"/>
              </w:rPr>
              <w:t>Agenda 3579, Item 11 4/9/2026 (Houck)</w:t>
            </w:r>
          </w:p>
        </w:tc>
      </w:tr>
    </w:tbl>
    <w:p w:rsidR="003C7110" w:rsidP="0010621F" w:rsidRDefault="003C7110" w14:paraId="1913401A" w14:textId="77777777"/>
    <w:p w:rsidR="00065B1F" w:rsidP="0010621F" w:rsidRDefault="00065B1F" w14:paraId="0D23C472" w14:textId="77777777"/>
    <w:p w:rsidR="003C7110" w:rsidP="0010621F" w:rsidRDefault="003C7110" w14:paraId="103B23D8" w14:textId="77777777"/>
    <w:p w:rsidR="003C7110" w:rsidP="0010621F" w:rsidRDefault="003C7110" w14:paraId="31EDFFF9" w14:textId="77777777"/>
    <w:p w:rsidR="003C7110" w:rsidP="0010621F" w:rsidRDefault="003C7110" w14:paraId="1529F6C3" w14:textId="77777777"/>
    <w:p w:rsidR="003C7110" w:rsidP="0010621F" w:rsidRDefault="003C7110" w14:paraId="586F8E9E" w14:textId="77777777"/>
    <w:p w:rsidR="003C7110" w:rsidP="0010621F" w:rsidRDefault="003C7110" w14:paraId="22EB06A6" w14:textId="77777777"/>
    <w:tbl>
      <w:tblPr>
        <w:tblW w:w="4985" w:type="pct"/>
        <w:tblLook w:val="0000" w:firstRow="0" w:lastRow="0" w:firstColumn="0" w:lastColumn="0" w:noHBand="0" w:noVBand="0"/>
      </w:tblPr>
      <w:tblGrid>
        <w:gridCol w:w="1017"/>
        <w:gridCol w:w="8315"/>
      </w:tblGrid>
      <w:tr w:rsidRPr="004C5B29" w:rsidR="00CC2B5B" w:rsidTr="00271A46" w14:paraId="4050143E" w14:textId="77777777">
        <w:trPr>
          <w:trHeight w:val="8793"/>
        </w:trPr>
        <w:tc>
          <w:tcPr>
            <w:tcW w:w="545" w:type="pct"/>
          </w:tcPr>
          <w:p w:rsidR="00CC2B5B" w:rsidP="00271A46" w:rsidRDefault="00CC2B5B" w14:paraId="5FA770F0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A5579B" w:rsidR="00CC2B5B" w:rsidP="00271A46" w:rsidRDefault="00CC2B5B" w14:paraId="35A4884C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A5579B" w:rsidR="00CC2B5B" w:rsidP="00271A46" w:rsidRDefault="00CC2B5B" w14:paraId="040D8EAD" w14:textId="3E0FEFE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[24101]</w:t>
            </w:r>
          </w:p>
          <w:p w:rsidR="00CC2B5B" w:rsidP="00271A46" w:rsidRDefault="00CC2B5B" w14:paraId="172725C4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A5579B" w:rsidR="00CC2B5B" w:rsidP="00271A46" w:rsidRDefault="00CC2B5B" w14:paraId="53E09C68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55" w:type="pct"/>
          </w:tcPr>
          <w:p w:rsidR="00CC2B5B" w:rsidP="00271A46" w:rsidRDefault="00CC2B5B" w14:paraId="6ADD1134" w14:textId="77777777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:rsidR="00CC2B5B" w:rsidP="00271A46" w:rsidRDefault="00CC2B5B" w14:paraId="3DE9E669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CC2B5B" w:rsidP="00CC2B5B" w:rsidRDefault="00CC2B5B" w14:paraId="17B35165" w14:textId="369A664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2B5B">
              <w:rPr>
                <w:rFonts w:ascii="Arial" w:hAnsi="Arial" w:cs="Arial"/>
                <w:b/>
                <w:bCs/>
                <w:sz w:val="20"/>
                <w:szCs w:val="20"/>
              </w:rPr>
              <w:t>Southern California Edison Company Marginal Costs,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CC2B5B">
              <w:rPr>
                <w:rFonts w:ascii="Arial" w:hAnsi="Arial" w:cs="Arial"/>
                <w:b/>
                <w:bCs/>
                <w:sz w:val="20"/>
                <w:szCs w:val="20"/>
              </w:rPr>
              <w:t>Revenues Allocation, and Rate Design</w:t>
            </w:r>
          </w:p>
          <w:p w:rsidR="00CC2B5B" w:rsidP="00CC2B5B" w:rsidRDefault="00CC2B5B" w14:paraId="54C39B52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Pr="00D92C33" w:rsidR="00CC2B5B" w:rsidP="00271A46" w:rsidRDefault="00CC2B5B" w14:paraId="55464E1B" w14:textId="4E1432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2C33">
              <w:rPr>
                <w:rFonts w:ascii="Arial" w:hAnsi="Arial" w:cs="Arial"/>
                <w:b/>
                <w:bCs/>
                <w:sz w:val="20"/>
                <w:szCs w:val="20"/>
              </w:rPr>
              <w:t>A.24-03-0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D92C33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  <w:p w:rsidR="00CC2B5B" w:rsidP="00271A46" w:rsidRDefault="00CC2B5B" w14:paraId="052F476A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Pr="00CC2B5B" w:rsidR="00CC2B5B" w:rsidP="00CC2B5B" w:rsidRDefault="00CC2B5B" w14:paraId="2A071280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92C33">
              <w:rPr>
                <w:rFonts w:ascii="Arial" w:hAnsi="Arial" w:cs="Arial"/>
                <w:sz w:val="20"/>
                <w:szCs w:val="20"/>
              </w:rPr>
              <w:t xml:space="preserve">Application of </w:t>
            </w:r>
            <w:r w:rsidRPr="00CC2B5B">
              <w:rPr>
                <w:rFonts w:ascii="Arial" w:hAnsi="Arial" w:cs="Arial"/>
                <w:sz w:val="20"/>
                <w:szCs w:val="20"/>
              </w:rPr>
              <w:t>Southern California Edison Company to Establish Marginal Costs, Allocate</w:t>
            </w:r>
          </w:p>
          <w:p w:rsidRPr="00D92C33" w:rsidR="00CC2B5B" w:rsidP="00CC2B5B" w:rsidRDefault="00CC2B5B" w14:paraId="01D36CAD" w14:textId="6C5D77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C2B5B">
              <w:rPr>
                <w:rFonts w:ascii="Arial" w:hAnsi="Arial" w:cs="Arial"/>
                <w:sz w:val="20"/>
                <w:szCs w:val="20"/>
              </w:rPr>
              <w:t>Revenues, and Design Rates</w:t>
            </w:r>
            <w:r w:rsidRPr="00D92C33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C2B5B" w:rsidP="00271A46" w:rsidRDefault="00CC2B5B" w14:paraId="26FCE10C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Pr="00395577" w:rsidR="00CC2B5B" w:rsidP="00271A46" w:rsidRDefault="00CC2B5B" w14:paraId="4E5245AE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0"/>
                <w:szCs w:val="20"/>
              </w:rPr>
            </w:pPr>
          </w:p>
          <w:p w:rsidRPr="00395577" w:rsidR="00CC2B5B" w:rsidP="00271A46" w:rsidRDefault="00CC2B5B" w14:paraId="4547F728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5577">
              <w:rPr>
                <w:rFonts w:ascii="Arial" w:hAnsi="Arial" w:cs="Arial"/>
                <w:b/>
                <w:bCs/>
                <w:sz w:val="20"/>
                <w:szCs w:val="20"/>
              </w:rPr>
              <w:t>PROPOSED OUTCOME:</w:t>
            </w:r>
            <w:r w:rsidRPr="00395577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</w:p>
          <w:p w:rsidRPr="00CC2B5B" w:rsidR="00CC2B5B" w:rsidP="00CC2B5B" w:rsidRDefault="00CC2B5B" w14:paraId="1F3F103A" w14:textId="77777777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C2B5B">
              <w:rPr>
                <w:rFonts w:ascii="Arial" w:hAnsi="Arial" w:cs="Arial"/>
                <w:sz w:val="20"/>
                <w:szCs w:val="20"/>
              </w:rPr>
              <w:t>Adopts marginal costs, revenue allocation, and rate design for Southern California</w:t>
            </w:r>
          </w:p>
          <w:p w:rsidR="00CC2B5B" w:rsidP="00CC2B5B" w:rsidRDefault="00CC2B5B" w14:paraId="7ACC64F4" w14:textId="77777777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C2B5B">
              <w:rPr>
                <w:rFonts w:ascii="Arial" w:hAnsi="Arial" w:cs="Arial"/>
                <w:sz w:val="20"/>
                <w:szCs w:val="20"/>
              </w:rPr>
              <w:t>Edison Company.</w:t>
            </w:r>
          </w:p>
          <w:p w:rsidRPr="00AC4FEF" w:rsidR="00CC2B5B" w:rsidP="00CC2B5B" w:rsidRDefault="00CC2B5B" w14:paraId="66A35ED6" w14:textId="271564E5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92C33">
              <w:rPr>
                <w:rFonts w:ascii="Arial" w:hAnsi="Arial" w:cs="Arial"/>
                <w:sz w:val="20"/>
                <w:szCs w:val="20"/>
              </w:rPr>
              <w:t>Closes the proceeding.</w:t>
            </w:r>
            <w:r w:rsidRPr="00AC4FEF">
              <w:rPr>
                <w:rFonts w:ascii="Arial" w:hAnsi="Arial" w:cs="Arial"/>
                <w:sz w:val="20"/>
                <w:szCs w:val="20"/>
              </w:rPr>
              <w:cr/>
            </w:r>
          </w:p>
          <w:p w:rsidRPr="00395577" w:rsidR="00CC2B5B" w:rsidP="00271A46" w:rsidRDefault="00CC2B5B" w14:paraId="247A2D02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5577">
              <w:rPr>
                <w:rFonts w:ascii="Arial" w:hAnsi="Arial" w:cs="Arial"/>
                <w:b/>
                <w:bCs/>
                <w:sz w:val="20"/>
                <w:szCs w:val="20"/>
              </w:rPr>
              <w:t>SAFETY CONSIDERATIONS:</w:t>
            </w:r>
            <w:r w:rsidRPr="00395577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</w:p>
          <w:p w:rsidR="00CC2B5B" w:rsidP="00CC2B5B" w:rsidRDefault="00CC2B5B" w14:paraId="7E1D6377" w14:textId="77777777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C4FEF">
              <w:rPr>
                <w:rFonts w:ascii="Arial" w:hAnsi="Arial" w:cs="Arial"/>
                <w:sz w:val="20"/>
                <w:szCs w:val="20"/>
              </w:rPr>
              <w:t xml:space="preserve">There are no safety considerations associated with this </w:t>
            </w:r>
            <w:r w:rsidRPr="00D92C33">
              <w:rPr>
                <w:rFonts w:ascii="Arial" w:hAnsi="Arial" w:cs="Arial"/>
                <w:sz w:val="20"/>
                <w:szCs w:val="20"/>
              </w:rPr>
              <w:t>decision.</w:t>
            </w:r>
          </w:p>
          <w:p w:rsidRPr="00955AAA" w:rsidR="00CC2B5B" w:rsidP="00271A46" w:rsidRDefault="00CC2B5B" w14:paraId="487DBFD8" w14:textId="77777777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Pr="00395577" w:rsidR="00CC2B5B" w:rsidP="00271A46" w:rsidRDefault="00CC2B5B" w14:paraId="1B35A5CD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5577">
              <w:rPr>
                <w:rFonts w:ascii="Arial" w:hAnsi="Arial" w:cs="Arial"/>
                <w:b/>
                <w:bCs/>
                <w:sz w:val="20"/>
                <w:szCs w:val="20"/>
              </w:rPr>
              <w:t>ESTIMATED COST:</w:t>
            </w:r>
            <w:r w:rsidRPr="00395577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</w:p>
          <w:p w:rsidRPr="00047570" w:rsidR="00CC2B5B" w:rsidP="00CC2B5B" w:rsidRDefault="00C5552F" w14:paraId="74266543" w14:textId="10D8FEF2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C5552F">
              <w:rPr>
                <w:rFonts w:ascii="Arial" w:hAnsi="Arial" w:cs="Arial"/>
                <w:sz w:val="20"/>
                <w:szCs w:val="20"/>
              </w:rPr>
              <w:t>There are no costs associated with this decision.</w:t>
            </w:r>
          </w:p>
          <w:p w:rsidR="00CC2B5B" w:rsidP="00271A46" w:rsidRDefault="00CC2B5B" w14:paraId="0007B999" w14:textId="77777777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CC2B5B" w:rsidP="00271A46" w:rsidRDefault="00CC2B5B" w14:paraId="4367D89B" w14:textId="77777777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  <w:p w:rsidRPr="005A14C1" w:rsidR="00CC2B5B" w:rsidP="00271A46" w:rsidRDefault="00CC2B5B" w14:paraId="01ED8ABB" w14:textId="246FB820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(</w:t>
            </w:r>
            <w:r w:rsidRPr="005A14C1">
              <w:rPr>
                <w:rFonts w:ascii="Arial" w:hAnsi="Arial" w:cs="Arial"/>
                <w:iCs/>
                <w:sz w:val="20"/>
                <w:szCs w:val="20"/>
              </w:rPr>
              <w:t xml:space="preserve">Comr. Douglas - Judge </w:t>
            </w:r>
            <w:r>
              <w:rPr>
                <w:rFonts w:ascii="Arial" w:hAnsi="Arial" w:cs="Arial"/>
                <w:iCs/>
                <w:sz w:val="20"/>
                <w:szCs w:val="20"/>
              </w:rPr>
              <w:t>Poir</w:t>
            </w:r>
            <w:r w:rsidR="00C5552F">
              <w:rPr>
                <w:rFonts w:ascii="Arial" w:hAnsi="Arial" w:cs="Arial"/>
                <w:iCs/>
                <w:sz w:val="20"/>
                <w:szCs w:val="20"/>
              </w:rPr>
              <w:t>i</w:t>
            </w:r>
            <w:r>
              <w:rPr>
                <w:rFonts w:ascii="Arial" w:hAnsi="Arial" w:cs="Arial"/>
                <w:iCs/>
                <w:sz w:val="20"/>
                <w:szCs w:val="20"/>
              </w:rPr>
              <w:t>er)</w:t>
            </w:r>
          </w:p>
          <w:p w:rsidRPr="00CD7966" w:rsidR="00CC2B5B" w:rsidP="00271A46" w:rsidRDefault="00CC2B5B" w14:paraId="10EFCF93" w14:textId="77777777">
            <w:pPr>
              <w:pStyle w:val="ListParagraph"/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CC2B5B" w:rsidP="00271A46" w:rsidRDefault="00C5552F" w14:paraId="5AFAF140" w14:textId="17D904EF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hyperlink w:history="1" r:id="rId13">
              <w:r w:rsidRPr="008931EC">
                <w:rPr>
                  <w:rStyle w:val="Hyperlink"/>
                  <w:rFonts w:ascii="Arial" w:hAnsi="Arial" w:cs="Arial"/>
                  <w:sz w:val="19"/>
                  <w:szCs w:val="19"/>
                </w:rPr>
                <w:t>http://docs.cpuc.ca.gov/SearchRes.aspx?docformat=ALL&amp;docid=602998920</w:t>
              </w:r>
            </w:hyperlink>
          </w:p>
          <w:p w:rsidRPr="00D92C33" w:rsidR="00CC2B5B" w:rsidP="00271A46" w:rsidRDefault="00CC2B5B" w14:paraId="68061397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D92C33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Pub. Util. Code § 311 – This item was mailed for Public Comment.</w:t>
            </w:r>
          </w:p>
          <w:p w:rsidRPr="00C5552F" w:rsidR="00CC2B5B" w:rsidP="00271A46" w:rsidRDefault="00CC2B5B" w14:paraId="4C2A84E9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C5552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Pub. Util. Code §1701.1 -- This proceeding is categorized as Ratesetting.</w:t>
            </w:r>
          </w:p>
          <w:p w:rsidRPr="00CC2B5B" w:rsidR="00CC2B5B" w:rsidP="00271A46" w:rsidRDefault="00CC2B5B" w14:paraId="1639BE8E" w14:textId="6FB9381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9"/>
                <w:szCs w:val="19"/>
              </w:rPr>
            </w:pPr>
          </w:p>
        </w:tc>
      </w:tr>
    </w:tbl>
    <w:p w:rsidR="006A59A8" w:rsidP="0010621F" w:rsidRDefault="006A59A8" w14:paraId="47DCE92F" w14:textId="77777777"/>
    <w:sectPr w:rsidR="006A59A8" w:rsidSect="00B75350">
      <w:headerReference w:type="default" r:id="rId14"/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B82E3" w14:textId="77777777" w:rsidR="00656315" w:rsidRDefault="00656315">
      <w:r>
        <w:separator/>
      </w:r>
    </w:p>
  </w:endnote>
  <w:endnote w:type="continuationSeparator" w:id="0">
    <w:p w14:paraId="1319902F" w14:textId="77777777" w:rsidR="00656315" w:rsidRDefault="00656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5F967" w14:textId="77777777" w:rsidR="00656315" w:rsidRDefault="00656315">
      <w:r>
        <w:separator/>
      </w:r>
    </w:p>
  </w:footnote>
  <w:footnote w:type="continuationSeparator" w:id="0">
    <w:p w14:paraId="4DB8BBA6" w14:textId="77777777" w:rsidR="00656315" w:rsidRDefault="006563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C00B7" w14:textId="77777777" w:rsidR="006A0B79" w:rsidRPr="00D27ADF" w:rsidRDefault="006A0B79" w:rsidP="00D27A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37C96"/>
    <w:multiLevelType w:val="hybridMultilevel"/>
    <w:tmpl w:val="A9DE5F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41E1650"/>
    <w:multiLevelType w:val="hybridMultilevel"/>
    <w:tmpl w:val="5B1E21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22390"/>
    <w:multiLevelType w:val="hybridMultilevel"/>
    <w:tmpl w:val="DF7C2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5122EE8"/>
    <w:multiLevelType w:val="hybridMultilevel"/>
    <w:tmpl w:val="8670FE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4E276C"/>
    <w:multiLevelType w:val="hybridMultilevel"/>
    <w:tmpl w:val="50C4E0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CF4D8E"/>
    <w:multiLevelType w:val="multilevel"/>
    <w:tmpl w:val="F920C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716329"/>
    <w:multiLevelType w:val="multilevel"/>
    <w:tmpl w:val="E8EC6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C20B31"/>
    <w:multiLevelType w:val="multilevel"/>
    <w:tmpl w:val="191A7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C41A8E"/>
    <w:multiLevelType w:val="multilevel"/>
    <w:tmpl w:val="C4E2A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E375B1"/>
    <w:multiLevelType w:val="multilevel"/>
    <w:tmpl w:val="58F62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C92B2F"/>
    <w:multiLevelType w:val="multilevel"/>
    <w:tmpl w:val="5B8C7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860BC5"/>
    <w:multiLevelType w:val="hybridMultilevel"/>
    <w:tmpl w:val="55FCF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B46E1D"/>
    <w:multiLevelType w:val="hybridMultilevel"/>
    <w:tmpl w:val="A314C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D2062D"/>
    <w:multiLevelType w:val="hybridMultilevel"/>
    <w:tmpl w:val="A2540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DC77740"/>
    <w:multiLevelType w:val="hybridMultilevel"/>
    <w:tmpl w:val="391A0C0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F6E4DF1"/>
    <w:multiLevelType w:val="hybridMultilevel"/>
    <w:tmpl w:val="DDDE2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887213"/>
    <w:multiLevelType w:val="hybridMultilevel"/>
    <w:tmpl w:val="1AF0DE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C83CC6"/>
    <w:multiLevelType w:val="multilevel"/>
    <w:tmpl w:val="4B9CF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DD41C8D"/>
    <w:multiLevelType w:val="hybridMultilevel"/>
    <w:tmpl w:val="FE6063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CF51BD"/>
    <w:multiLevelType w:val="multilevel"/>
    <w:tmpl w:val="15F49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1A223B"/>
    <w:multiLevelType w:val="hybridMultilevel"/>
    <w:tmpl w:val="F9A02A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367BB8"/>
    <w:multiLevelType w:val="multilevel"/>
    <w:tmpl w:val="09322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BBA54FD"/>
    <w:multiLevelType w:val="hybridMultilevel"/>
    <w:tmpl w:val="67E057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C093130"/>
    <w:multiLevelType w:val="hybridMultilevel"/>
    <w:tmpl w:val="6DF4C2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616ECD"/>
    <w:multiLevelType w:val="multilevel"/>
    <w:tmpl w:val="D9148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D040A3"/>
    <w:multiLevelType w:val="hybridMultilevel"/>
    <w:tmpl w:val="10862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9651A0"/>
    <w:multiLevelType w:val="multilevel"/>
    <w:tmpl w:val="427E6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9002875"/>
    <w:multiLevelType w:val="multilevel"/>
    <w:tmpl w:val="82244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9A840F8"/>
    <w:multiLevelType w:val="hybridMultilevel"/>
    <w:tmpl w:val="5BA89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D6B3E2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1341DB"/>
    <w:multiLevelType w:val="hybridMultilevel"/>
    <w:tmpl w:val="B00AF7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830690"/>
    <w:multiLevelType w:val="hybridMultilevel"/>
    <w:tmpl w:val="171605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492CDB"/>
    <w:multiLevelType w:val="multilevel"/>
    <w:tmpl w:val="ED78A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BB31383"/>
    <w:multiLevelType w:val="hybridMultilevel"/>
    <w:tmpl w:val="0A246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100B37"/>
    <w:multiLevelType w:val="hybridMultilevel"/>
    <w:tmpl w:val="0192A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901C29"/>
    <w:multiLevelType w:val="hybridMultilevel"/>
    <w:tmpl w:val="EA9026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4C918C5"/>
    <w:multiLevelType w:val="multilevel"/>
    <w:tmpl w:val="EDE2B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5DF3960"/>
    <w:multiLevelType w:val="hybridMultilevel"/>
    <w:tmpl w:val="7422C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0D4F6C"/>
    <w:multiLevelType w:val="hybridMultilevel"/>
    <w:tmpl w:val="5C162B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BB4C8C"/>
    <w:multiLevelType w:val="hybridMultilevel"/>
    <w:tmpl w:val="A65EF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C90F4D"/>
    <w:multiLevelType w:val="hybridMultilevel"/>
    <w:tmpl w:val="1C52D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169924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7919782">
    <w:abstractNumId w:val="4"/>
  </w:num>
  <w:num w:numId="3" w16cid:durableId="149635565">
    <w:abstractNumId w:val="20"/>
  </w:num>
  <w:num w:numId="4" w16cid:durableId="335814344">
    <w:abstractNumId w:val="18"/>
  </w:num>
  <w:num w:numId="5" w16cid:durableId="816342057">
    <w:abstractNumId w:val="37"/>
  </w:num>
  <w:num w:numId="6" w16cid:durableId="1564027454">
    <w:abstractNumId w:val="30"/>
  </w:num>
  <w:num w:numId="7" w16cid:durableId="1921520380">
    <w:abstractNumId w:val="23"/>
  </w:num>
  <w:num w:numId="8" w16cid:durableId="261497371">
    <w:abstractNumId w:val="1"/>
  </w:num>
  <w:num w:numId="9" w16cid:durableId="1844197885">
    <w:abstractNumId w:val="10"/>
  </w:num>
  <w:num w:numId="10" w16cid:durableId="1205026820">
    <w:abstractNumId w:val="29"/>
  </w:num>
  <w:num w:numId="11" w16cid:durableId="1507476615">
    <w:abstractNumId w:val="16"/>
  </w:num>
  <w:num w:numId="12" w16cid:durableId="1025785044">
    <w:abstractNumId w:val="5"/>
  </w:num>
  <w:num w:numId="13" w16cid:durableId="1010181500">
    <w:abstractNumId w:val="24"/>
  </w:num>
  <w:num w:numId="14" w16cid:durableId="648511446">
    <w:abstractNumId w:val="39"/>
  </w:num>
  <w:num w:numId="15" w16cid:durableId="716662448">
    <w:abstractNumId w:val="32"/>
  </w:num>
  <w:num w:numId="16" w16cid:durableId="659427453">
    <w:abstractNumId w:val="22"/>
  </w:num>
  <w:num w:numId="17" w16cid:durableId="200628801">
    <w:abstractNumId w:val="12"/>
  </w:num>
  <w:num w:numId="18" w16cid:durableId="1527480249">
    <w:abstractNumId w:val="25"/>
  </w:num>
  <w:num w:numId="19" w16cid:durableId="280067615">
    <w:abstractNumId w:val="6"/>
  </w:num>
  <w:num w:numId="20" w16cid:durableId="412970771">
    <w:abstractNumId w:val="21"/>
  </w:num>
  <w:num w:numId="21" w16cid:durableId="561327524">
    <w:abstractNumId w:val="8"/>
  </w:num>
  <w:num w:numId="22" w16cid:durableId="576718782">
    <w:abstractNumId w:val="19"/>
  </w:num>
  <w:num w:numId="23" w16cid:durableId="464391538">
    <w:abstractNumId w:val="7"/>
  </w:num>
  <w:num w:numId="24" w16cid:durableId="1798838900">
    <w:abstractNumId w:val="26"/>
  </w:num>
  <w:num w:numId="25" w16cid:durableId="1677072044">
    <w:abstractNumId w:val="9"/>
  </w:num>
  <w:num w:numId="26" w16cid:durableId="1993605331">
    <w:abstractNumId w:val="31"/>
  </w:num>
  <w:num w:numId="27" w16cid:durableId="1369573147">
    <w:abstractNumId w:val="27"/>
  </w:num>
  <w:num w:numId="28" w16cid:durableId="1263538732">
    <w:abstractNumId w:val="17"/>
  </w:num>
  <w:num w:numId="29" w16cid:durableId="292516709">
    <w:abstractNumId w:val="35"/>
  </w:num>
  <w:num w:numId="30" w16cid:durableId="1236739311">
    <w:abstractNumId w:val="34"/>
  </w:num>
  <w:num w:numId="31" w16cid:durableId="44764182">
    <w:abstractNumId w:val="33"/>
  </w:num>
  <w:num w:numId="32" w16cid:durableId="1700398499">
    <w:abstractNumId w:val="0"/>
  </w:num>
  <w:num w:numId="33" w16cid:durableId="378819506">
    <w:abstractNumId w:val="2"/>
  </w:num>
  <w:num w:numId="34" w16cid:durableId="1460605576">
    <w:abstractNumId w:val="13"/>
  </w:num>
  <w:num w:numId="35" w16cid:durableId="397824655">
    <w:abstractNumId w:val="28"/>
  </w:num>
  <w:num w:numId="36" w16cid:durableId="588388033">
    <w:abstractNumId w:val="36"/>
  </w:num>
  <w:num w:numId="37" w16cid:durableId="1080979097">
    <w:abstractNumId w:val="14"/>
  </w:num>
  <w:num w:numId="38" w16cid:durableId="48110780">
    <w:abstractNumId w:val="3"/>
  </w:num>
  <w:num w:numId="39" w16cid:durableId="1022511340">
    <w:abstractNumId w:val="15"/>
  </w:num>
  <w:num w:numId="40" w16cid:durableId="104616807">
    <w:abstractNumId w:val="38"/>
  </w:num>
  <w:num w:numId="41" w16cid:durableId="75073377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C3F"/>
    <w:rsid w:val="00000517"/>
    <w:rsid w:val="00000ACA"/>
    <w:rsid w:val="00002FA6"/>
    <w:rsid w:val="000042AF"/>
    <w:rsid w:val="00010050"/>
    <w:rsid w:val="00011919"/>
    <w:rsid w:val="00012396"/>
    <w:rsid w:val="0001622A"/>
    <w:rsid w:val="000220E8"/>
    <w:rsid w:val="0002291C"/>
    <w:rsid w:val="00027CDD"/>
    <w:rsid w:val="00032D6E"/>
    <w:rsid w:val="000333BA"/>
    <w:rsid w:val="00033D04"/>
    <w:rsid w:val="00036742"/>
    <w:rsid w:val="00037B8D"/>
    <w:rsid w:val="0004190F"/>
    <w:rsid w:val="00042563"/>
    <w:rsid w:val="00046F2D"/>
    <w:rsid w:val="00047570"/>
    <w:rsid w:val="00050ADF"/>
    <w:rsid w:val="0005766D"/>
    <w:rsid w:val="00057AC3"/>
    <w:rsid w:val="00060011"/>
    <w:rsid w:val="00060F1B"/>
    <w:rsid w:val="00063C60"/>
    <w:rsid w:val="000647AA"/>
    <w:rsid w:val="00065B1F"/>
    <w:rsid w:val="00080169"/>
    <w:rsid w:val="000854EB"/>
    <w:rsid w:val="00086AAA"/>
    <w:rsid w:val="0009053B"/>
    <w:rsid w:val="000913E0"/>
    <w:rsid w:val="00091684"/>
    <w:rsid w:val="00092D51"/>
    <w:rsid w:val="000A1EC1"/>
    <w:rsid w:val="000A2386"/>
    <w:rsid w:val="000A7FB1"/>
    <w:rsid w:val="000B137A"/>
    <w:rsid w:val="000B24D0"/>
    <w:rsid w:val="000B44AC"/>
    <w:rsid w:val="000B5732"/>
    <w:rsid w:val="000B6B52"/>
    <w:rsid w:val="000B758C"/>
    <w:rsid w:val="000C03B8"/>
    <w:rsid w:val="000C19F8"/>
    <w:rsid w:val="000C2934"/>
    <w:rsid w:val="000C4B12"/>
    <w:rsid w:val="000C516E"/>
    <w:rsid w:val="000C7B9C"/>
    <w:rsid w:val="000C7BCC"/>
    <w:rsid w:val="000D6160"/>
    <w:rsid w:val="000D651F"/>
    <w:rsid w:val="000D6DEB"/>
    <w:rsid w:val="000E491C"/>
    <w:rsid w:val="000E7C98"/>
    <w:rsid w:val="000F4C3D"/>
    <w:rsid w:val="000F642A"/>
    <w:rsid w:val="000F75E3"/>
    <w:rsid w:val="00102A33"/>
    <w:rsid w:val="00105623"/>
    <w:rsid w:val="0010621F"/>
    <w:rsid w:val="001147B7"/>
    <w:rsid w:val="00131EDF"/>
    <w:rsid w:val="00135AC5"/>
    <w:rsid w:val="00136E5E"/>
    <w:rsid w:val="001408B9"/>
    <w:rsid w:val="001443F1"/>
    <w:rsid w:val="00144E69"/>
    <w:rsid w:val="00146CB4"/>
    <w:rsid w:val="00146E67"/>
    <w:rsid w:val="00147A59"/>
    <w:rsid w:val="001512E8"/>
    <w:rsid w:val="001512F4"/>
    <w:rsid w:val="001552C4"/>
    <w:rsid w:val="001618D7"/>
    <w:rsid w:val="00161A5F"/>
    <w:rsid w:val="001642FD"/>
    <w:rsid w:val="00170E06"/>
    <w:rsid w:val="00177155"/>
    <w:rsid w:val="00177DF8"/>
    <w:rsid w:val="00181168"/>
    <w:rsid w:val="00182A75"/>
    <w:rsid w:val="00182AEA"/>
    <w:rsid w:val="00183409"/>
    <w:rsid w:val="00184472"/>
    <w:rsid w:val="00184B5E"/>
    <w:rsid w:val="00187A53"/>
    <w:rsid w:val="0019222E"/>
    <w:rsid w:val="0019248B"/>
    <w:rsid w:val="001A38C1"/>
    <w:rsid w:val="001A49E2"/>
    <w:rsid w:val="001A7FCE"/>
    <w:rsid w:val="001B14BC"/>
    <w:rsid w:val="001B198C"/>
    <w:rsid w:val="001B3274"/>
    <w:rsid w:val="001B4BA0"/>
    <w:rsid w:val="001B6809"/>
    <w:rsid w:val="001B6F3E"/>
    <w:rsid w:val="001C6BDE"/>
    <w:rsid w:val="001D11ED"/>
    <w:rsid w:val="001D1DE8"/>
    <w:rsid w:val="001D2128"/>
    <w:rsid w:val="001D447B"/>
    <w:rsid w:val="001E16B0"/>
    <w:rsid w:val="001E25F7"/>
    <w:rsid w:val="001E4E64"/>
    <w:rsid w:val="001F29AD"/>
    <w:rsid w:val="001F2F05"/>
    <w:rsid w:val="001F4B5D"/>
    <w:rsid w:val="00201B04"/>
    <w:rsid w:val="00203DA9"/>
    <w:rsid w:val="002107A3"/>
    <w:rsid w:val="00222B21"/>
    <w:rsid w:val="00225775"/>
    <w:rsid w:val="00226D72"/>
    <w:rsid w:val="00231216"/>
    <w:rsid w:val="00232D2E"/>
    <w:rsid w:val="00233D6D"/>
    <w:rsid w:val="0023480A"/>
    <w:rsid w:val="00236EB8"/>
    <w:rsid w:val="0023703B"/>
    <w:rsid w:val="002407E0"/>
    <w:rsid w:val="00242DD3"/>
    <w:rsid w:val="0024608D"/>
    <w:rsid w:val="00247B6C"/>
    <w:rsid w:val="002518A0"/>
    <w:rsid w:val="002552E7"/>
    <w:rsid w:val="0025530E"/>
    <w:rsid w:val="00265EA2"/>
    <w:rsid w:val="002672F1"/>
    <w:rsid w:val="00267D0A"/>
    <w:rsid w:val="002773A4"/>
    <w:rsid w:val="00284360"/>
    <w:rsid w:val="00292251"/>
    <w:rsid w:val="00294431"/>
    <w:rsid w:val="00296975"/>
    <w:rsid w:val="0029720B"/>
    <w:rsid w:val="002974CE"/>
    <w:rsid w:val="002A086B"/>
    <w:rsid w:val="002A2928"/>
    <w:rsid w:val="002A2E93"/>
    <w:rsid w:val="002A426D"/>
    <w:rsid w:val="002B0A28"/>
    <w:rsid w:val="002B0BB2"/>
    <w:rsid w:val="002B220C"/>
    <w:rsid w:val="002B3E65"/>
    <w:rsid w:val="002B6774"/>
    <w:rsid w:val="002B74F9"/>
    <w:rsid w:val="002B7FA4"/>
    <w:rsid w:val="002C2241"/>
    <w:rsid w:val="002C6125"/>
    <w:rsid w:val="002C6CBC"/>
    <w:rsid w:val="002C7E2A"/>
    <w:rsid w:val="002D28A3"/>
    <w:rsid w:val="002D3933"/>
    <w:rsid w:val="002D57A8"/>
    <w:rsid w:val="002D70FE"/>
    <w:rsid w:val="002E1468"/>
    <w:rsid w:val="002E47E6"/>
    <w:rsid w:val="002E6F3B"/>
    <w:rsid w:val="002E7043"/>
    <w:rsid w:val="002E73BC"/>
    <w:rsid w:val="00300903"/>
    <w:rsid w:val="00301BC8"/>
    <w:rsid w:val="00304562"/>
    <w:rsid w:val="003075B7"/>
    <w:rsid w:val="00316081"/>
    <w:rsid w:val="003171A3"/>
    <w:rsid w:val="00322239"/>
    <w:rsid w:val="00322503"/>
    <w:rsid w:val="00327BD6"/>
    <w:rsid w:val="00332146"/>
    <w:rsid w:val="00343664"/>
    <w:rsid w:val="00343F6B"/>
    <w:rsid w:val="00346038"/>
    <w:rsid w:val="00350623"/>
    <w:rsid w:val="003530F8"/>
    <w:rsid w:val="0035756D"/>
    <w:rsid w:val="003640B4"/>
    <w:rsid w:val="00364E84"/>
    <w:rsid w:val="00365777"/>
    <w:rsid w:val="00367DED"/>
    <w:rsid w:val="00373609"/>
    <w:rsid w:val="00375BC5"/>
    <w:rsid w:val="00376561"/>
    <w:rsid w:val="00377F9C"/>
    <w:rsid w:val="00386A5D"/>
    <w:rsid w:val="00386CF2"/>
    <w:rsid w:val="00387521"/>
    <w:rsid w:val="00387754"/>
    <w:rsid w:val="00387CE0"/>
    <w:rsid w:val="00392410"/>
    <w:rsid w:val="00395577"/>
    <w:rsid w:val="00397983"/>
    <w:rsid w:val="00397EBF"/>
    <w:rsid w:val="003A31BF"/>
    <w:rsid w:val="003B40D4"/>
    <w:rsid w:val="003B78D9"/>
    <w:rsid w:val="003C26C2"/>
    <w:rsid w:val="003C668E"/>
    <w:rsid w:val="003C7110"/>
    <w:rsid w:val="003D5863"/>
    <w:rsid w:val="003D781F"/>
    <w:rsid w:val="003D7A01"/>
    <w:rsid w:val="003D7E44"/>
    <w:rsid w:val="003E0DE4"/>
    <w:rsid w:val="003F2B64"/>
    <w:rsid w:val="003F2BAE"/>
    <w:rsid w:val="003F5E86"/>
    <w:rsid w:val="004001B7"/>
    <w:rsid w:val="0040047A"/>
    <w:rsid w:val="00401C69"/>
    <w:rsid w:val="00403081"/>
    <w:rsid w:val="00405340"/>
    <w:rsid w:val="00406902"/>
    <w:rsid w:val="004077C8"/>
    <w:rsid w:val="00411E1A"/>
    <w:rsid w:val="00412ED6"/>
    <w:rsid w:val="00417881"/>
    <w:rsid w:val="0042025D"/>
    <w:rsid w:val="0042346E"/>
    <w:rsid w:val="00423D5F"/>
    <w:rsid w:val="00425017"/>
    <w:rsid w:val="004318C7"/>
    <w:rsid w:val="004474B4"/>
    <w:rsid w:val="00450250"/>
    <w:rsid w:val="004507E0"/>
    <w:rsid w:val="004519B7"/>
    <w:rsid w:val="00454EAD"/>
    <w:rsid w:val="00455D7A"/>
    <w:rsid w:val="004605F2"/>
    <w:rsid w:val="00462814"/>
    <w:rsid w:val="004727A8"/>
    <w:rsid w:val="004742F3"/>
    <w:rsid w:val="00474BF8"/>
    <w:rsid w:val="00485A2D"/>
    <w:rsid w:val="004865FC"/>
    <w:rsid w:val="004876A5"/>
    <w:rsid w:val="004908BD"/>
    <w:rsid w:val="00492F03"/>
    <w:rsid w:val="0049391D"/>
    <w:rsid w:val="004952F0"/>
    <w:rsid w:val="00496A4E"/>
    <w:rsid w:val="004A086E"/>
    <w:rsid w:val="004A455E"/>
    <w:rsid w:val="004A7148"/>
    <w:rsid w:val="004B0D0D"/>
    <w:rsid w:val="004C052A"/>
    <w:rsid w:val="004C4FD2"/>
    <w:rsid w:val="004C5B29"/>
    <w:rsid w:val="004C6C90"/>
    <w:rsid w:val="004D1B70"/>
    <w:rsid w:val="004D27D7"/>
    <w:rsid w:val="004D6724"/>
    <w:rsid w:val="004E0013"/>
    <w:rsid w:val="004E09A5"/>
    <w:rsid w:val="004E43DF"/>
    <w:rsid w:val="004F57A4"/>
    <w:rsid w:val="00501A9C"/>
    <w:rsid w:val="0050511F"/>
    <w:rsid w:val="00506F39"/>
    <w:rsid w:val="0051474C"/>
    <w:rsid w:val="00514901"/>
    <w:rsid w:val="00520218"/>
    <w:rsid w:val="00522ED2"/>
    <w:rsid w:val="0052382B"/>
    <w:rsid w:val="00524A04"/>
    <w:rsid w:val="005257D0"/>
    <w:rsid w:val="00526111"/>
    <w:rsid w:val="0053246A"/>
    <w:rsid w:val="0053363C"/>
    <w:rsid w:val="005449C7"/>
    <w:rsid w:val="00555FDB"/>
    <w:rsid w:val="00556848"/>
    <w:rsid w:val="00557C7D"/>
    <w:rsid w:val="005619F7"/>
    <w:rsid w:val="00562831"/>
    <w:rsid w:val="00562CC5"/>
    <w:rsid w:val="005659D6"/>
    <w:rsid w:val="00566CCC"/>
    <w:rsid w:val="00577A70"/>
    <w:rsid w:val="00584052"/>
    <w:rsid w:val="00591A6D"/>
    <w:rsid w:val="00596B85"/>
    <w:rsid w:val="00597B35"/>
    <w:rsid w:val="005A0A70"/>
    <w:rsid w:val="005A12BE"/>
    <w:rsid w:val="005A14C1"/>
    <w:rsid w:val="005A36D2"/>
    <w:rsid w:val="005A4CBF"/>
    <w:rsid w:val="005B079B"/>
    <w:rsid w:val="005B12CE"/>
    <w:rsid w:val="005B4399"/>
    <w:rsid w:val="005B5FF2"/>
    <w:rsid w:val="005C41D0"/>
    <w:rsid w:val="005C4727"/>
    <w:rsid w:val="005D0554"/>
    <w:rsid w:val="005D131C"/>
    <w:rsid w:val="005D5BE9"/>
    <w:rsid w:val="005D7BD0"/>
    <w:rsid w:val="005E1E66"/>
    <w:rsid w:val="005E247D"/>
    <w:rsid w:val="005E3939"/>
    <w:rsid w:val="005E3D9E"/>
    <w:rsid w:val="005E3E5A"/>
    <w:rsid w:val="005E5F70"/>
    <w:rsid w:val="005E7954"/>
    <w:rsid w:val="005F5D5F"/>
    <w:rsid w:val="00607857"/>
    <w:rsid w:val="00626432"/>
    <w:rsid w:val="00633F5D"/>
    <w:rsid w:val="00635060"/>
    <w:rsid w:val="00640F8B"/>
    <w:rsid w:val="00642B56"/>
    <w:rsid w:val="00644AE1"/>
    <w:rsid w:val="0065084C"/>
    <w:rsid w:val="00656081"/>
    <w:rsid w:val="00656315"/>
    <w:rsid w:val="00663CAE"/>
    <w:rsid w:val="00667333"/>
    <w:rsid w:val="006712A4"/>
    <w:rsid w:val="00673366"/>
    <w:rsid w:val="00682013"/>
    <w:rsid w:val="00683A51"/>
    <w:rsid w:val="00684BE6"/>
    <w:rsid w:val="00686E85"/>
    <w:rsid w:val="00692396"/>
    <w:rsid w:val="00693FF0"/>
    <w:rsid w:val="006952F9"/>
    <w:rsid w:val="0069619D"/>
    <w:rsid w:val="006A0B79"/>
    <w:rsid w:val="006A0F13"/>
    <w:rsid w:val="006A2A4A"/>
    <w:rsid w:val="006A3786"/>
    <w:rsid w:val="006A59A8"/>
    <w:rsid w:val="006A6986"/>
    <w:rsid w:val="006B4CC3"/>
    <w:rsid w:val="006B5C42"/>
    <w:rsid w:val="006C5577"/>
    <w:rsid w:val="006C746D"/>
    <w:rsid w:val="006D389B"/>
    <w:rsid w:val="006D48A5"/>
    <w:rsid w:val="006D7CE0"/>
    <w:rsid w:val="006E0705"/>
    <w:rsid w:val="006E2142"/>
    <w:rsid w:val="006E5A6B"/>
    <w:rsid w:val="006E5C5D"/>
    <w:rsid w:val="006E5F4F"/>
    <w:rsid w:val="006E77BD"/>
    <w:rsid w:val="006F39F8"/>
    <w:rsid w:val="006F3C7E"/>
    <w:rsid w:val="006F7509"/>
    <w:rsid w:val="0070310A"/>
    <w:rsid w:val="00704440"/>
    <w:rsid w:val="007106CC"/>
    <w:rsid w:val="0071179C"/>
    <w:rsid w:val="00713435"/>
    <w:rsid w:val="00717C0C"/>
    <w:rsid w:val="0072111F"/>
    <w:rsid w:val="00723292"/>
    <w:rsid w:val="007335F3"/>
    <w:rsid w:val="00733D44"/>
    <w:rsid w:val="007377B9"/>
    <w:rsid w:val="0074044F"/>
    <w:rsid w:val="00740B49"/>
    <w:rsid w:val="007526B2"/>
    <w:rsid w:val="0075467E"/>
    <w:rsid w:val="00770E9B"/>
    <w:rsid w:val="00771416"/>
    <w:rsid w:val="00771512"/>
    <w:rsid w:val="00772B6E"/>
    <w:rsid w:val="00773497"/>
    <w:rsid w:val="00773C1E"/>
    <w:rsid w:val="0077494A"/>
    <w:rsid w:val="00775152"/>
    <w:rsid w:val="007758E1"/>
    <w:rsid w:val="00775D95"/>
    <w:rsid w:val="007767A4"/>
    <w:rsid w:val="00780CBB"/>
    <w:rsid w:val="00783A32"/>
    <w:rsid w:val="007852F3"/>
    <w:rsid w:val="0079035F"/>
    <w:rsid w:val="00792EF7"/>
    <w:rsid w:val="00793DAC"/>
    <w:rsid w:val="00795BFF"/>
    <w:rsid w:val="007A2ACE"/>
    <w:rsid w:val="007A3C97"/>
    <w:rsid w:val="007B0300"/>
    <w:rsid w:val="007B0847"/>
    <w:rsid w:val="007B32F9"/>
    <w:rsid w:val="007B41D8"/>
    <w:rsid w:val="007B4233"/>
    <w:rsid w:val="007B5809"/>
    <w:rsid w:val="007B5ED2"/>
    <w:rsid w:val="007B6725"/>
    <w:rsid w:val="007C139B"/>
    <w:rsid w:val="007C30DB"/>
    <w:rsid w:val="007C4317"/>
    <w:rsid w:val="007D0AAE"/>
    <w:rsid w:val="007D2F69"/>
    <w:rsid w:val="007D32E3"/>
    <w:rsid w:val="007D3349"/>
    <w:rsid w:val="007D64F9"/>
    <w:rsid w:val="007F1A4C"/>
    <w:rsid w:val="007F5F86"/>
    <w:rsid w:val="0080620C"/>
    <w:rsid w:val="00815E3B"/>
    <w:rsid w:val="00824A00"/>
    <w:rsid w:val="0082523F"/>
    <w:rsid w:val="00826BAC"/>
    <w:rsid w:val="00826BCD"/>
    <w:rsid w:val="00826C7B"/>
    <w:rsid w:val="00833469"/>
    <w:rsid w:val="00834A5A"/>
    <w:rsid w:val="0084424D"/>
    <w:rsid w:val="00844858"/>
    <w:rsid w:val="00845A31"/>
    <w:rsid w:val="008541D6"/>
    <w:rsid w:val="00855013"/>
    <w:rsid w:val="00856579"/>
    <w:rsid w:val="0086227D"/>
    <w:rsid w:val="00862BC1"/>
    <w:rsid w:val="00864A67"/>
    <w:rsid w:val="00864C41"/>
    <w:rsid w:val="00870CEF"/>
    <w:rsid w:val="00874647"/>
    <w:rsid w:val="00880F24"/>
    <w:rsid w:val="0089231D"/>
    <w:rsid w:val="00897E60"/>
    <w:rsid w:val="008A1245"/>
    <w:rsid w:val="008A2B14"/>
    <w:rsid w:val="008A60EB"/>
    <w:rsid w:val="008B01A8"/>
    <w:rsid w:val="008B347B"/>
    <w:rsid w:val="008B3763"/>
    <w:rsid w:val="008B3B7D"/>
    <w:rsid w:val="008C05C6"/>
    <w:rsid w:val="008C0B8B"/>
    <w:rsid w:val="008C62B9"/>
    <w:rsid w:val="008D37D1"/>
    <w:rsid w:val="008E1419"/>
    <w:rsid w:val="008E404C"/>
    <w:rsid w:val="008F1BB9"/>
    <w:rsid w:val="008F303D"/>
    <w:rsid w:val="008F3BB3"/>
    <w:rsid w:val="008F766D"/>
    <w:rsid w:val="00900972"/>
    <w:rsid w:val="00910BC1"/>
    <w:rsid w:val="00911F91"/>
    <w:rsid w:val="00914C40"/>
    <w:rsid w:val="009250A3"/>
    <w:rsid w:val="00925900"/>
    <w:rsid w:val="0092679C"/>
    <w:rsid w:val="00933EAB"/>
    <w:rsid w:val="00936B3B"/>
    <w:rsid w:val="0094227C"/>
    <w:rsid w:val="00945A3D"/>
    <w:rsid w:val="00950EF7"/>
    <w:rsid w:val="00951835"/>
    <w:rsid w:val="00952274"/>
    <w:rsid w:val="0095435C"/>
    <w:rsid w:val="00955916"/>
    <w:rsid w:val="00955AAA"/>
    <w:rsid w:val="00957C68"/>
    <w:rsid w:val="0096032A"/>
    <w:rsid w:val="00963027"/>
    <w:rsid w:val="0096320A"/>
    <w:rsid w:val="00972D02"/>
    <w:rsid w:val="00976C55"/>
    <w:rsid w:val="00977B06"/>
    <w:rsid w:val="0098017D"/>
    <w:rsid w:val="00981175"/>
    <w:rsid w:val="0098651D"/>
    <w:rsid w:val="00994D28"/>
    <w:rsid w:val="0099543C"/>
    <w:rsid w:val="00995F39"/>
    <w:rsid w:val="009A0218"/>
    <w:rsid w:val="009A0E1A"/>
    <w:rsid w:val="009B6A35"/>
    <w:rsid w:val="009B7D63"/>
    <w:rsid w:val="009C119D"/>
    <w:rsid w:val="009C3427"/>
    <w:rsid w:val="009C48C6"/>
    <w:rsid w:val="009D1D59"/>
    <w:rsid w:val="009D1E62"/>
    <w:rsid w:val="009D204E"/>
    <w:rsid w:val="009D357B"/>
    <w:rsid w:val="009D392B"/>
    <w:rsid w:val="009D5BC5"/>
    <w:rsid w:val="009D73BD"/>
    <w:rsid w:val="009D7CB4"/>
    <w:rsid w:val="009E246A"/>
    <w:rsid w:val="009E69AF"/>
    <w:rsid w:val="009E766B"/>
    <w:rsid w:val="009F149F"/>
    <w:rsid w:val="009F57B6"/>
    <w:rsid w:val="009F6C9F"/>
    <w:rsid w:val="009F731B"/>
    <w:rsid w:val="00A01192"/>
    <w:rsid w:val="00A018CC"/>
    <w:rsid w:val="00A20812"/>
    <w:rsid w:val="00A25A66"/>
    <w:rsid w:val="00A265FC"/>
    <w:rsid w:val="00A30E77"/>
    <w:rsid w:val="00A3131B"/>
    <w:rsid w:val="00A3191B"/>
    <w:rsid w:val="00A367C2"/>
    <w:rsid w:val="00A41E99"/>
    <w:rsid w:val="00A50962"/>
    <w:rsid w:val="00A512AE"/>
    <w:rsid w:val="00A5579B"/>
    <w:rsid w:val="00A563D4"/>
    <w:rsid w:val="00A56A47"/>
    <w:rsid w:val="00A56AA4"/>
    <w:rsid w:val="00A56E0E"/>
    <w:rsid w:val="00A57A56"/>
    <w:rsid w:val="00A61B2D"/>
    <w:rsid w:val="00A61E88"/>
    <w:rsid w:val="00A63AB6"/>
    <w:rsid w:val="00A63D83"/>
    <w:rsid w:val="00A70D52"/>
    <w:rsid w:val="00A7228B"/>
    <w:rsid w:val="00A756C3"/>
    <w:rsid w:val="00A76944"/>
    <w:rsid w:val="00A771C0"/>
    <w:rsid w:val="00A80383"/>
    <w:rsid w:val="00A81DB2"/>
    <w:rsid w:val="00A82D4D"/>
    <w:rsid w:val="00A869A7"/>
    <w:rsid w:val="00A87FD6"/>
    <w:rsid w:val="00AA58C8"/>
    <w:rsid w:val="00AB089D"/>
    <w:rsid w:val="00AB51E1"/>
    <w:rsid w:val="00AC04FE"/>
    <w:rsid w:val="00AC107E"/>
    <w:rsid w:val="00AC2731"/>
    <w:rsid w:val="00AC4B1D"/>
    <w:rsid w:val="00AC4EC5"/>
    <w:rsid w:val="00AC4FEF"/>
    <w:rsid w:val="00AC60BA"/>
    <w:rsid w:val="00AC614D"/>
    <w:rsid w:val="00AC6CB7"/>
    <w:rsid w:val="00AD3447"/>
    <w:rsid w:val="00AE372C"/>
    <w:rsid w:val="00AE3E8E"/>
    <w:rsid w:val="00AE566E"/>
    <w:rsid w:val="00AF114B"/>
    <w:rsid w:val="00AF4492"/>
    <w:rsid w:val="00AF6DBF"/>
    <w:rsid w:val="00B01EFE"/>
    <w:rsid w:val="00B03751"/>
    <w:rsid w:val="00B04E3D"/>
    <w:rsid w:val="00B110BC"/>
    <w:rsid w:val="00B14411"/>
    <w:rsid w:val="00B15E23"/>
    <w:rsid w:val="00B2015E"/>
    <w:rsid w:val="00B20758"/>
    <w:rsid w:val="00B25DAC"/>
    <w:rsid w:val="00B3196E"/>
    <w:rsid w:val="00B32298"/>
    <w:rsid w:val="00B32AB8"/>
    <w:rsid w:val="00B36ECF"/>
    <w:rsid w:val="00B471FF"/>
    <w:rsid w:val="00B47DED"/>
    <w:rsid w:val="00B56319"/>
    <w:rsid w:val="00B61991"/>
    <w:rsid w:val="00B64107"/>
    <w:rsid w:val="00B71088"/>
    <w:rsid w:val="00B75350"/>
    <w:rsid w:val="00B758A3"/>
    <w:rsid w:val="00B7675F"/>
    <w:rsid w:val="00B7733B"/>
    <w:rsid w:val="00B83EAA"/>
    <w:rsid w:val="00B85366"/>
    <w:rsid w:val="00B8691A"/>
    <w:rsid w:val="00B872CA"/>
    <w:rsid w:val="00B92A8C"/>
    <w:rsid w:val="00B94900"/>
    <w:rsid w:val="00BA3A1E"/>
    <w:rsid w:val="00BA49C4"/>
    <w:rsid w:val="00BA7135"/>
    <w:rsid w:val="00BB030B"/>
    <w:rsid w:val="00BB0D8B"/>
    <w:rsid w:val="00BC6A1B"/>
    <w:rsid w:val="00BD3F97"/>
    <w:rsid w:val="00BD5F19"/>
    <w:rsid w:val="00BD615D"/>
    <w:rsid w:val="00BD6C3F"/>
    <w:rsid w:val="00BD6C8F"/>
    <w:rsid w:val="00BD7D28"/>
    <w:rsid w:val="00BE1058"/>
    <w:rsid w:val="00BE305D"/>
    <w:rsid w:val="00BE5A72"/>
    <w:rsid w:val="00BE7634"/>
    <w:rsid w:val="00BF069C"/>
    <w:rsid w:val="00BF0B78"/>
    <w:rsid w:val="00BF1693"/>
    <w:rsid w:val="00BF257C"/>
    <w:rsid w:val="00BF6D0A"/>
    <w:rsid w:val="00BF6E50"/>
    <w:rsid w:val="00C029E5"/>
    <w:rsid w:val="00C03903"/>
    <w:rsid w:val="00C07227"/>
    <w:rsid w:val="00C12321"/>
    <w:rsid w:val="00C15D63"/>
    <w:rsid w:val="00C25C96"/>
    <w:rsid w:val="00C25E3D"/>
    <w:rsid w:val="00C3279F"/>
    <w:rsid w:val="00C33003"/>
    <w:rsid w:val="00C348A9"/>
    <w:rsid w:val="00C34FB1"/>
    <w:rsid w:val="00C35382"/>
    <w:rsid w:val="00C405E5"/>
    <w:rsid w:val="00C4458A"/>
    <w:rsid w:val="00C4476F"/>
    <w:rsid w:val="00C53D29"/>
    <w:rsid w:val="00C54E78"/>
    <w:rsid w:val="00C5552F"/>
    <w:rsid w:val="00C567E3"/>
    <w:rsid w:val="00C60798"/>
    <w:rsid w:val="00C611E0"/>
    <w:rsid w:val="00C63061"/>
    <w:rsid w:val="00C6392E"/>
    <w:rsid w:val="00C650AE"/>
    <w:rsid w:val="00C66C15"/>
    <w:rsid w:val="00C70A2E"/>
    <w:rsid w:val="00C71218"/>
    <w:rsid w:val="00C823C8"/>
    <w:rsid w:val="00C91E5C"/>
    <w:rsid w:val="00CA10E4"/>
    <w:rsid w:val="00CA7E62"/>
    <w:rsid w:val="00CB2959"/>
    <w:rsid w:val="00CB41D8"/>
    <w:rsid w:val="00CB52F6"/>
    <w:rsid w:val="00CB7720"/>
    <w:rsid w:val="00CB7D12"/>
    <w:rsid w:val="00CC2B5B"/>
    <w:rsid w:val="00CC6936"/>
    <w:rsid w:val="00CD06A2"/>
    <w:rsid w:val="00CD2D8E"/>
    <w:rsid w:val="00CD5A05"/>
    <w:rsid w:val="00CD7966"/>
    <w:rsid w:val="00CD7E80"/>
    <w:rsid w:val="00CE18CA"/>
    <w:rsid w:val="00CE464F"/>
    <w:rsid w:val="00CE5625"/>
    <w:rsid w:val="00CF386D"/>
    <w:rsid w:val="00CF5DD5"/>
    <w:rsid w:val="00CF6456"/>
    <w:rsid w:val="00D01779"/>
    <w:rsid w:val="00D03618"/>
    <w:rsid w:val="00D03A2F"/>
    <w:rsid w:val="00D12956"/>
    <w:rsid w:val="00D15838"/>
    <w:rsid w:val="00D1632E"/>
    <w:rsid w:val="00D16C54"/>
    <w:rsid w:val="00D2094E"/>
    <w:rsid w:val="00D271AD"/>
    <w:rsid w:val="00D27ADF"/>
    <w:rsid w:val="00D345FF"/>
    <w:rsid w:val="00D40AD7"/>
    <w:rsid w:val="00D40D69"/>
    <w:rsid w:val="00D4211B"/>
    <w:rsid w:val="00D472C7"/>
    <w:rsid w:val="00D51160"/>
    <w:rsid w:val="00D5402F"/>
    <w:rsid w:val="00D57245"/>
    <w:rsid w:val="00D6132A"/>
    <w:rsid w:val="00D61CF6"/>
    <w:rsid w:val="00D62F32"/>
    <w:rsid w:val="00D71A7C"/>
    <w:rsid w:val="00D72DCA"/>
    <w:rsid w:val="00D7400F"/>
    <w:rsid w:val="00D740FB"/>
    <w:rsid w:val="00D77811"/>
    <w:rsid w:val="00D81598"/>
    <w:rsid w:val="00D85E5B"/>
    <w:rsid w:val="00D86351"/>
    <w:rsid w:val="00D865FC"/>
    <w:rsid w:val="00D907E5"/>
    <w:rsid w:val="00D91055"/>
    <w:rsid w:val="00D9225C"/>
    <w:rsid w:val="00D92835"/>
    <w:rsid w:val="00D92C33"/>
    <w:rsid w:val="00D92FAF"/>
    <w:rsid w:val="00DA0DD7"/>
    <w:rsid w:val="00DA2D4C"/>
    <w:rsid w:val="00DA40C9"/>
    <w:rsid w:val="00DA6786"/>
    <w:rsid w:val="00DA74D3"/>
    <w:rsid w:val="00DA7A9E"/>
    <w:rsid w:val="00DB1819"/>
    <w:rsid w:val="00DB5B0A"/>
    <w:rsid w:val="00DC0ED4"/>
    <w:rsid w:val="00DC2310"/>
    <w:rsid w:val="00DC4748"/>
    <w:rsid w:val="00DC621C"/>
    <w:rsid w:val="00DD15CF"/>
    <w:rsid w:val="00DD5BB7"/>
    <w:rsid w:val="00DD7241"/>
    <w:rsid w:val="00DE536B"/>
    <w:rsid w:val="00DF03F1"/>
    <w:rsid w:val="00DF359B"/>
    <w:rsid w:val="00E013BB"/>
    <w:rsid w:val="00E0160B"/>
    <w:rsid w:val="00E01D56"/>
    <w:rsid w:val="00E024C3"/>
    <w:rsid w:val="00E05C8F"/>
    <w:rsid w:val="00E07AF7"/>
    <w:rsid w:val="00E10072"/>
    <w:rsid w:val="00E10FD4"/>
    <w:rsid w:val="00E11E54"/>
    <w:rsid w:val="00E1227C"/>
    <w:rsid w:val="00E246BA"/>
    <w:rsid w:val="00E25E07"/>
    <w:rsid w:val="00E32A92"/>
    <w:rsid w:val="00E337E3"/>
    <w:rsid w:val="00E43982"/>
    <w:rsid w:val="00E50D15"/>
    <w:rsid w:val="00E5123C"/>
    <w:rsid w:val="00E5158E"/>
    <w:rsid w:val="00E544A5"/>
    <w:rsid w:val="00E60165"/>
    <w:rsid w:val="00E631C9"/>
    <w:rsid w:val="00E6417A"/>
    <w:rsid w:val="00E67412"/>
    <w:rsid w:val="00E711EA"/>
    <w:rsid w:val="00E71E56"/>
    <w:rsid w:val="00E74A4E"/>
    <w:rsid w:val="00E802A8"/>
    <w:rsid w:val="00E82E27"/>
    <w:rsid w:val="00E85C46"/>
    <w:rsid w:val="00E86EBB"/>
    <w:rsid w:val="00E93712"/>
    <w:rsid w:val="00EA023B"/>
    <w:rsid w:val="00EA4F83"/>
    <w:rsid w:val="00EB0ABE"/>
    <w:rsid w:val="00EB23BC"/>
    <w:rsid w:val="00EB3335"/>
    <w:rsid w:val="00EB4AA6"/>
    <w:rsid w:val="00EB79E4"/>
    <w:rsid w:val="00ED529E"/>
    <w:rsid w:val="00EE244E"/>
    <w:rsid w:val="00EE42C1"/>
    <w:rsid w:val="00EE474E"/>
    <w:rsid w:val="00EE4A40"/>
    <w:rsid w:val="00EE5EFB"/>
    <w:rsid w:val="00EF1868"/>
    <w:rsid w:val="00EF1B56"/>
    <w:rsid w:val="00EF26D7"/>
    <w:rsid w:val="00EF26DB"/>
    <w:rsid w:val="00EF3A24"/>
    <w:rsid w:val="00EF3B70"/>
    <w:rsid w:val="00EF3DB8"/>
    <w:rsid w:val="00EF40F0"/>
    <w:rsid w:val="00EF4807"/>
    <w:rsid w:val="00F0135F"/>
    <w:rsid w:val="00F019DB"/>
    <w:rsid w:val="00F0211F"/>
    <w:rsid w:val="00F02649"/>
    <w:rsid w:val="00F07C5E"/>
    <w:rsid w:val="00F161B5"/>
    <w:rsid w:val="00F2143B"/>
    <w:rsid w:val="00F2160C"/>
    <w:rsid w:val="00F230E2"/>
    <w:rsid w:val="00F23F05"/>
    <w:rsid w:val="00F24F8E"/>
    <w:rsid w:val="00F25499"/>
    <w:rsid w:val="00F31A3B"/>
    <w:rsid w:val="00F31C5E"/>
    <w:rsid w:val="00F33332"/>
    <w:rsid w:val="00F342B2"/>
    <w:rsid w:val="00F370F1"/>
    <w:rsid w:val="00F41EDA"/>
    <w:rsid w:val="00F45D81"/>
    <w:rsid w:val="00F45E91"/>
    <w:rsid w:val="00F50A13"/>
    <w:rsid w:val="00F62ED1"/>
    <w:rsid w:val="00F64FB2"/>
    <w:rsid w:val="00F654E5"/>
    <w:rsid w:val="00F74CE5"/>
    <w:rsid w:val="00F81F71"/>
    <w:rsid w:val="00F841DD"/>
    <w:rsid w:val="00F86D04"/>
    <w:rsid w:val="00F86E14"/>
    <w:rsid w:val="00F900C3"/>
    <w:rsid w:val="00F918E8"/>
    <w:rsid w:val="00F91FB5"/>
    <w:rsid w:val="00FA053B"/>
    <w:rsid w:val="00FA1F7F"/>
    <w:rsid w:val="00FA6045"/>
    <w:rsid w:val="00FA76CF"/>
    <w:rsid w:val="00FB5E93"/>
    <w:rsid w:val="00FB68D9"/>
    <w:rsid w:val="00FB75BC"/>
    <w:rsid w:val="00FC0B70"/>
    <w:rsid w:val="00FC139E"/>
    <w:rsid w:val="00FC22A4"/>
    <w:rsid w:val="00FD0686"/>
    <w:rsid w:val="00FD08F7"/>
    <w:rsid w:val="00FD426E"/>
    <w:rsid w:val="00FD6594"/>
    <w:rsid w:val="00FE72A9"/>
    <w:rsid w:val="00FE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3AF6A"/>
  <w15:docId w15:val="{157AD0EA-2259-4238-90F7-07C202C41D27}"/>
  <w:removePersonalInform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2B5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color w:val="000000"/>
      <w:szCs w:val="17"/>
    </w:rPr>
  </w:style>
  <w:style w:type="paragraph" w:styleId="Heading3">
    <w:name w:val="heading 3"/>
    <w:basedOn w:val="Normal"/>
    <w:next w:val="Normal"/>
    <w:qFormat/>
    <w:pPr>
      <w:keepNext/>
      <w:pageBreakBefore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i/>
      <w:iCs/>
      <w:color w:val="000000"/>
      <w:szCs w:val="17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Revision">
    <w:name w:val="Agenda Revision"/>
    <w:basedOn w:val="Normal"/>
    <w:rPr>
      <w:szCs w:val="20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fc295">
    <w:name w:val="fc295"/>
    <w:rPr>
      <w:rFonts w:ascii="Times New Roman" w:hAnsi="Times New Roman" w:cs="Times New Roman" w:hint="default"/>
      <w:b w:val="0"/>
      <w:bCs w:val="0"/>
      <w:color w:val="000000"/>
      <w:sz w:val="24"/>
      <w:szCs w:val="24"/>
    </w:rPr>
  </w:style>
  <w:style w:type="character" w:customStyle="1" w:styleId="fc561">
    <w:name w:val="fc561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paragraph" w:styleId="BodyText">
    <w:name w:val="Body Text"/>
    <w:basedOn w:val="Normal"/>
    <w:rPr>
      <w:color w:val="000000"/>
      <w:szCs w:val="17"/>
    </w:rPr>
  </w:style>
  <w:style w:type="paragraph" w:styleId="z-TopofForm">
    <w:name w:val="HTML Top of Form"/>
    <w:basedOn w:val="Normal"/>
    <w:next w:val="Normal"/>
    <w:hidden/>
    <w:pPr>
      <w:pBdr>
        <w:bottom w:val="single" w:sz="6" w:space="1" w:color="auto"/>
      </w:pBdr>
      <w:jc w:val="center"/>
    </w:pPr>
    <w:rPr>
      <w:rFonts w:ascii="Arial" w:eastAsia="Arial Unicode MS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pPr>
      <w:pBdr>
        <w:top w:val="single" w:sz="6" w:space="1" w:color="auto"/>
      </w:pBdr>
      <w:jc w:val="center"/>
    </w:pPr>
    <w:rPr>
      <w:rFonts w:ascii="Arial" w:eastAsia="Arial Unicode MS" w:hAnsi="Arial" w:cs="Arial"/>
      <w:vanish/>
      <w:sz w:val="16"/>
      <w:szCs w:val="16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BodyTextIndent">
    <w:name w:val="Body Text Indent"/>
    <w:basedOn w:val="Normal"/>
    <w:pPr>
      <w:overflowPunct w:val="0"/>
      <w:autoSpaceDE w:val="0"/>
      <w:autoSpaceDN w:val="0"/>
      <w:adjustRightInd w:val="0"/>
      <w:ind w:left="155"/>
      <w:textAlignment w:val="baseline"/>
    </w:pPr>
    <w:rPr>
      <w:sz w:val="26"/>
      <w:szCs w:val="20"/>
    </w:rPr>
  </w:style>
  <w:style w:type="paragraph" w:styleId="BodyText2">
    <w:name w:val="Body Text 2"/>
    <w:basedOn w:val="Normal"/>
    <w:rPr>
      <w:sz w:val="26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styleId="Hyperlink">
    <w:name w:val="Hyperlink"/>
    <w:rPr>
      <w:color w:val="0000FF"/>
      <w:u w:val="single"/>
    </w:rPr>
  </w:style>
  <w:style w:type="character" w:customStyle="1" w:styleId="apple-style-span">
    <w:name w:val="apple-style-span"/>
    <w:basedOn w:val="DefaultParagraphFont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FollowedHyperlink">
    <w:name w:val="FollowedHyperlink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DC0ED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1552C4"/>
    <w:rPr>
      <w:b/>
      <w:sz w:val="32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0D8B"/>
    <w:rPr>
      <w:color w:val="605E5C"/>
      <w:shd w:val="clear" w:color="auto" w:fill="E1DFDD"/>
    </w:rPr>
  </w:style>
  <w:style w:type="paragraph" w:customStyle="1" w:styleId="Default">
    <w:name w:val="Default"/>
    <w:rsid w:val="0084485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86E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600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5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puc.ca.gov" TargetMode="External"/><Relationship Id="rId13" Type="http://schemas.openxmlformats.org/officeDocument/2006/relationships/hyperlink" Target="http://docs.cpuc.ca.gov/SearchRes.aspx?docformat=ALL&amp;docid=6029989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docs.cpuc.ca.gov/SearchRes.aspx?docformat=ALL&amp;docid=60492802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s.cpuc.ca.gov/SearchRes.aspx?docformat=ALL&amp;docid=605454958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ublic.advisor@cpuc.ca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ublic.advisor@cpuc.ca.gov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973D8-8B5C-4FCB-84C1-ED21017C8F92}">
  <ds:schemaRefs>
    <ds:schemaRef ds:uri="http://schemas.openxmlformats.org/officeDocument/2006/bibliography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4</ap:Pages>
  <ap:Words>805</ap:Words>
  <ap:Characters>4589</ap:Characters>
  <ap:Application>Microsoft Office Word</ap:Application>
  <ap:DocSecurity>0</ap:DocSecurity>
  <ap:Lines>38</ap:Lines>
  <ap:Paragraphs>10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5384</ap:CharactersWithSpaces>
  <ap:SharedDoc>false</ap:SharedDoc>
  <ap:HyperlinkBase/>
  <ap:HyperlinksChanged>false</ap:HyperlinksChanged>
  <ap:AppVersion>12.0000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2012-12-05T22:17:00Z</cp:lastPrinted>
  <dcterms:created xsi:type="dcterms:W3CDTF">2026-04-24T10:25:40Z</dcterms:created>
  <dcterms:modified xsi:type="dcterms:W3CDTF">2026-04-24T10:25:40Z</dcterms:modified>
</cp:coreProperties>
</file>