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C1B" w:rsidR="005455F0" w:rsidP="00ED1E0E" w:rsidRDefault="00A20946" w14:paraId="224D76CC" w14:textId="7D87D0A3">
      <w:pPr>
        <w:tabs>
          <w:tab w:val="left" w:pos="2520"/>
          <w:tab w:val="center" w:pos="4680"/>
          <w:tab w:val="right" w:pos="9360"/>
        </w:tabs>
        <w:spacing w:line="240" w:lineRule="auto"/>
        <w:ind w:firstLine="0"/>
        <w:rPr>
          <w:b/>
        </w:rPr>
      </w:pPr>
      <w:r w:rsidRPr="00E12C1B">
        <w:t>ALJ/ZZ1/abb</w:t>
      </w:r>
      <w:r w:rsidR="00ED1E0E">
        <w:tab/>
      </w:r>
      <w:r w:rsidR="00ED1E0E">
        <w:tab/>
      </w:r>
      <w:r w:rsidR="00ED1E0E">
        <w:tab/>
      </w:r>
      <w:r w:rsidRPr="00ED1E0E" w:rsidR="00ED1E0E">
        <w:rPr>
          <w:b/>
          <w:bCs/>
        </w:rPr>
        <w:t>Date of Issuance </w:t>
      </w:r>
      <w:r w:rsidR="007A051F">
        <w:rPr>
          <w:b/>
          <w:bCs/>
        </w:rPr>
        <w:t>3</w:t>
      </w:r>
      <w:r w:rsidRPr="00ED1E0E" w:rsidR="00ED1E0E">
        <w:rPr>
          <w:b/>
          <w:bCs/>
        </w:rPr>
        <w:t>/</w:t>
      </w:r>
      <w:r w:rsidR="00091EB5">
        <w:rPr>
          <w:b/>
          <w:bCs/>
        </w:rPr>
        <w:t>26</w:t>
      </w:r>
      <w:r w:rsidRPr="00ED1E0E" w:rsidR="00ED1E0E">
        <w:rPr>
          <w:b/>
          <w:bCs/>
        </w:rPr>
        <w:t>/2026</w:t>
      </w:r>
    </w:p>
    <w:p w:rsidRPr="00E12C1B" w:rsidR="00DA7B5D" w:rsidP="00A20946" w:rsidRDefault="00DA7B5D" w14:paraId="10D33C17" w14:textId="77777777">
      <w:pPr>
        <w:spacing w:line="240" w:lineRule="auto"/>
        <w:ind w:firstLine="0"/>
      </w:pPr>
    </w:p>
    <w:p w:rsidRPr="00E12C1B" w:rsidR="00A20946" w:rsidP="00A20946" w:rsidRDefault="00A20946" w14:paraId="12B4F8E1" w14:textId="77777777">
      <w:pPr>
        <w:spacing w:line="240" w:lineRule="auto"/>
        <w:ind w:firstLine="0"/>
      </w:pPr>
    </w:p>
    <w:p w:rsidR="00A20946" w:rsidP="00A20946" w:rsidRDefault="00DA7B5D" w14:paraId="43BC7DE5" w14:textId="192A6617">
      <w:pPr>
        <w:spacing w:line="240" w:lineRule="auto"/>
        <w:ind w:left="1080" w:hanging="1080"/>
        <w:rPr>
          <w:b/>
          <w:bCs/>
        </w:rPr>
      </w:pPr>
      <w:r w:rsidRPr="00E12C1B">
        <w:t>Decision</w:t>
      </w:r>
      <w:r w:rsidR="00ED1E0E">
        <w:t> </w:t>
      </w:r>
      <w:r w:rsidRPr="00ED1E0E" w:rsidR="00ED1E0E">
        <w:t>26-03-019</w:t>
      </w:r>
      <w:r w:rsidR="00ED1E0E">
        <w:t> </w:t>
      </w:r>
      <w:r w:rsidR="00DE4C51">
        <w:t> </w:t>
      </w:r>
      <w:r w:rsidR="00ED1E0E">
        <w:t>March 19, 2026</w:t>
      </w:r>
    </w:p>
    <w:p w:rsidRPr="00E12C1B" w:rsidR="00BE3F53" w:rsidP="00A20946" w:rsidRDefault="00BE3F53" w14:paraId="31368FD6" w14:textId="77777777">
      <w:pPr>
        <w:spacing w:line="240" w:lineRule="auto"/>
        <w:ind w:left="1080" w:hanging="1080"/>
      </w:pPr>
    </w:p>
    <w:p w:rsidRPr="001D29C4" w:rsidR="00DA7B5D" w:rsidP="00A20946" w:rsidRDefault="00DA7B5D" w14:paraId="1538CFD3" w14:textId="77777777">
      <w:pPr>
        <w:spacing w:line="240" w:lineRule="auto"/>
        <w:ind w:firstLine="0"/>
        <w:rPr>
          <w:rFonts w:ascii="Arial" w:hAnsi="Arial" w:cs="Arial"/>
          <w:u w:val="single"/>
        </w:rPr>
      </w:pPr>
    </w:p>
    <w:p w:rsidRPr="001D29C4" w:rsidR="00DA7B5D" w:rsidP="00A20946" w:rsidRDefault="00DA7B5D" w14:paraId="3F898547" w14:textId="77777777">
      <w:pPr>
        <w:spacing w:line="240" w:lineRule="auto"/>
        <w:ind w:firstLine="0"/>
        <w:jc w:val="center"/>
        <w:rPr>
          <w:rFonts w:ascii="Arial" w:hAnsi="Arial" w:cs="Arial"/>
          <w:sz w:val="24"/>
          <w:szCs w:val="24"/>
        </w:rPr>
      </w:pPr>
      <w:r w:rsidRPr="001D29C4">
        <w:rPr>
          <w:rFonts w:ascii="Arial" w:hAnsi="Arial" w:cs="Arial"/>
          <w:b/>
          <w:sz w:val="24"/>
          <w:szCs w:val="24"/>
        </w:rPr>
        <w:t>BEFORE THE PUBLIC UTILITIES COMMISSION OF THE STATE OF CALIFORNIA</w:t>
      </w:r>
    </w:p>
    <w:p w:rsidRPr="00E12C1B" w:rsidR="00DA7B5D" w:rsidP="008F0116" w:rsidRDefault="00DA7B5D" w14:paraId="19CAD467" w14:textId="77777777">
      <w:pPr>
        <w:spacing w:line="240" w:lineRule="auto"/>
        <w:ind w:firstLine="0"/>
        <w:rPr>
          <w:rFonts w:cs="Arial"/>
          <w:sz w:val="24"/>
          <w:szCs w:val="24"/>
        </w:rPr>
      </w:pPr>
    </w:p>
    <w:p w:rsidRPr="00E12C1B" w:rsidR="00A20946" w:rsidP="008F0116" w:rsidRDefault="00A20946" w14:paraId="15434491" w14:textId="77777777">
      <w:pPr>
        <w:spacing w:line="240" w:lineRule="auto"/>
        <w:ind w:firstLine="0"/>
        <w:rPr>
          <w:rFonts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E12C1B" w:rsidR="00DA7B5D" w:rsidTr="00E725FC" w14:paraId="1BAAF65F" w14:textId="77777777">
        <w:trPr>
          <w:jc w:val="center"/>
        </w:trPr>
        <w:tc>
          <w:tcPr>
            <w:tcW w:w="5040" w:type="dxa"/>
            <w:tcBorders>
              <w:top w:val="nil"/>
              <w:left w:val="nil"/>
              <w:bottom w:val="single" w:color="auto" w:sz="4" w:space="0"/>
              <w:right w:val="single" w:color="auto" w:sz="4" w:space="0"/>
            </w:tcBorders>
          </w:tcPr>
          <w:p w:rsidRPr="00E12C1B" w:rsidR="00DA7B5D" w:rsidP="00A20946" w:rsidRDefault="00B025B9" w14:paraId="50AA3DA6" w14:textId="77777777">
            <w:pPr>
              <w:spacing w:before="120" w:line="240" w:lineRule="auto"/>
              <w:ind w:firstLine="0"/>
              <w:rPr>
                <w:rFonts w:cs="Arial"/>
                <w:szCs w:val="26"/>
              </w:rPr>
            </w:pPr>
            <w:r w:rsidRPr="00E12C1B">
              <w:rPr>
                <w:rFonts w:cs="Arial"/>
                <w:szCs w:val="26"/>
              </w:rPr>
              <w:t xml:space="preserve">In the Matter of the Application of </w:t>
            </w:r>
            <w:r w:rsidRPr="00E12C1B">
              <w:rPr>
                <w:rFonts w:cs="Arial"/>
                <w:caps/>
                <w:szCs w:val="26"/>
              </w:rPr>
              <w:t>Southern California Edison Company</w:t>
            </w:r>
            <w:r w:rsidRPr="00E12C1B" w:rsidR="00F03282">
              <w:rPr>
                <w:rFonts w:cs="Arial"/>
                <w:caps/>
                <w:szCs w:val="26"/>
              </w:rPr>
              <w:t xml:space="preserve"> </w:t>
            </w:r>
            <w:r w:rsidRPr="00E12C1B" w:rsidR="00F03282">
              <w:rPr>
                <w:rFonts w:cs="Arial"/>
                <w:szCs w:val="26"/>
              </w:rPr>
              <w:t>(U338E)</w:t>
            </w:r>
            <w:r w:rsidRPr="00E12C1B">
              <w:rPr>
                <w:rFonts w:cs="Arial"/>
                <w:szCs w:val="26"/>
              </w:rPr>
              <w:t xml:space="preserve"> for a Certificate of Public Convenience and Necessity for the Alberhill System Project.</w:t>
            </w:r>
            <w:r w:rsidRPr="00E12C1B" w:rsidR="00DA7B5D">
              <w:rPr>
                <w:rFonts w:cs="Arial"/>
                <w:szCs w:val="26"/>
              </w:rPr>
              <w:br/>
            </w:r>
          </w:p>
        </w:tc>
        <w:tc>
          <w:tcPr>
            <w:tcW w:w="5040" w:type="dxa"/>
            <w:tcBorders>
              <w:top w:val="nil"/>
              <w:left w:val="single" w:color="auto" w:sz="4" w:space="0"/>
              <w:bottom w:val="nil"/>
              <w:right w:val="nil"/>
            </w:tcBorders>
            <w:vAlign w:val="center"/>
          </w:tcPr>
          <w:p w:rsidRPr="00E12C1B" w:rsidR="00DA7B5D" w:rsidP="00412C83" w:rsidRDefault="00F03282" w14:paraId="2E0BF461" w14:textId="77777777">
            <w:pPr>
              <w:spacing w:line="240" w:lineRule="auto"/>
              <w:ind w:firstLine="0"/>
              <w:jc w:val="center"/>
              <w:rPr>
                <w:rFonts w:cs="Arial"/>
                <w:szCs w:val="26"/>
              </w:rPr>
            </w:pPr>
            <w:bookmarkStart w:name="_Hlk219793272" w:id="0"/>
            <w:r w:rsidRPr="00E12C1B">
              <w:rPr>
                <w:rFonts w:cs="Arial"/>
                <w:szCs w:val="26"/>
              </w:rPr>
              <w:t>Application</w:t>
            </w:r>
            <w:r w:rsidRPr="00E12C1B" w:rsidR="00A20946">
              <w:rPr>
                <w:rFonts w:cs="Arial"/>
                <w:szCs w:val="26"/>
              </w:rPr>
              <w:t> </w:t>
            </w:r>
            <w:r w:rsidRPr="00E12C1B">
              <w:rPr>
                <w:rFonts w:cs="Arial"/>
                <w:szCs w:val="26"/>
              </w:rPr>
              <w:t>09-09-022</w:t>
            </w:r>
            <w:bookmarkEnd w:id="0"/>
          </w:p>
        </w:tc>
      </w:tr>
    </w:tbl>
    <w:p w:rsidRPr="00E12C1B" w:rsidR="00DA7B5D" w:rsidP="008F0116" w:rsidRDefault="00DA7B5D" w14:paraId="08BA58C8" w14:textId="77777777">
      <w:pPr>
        <w:spacing w:line="240" w:lineRule="auto"/>
        <w:ind w:firstLine="0"/>
        <w:rPr>
          <w:rFonts w:cs="Arial"/>
          <w:sz w:val="24"/>
          <w:szCs w:val="24"/>
        </w:rPr>
      </w:pPr>
    </w:p>
    <w:p w:rsidRPr="00E12C1B" w:rsidR="00DA7B5D" w:rsidP="008F0116" w:rsidRDefault="00DA7B5D" w14:paraId="6FECA1F5" w14:textId="77777777">
      <w:pPr>
        <w:spacing w:line="240" w:lineRule="auto"/>
        <w:ind w:firstLine="0"/>
        <w:rPr>
          <w:rFonts w:cs="Arial"/>
          <w:sz w:val="24"/>
          <w:szCs w:val="24"/>
        </w:rPr>
      </w:pPr>
    </w:p>
    <w:p w:rsidRPr="001D29C4" w:rsidR="00F92385" w:rsidP="00B3087D" w:rsidRDefault="000E239E" w14:paraId="640E21C6" w14:textId="77777777">
      <w:pPr>
        <w:pStyle w:val="Dummy"/>
        <w:jc w:val="center"/>
      </w:pPr>
      <w:bookmarkStart w:name="_Toc225410151" w:id="1"/>
      <w:r w:rsidRPr="001D29C4">
        <w:t>DECISION ON THE ALBERHILL SYSTEM PROJECT</w:t>
      </w:r>
      <w:bookmarkEnd w:id="1"/>
    </w:p>
    <w:p w:rsidRPr="00E12C1B" w:rsidR="00A20946" w:rsidP="00A20946" w:rsidRDefault="00A20946" w14:paraId="0D3286D1" w14:textId="77777777"/>
    <w:p w:rsidRPr="00E12C1B" w:rsidR="00A20946" w:rsidP="00A20946" w:rsidRDefault="00A20946" w14:paraId="666ACA41" w14:textId="77777777"/>
    <w:p w:rsidRPr="00E12C1B" w:rsidR="00A20946" w:rsidP="00A20946" w:rsidRDefault="00A20946" w14:paraId="29DE00A6" w14:textId="77777777">
      <w:pPr>
        <w:sectPr w:rsidRPr="00E12C1B" w:rsidR="00A20946" w:rsidSect="00CA1641">
          <w:headerReference w:type="first" r:id="rId11"/>
          <w:footerReference w:type="first" r:id="rId12"/>
          <w:pgSz w:w="12240" w:h="15840"/>
          <w:pgMar w:top="1440" w:right="1440" w:bottom="1440" w:left="1440" w:header="720" w:footer="720" w:gutter="0"/>
          <w:pgNumType w:start="1"/>
          <w:cols w:space="720"/>
          <w:titlePg/>
          <w:docGrid w:linePitch="360"/>
        </w:sectPr>
      </w:pPr>
    </w:p>
    <w:p w:rsidRPr="001D29C4" w:rsidR="00D50119" w:rsidP="00F76650" w:rsidRDefault="00D50119" w14:paraId="44CB9C66" w14:textId="77777777">
      <w:pPr>
        <w:pStyle w:val="Main"/>
        <w:rPr>
          <w:rFonts w:cs="Arial"/>
          <w:sz w:val="28"/>
          <w:szCs w:val="28"/>
        </w:rPr>
      </w:pPr>
      <w:r w:rsidRPr="001D29C4">
        <w:rPr>
          <w:rFonts w:cs="Arial"/>
          <w:sz w:val="28"/>
          <w:szCs w:val="28"/>
        </w:rPr>
        <w:lastRenderedPageBreak/>
        <w:t>TABLE OF CONTENTS</w:t>
      </w:r>
    </w:p>
    <w:p w:rsidRPr="00E12C1B" w:rsidR="00D50119" w:rsidP="007E0FEE" w:rsidRDefault="00D50119" w14:paraId="523BC274" w14:textId="77777777">
      <w:pPr>
        <w:tabs>
          <w:tab w:val="right" w:pos="9360"/>
        </w:tabs>
        <w:ind w:firstLine="0"/>
      </w:pPr>
      <w:r w:rsidRPr="00E12C1B">
        <w:rPr>
          <w:b/>
        </w:rPr>
        <w:t>Title</w:t>
      </w:r>
      <w:r w:rsidRPr="00E12C1B">
        <w:tab/>
      </w:r>
      <w:r w:rsidRPr="00E12C1B">
        <w:rPr>
          <w:b/>
        </w:rPr>
        <w:t>Page</w:t>
      </w:r>
    </w:p>
    <w:sdt>
      <w:sdtPr>
        <w:id w:val="-1224440197"/>
        <w:docPartObj>
          <w:docPartGallery w:val="Table of Contents"/>
          <w:docPartUnique/>
        </w:docPartObj>
      </w:sdtPr>
      <w:sdtEndPr>
        <w:rPr>
          <w:b/>
          <w:bCs/>
          <w:noProof/>
          <w:szCs w:val="26"/>
        </w:rPr>
      </w:sdtEndPr>
      <w:sdtContent>
        <w:p w:rsidR="00DE4C51" w:rsidRDefault="008C7413" w14:paraId="22E230DF" w14:textId="4503830B">
          <w:pPr>
            <w:pStyle w:val="TOC1"/>
            <w:tabs>
              <w:tab w:val="right" w:leader="dot" w:pos="9350"/>
            </w:tabs>
            <w:rPr>
              <w:rFonts w:asciiTheme="minorHAnsi" w:hAnsiTheme="minorHAnsi" w:cstheme="minorBidi"/>
              <w:noProof/>
              <w:kern w:val="2"/>
              <w:sz w:val="24"/>
              <w:szCs w:val="24"/>
              <w14:ligatures w14:val="standardContextual"/>
            </w:rPr>
          </w:pPr>
          <w:r w:rsidRPr="003B0148">
            <w:rPr>
              <w:szCs w:val="26"/>
            </w:rPr>
            <w:fldChar w:fldCharType="begin"/>
          </w:r>
          <w:r w:rsidRPr="003B0148">
            <w:rPr>
              <w:szCs w:val="26"/>
            </w:rPr>
            <w:instrText xml:space="preserve"> TOC \o "1-6" \h \z \u </w:instrText>
          </w:r>
          <w:r w:rsidRPr="003B0148">
            <w:rPr>
              <w:szCs w:val="26"/>
            </w:rPr>
            <w:fldChar w:fldCharType="separate"/>
          </w:r>
          <w:hyperlink w:history="1" w:anchor="_Toc225410151">
            <w:r w:rsidRPr="004F2656" w:rsidR="00DE4C51">
              <w:rPr>
                <w:rStyle w:val="Hyperlink"/>
                <w:noProof/>
              </w:rPr>
              <w:t>DECISION ON THE ALBERHILL SYSTEM PROJECT</w:t>
            </w:r>
            <w:r w:rsidR="00DE4C51">
              <w:rPr>
                <w:noProof/>
                <w:webHidden/>
              </w:rPr>
              <w:tab/>
            </w:r>
            <w:r w:rsidR="00DE4C51">
              <w:rPr>
                <w:noProof/>
                <w:webHidden/>
              </w:rPr>
              <w:fldChar w:fldCharType="begin"/>
            </w:r>
            <w:r w:rsidR="00DE4C51">
              <w:rPr>
                <w:noProof/>
                <w:webHidden/>
              </w:rPr>
              <w:instrText xml:space="preserve"> PAGEREF _Toc225410151 \h </w:instrText>
            </w:r>
            <w:r w:rsidR="00DE4C51">
              <w:rPr>
                <w:noProof/>
                <w:webHidden/>
              </w:rPr>
            </w:r>
            <w:r w:rsidR="00DE4C51">
              <w:rPr>
                <w:noProof/>
                <w:webHidden/>
              </w:rPr>
              <w:fldChar w:fldCharType="separate"/>
            </w:r>
            <w:r w:rsidR="00DE4C51">
              <w:rPr>
                <w:noProof/>
                <w:webHidden/>
              </w:rPr>
              <w:t>1</w:t>
            </w:r>
            <w:r w:rsidR="00DE4C51">
              <w:rPr>
                <w:noProof/>
                <w:webHidden/>
              </w:rPr>
              <w:fldChar w:fldCharType="end"/>
            </w:r>
          </w:hyperlink>
        </w:p>
        <w:p w:rsidR="00DE4C51" w:rsidRDefault="00DE4C51" w14:paraId="5A79A8DC" w14:textId="19D54C27">
          <w:pPr>
            <w:pStyle w:val="TOC1"/>
            <w:tabs>
              <w:tab w:val="right" w:leader="dot" w:pos="9350"/>
            </w:tabs>
            <w:rPr>
              <w:rFonts w:asciiTheme="minorHAnsi" w:hAnsiTheme="minorHAnsi" w:cstheme="minorBidi"/>
              <w:noProof/>
              <w:kern w:val="2"/>
              <w:sz w:val="24"/>
              <w:szCs w:val="24"/>
              <w14:ligatures w14:val="standardContextual"/>
            </w:rPr>
          </w:pPr>
          <w:hyperlink w:history="1" w:anchor="_Toc225410152">
            <w:r w:rsidRPr="004F2656">
              <w:rPr>
                <w:rStyle w:val="Hyperlink"/>
                <w:noProof/>
              </w:rPr>
              <w:t>Summary</w:t>
            </w:r>
            <w:r>
              <w:rPr>
                <w:noProof/>
                <w:webHidden/>
              </w:rPr>
              <w:tab/>
            </w:r>
            <w:r>
              <w:rPr>
                <w:noProof/>
                <w:webHidden/>
              </w:rPr>
              <w:fldChar w:fldCharType="begin"/>
            </w:r>
            <w:r>
              <w:rPr>
                <w:noProof/>
                <w:webHidden/>
              </w:rPr>
              <w:instrText xml:space="preserve"> PAGEREF _Toc225410152 \h </w:instrText>
            </w:r>
            <w:r>
              <w:rPr>
                <w:noProof/>
                <w:webHidden/>
              </w:rPr>
            </w:r>
            <w:r>
              <w:rPr>
                <w:noProof/>
                <w:webHidden/>
              </w:rPr>
              <w:fldChar w:fldCharType="separate"/>
            </w:r>
            <w:r>
              <w:rPr>
                <w:noProof/>
                <w:webHidden/>
              </w:rPr>
              <w:t>2</w:t>
            </w:r>
            <w:r>
              <w:rPr>
                <w:noProof/>
                <w:webHidden/>
              </w:rPr>
              <w:fldChar w:fldCharType="end"/>
            </w:r>
          </w:hyperlink>
        </w:p>
        <w:p w:rsidR="00DE4C51" w:rsidRDefault="00DE4C51" w14:paraId="084FF590" w14:textId="268BDCF4">
          <w:pPr>
            <w:pStyle w:val="TOC1"/>
            <w:tabs>
              <w:tab w:val="right" w:leader="dot" w:pos="9350"/>
            </w:tabs>
            <w:rPr>
              <w:rFonts w:asciiTheme="minorHAnsi" w:hAnsiTheme="minorHAnsi" w:cstheme="minorBidi"/>
              <w:noProof/>
              <w:kern w:val="2"/>
              <w:sz w:val="24"/>
              <w:szCs w:val="24"/>
              <w14:ligatures w14:val="standardContextual"/>
            </w:rPr>
          </w:pPr>
          <w:hyperlink w:history="1" w:anchor="_Toc225410153">
            <w:r w:rsidRPr="004F2656">
              <w:rPr>
                <w:rStyle w:val="Hyperlink"/>
                <w:rFonts w:cs="Arial"/>
                <w:noProof/>
              </w:rPr>
              <w:t>1.</w:t>
            </w:r>
            <w:r>
              <w:rPr>
                <w:rFonts w:asciiTheme="minorHAnsi" w:hAnsiTheme="minorHAnsi" w:cstheme="minorBidi"/>
                <w:noProof/>
                <w:kern w:val="2"/>
                <w:sz w:val="24"/>
                <w:szCs w:val="24"/>
                <w14:ligatures w14:val="standardContextual"/>
              </w:rPr>
              <w:tab/>
            </w:r>
            <w:r w:rsidRPr="004F2656">
              <w:rPr>
                <w:rStyle w:val="Hyperlink"/>
                <w:rFonts w:cs="Arial"/>
                <w:noProof/>
              </w:rPr>
              <w:t>Background</w:t>
            </w:r>
            <w:r>
              <w:rPr>
                <w:noProof/>
                <w:webHidden/>
              </w:rPr>
              <w:tab/>
            </w:r>
            <w:r>
              <w:rPr>
                <w:noProof/>
                <w:webHidden/>
              </w:rPr>
              <w:fldChar w:fldCharType="begin"/>
            </w:r>
            <w:r>
              <w:rPr>
                <w:noProof/>
                <w:webHidden/>
              </w:rPr>
              <w:instrText xml:space="preserve"> PAGEREF _Toc225410153 \h </w:instrText>
            </w:r>
            <w:r>
              <w:rPr>
                <w:noProof/>
                <w:webHidden/>
              </w:rPr>
            </w:r>
            <w:r>
              <w:rPr>
                <w:noProof/>
                <w:webHidden/>
              </w:rPr>
              <w:fldChar w:fldCharType="separate"/>
            </w:r>
            <w:r>
              <w:rPr>
                <w:noProof/>
                <w:webHidden/>
              </w:rPr>
              <w:t>2</w:t>
            </w:r>
            <w:r>
              <w:rPr>
                <w:noProof/>
                <w:webHidden/>
              </w:rPr>
              <w:fldChar w:fldCharType="end"/>
            </w:r>
          </w:hyperlink>
        </w:p>
        <w:p w:rsidR="00DE4C51" w:rsidRDefault="00DE4C51" w14:paraId="7E8C4F87" w14:textId="76BD8FE2">
          <w:pPr>
            <w:pStyle w:val="TOC2"/>
            <w:tabs>
              <w:tab w:val="right" w:leader="dot" w:pos="9350"/>
            </w:tabs>
            <w:rPr>
              <w:rFonts w:asciiTheme="minorHAnsi" w:hAnsiTheme="minorHAnsi" w:cstheme="minorBidi"/>
              <w:noProof/>
              <w:kern w:val="2"/>
              <w:sz w:val="24"/>
              <w:szCs w:val="24"/>
              <w14:ligatures w14:val="standardContextual"/>
            </w:rPr>
          </w:pPr>
          <w:hyperlink w:history="1" w:anchor="_Toc225410154">
            <w:r w:rsidRPr="004F2656">
              <w:rPr>
                <w:rStyle w:val="Hyperlink"/>
                <w:noProof/>
              </w:rPr>
              <w:t>1.1.</w:t>
            </w:r>
            <w:r>
              <w:rPr>
                <w:rFonts w:asciiTheme="minorHAnsi" w:hAnsiTheme="minorHAnsi" w:cstheme="minorBidi"/>
                <w:noProof/>
                <w:kern w:val="2"/>
                <w:sz w:val="24"/>
                <w:szCs w:val="24"/>
                <w14:ligatures w14:val="standardContextual"/>
              </w:rPr>
              <w:tab/>
            </w:r>
            <w:r w:rsidRPr="004F2656">
              <w:rPr>
                <w:rStyle w:val="Hyperlink"/>
                <w:noProof/>
              </w:rPr>
              <w:t>Procedural Background</w:t>
            </w:r>
            <w:r>
              <w:rPr>
                <w:noProof/>
                <w:webHidden/>
              </w:rPr>
              <w:tab/>
            </w:r>
            <w:r>
              <w:rPr>
                <w:noProof/>
                <w:webHidden/>
              </w:rPr>
              <w:fldChar w:fldCharType="begin"/>
            </w:r>
            <w:r>
              <w:rPr>
                <w:noProof/>
                <w:webHidden/>
              </w:rPr>
              <w:instrText xml:space="preserve"> PAGEREF _Toc225410154 \h </w:instrText>
            </w:r>
            <w:r>
              <w:rPr>
                <w:noProof/>
                <w:webHidden/>
              </w:rPr>
            </w:r>
            <w:r>
              <w:rPr>
                <w:noProof/>
                <w:webHidden/>
              </w:rPr>
              <w:fldChar w:fldCharType="separate"/>
            </w:r>
            <w:r>
              <w:rPr>
                <w:noProof/>
                <w:webHidden/>
              </w:rPr>
              <w:t>2</w:t>
            </w:r>
            <w:r>
              <w:rPr>
                <w:noProof/>
                <w:webHidden/>
              </w:rPr>
              <w:fldChar w:fldCharType="end"/>
            </w:r>
          </w:hyperlink>
        </w:p>
        <w:p w:rsidR="00DE4C51" w:rsidRDefault="00DE4C51" w14:paraId="67D3F36A" w14:textId="4F3C067E">
          <w:pPr>
            <w:pStyle w:val="TOC2"/>
            <w:tabs>
              <w:tab w:val="right" w:leader="dot" w:pos="9350"/>
            </w:tabs>
            <w:rPr>
              <w:rFonts w:asciiTheme="minorHAnsi" w:hAnsiTheme="minorHAnsi" w:cstheme="minorBidi"/>
              <w:noProof/>
              <w:kern w:val="2"/>
              <w:sz w:val="24"/>
              <w:szCs w:val="24"/>
              <w14:ligatures w14:val="standardContextual"/>
            </w:rPr>
          </w:pPr>
          <w:hyperlink w:history="1" w:anchor="_Toc225410155">
            <w:r w:rsidRPr="004F2656">
              <w:rPr>
                <w:rStyle w:val="Hyperlink"/>
                <w:noProof/>
              </w:rPr>
              <w:t>1.2.</w:t>
            </w:r>
            <w:r>
              <w:rPr>
                <w:rFonts w:asciiTheme="minorHAnsi" w:hAnsiTheme="minorHAnsi" w:cstheme="minorBidi"/>
                <w:noProof/>
                <w:kern w:val="2"/>
                <w:sz w:val="24"/>
                <w:szCs w:val="24"/>
                <w14:ligatures w14:val="standardContextual"/>
              </w:rPr>
              <w:tab/>
            </w:r>
            <w:r w:rsidRPr="004F2656">
              <w:rPr>
                <w:rStyle w:val="Hyperlink"/>
                <w:noProof/>
              </w:rPr>
              <w:t>Alberhill System Project Background</w:t>
            </w:r>
            <w:r>
              <w:rPr>
                <w:noProof/>
                <w:webHidden/>
              </w:rPr>
              <w:tab/>
            </w:r>
            <w:r>
              <w:rPr>
                <w:noProof/>
                <w:webHidden/>
              </w:rPr>
              <w:fldChar w:fldCharType="begin"/>
            </w:r>
            <w:r>
              <w:rPr>
                <w:noProof/>
                <w:webHidden/>
              </w:rPr>
              <w:instrText xml:space="preserve"> PAGEREF _Toc225410155 \h </w:instrText>
            </w:r>
            <w:r>
              <w:rPr>
                <w:noProof/>
                <w:webHidden/>
              </w:rPr>
            </w:r>
            <w:r>
              <w:rPr>
                <w:noProof/>
                <w:webHidden/>
              </w:rPr>
              <w:fldChar w:fldCharType="separate"/>
            </w:r>
            <w:r>
              <w:rPr>
                <w:noProof/>
                <w:webHidden/>
              </w:rPr>
              <w:t>8</w:t>
            </w:r>
            <w:r>
              <w:rPr>
                <w:noProof/>
                <w:webHidden/>
              </w:rPr>
              <w:fldChar w:fldCharType="end"/>
            </w:r>
          </w:hyperlink>
        </w:p>
        <w:p w:rsidR="00DE4C51" w:rsidRDefault="00DE4C51" w14:paraId="492E0FA3" w14:textId="2CDF137E">
          <w:pPr>
            <w:pStyle w:val="TOC1"/>
            <w:tabs>
              <w:tab w:val="right" w:leader="dot" w:pos="9350"/>
            </w:tabs>
            <w:rPr>
              <w:rFonts w:asciiTheme="minorHAnsi" w:hAnsiTheme="minorHAnsi" w:cstheme="minorBidi"/>
              <w:noProof/>
              <w:kern w:val="2"/>
              <w:sz w:val="24"/>
              <w:szCs w:val="24"/>
              <w14:ligatures w14:val="standardContextual"/>
            </w:rPr>
          </w:pPr>
          <w:hyperlink w:history="1" w:anchor="_Toc225410156">
            <w:r w:rsidRPr="004F2656">
              <w:rPr>
                <w:rStyle w:val="Hyperlink"/>
                <w:noProof/>
              </w:rPr>
              <w:t>2.</w:t>
            </w:r>
            <w:r>
              <w:rPr>
                <w:rFonts w:asciiTheme="minorHAnsi" w:hAnsiTheme="minorHAnsi" w:cstheme="minorBidi"/>
                <w:noProof/>
                <w:kern w:val="2"/>
                <w:sz w:val="24"/>
                <w:szCs w:val="24"/>
                <w14:ligatures w14:val="standardContextual"/>
              </w:rPr>
              <w:tab/>
            </w:r>
            <w:r w:rsidRPr="004F2656">
              <w:rPr>
                <w:rStyle w:val="Hyperlink"/>
                <w:noProof/>
              </w:rPr>
              <w:t>Submission Date</w:t>
            </w:r>
            <w:r>
              <w:rPr>
                <w:noProof/>
                <w:webHidden/>
              </w:rPr>
              <w:tab/>
            </w:r>
            <w:r>
              <w:rPr>
                <w:noProof/>
                <w:webHidden/>
              </w:rPr>
              <w:fldChar w:fldCharType="begin"/>
            </w:r>
            <w:r>
              <w:rPr>
                <w:noProof/>
                <w:webHidden/>
              </w:rPr>
              <w:instrText xml:space="preserve"> PAGEREF _Toc225410156 \h </w:instrText>
            </w:r>
            <w:r>
              <w:rPr>
                <w:noProof/>
                <w:webHidden/>
              </w:rPr>
            </w:r>
            <w:r>
              <w:rPr>
                <w:noProof/>
                <w:webHidden/>
              </w:rPr>
              <w:fldChar w:fldCharType="separate"/>
            </w:r>
            <w:r>
              <w:rPr>
                <w:noProof/>
                <w:webHidden/>
              </w:rPr>
              <w:t>11</w:t>
            </w:r>
            <w:r>
              <w:rPr>
                <w:noProof/>
                <w:webHidden/>
              </w:rPr>
              <w:fldChar w:fldCharType="end"/>
            </w:r>
          </w:hyperlink>
        </w:p>
        <w:p w:rsidR="00DE4C51" w:rsidRDefault="00DE4C51" w14:paraId="071AA9CC" w14:textId="41BD33AF">
          <w:pPr>
            <w:pStyle w:val="TOC1"/>
            <w:tabs>
              <w:tab w:val="right" w:leader="dot" w:pos="9350"/>
            </w:tabs>
            <w:rPr>
              <w:rFonts w:asciiTheme="minorHAnsi" w:hAnsiTheme="minorHAnsi" w:cstheme="minorBidi"/>
              <w:noProof/>
              <w:kern w:val="2"/>
              <w:sz w:val="24"/>
              <w:szCs w:val="24"/>
              <w14:ligatures w14:val="standardContextual"/>
            </w:rPr>
          </w:pPr>
          <w:hyperlink w:history="1" w:anchor="_Toc225410157">
            <w:r w:rsidRPr="004F2656">
              <w:rPr>
                <w:rStyle w:val="Hyperlink"/>
                <w:rFonts w:cs="Arial"/>
                <w:noProof/>
              </w:rPr>
              <w:t>3.</w:t>
            </w:r>
            <w:r>
              <w:rPr>
                <w:rFonts w:asciiTheme="minorHAnsi" w:hAnsiTheme="minorHAnsi" w:cstheme="minorBidi"/>
                <w:noProof/>
                <w:kern w:val="2"/>
                <w:sz w:val="24"/>
                <w:szCs w:val="24"/>
                <w14:ligatures w14:val="standardContextual"/>
              </w:rPr>
              <w:tab/>
            </w:r>
            <w:r w:rsidRPr="004F2656">
              <w:rPr>
                <w:rStyle w:val="Hyperlink"/>
                <w:rFonts w:cs="Arial"/>
                <w:noProof/>
              </w:rPr>
              <w:t>Jurisdiction</w:t>
            </w:r>
            <w:r>
              <w:rPr>
                <w:noProof/>
                <w:webHidden/>
              </w:rPr>
              <w:tab/>
            </w:r>
            <w:r>
              <w:rPr>
                <w:noProof/>
                <w:webHidden/>
              </w:rPr>
              <w:fldChar w:fldCharType="begin"/>
            </w:r>
            <w:r>
              <w:rPr>
                <w:noProof/>
                <w:webHidden/>
              </w:rPr>
              <w:instrText xml:space="preserve"> PAGEREF _Toc225410157 \h </w:instrText>
            </w:r>
            <w:r>
              <w:rPr>
                <w:noProof/>
                <w:webHidden/>
              </w:rPr>
            </w:r>
            <w:r>
              <w:rPr>
                <w:noProof/>
                <w:webHidden/>
              </w:rPr>
              <w:fldChar w:fldCharType="separate"/>
            </w:r>
            <w:r>
              <w:rPr>
                <w:noProof/>
                <w:webHidden/>
              </w:rPr>
              <w:t>11</w:t>
            </w:r>
            <w:r>
              <w:rPr>
                <w:noProof/>
                <w:webHidden/>
              </w:rPr>
              <w:fldChar w:fldCharType="end"/>
            </w:r>
          </w:hyperlink>
        </w:p>
        <w:p w:rsidR="00DE4C51" w:rsidRDefault="00DE4C51" w14:paraId="24F0B8D3" w14:textId="20852CF7">
          <w:pPr>
            <w:pStyle w:val="TOC2"/>
            <w:tabs>
              <w:tab w:val="right" w:leader="dot" w:pos="9350"/>
            </w:tabs>
            <w:rPr>
              <w:rFonts w:asciiTheme="minorHAnsi" w:hAnsiTheme="minorHAnsi" w:cstheme="minorBidi"/>
              <w:noProof/>
              <w:kern w:val="2"/>
              <w:sz w:val="24"/>
              <w:szCs w:val="24"/>
              <w14:ligatures w14:val="standardContextual"/>
            </w:rPr>
          </w:pPr>
          <w:hyperlink w:history="1" w:anchor="_Toc225410158">
            <w:r w:rsidRPr="004F2656">
              <w:rPr>
                <w:rStyle w:val="Hyperlink"/>
                <w:noProof/>
              </w:rPr>
              <w:t>3.1.</w:t>
            </w:r>
            <w:r>
              <w:rPr>
                <w:rFonts w:asciiTheme="minorHAnsi" w:hAnsiTheme="minorHAnsi" w:cstheme="minorBidi"/>
                <w:noProof/>
                <w:kern w:val="2"/>
                <w:sz w:val="24"/>
                <w:szCs w:val="24"/>
                <w14:ligatures w14:val="standardContextual"/>
              </w:rPr>
              <w:tab/>
            </w:r>
            <w:r w:rsidRPr="004F2656">
              <w:rPr>
                <w:rStyle w:val="Hyperlink"/>
                <w:noProof/>
              </w:rPr>
              <w:t>CPCN/CEQA Process</w:t>
            </w:r>
            <w:r>
              <w:rPr>
                <w:noProof/>
                <w:webHidden/>
              </w:rPr>
              <w:tab/>
            </w:r>
            <w:r>
              <w:rPr>
                <w:noProof/>
                <w:webHidden/>
              </w:rPr>
              <w:fldChar w:fldCharType="begin"/>
            </w:r>
            <w:r>
              <w:rPr>
                <w:noProof/>
                <w:webHidden/>
              </w:rPr>
              <w:instrText xml:space="preserve"> PAGEREF _Toc225410158 \h </w:instrText>
            </w:r>
            <w:r>
              <w:rPr>
                <w:noProof/>
                <w:webHidden/>
              </w:rPr>
            </w:r>
            <w:r>
              <w:rPr>
                <w:noProof/>
                <w:webHidden/>
              </w:rPr>
              <w:fldChar w:fldCharType="separate"/>
            </w:r>
            <w:r>
              <w:rPr>
                <w:noProof/>
                <w:webHidden/>
              </w:rPr>
              <w:t>11</w:t>
            </w:r>
            <w:r>
              <w:rPr>
                <w:noProof/>
                <w:webHidden/>
              </w:rPr>
              <w:fldChar w:fldCharType="end"/>
            </w:r>
          </w:hyperlink>
        </w:p>
        <w:p w:rsidR="00DE4C51" w:rsidRDefault="00DE4C51" w14:paraId="41EF3598" w14:textId="0B962737">
          <w:pPr>
            <w:pStyle w:val="TOC1"/>
            <w:tabs>
              <w:tab w:val="right" w:leader="dot" w:pos="9350"/>
            </w:tabs>
            <w:rPr>
              <w:rFonts w:asciiTheme="minorHAnsi" w:hAnsiTheme="minorHAnsi" w:cstheme="minorBidi"/>
              <w:noProof/>
              <w:kern w:val="2"/>
              <w:sz w:val="24"/>
              <w:szCs w:val="24"/>
              <w14:ligatures w14:val="standardContextual"/>
            </w:rPr>
          </w:pPr>
          <w:hyperlink w:history="1" w:anchor="_Toc225410159">
            <w:r w:rsidRPr="004F2656">
              <w:rPr>
                <w:rStyle w:val="Hyperlink"/>
                <w:noProof/>
              </w:rPr>
              <w:t>4.</w:t>
            </w:r>
            <w:r>
              <w:rPr>
                <w:rFonts w:asciiTheme="minorHAnsi" w:hAnsiTheme="minorHAnsi" w:cstheme="minorBidi"/>
                <w:noProof/>
                <w:kern w:val="2"/>
                <w:sz w:val="24"/>
                <w:szCs w:val="24"/>
                <w14:ligatures w14:val="standardContextual"/>
              </w:rPr>
              <w:tab/>
            </w:r>
            <w:r w:rsidRPr="004F2656">
              <w:rPr>
                <w:rStyle w:val="Hyperlink"/>
                <w:noProof/>
              </w:rPr>
              <w:t>CEQA Requirements</w:t>
            </w:r>
            <w:r>
              <w:rPr>
                <w:noProof/>
                <w:webHidden/>
              </w:rPr>
              <w:tab/>
            </w:r>
            <w:r>
              <w:rPr>
                <w:noProof/>
                <w:webHidden/>
              </w:rPr>
              <w:fldChar w:fldCharType="begin"/>
            </w:r>
            <w:r>
              <w:rPr>
                <w:noProof/>
                <w:webHidden/>
              </w:rPr>
              <w:instrText xml:space="preserve"> PAGEREF _Toc225410159 \h </w:instrText>
            </w:r>
            <w:r>
              <w:rPr>
                <w:noProof/>
                <w:webHidden/>
              </w:rPr>
            </w:r>
            <w:r>
              <w:rPr>
                <w:noProof/>
                <w:webHidden/>
              </w:rPr>
              <w:fldChar w:fldCharType="separate"/>
            </w:r>
            <w:r>
              <w:rPr>
                <w:noProof/>
                <w:webHidden/>
              </w:rPr>
              <w:t>12</w:t>
            </w:r>
            <w:r>
              <w:rPr>
                <w:noProof/>
                <w:webHidden/>
              </w:rPr>
              <w:fldChar w:fldCharType="end"/>
            </w:r>
          </w:hyperlink>
        </w:p>
        <w:p w:rsidR="00DE4C51" w:rsidRDefault="00DE4C51" w14:paraId="10E7D1E0" w14:textId="18A5B7E5">
          <w:pPr>
            <w:pStyle w:val="TOC2"/>
            <w:tabs>
              <w:tab w:val="right" w:leader="dot" w:pos="9350"/>
            </w:tabs>
            <w:rPr>
              <w:rFonts w:asciiTheme="minorHAnsi" w:hAnsiTheme="minorHAnsi" w:cstheme="minorBidi"/>
              <w:noProof/>
              <w:kern w:val="2"/>
              <w:sz w:val="24"/>
              <w:szCs w:val="24"/>
              <w14:ligatures w14:val="standardContextual"/>
            </w:rPr>
          </w:pPr>
          <w:hyperlink w:history="1" w:anchor="_Toc225410160">
            <w:r w:rsidRPr="004F2656">
              <w:rPr>
                <w:rStyle w:val="Hyperlink"/>
                <w:noProof/>
              </w:rPr>
              <w:t>4.1.</w:t>
            </w:r>
            <w:r>
              <w:rPr>
                <w:rFonts w:asciiTheme="minorHAnsi" w:hAnsiTheme="minorHAnsi" w:cstheme="minorBidi"/>
                <w:noProof/>
                <w:kern w:val="2"/>
                <w:sz w:val="24"/>
                <w:szCs w:val="24"/>
                <w14:ligatures w14:val="standardContextual"/>
              </w:rPr>
              <w:tab/>
            </w:r>
            <w:r w:rsidRPr="004F2656">
              <w:rPr>
                <w:rStyle w:val="Hyperlink"/>
                <w:noProof/>
              </w:rPr>
              <w:t>CEQA Analysis of the Proposed Project</w:t>
            </w:r>
            <w:r>
              <w:rPr>
                <w:noProof/>
                <w:webHidden/>
              </w:rPr>
              <w:tab/>
            </w:r>
            <w:r>
              <w:rPr>
                <w:noProof/>
                <w:webHidden/>
              </w:rPr>
              <w:fldChar w:fldCharType="begin"/>
            </w:r>
            <w:r>
              <w:rPr>
                <w:noProof/>
                <w:webHidden/>
              </w:rPr>
              <w:instrText xml:space="preserve"> PAGEREF _Toc225410160 \h </w:instrText>
            </w:r>
            <w:r>
              <w:rPr>
                <w:noProof/>
                <w:webHidden/>
              </w:rPr>
            </w:r>
            <w:r>
              <w:rPr>
                <w:noProof/>
                <w:webHidden/>
              </w:rPr>
              <w:fldChar w:fldCharType="separate"/>
            </w:r>
            <w:r>
              <w:rPr>
                <w:noProof/>
                <w:webHidden/>
              </w:rPr>
              <w:t>13</w:t>
            </w:r>
            <w:r>
              <w:rPr>
                <w:noProof/>
                <w:webHidden/>
              </w:rPr>
              <w:fldChar w:fldCharType="end"/>
            </w:r>
          </w:hyperlink>
        </w:p>
        <w:p w:rsidR="00DE4C51" w:rsidRDefault="00DE4C51" w14:paraId="286B470F" w14:textId="3518461B">
          <w:pPr>
            <w:pStyle w:val="TOC2"/>
            <w:tabs>
              <w:tab w:val="right" w:leader="dot" w:pos="9350"/>
            </w:tabs>
            <w:rPr>
              <w:rFonts w:asciiTheme="minorHAnsi" w:hAnsiTheme="minorHAnsi" w:cstheme="minorBidi"/>
              <w:noProof/>
              <w:kern w:val="2"/>
              <w:sz w:val="24"/>
              <w:szCs w:val="24"/>
              <w14:ligatures w14:val="standardContextual"/>
            </w:rPr>
          </w:pPr>
          <w:hyperlink w:history="1" w:anchor="_Toc225410161">
            <w:r w:rsidRPr="004F2656">
              <w:rPr>
                <w:rStyle w:val="Hyperlink"/>
                <w:noProof/>
              </w:rPr>
              <w:t>4.2.</w:t>
            </w:r>
            <w:r>
              <w:rPr>
                <w:rFonts w:asciiTheme="minorHAnsi" w:hAnsiTheme="minorHAnsi" w:cstheme="minorBidi"/>
                <w:noProof/>
                <w:kern w:val="2"/>
                <w:sz w:val="24"/>
                <w:szCs w:val="24"/>
                <w14:ligatures w14:val="standardContextual"/>
              </w:rPr>
              <w:tab/>
            </w:r>
            <w:r w:rsidRPr="004F2656">
              <w:rPr>
                <w:rStyle w:val="Hyperlink"/>
                <w:noProof/>
              </w:rPr>
              <w:t>Supplemental Analysis</w:t>
            </w:r>
            <w:r>
              <w:rPr>
                <w:noProof/>
                <w:webHidden/>
              </w:rPr>
              <w:tab/>
            </w:r>
            <w:r>
              <w:rPr>
                <w:noProof/>
                <w:webHidden/>
              </w:rPr>
              <w:fldChar w:fldCharType="begin"/>
            </w:r>
            <w:r>
              <w:rPr>
                <w:noProof/>
                <w:webHidden/>
              </w:rPr>
              <w:instrText xml:space="preserve"> PAGEREF _Toc225410161 \h </w:instrText>
            </w:r>
            <w:r>
              <w:rPr>
                <w:noProof/>
                <w:webHidden/>
              </w:rPr>
            </w:r>
            <w:r>
              <w:rPr>
                <w:noProof/>
                <w:webHidden/>
              </w:rPr>
              <w:fldChar w:fldCharType="separate"/>
            </w:r>
            <w:r>
              <w:rPr>
                <w:noProof/>
                <w:webHidden/>
              </w:rPr>
              <w:t>14</w:t>
            </w:r>
            <w:r>
              <w:rPr>
                <w:noProof/>
                <w:webHidden/>
              </w:rPr>
              <w:fldChar w:fldCharType="end"/>
            </w:r>
          </w:hyperlink>
        </w:p>
        <w:p w:rsidR="00DE4C51" w:rsidRDefault="00DE4C51" w14:paraId="3691C545" w14:textId="49376B23">
          <w:pPr>
            <w:pStyle w:val="TOC1"/>
            <w:tabs>
              <w:tab w:val="right" w:leader="dot" w:pos="9350"/>
            </w:tabs>
            <w:rPr>
              <w:rFonts w:asciiTheme="minorHAnsi" w:hAnsiTheme="minorHAnsi" w:cstheme="minorBidi"/>
              <w:noProof/>
              <w:kern w:val="2"/>
              <w:sz w:val="24"/>
              <w:szCs w:val="24"/>
              <w14:ligatures w14:val="standardContextual"/>
            </w:rPr>
          </w:pPr>
          <w:hyperlink w:history="1" w:anchor="_Toc225410162">
            <w:r w:rsidRPr="004F2656">
              <w:rPr>
                <w:rStyle w:val="Hyperlink"/>
                <w:rFonts w:cs="Arial"/>
                <w:noProof/>
              </w:rPr>
              <w:t>5.</w:t>
            </w:r>
            <w:r>
              <w:rPr>
                <w:rFonts w:asciiTheme="minorHAnsi" w:hAnsiTheme="minorHAnsi" w:cstheme="minorBidi"/>
                <w:noProof/>
                <w:kern w:val="2"/>
                <w:sz w:val="24"/>
                <w:szCs w:val="24"/>
                <w14:ligatures w14:val="standardContextual"/>
              </w:rPr>
              <w:tab/>
            </w:r>
            <w:r w:rsidRPr="004F2656">
              <w:rPr>
                <w:rStyle w:val="Hyperlink"/>
                <w:rFonts w:cs="Arial"/>
                <w:noProof/>
              </w:rPr>
              <w:t>Issues Before the Commission</w:t>
            </w:r>
            <w:r>
              <w:rPr>
                <w:noProof/>
                <w:webHidden/>
              </w:rPr>
              <w:tab/>
            </w:r>
            <w:r>
              <w:rPr>
                <w:noProof/>
                <w:webHidden/>
              </w:rPr>
              <w:fldChar w:fldCharType="begin"/>
            </w:r>
            <w:r>
              <w:rPr>
                <w:noProof/>
                <w:webHidden/>
              </w:rPr>
              <w:instrText xml:space="preserve"> PAGEREF _Toc225410162 \h </w:instrText>
            </w:r>
            <w:r>
              <w:rPr>
                <w:noProof/>
                <w:webHidden/>
              </w:rPr>
            </w:r>
            <w:r>
              <w:rPr>
                <w:noProof/>
                <w:webHidden/>
              </w:rPr>
              <w:fldChar w:fldCharType="separate"/>
            </w:r>
            <w:r>
              <w:rPr>
                <w:noProof/>
                <w:webHidden/>
              </w:rPr>
              <w:t>16</w:t>
            </w:r>
            <w:r>
              <w:rPr>
                <w:noProof/>
                <w:webHidden/>
              </w:rPr>
              <w:fldChar w:fldCharType="end"/>
            </w:r>
          </w:hyperlink>
        </w:p>
        <w:p w:rsidR="00DE4C51" w:rsidRDefault="00DE4C51" w14:paraId="1149B219" w14:textId="5EA0F368">
          <w:pPr>
            <w:pStyle w:val="TOC1"/>
            <w:tabs>
              <w:tab w:val="right" w:leader="dot" w:pos="9350"/>
            </w:tabs>
            <w:rPr>
              <w:rFonts w:asciiTheme="minorHAnsi" w:hAnsiTheme="minorHAnsi" w:cstheme="minorBidi"/>
              <w:noProof/>
              <w:kern w:val="2"/>
              <w:sz w:val="24"/>
              <w:szCs w:val="24"/>
              <w14:ligatures w14:val="standardContextual"/>
            </w:rPr>
          </w:pPr>
          <w:hyperlink w:history="1" w:anchor="_Toc225410163">
            <w:r w:rsidRPr="004F2656">
              <w:rPr>
                <w:rStyle w:val="Hyperlink"/>
                <w:noProof/>
              </w:rPr>
              <w:t>6.</w:t>
            </w:r>
            <w:r>
              <w:rPr>
                <w:rFonts w:asciiTheme="minorHAnsi" w:hAnsiTheme="minorHAnsi" w:cstheme="minorBidi"/>
                <w:noProof/>
                <w:kern w:val="2"/>
                <w:sz w:val="24"/>
                <w:szCs w:val="24"/>
                <w14:ligatures w14:val="standardContextual"/>
              </w:rPr>
              <w:tab/>
            </w:r>
            <w:r w:rsidRPr="004F2656">
              <w:rPr>
                <w:rStyle w:val="Hyperlink"/>
                <w:noProof/>
              </w:rPr>
              <w:t>Issue 6:  Overriding Considerations and Need</w:t>
            </w:r>
            <w:r>
              <w:rPr>
                <w:noProof/>
                <w:webHidden/>
              </w:rPr>
              <w:tab/>
            </w:r>
            <w:r>
              <w:rPr>
                <w:noProof/>
                <w:webHidden/>
              </w:rPr>
              <w:fldChar w:fldCharType="begin"/>
            </w:r>
            <w:r>
              <w:rPr>
                <w:noProof/>
                <w:webHidden/>
              </w:rPr>
              <w:instrText xml:space="preserve"> PAGEREF _Toc225410163 \h </w:instrText>
            </w:r>
            <w:r>
              <w:rPr>
                <w:noProof/>
                <w:webHidden/>
              </w:rPr>
            </w:r>
            <w:r>
              <w:rPr>
                <w:noProof/>
                <w:webHidden/>
              </w:rPr>
              <w:fldChar w:fldCharType="separate"/>
            </w:r>
            <w:r>
              <w:rPr>
                <w:noProof/>
                <w:webHidden/>
              </w:rPr>
              <w:t>18</w:t>
            </w:r>
            <w:r>
              <w:rPr>
                <w:noProof/>
                <w:webHidden/>
              </w:rPr>
              <w:fldChar w:fldCharType="end"/>
            </w:r>
          </w:hyperlink>
        </w:p>
        <w:p w:rsidR="00DE4C51" w:rsidRDefault="00DE4C51" w14:paraId="53422E3D" w14:textId="1DC394E1">
          <w:pPr>
            <w:pStyle w:val="TOC2"/>
            <w:tabs>
              <w:tab w:val="right" w:leader="dot" w:pos="9350"/>
            </w:tabs>
            <w:rPr>
              <w:rFonts w:asciiTheme="minorHAnsi" w:hAnsiTheme="minorHAnsi" w:cstheme="minorBidi"/>
              <w:noProof/>
              <w:kern w:val="2"/>
              <w:sz w:val="24"/>
              <w:szCs w:val="24"/>
              <w14:ligatures w14:val="standardContextual"/>
            </w:rPr>
          </w:pPr>
          <w:hyperlink w:history="1" w:anchor="_Toc225410164">
            <w:r w:rsidRPr="004F2656">
              <w:rPr>
                <w:rStyle w:val="Hyperlink"/>
                <w:noProof/>
              </w:rPr>
              <w:t>6.1.</w:t>
            </w:r>
            <w:r>
              <w:rPr>
                <w:rFonts w:asciiTheme="minorHAnsi" w:hAnsiTheme="minorHAnsi" w:cstheme="minorBidi"/>
                <w:noProof/>
                <w:kern w:val="2"/>
                <w:sz w:val="24"/>
                <w:szCs w:val="24"/>
                <w14:ligatures w14:val="standardContextual"/>
              </w:rPr>
              <w:tab/>
            </w:r>
            <w:r w:rsidRPr="004F2656">
              <w:rPr>
                <w:rStyle w:val="Hyperlink"/>
                <w:noProof/>
              </w:rPr>
              <w:t>The Fifth Spare Transformer is Not a Long – Term Solution to Meet Load</w:t>
            </w:r>
            <w:r>
              <w:rPr>
                <w:noProof/>
                <w:webHidden/>
              </w:rPr>
              <w:tab/>
            </w:r>
            <w:r>
              <w:rPr>
                <w:noProof/>
                <w:webHidden/>
              </w:rPr>
              <w:fldChar w:fldCharType="begin"/>
            </w:r>
            <w:r>
              <w:rPr>
                <w:noProof/>
                <w:webHidden/>
              </w:rPr>
              <w:instrText xml:space="preserve"> PAGEREF _Toc225410164 \h </w:instrText>
            </w:r>
            <w:r>
              <w:rPr>
                <w:noProof/>
                <w:webHidden/>
              </w:rPr>
            </w:r>
            <w:r>
              <w:rPr>
                <w:noProof/>
                <w:webHidden/>
              </w:rPr>
              <w:fldChar w:fldCharType="separate"/>
            </w:r>
            <w:r>
              <w:rPr>
                <w:noProof/>
                <w:webHidden/>
              </w:rPr>
              <w:t>20</w:t>
            </w:r>
            <w:r>
              <w:rPr>
                <w:noProof/>
                <w:webHidden/>
              </w:rPr>
              <w:fldChar w:fldCharType="end"/>
            </w:r>
          </w:hyperlink>
        </w:p>
        <w:p w:rsidR="00DE4C51" w:rsidRDefault="00DE4C51" w14:paraId="2CF4CD1A" w14:textId="0F78CDB4">
          <w:pPr>
            <w:pStyle w:val="TOC2"/>
            <w:tabs>
              <w:tab w:val="right" w:leader="dot" w:pos="9350"/>
            </w:tabs>
            <w:rPr>
              <w:rFonts w:asciiTheme="minorHAnsi" w:hAnsiTheme="minorHAnsi" w:cstheme="minorBidi"/>
              <w:noProof/>
              <w:kern w:val="2"/>
              <w:sz w:val="24"/>
              <w:szCs w:val="24"/>
              <w14:ligatures w14:val="standardContextual"/>
            </w:rPr>
          </w:pPr>
          <w:hyperlink w:history="1" w:anchor="_Toc225410165">
            <w:r w:rsidRPr="004F2656">
              <w:rPr>
                <w:rStyle w:val="Hyperlink"/>
                <w:noProof/>
              </w:rPr>
              <w:t>6.2.</w:t>
            </w:r>
            <w:r>
              <w:rPr>
                <w:rFonts w:asciiTheme="minorHAnsi" w:hAnsiTheme="minorHAnsi" w:cstheme="minorBidi"/>
                <w:noProof/>
                <w:kern w:val="2"/>
                <w:sz w:val="24"/>
                <w:szCs w:val="24"/>
                <w14:ligatures w14:val="standardContextual"/>
              </w:rPr>
              <w:tab/>
            </w:r>
            <w:r w:rsidRPr="004F2656">
              <w:rPr>
                <w:rStyle w:val="Hyperlink"/>
                <w:noProof/>
              </w:rPr>
              <w:t>There is a Capacity Need for the Alberhill Project</w:t>
            </w:r>
            <w:r>
              <w:rPr>
                <w:noProof/>
                <w:webHidden/>
              </w:rPr>
              <w:tab/>
            </w:r>
            <w:r>
              <w:rPr>
                <w:noProof/>
                <w:webHidden/>
              </w:rPr>
              <w:fldChar w:fldCharType="begin"/>
            </w:r>
            <w:r>
              <w:rPr>
                <w:noProof/>
                <w:webHidden/>
              </w:rPr>
              <w:instrText xml:space="preserve"> PAGEREF _Toc225410165 \h </w:instrText>
            </w:r>
            <w:r>
              <w:rPr>
                <w:noProof/>
                <w:webHidden/>
              </w:rPr>
            </w:r>
            <w:r>
              <w:rPr>
                <w:noProof/>
                <w:webHidden/>
              </w:rPr>
              <w:fldChar w:fldCharType="separate"/>
            </w:r>
            <w:r>
              <w:rPr>
                <w:noProof/>
                <w:webHidden/>
              </w:rPr>
              <w:t>23</w:t>
            </w:r>
            <w:r>
              <w:rPr>
                <w:noProof/>
                <w:webHidden/>
              </w:rPr>
              <w:fldChar w:fldCharType="end"/>
            </w:r>
          </w:hyperlink>
        </w:p>
        <w:p w:rsidR="00DE4C51" w:rsidRDefault="00DE4C51" w14:paraId="466D2A59" w14:textId="27AFE08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5410166">
            <w:r w:rsidRPr="004F2656">
              <w:rPr>
                <w:rStyle w:val="Hyperlink"/>
                <w:noProof/>
              </w:rPr>
              <w:t>6.2.1.</w:t>
            </w:r>
            <w:r>
              <w:rPr>
                <w:rFonts w:asciiTheme="minorHAnsi" w:hAnsiTheme="minorHAnsi" w:cstheme="minorBidi"/>
                <w:noProof/>
                <w:kern w:val="2"/>
                <w:sz w:val="24"/>
                <w:szCs w:val="24"/>
                <w14:ligatures w14:val="standardContextual"/>
              </w:rPr>
              <w:tab/>
            </w:r>
            <w:r w:rsidRPr="004F2656">
              <w:rPr>
                <w:rStyle w:val="Hyperlink"/>
                <w:noProof/>
              </w:rPr>
              <w:t>Transformer Capacity</w:t>
            </w:r>
            <w:r>
              <w:rPr>
                <w:noProof/>
                <w:webHidden/>
              </w:rPr>
              <w:tab/>
            </w:r>
            <w:r>
              <w:rPr>
                <w:noProof/>
                <w:webHidden/>
              </w:rPr>
              <w:fldChar w:fldCharType="begin"/>
            </w:r>
            <w:r>
              <w:rPr>
                <w:noProof/>
                <w:webHidden/>
              </w:rPr>
              <w:instrText xml:space="preserve"> PAGEREF _Toc225410166 \h </w:instrText>
            </w:r>
            <w:r>
              <w:rPr>
                <w:noProof/>
                <w:webHidden/>
              </w:rPr>
            </w:r>
            <w:r>
              <w:rPr>
                <w:noProof/>
                <w:webHidden/>
              </w:rPr>
              <w:fldChar w:fldCharType="separate"/>
            </w:r>
            <w:r>
              <w:rPr>
                <w:noProof/>
                <w:webHidden/>
              </w:rPr>
              <w:t>23</w:t>
            </w:r>
            <w:r>
              <w:rPr>
                <w:noProof/>
                <w:webHidden/>
              </w:rPr>
              <w:fldChar w:fldCharType="end"/>
            </w:r>
          </w:hyperlink>
        </w:p>
        <w:p w:rsidR="00DE4C51" w:rsidRDefault="00DE4C51" w14:paraId="64FE723E" w14:textId="798365C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5410167">
            <w:r w:rsidRPr="004F2656">
              <w:rPr>
                <w:rStyle w:val="Hyperlink"/>
                <w:noProof/>
              </w:rPr>
              <w:t>6.2.2.</w:t>
            </w:r>
            <w:r>
              <w:rPr>
                <w:rFonts w:asciiTheme="minorHAnsi" w:hAnsiTheme="minorHAnsi" w:cstheme="minorBidi"/>
                <w:noProof/>
                <w:kern w:val="2"/>
                <w:sz w:val="24"/>
                <w:szCs w:val="24"/>
                <w14:ligatures w14:val="standardContextual"/>
              </w:rPr>
              <w:tab/>
            </w:r>
            <w:r w:rsidRPr="004F2656">
              <w:rPr>
                <w:rStyle w:val="Hyperlink"/>
                <w:noProof/>
              </w:rPr>
              <w:t>Current/Forecast Load and Need for Capacity</w:t>
            </w:r>
            <w:r>
              <w:rPr>
                <w:noProof/>
                <w:webHidden/>
              </w:rPr>
              <w:tab/>
            </w:r>
            <w:r>
              <w:rPr>
                <w:noProof/>
                <w:webHidden/>
              </w:rPr>
              <w:fldChar w:fldCharType="begin"/>
            </w:r>
            <w:r>
              <w:rPr>
                <w:noProof/>
                <w:webHidden/>
              </w:rPr>
              <w:instrText xml:space="preserve"> PAGEREF _Toc225410167 \h </w:instrText>
            </w:r>
            <w:r>
              <w:rPr>
                <w:noProof/>
                <w:webHidden/>
              </w:rPr>
            </w:r>
            <w:r>
              <w:rPr>
                <w:noProof/>
                <w:webHidden/>
              </w:rPr>
              <w:fldChar w:fldCharType="separate"/>
            </w:r>
            <w:r>
              <w:rPr>
                <w:noProof/>
                <w:webHidden/>
              </w:rPr>
              <w:t>24</w:t>
            </w:r>
            <w:r>
              <w:rPr>
                <w:noProof/>
                <w:webHidden/>
              </w:rPr>
              <w:fldChar w:fldCharType="end"/>
            </w:r>
          </w:hyperlink>
        </w:p>
        <w:p w:rsidR="00DE4C51" w:rsidRDefault="00DE4C51" w14:paraId="1071B388" w14:textId="0320738A">
          <w:pPr>
            <w:pStyle w:val="TOC2"/>
            <w:tabs>
              <w:tab w:val="right" w:leader="dot" w:pos="9350"/>
            </w:tabs>
            <w:rPr>
              <w:rFonts w:asciiTheme="minorHAnsi" w:hAnsiTheme="minorHAnsi" w:cstheme="minorBidi"/>
              <w:noProof/>
              <w:kern w:val="2"/>
              <w:sz w:val="24"/>
              <w:szCs w:val="24"/>
              <w14:ligatures w14:val="standardContextual"/>
            </w:rPr>
          </w:pPr>
          <w:hyperlink w:history="1" w:anchor="_Toc225410168">
            <w:r w:rsidRPr="004F2656">
              <w:rPr>
                <w:rStyle w:val="Hyperlink"/>
                <w:noProof/>
              </w:rPr>
              <w:t>6.3.</w:t>
            </w:r>
            <w:r>
              <w:rPr>
                <w:rFonts w:asciiTheme="minorHAnsi" w:hAnsiTheme="minorHAnsi" w:cstheme="minorBidi"/>
                <w:noProof/>
                <w:kern w:val="2"/>
                <w:sz w:val="24"/>
                <w:szCs w:val="24"/>
                <w14:ligatures w14:val="standardContextual"/>
              </w:rPr>
              <w:tab/>
            </w:r>
            <w:r w:rsidRPr="004F2656">
              <w:rPr>
                <w:rStyle w:val="Hyperlink"/>
                <w:noProof/>
              </w:rPr>
              <w:t>There is a Reliability Need for the Alberhill Project</w:t>
            </w:r>
            <w:r>
              <w:rPr>
                <w:noProof/>
                <w:webHidden/>
              </w:rPr>
              <w:tab/>
            </w:r>
            <w:r>
              <w:rPr>
                <w:noProof/>
                <w:webHidden/>
              </w:rPr>
              <w:fldChar w:fldCharType="begin"/>
            </w:r>
            <w:r>
              <w:rPr>
                <w:noProof/>
                <w:webHidden/>
              </w:rPr>
              <w:instrText xml:space="preserve"> PAGEREF _Toc225410168 \h </w:instrText>
            </w:r>
            <w:r>
              <w:rPr>
                <w:noProof/>
                <w:webHidden/>
              </w:rPr>
            </w:r>
            <w:r>
              <w:rPr>
                <w:noProof/>
                <w:webHidden/>
              </w:rPr>
              <w:fldChar w:fldCharType="separate"/>
            </w:r>
            <w:r>
              <w:rPr>
                <w:noProof/>
                <w:webHidden/>
              </w:rPr>
              <w:t>28</w:t>
            </w:r>
            <w:r>
              <w:rPr>
                <w:noProof/>
                <w:webHidden/>
              </w:rPr>
              <w:fldChar w:fldCharType="end"/>
            </w:r>
          </w:hyperlink>
        </w:p>
        <w:p w:rsidR="00DE4C51" w:rsidRDefault="00DE4C51" w14:paraId="7501174F" w14:textId="211FD97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5410169">
            <w:r w:rsidRPr="004F2656">
              <w:rPr>
                <w:rStyle w:val="Hyperlink"/>
                <w:noProof/>
              </w:rPr>
              <w:t>6.3.1.</w:t>
            </w:r>
            <w:r>
              <w:rPr>
                <w:rFonts w:asciiTheme="minorHAnsi" w:hAnsiTheme="minorHAnsi" w:cstheme="minorBidi"/>
                <w:noProof/>
                <w:kern w:val="2"/>
                <w:sz w:val="24"/>
                <w:szCs w:val="24"/>
                <w14:ligatures w14:val="standardContextual"/>
              </w:rPr>
              <w:tab/>
            </w:r>
            <w:r w:rsidRPr="004F2656">
              <w:rPr>
                <w:rStyle w:val="Hyperlink"/>
                <w:noProof/>
              </w:rPr>
              <w:t>Reliability at Valley South System is Not Comparable</w:t>
            </w:r>
            <w:r>
              <w:rPr>
                <w:noProof/>
                <w:webHidden/>
              </w:rPr>
              <w:tab/>
            </w:r>
            <w:r>
              <w:rPr>
                <w:noProof/>
                <w:webHidden/>
              </w:rPr>
              <w:fldChar w:fldCharType="begin"/>
            </w:r>
            <w:r>
              <w:rPr>
                <w:noProof/>
                <w:webHidden/>
              </w:rPr>
              <w:instrText xml:space="preserve"> PAGEREF _Toc225410169 \h </w:instrText>
            </w:r>
            <w:r>
              <w:rPr>
                <w:noProof/>
                <w:webHidden/>
              </w:rPr>
            </w:r>
            <w:r>
              <w:rPr>
                <w:noProof/>
                <w:webHidden/>
              </w:rPr>
              <w:fldChar w:fldCharType="separate"/>
            </w:r>
            <w:r>
              <w:rPr>
                <w:noProof/>
                <w:webHidden/>
              </w:rPr>
              <w:t>30</w:t>
            </w:r>
            <w:r>
              <w:rPr>
                <w:noProof/>
                <w:webHidden/>
              </w:rPr>
              <w:fldChar w:fldCharType="end"/>
            </w:r>
          </w:hyperlink>
        </w:p>
        <w:p w:rsidR="00DE4C51" w:rsidRDefault="00DE4C51" w14:paraId="45E826AA" w14:textId="4BF5905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5410170">
            <w:r w:rsidRPr="004F2656">
              <w:rPr>
                <w:rStyle w:val="Hyperlink"/>
                <w:noProof/>
              </w:rPr>
              <w:t>6.3.2.</w:t>
            </w:r>
            <w:r>
              <w:rPr>
                <w:rFonts w:asciiTheme="minorHAnsi" w:hAnsiTheme="minorHAnsi" w:cstheme="minorBidi"/>
                <w:noProof/>
                <w:kern w:val="2"/>
                <w:sz w:val="24"/>
                <w:szCs w:val="24"/>
                <w14:ligatures w14:val="standardContextual"/>
              </w:rPr>
              <w:tab/>
            </w:r>
            <w:r w:rsidRPr="004F2656">
              <w:rPr>
                <w:rStyle w:val="Hyperlink"/>
                <w:noProof/>
              </w:rPr>
              <w:t>Reliability Benefits from Alberhill</w:t>
            </w:r>
            <w:r>
              <w:rPr>
                <w:noProof/>
                <w:webHidden/>
              </w:rPr>
              <w:tab/>
            </w:r>
            <w:r>
              <w:rPr>
                <w:noProof/>
                <w:webHidden/>
              </w:rPr>
              <w:fldChar w:fldCharType="begin"/>
            </w:r>
            <w:r>
              <w:rPr>
                <w:noProof/>
                <w:webHidden/>
              </w:rPr>
              <w:instrText xml:space="preserve"> PAGEREF _Toc225410170 \h </w:instrText>
            </w:r>
            <w:r>
              <w:rPr>
                <w:noProof/>
                <w:webHidden/>
              </w:rPr>
            </w:r>
            <w:r>
              <w:rPr>
                <w:noProof/>
                <w:webHidden/>
              </w:rPr>
              <w:fldChar w:fldCharType="separate"/>
            </w:r>
            <w:r>
              <w:rPr>
                <w:noProof/>
                <w:webHidden/>
              </w:rPr>
              <w:t>32</w:t>
            </w:r>
            <w:r>
              <w:rPr>
                <w:noProof/>
                <w:webHidden/>
              </w:rPr>
              <w:fldChar w:fldCharType="end"/>
            </w:r>
          </w:hyperlink>
        </w:p>
        <w:p w:rsidR="00DE4C51" w:rsidRDefault="00DE4C51" w14:paraId="76201010" w14:textId="4CE52005">
          <w:pPr>
            <w:pStyle w:val="TOC2"/>
            <w:tabs>
              <w:tab w:val="right" w:leader="dot" w:pos="9350"/>
            </w:tabs>
            <w:rPr>
              <w:rFonts w:asciiTheme="minorHAnsi" w:hAnsiTheme="minorHAnsi" w:cstheme="minorBidi"/>
              <w:noProof/>
              <w:kern w:val="2"/>
              <w:sz w:val="24"/>
              <w:szCs w:val="24"/>
              <w14:ligatures w14:val="standardContextual"/>
            </w:rPr>
          </w:pPr>
          <w:hyperlink w:history="1" w:anchor="_Toc225410171">
            <w:r w:rsidRPr="004F2656">
              <w:rPr>
                <w:rStyle w:val="Hyperlink"/>
                <w:noProof/>
              </w:rPr>
              <w:t>6.4.</w:t>
            </w:r>
            <w:r>
              <w:rPr>
                <w:rFonts w:asciiTheme="minorHAnsi" w:hAnsiTheme="minorHAnsi" w:cstheme="minorBidi"/>
                <w:noProof/>
                <w:kern w:val="2"/>
                <w:sz w:val="24"/>
                <w:szCs w:val="24"/>
                <w14:ligatures w14:val="standardContextual"/>
              </w:rPr>
              <w:tab/>
            </w:r>
            <w:r w:rsidRPr="004F2656">
              <w:rPr>
                <w:rStyle w:val="Hyperlink"/>
                <w:noProof/>
              </w:rPr>
              <w:t>There is a Resilience Need for the Alberhill Project</w:t>
            </w:r>
            <w:r>
              <w:rPr>
                <w:noProof/>
                <w:webHidden/>
              </w:rPr>
              <w:tab/>
            </w:r>
            <w:r>
              <w:rPr>
                <w:noProof/>
                <w:webHidden/>
              </w:rPr>
              <w:fldChar w:fldCharType="begin"/>
            </w:r>
            <w:r>
              <w:rPr>
                <w:noProof/>
                <w:webHidden/>
              </w:rPr>
              <w:instrText xml:space="preserve"> PAGEREF _Toc225410171 \h </w:instrText>
            </w:r>
            <w:r>
              <w:rPr>
                <w:noProof/>
                <w:webHidden/>
              </w:rPr>
            </w:r>
            <w:r>
              <w:rPr>
                <w:noProof/>
                <w:webHidden/>
              </w:rPr>
              <w:fldChar w:fldCharType="separate"/>
            </w:r>
            <w:r>
              <w:rPr>
                <w:noProof/>
                <w:webHidden/>
              </w:rPr>
              <w:t>34</w:t>
            </w:r>
            <w:r>
              <w:rPr>
                <w:noProof/>
                <w:webHidden/>
              </w:rPr>
              <w:fldChar w:fldCharType="end"/>
            </w:r>
          </w:hyperlink>
        </w:p>
        <w:p w:rsidR="00DE4C51" w:rsidRDefault="00DE4C51" w14:paraId="47151A84" w14:textId="5E4C9CF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5410172">
            <w:r w:rsidRPr="004F2656">
              <w:rPr>
                <w:rStyle w:val="Hyperlink"/>
                <w:noProof/>
              </w:rPr>
              <w:t>6.4.1.</w:t>
            </w:r>
            <w:r>
              <w:rPr>
                <w:rFonts w:asciiTheme="minorHAnsi" w:hAnsiTheme="minorHAnsi" w:cstheme="minorBidi"/>
                <w:noProof/>
                <w:kern w:val="2"/>
                <w:sz w:val="24"/>
                <w:szCs w:val="24"/>
                <w14:ligatures w14:val="standardContextual"/>
              </w:rPr>
              <w:tab/>
            </w:r>
            <w:r w:rsidRPr="004F2656">
              <w:rPr>
                <w:rStyle w:val="Hyperlink"/>
                <w:noProof/>
              </w:rPr>
              <w:t>Flexibility-2-1 (Flex-2-1) (Complete Loss of Valley Substation)</w:t>
            </w:r>
            <w:r>
              <w:rPr>
                <w:noProof/>
                <w:webHidden/>
              </w:rPr>
              <w:tab/>
            </w:r>
            <w:r>
              <w:rPr>
                <w:noProof/>
                <w:webHidden/>
              </w:rPr>
              <w:fldChar w:fldCharType="begin"/>
            </w:r>
            <w:r>
              <w:rPr>
                <w:noProof/>
                <w:webHidden/>
              </w:rPr>
              <w:instrText xml:space="preserve"> PAGEREF _Toc225410172 \h </w:instrText>
            </w:r>
            <w:r>
              <w:rPr>
                <w:noProof/>
                <w:webHidden/>
              </w:rPr>
            </w:r>
            <w:r>
              <w:rPr>
                <w:noProof/>
                <w:webHidden/>
              </w:rPr>
              <w:fldChar w:fldCharType="separate"/>
            </w:r>
            <w:r>
              <w:rPr>
                <w:noProof/>
                <w:webHidden/>
              </w:rPr>
              <w:t>37</w:t>
            </w:r>
            <w:r>
              <w:rPr>
                <w:noProof/>
                <w:webHidden/>
              </w:rPr>
              <w:fldChar w:fldCharType="end"/>
            </w:r>
          </w:hyperlink>
        </w:p>
        <w:p w:rsidR="00DE4C51" w:rsidRDefault="00DE4C51" w14:paraId="0FA71897" w14:textId="3E5ABF9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5410173">
            <w:r w:rsidRPr="004F2656">
              <w:rPr>
                <w:rStyle w:val="Hyperlink"/>
                <w:noProof/>
              </w:rPr>
              <w:t>6.4.2.</w:t>
            </w:r>
            <w:r>
              <w:rPr>
                <w:rFonts w:asciiTheme="minorHAnsi" w:hAnsiTheme="minorHAnsi" w:cstheme="minorBidi"/>
                <w:noProof/>
                <w:kern w:val="2"/>
                <w:sz w:val="24"/>
                <w:szCs w:val="24"/>
                <w14:ligatures w14:val="standardContextual"/>
              </w:rPr>
              <w:tab/>
            </w:r>
            <w:r w:rsidRPr="004F2656">
              <w:rPr>
                <w:rStyle w:val="Hyperlink"/>
                <w:noProof/>
              </w:rPr>
              <w:t>Flexibility-2-2 (Flex-2-2) (Loss of Two Transformers)</w:t>
            </w:r>
            <w:r>
              <w:rPr>
                <w:noProof/>
                <w:webHidden/>
              </w:rPr>
              <w:tab/>
            </w:r>
            <w:r>
              <w:rPr>
                <w:noProof/>
                <w:webHidden/>
              </w:rPr>
              <w:fldChar w:fldCharType="begin"/>
            </w:r>
            <w:r>
              <w:rPr>
                <w:noProof/>
                <w:webHidden/>
              </w:rPr>
              <w:instrText xml:space="preserve"> PAGEREF _Toc225410173 \h </w:instrText>
            </w:r>
            <w:r>
              <w:rPr>
                <w:noProof/>
                <w:webHidden/>
              </w:rPr>
            </w:r>
            <w:r>
              <w:rPr>
                <w:noProof/>
                <w:webHidden/>
              </w:rPr>
              <w:fldChar w:fldCharType="separate"/>
            </w:r>
            <w:r>
              <w:rPr>
                <w:noProof/>
                <w:webHidden/>
              </w:rPr>
              <w:t>38</w:t>
            </w:r>
            <w:r>
              <w:rPr>
                <w:noProof/>
                <w:webHidden/>
              </w:rPr>
              <w:fldChar w:fldCharType="end"/>
            </w:r>
          </w:hyperlink>
        </w:p>
        <w:p w:rsidR="00DE4C51" w:rsidRDefault="00DE4C51" w14:paraId="18671C25" w14:textId="10A8B51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5410174">
            <w:r w:rsidRPr="004F2656">
              <w:rPr>
                <w:rStyle w:val="Hyperlink"/>
                <w:noProof/>
              </w:rPr>
              <w:t>6.4.3.</w:t>
            </w:r>
            <w:r>
              <w:rPr>
                <w:rFonts w:asciiTheme="minorHAnsi" w:hAnsiTheme="minorHAnsi" w:cstheme="minorBidi"/>
                <w:noProof/>
                <w:kern w:val="2"/>
                <w:sz w:val="24"/>
                <w:szCs w:val="24"/>
                <w14:ligatures w14:val="standardContextual"/>
              </w:rPr>
              <w:tab/>
            </w:r>
            <w:r w:rsidRPr="004F2656">
              <w:rPr>
                <w:rStyle w:val="Hyperlink"/>
                <w:noProof/>
              </w:rPr>
              <w:t>Discussion</w:t>
            </w:r>
            <w:r>
              <w:rPr>
                <w:noProof/>
                <w:webHidden/>
              </w:rPr>
              <w:tab/>
            </w:r>
            <w:r>
              <w:rPr>
                <w:noProof/>
                <w:webHidden/>
              </w:rPr>
              <w:fldChar w:fldCharType="begin"/>
            </w:r>
            <w:r>
              <w:rPr>
                <w:noProof/>
                <w:webHidden/>
              </w:rPr>
              <w:instrText xml:space="preserve"> PAGEREF _Toc225410174 \h </w:instrText>
            </w:r>
            <w:r>
              <w:rPr>
                <w:noProof/>
                <w:webHidden/>
              </w:rPr>
            </w:r>
            <w:r>
              <w:rPr>
                <w:noProof/>
                <w:webHidden/>
              </w:rPr>
              <w:fldChar w:fldCharType="separate"/>
            </w:r>
            <w:r>
              <w:rPr>
                <w:noProof/>
                <w:webHidden/>
              </w:rPr>
              <w:t>39</w:t>
            </w:r>
            <w:r>
              <w:rPr>
                <w:noProof/>
                <w:webHidden/>
              </w:rPr>
              <w:fldChar w:fldCharType="end"/>
            </w:r>
          </w:hyperlink>
        </w:p>
        <w:p w:rsidR="00DE4C51" w:rsidRDefault="00DE4C51" w14:paraId="46AF6F43" w14:textId="6A58A2A7">
          <w:pPr>
            <w:pStyle w:val="TOC2"/>
            <w:tabs>
              <w:tab w:val="right" w:leader="dot" w:pos="9350"/>
            </w:tabs>
            <w:rPr>
              <w:rFonts w:asciiTheme="minorHAnsi" w:hAnsiTheme="minorHAnsi" w:cstheme="minorBidi"/>
              <w:noProof/>
              <w:kern w:val="2"/>
              <w:sz w:val="24"/>
              <w:szCs w:val="24"/>
              <w14:ligatures w14:val="standardContextual"/>
            </w:rPr>
          </w:pPr>
          <w:hyperlink w:history="1" w:anchor="_Toc225410175">
            <w:r w:rsidRPr="004F2656">
              <w:rPr>
                <w:rStyle w:val="Hyperlink"/>
                <w:noProof/>
              </w:rPr>
              <w:t>6.5.</w:t>
            </w:r>
            <w:r>
              <w:rPr>
                <w:rFonts w:asciiTheme="minorHAnsi" w:hAnsiTheme="minorHAnsi" w:cstheme="minorBidi"/>
                <w:noProof/>
                <w:kern w:val="2"/>
                <w:sz w:val="24"/>
                <w:szCs w:val="24"/>
                <w14:ligatures w14:val="standardContextual"/>
              </w:rPr>
              <w:tab/>
            </w:r>
            <w:r w:rsidRPr="004F2656">
              <w:rPr>
                <w:rStyle w:val="Hyperlink"/>
                <w:noProof/>
              </w:rPr>
              <w:t>Cost/Benefit Analysis</w:t>
            </w:r>
            <w:r>
              <w:rPr>
                <w:noProof/>
                <w:webHidden/>
              </w:rPr>
              <w:tab/>
            </w:r>
            <w:r>
              <w:rPr>
                <w:noProof/>
                <w:webHidden/>
              </w:rPr>
              <w:fldChar w:fldCharType="begin"/>
            </w:r>
            <w:r>
              <w:rPr>
                <w:noProof/>
                <w:webHidden/>
              </w:rPr>
              <w:instrText xml:space="preserve"> PAGEREF _Toc225410175 \h </w:instrText>
            </w:r>
            <w:r>
              <w:rPr>
                <w:noProof/>
                <w:webHidden/>
              </w:rPr>
            </w:r>
            <w:r>
              <w:rPr>
                <w:noProof/>
                <w:webHidden/>
              </w:rPr>
              <w:fldChar w:fldCharType="separate"/>
            </w:r>
            <w:r>
              <w:rPr>
                <w:noProof/>
                <w:webHidden/>
              </w:rPr>
              <w:t>41</w:t>
            </w:r>
            <w:r>
              <w:rPr>
                <w:noProof/>
                <w:webHidden/>
              </w:rPr>
              <w:fldChar w:fldCharType="end"/>
            </w:r>
          </w:hyperlink>
        </w:p>
        <w:p w:rsidR="00DE4C51" w:rsidRDefault="00DE4C51" w14:paraId="534C438B" w14:textId="65ACCF6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5410176">
            <w:r w:rsidRPr="004F2656">
              <w:rPr>
                <w:rStyle w:val="Hyperlink"/>
                <w:noProof/>
              </w:rPr>
              <w:t>6.5.1.</w:t>
            </w:r>
            <w:r>
              <w:rPr>
                <w:rFonts w:asciiTheme="minorHAnsi" w:hAnsiTheme="minorHAnsi" w:cstheme="minorBidi"/>
                <w:noProof/>
                <w:kern w:val="2"/>
                <w:sz w:val="24"/>
                <w:szCs w:val="24"/>
                <w14:ligatures w14:val="standardContextual"/>
              </w:rPr>
              <w:tab/>
            </w:r>
            <w:r w:rsidRPr="004F2656">
              <w:rPr>
                <w:rStyle w:val="Hyperlink"/>
                <w:noProof/>
              </w:rPr>
              <w:t>Discussion</w:t>
            </w:r>
            <w:r>
              <w:rPr>
                <w:noProof/>
                <w:webHidden/>
              </w:rPr>
              <w:tab/>
            </w:r>
            <w:r>
              <w:rPr>
                <w:noProof/>
                <w:webHidden/>
              </w:rPr>
              <w:fldChar w:fldCharType="begin"/>
            </w:r>
            <w:r>
              <w:rPr>
                <w:noProof/>
                <w:webHidden/>
              </w:rPr>
              <w:instrText xml:space="preserve"> PAGEREF _Toc225410176 \h </w:instrText>
            </w:r>
            <w:r>
              <w:rPr>
                <w:noProof/>
                <w:webHidden/>
              </w:rPr>
            </w:r>
            <w:r>
              <w:rPr>
                <w:noProof/>
                <w:webHidden/>
              </w:rPr>
              <w:fldChar w:fldCharType="separate"/>
            </w:r>
            <w:r>
              <w:rPr>
                <w:noProof/>
                <w:webHidden/>
              </w:rPr>
              <w:t>43</w:t>
            </w:r>
            <w:r>
              <w:rPr>
                <w:noProof/>
                <w:webHidden/>
              </w:rPr>
              <w:fldChar w:fldCharType="end"/>
            </w:r>
          </w:hyperlink>
        </w:p>
        <w:p w:rsidR="00DE4C51" w:rsidRDefault="00DE4C51" w14:paraId="2FC7FC0C" w14:textId="5FC60878">
          <w:pPr>
            <w:pStyle w:val="TOC2"/>
            <w:tabs>
              <w:tab w:val="right" w:leader="dot" w:pos="9350"/>
            </w:tabs>
            <w:rPr>
              <w:rFonts w:asciiTheme="minorHAnsi" w:hAnsiTheme="minorHAnsi" w:cstheme="minorBidi"/>
              <w:noProof/>
              <w:kern w:val="2"/>
              <w:sz w:val="24"/>
              <w:szCs w:val="24"/>
              <w14:ligatures w14:val="standardContextual"/>
            </w:rPr>
          </w:pPr>
          <w:hyperlink w:history="1" w:anchor="_Toc225410177">
            <w:r w:rsidRPr="004F2656">
              <w:rPr>
                <w:rStyle w:val="Hyperlink"/>
                <w:noProof/>
              </w:rPr>
              <w:t>6.6.</w:t>
            </w:r>
            <w:r>
              <w:rPr>
                <w:rFonts w:asciiTheme="minorHAnsi" w:hAnsiTheme="minorHAnsi" w:cstheme="minorBidi"/>
                <w:noProof/>
                <w:kern w:val="2"/>
                <w:sz w:val="24"/>
                <w:szCs w:val="24"/>
                <w14:ligatures w14:val="standardContextual"/>
              </w:rPr>
              <w:tab/>
            </w:r>
            <w:r w:rsidRPr="004F2656">
              <w:rPr>
                <w:rStyle w:val="Hyperlink"/>
                <w:noProof/>
              </w:rPr>
              <w:t>Overriding Considerations</w:t>
            </w:r>
            <w:r>
              <w:rPr>
                <w:noProof/>
                <w:webHidden/>
              </w:rPr>
              <w:tab/>
            </w:r>
            <w:r>
              <w:rPr>
                <w:noProof/>
                <w:webHidden/>
              </w:rPr>
              <w:fldChar w:fldCharType="begin"/>
            </w:r>
            <w:r>
              <w:rPr>
                <w:noProof/>
                <w:webHidden/>
              </w:rPr>
              <w:instrText xml:space="preserve"> PAGEREF _Toc225410177 \h </w:instrText>
            </w:r>
            <w:r>
              <w:rPr>
                <w:noProof/>
                <w:webHidden/>
              </w:rPr>
            </w:r>
            <w:r>
              <w:rPr>
                <w:noProof/>
                <w:webHidden/>
              </w:rPr>
              <w:fldChar w:fldCharType="separate"/>
            </w:r>
            <w:r>
              <w:rPr>
                <w:noProof/>
                <w:webHidden/>
              </w:rPr>
              <w:t>45</w:t>
            </w:r>
            <w:r>
              <w:rPr>
                <w:noProof/>
                <w:webHidden/>
              </w:rPr>
              <w:fldChar w:fldCharType="end"/>
            </w:r>
          </w:hyperlink>
        </w:p>
        <w:p w:rsidR="00DE4C51" w:rsidRDefault="00DE4C51" w14:paraId="261D15F4" w14:textId="6ADF7420">
          <w:pPr>
            <w:pStyle w:val="TOC1"/>
            <w:tabs>
              <w:tab w:val="right" w:leader="dot" w:pos="9350"/>
            </w:tabs>
            <w:rPr>
              <w:rFonts w:asciiTheme="minorHAnsi" w:hAnsiTheme="minorHAnsi" w:cstheme="minorBidi"/>
              <w:noProof/>
              <w:kern w:val="2"/>
              <w:sz w:val="24"/>
              <w:szCs w:val="24"/>
              <w14:ligatures w14:val="standardContextual"/>
            </w:rPr>
          </w:pPr>
          <w:hyperlink w:history="1" w:anchor="_Toc225410178">
            <w:r w:rsidRPr="004F2656">
              <w:rPr>
                <w:rStyle w:val="Hyperlink"/>
                <w:noProof/>
              </w:rPr>
              <w:t>7.</w:t>
            </w:r>
            <w:r>
              <w:rPr>
                <w:rFonts w:asciiTheme="minorHAnsi" w:hAnsiTheme="minorHAnsi" w:cstheme="minorBidi"/>
                <w:noProof/>
                <w:kern w:val="2"/>
                <w:sz w:val="24"/>
                <w:szCs w:val="24"/>
                <w14:ligatures w14:val="standardContextual"/>
              </w:rPr>
              <w:tab/>
            </w:r>
            <w:r w:rsidRPr="004F2656">
              <w:rPr>
                <w:rStyle w:val="Hyperlink"/>
                <w:noProof/>
              </w:rPr>
              <w:t>Issue 7: EMF</w:t>
            </w:r>
            <w:r>
              <w:rPr>
                <w:noProof/>
                <w:webHidden/>
              </w:rPr>
              <w:tab/>
            </w:r>
            <w:r>
              <w:rPr>
                <w:noProof/>
                <w:webHidden/>
              </w:rPr>
              <w:fldChar w:fldCharType="begin"/>
            </w:r>
            <w:r>
              <w:rPr>
                <w:noProof/>
                <w:webHidden/>
              </w:rPr>
              <w:instrText xml:space="preserve"> PAGEREF _Toc225410178 \h </w:instrText>
            </w:r>
            <w:r>
              <w:rPr>
                <w:noProof/>
                <w:webHidden/>
              </w:rPr>
            </w:r>
            <w:r>
              <w:rPr>
                <w:noProof/>
                <w:webHidden/>
              </w:rPr>
              <w:fldChar w:fldCharType="separate"/>
            </w:r>
            <w:r>
              <w:rPr>
                <w:noProof/>
                <w:webHidden/>
              </w:rPr>
              <w:t>46</w:t>
            </w:r>
            <w:r>
              <w:rPr>
                <w:noProof/>
                <w:webHidden/>
              </w:rPr>
              <w:fldChar w:fldCharType="end"/>
            </w:r>
          </w:hyperlink>
        </w:p>
        <w:p w:rsidR="00DE4C51" w:rsidRDefault="00DE4C51" w14:paraId="44DFF0F4" w14:textId="031AA6EC">
          <w:pPr>
            <w:pStyle w:val="TOC1"/>
            <w:tabs>
              <w:tab w:val="right" w:leader="dot" w:pos="9350"/>
            </w:tabs>
            <w:rPr>
              <w:rFonts w:asciiTheme="minorHAnsi" w:hAnsiTheme="minorHAnsi" w:cstheme="minorBidi"/>
              <w:noProof/>
              <w:kern w:val="2"/>
              <w:sz w:val="24"/>
              <w:szCs w:val="24"/>
              <w14:ligatures w14:val="standardContextual"/>
            </w:rPr>
          </w:pPr>
          <w:hyperlink w:history="1" w:anchor="_Toc225410179">
            <w:r w:rsidRPr="004F2656">
              <w:rPr>
                <w:rStyle w:val="Hyperlink"/>
                <w:noProof/>
              </w:rPr>
              <w:t>8.</w:t>
            </w:r>
            <w:r>
              <w:rPr>
                <w:rFonts w:asciiTheme="minorHAnsi" w:hAnsiTheme="minorHAnsi" w:cstheme="minorBidi"/>
                <w:noProof/>
                <w:kern w:val="2"/>
                <w:sz w:val="24"/>
                <w:szCs w:val="24"/>
                <w14:ligatures w14:val="standardContextual"/>
              </w:rPr>
              <w:tab/>
            </w:r>
            <w:r w:rsidRPr="004F2656">
              <w:rPr>
                <w:rStyle w:val="Hyperlink"/>
                <w:noProof/>
              </w:rPr>
              <w:t>Issue 8: Present or Future Public Convenience and Necessity</w:t>
            </w:r>
            <w:r>
              <w:rPr>
                <w:noProof/>
                <w:webHidden/>
              </w:rPr>
              <w:tab/>
            </w:r>
            <w:r>
              <w:rPr>
                <w:noProof/>
                <w:webHidden/>
              </w:rPr>
              <w:fldChar w:fldCharType="begin"/>
            </w:r>
            <w:r>
              <w:rPr>
                <w:noProof/>
                <w:webHidden/>
              </w:rPr>
              <w:instrText xml:space="preserve"> PAGEREF _Toc225410179 \h </w:instrText>
            </w:r>
            <w:r>
              <w:rPr>
                <w:noProof/>
                <w:webHidden/>
              </w:rPr>
            </w:r>
            <w:r>
              <w:rPr>
                <w:noProof/>
                <w:webHidden/>
              </w:rPr>
              <w:fldChar w:fldCharType="separate"/>
            </w:r>
            <w:r>
              <w:rPr>
                <w:noProof/>
                <w:webHidden/>
              </w:rPr>
              <w:t>47</w:t>
            </w:r>
            <w:r>
              <w:rPr>
                <w:noProof/>
                <w:webHidden/>
              </w:rPr>
              <w:fldChar w:fldCharType="end"/>
            </w:r>
          </w:hyperlink>
        </w:p>
        <w:p w:rsidR="00DE4C51" w:rsidRDefault="00DE4C51" w14:paraId="5E2BAD23" w14:textId="136ED919">
          <w:pPr>
            <w:pStyle w:val="TOC1"/>
            <w:tabs>
              <w:tab w:val="right" w:leader="dot" w:pos="9350"/>
            </w:tabs>
            <w:rPr>
              <w:rFonts w:asciiTheme="minorHAnsi" w:hAnsiTheme="minorHAnsi" w:cstheme="minorBidi"/>
              <w:noProof/>
              <w:kern w:val="2"/>
              <w:sz w:val="24"/>
              <w:szCs w:val="24"/>
              <w14:ligatures w14:val="standardContextual"/>
            </w:rPr>
          </w:pPr>
          <w:hyperlink w:history="1" w:anchor="_Toc225410180">
            <w:r w:rsidRPr="004F2656">
              <w:rPr>
                <w:rStyle w:val="Hyperlink"/>
                <w:noProof/>
              </w:rPr>
              <w:t>9.</w:t>
            </w:r>
            <w:r>
              <w:rPr>
                <w:rFonts w:asciiTheme="minorHAnsi" w:hAnsiTheme="minorHAnsi" w:cstheme="minorBidi"/>
                <w:noProof/>
                <w:kern w:val="2"/>
                <w:sz w:val="24"/>
                <w:szCs w:val="24"/>
                <w14:ligatures w14:val="standardContextual"/>
              </w:rPr>
              <w:tab/>
            </w:r>
            <w:r w:rsidRPr="004F2656">
              <w:rPr>
                <w:rStyle w:val="Hyperlink"/>
                <w:noProof/>
              </w:rPr>
              <w:t>Issue 9: Maximum Prudent and Reasonable Cost</w:t>
            </w:r>
            <w:r>
              <w:rPr>
                <w:noProof/>
                <w:webHidden/>
              </w:rPr>
              <w:tab/>
            </w:r>
            <w:r>
              <w:rPr>
                <w:noProof/>
                <w:webHidden/>
              </w:rPr>
              <w:fldChar w:fldCharType="begin"/>
            </w:r>
            <w:r>
              <w:rPr>
                <w:noProof/>
                <w:webHidden/>
              </w:rPr>
              <w:instrText xml:space="preserve"> PAGEREF _Toc225410180 \h </w:instrText>
            </w:r>
            <w:r>
              <w:rPr>
                <w:noProof/>
                <w:webHidden/>
              </w:rPr>
            </w:r>
            <w:r>
              <w:rPr>
                <w:noProof/>
                <w:webHidden/>
              </w:rPr>
              <w:fldChar w:fldCharType="separate"/>
            </w:r>
            <w:r>
              <w:rPr>
                <w:noProof/>
                <w:webHidden/>
              </w:rPr>
              <w:t>48</w:t>
            </w:r>
            <w:r>
              <w:rPr>
                <w:noProof/>
                <w:webHidden/>
              </w:rPr>
              <w:fldChar w:fldCharType="end"/>
            </w:r>
          </w:hyperlink>
        </w:p>
        <w:p w:rsidR="00DE4C51" w:rsidRDefault="00DE4C51" w14:paraId="4C9DF227" w14:textId="618CBBE0">
          <w:pPr>
            <w:pStyle w:val="TOC1"/>
            <w:tabs>
              <w:tab w:val="right" w:leader="dot" w:pos="9350"/>
            </w:tabs>
            <w:rPr>
              <w:rFonts w:asciiTheme="minorHAnsi" w:hAnsiTheme="minorHAnsi" w:cstheme="minorBidi"/>
              <w:noProof/>
              <w:kern w:val="2"/>
              <w:sz w:val="24"/>
              <w:szCs w:val="24"/>
              <w14:ligatures w14:val="standardContextual"/>
            </w:rPr>
          </w:pPr>
          <w:hyperlink w:history="1" w:anchor="_Toc225410181">
            <w:r w:rsidRPr="004F2656">
              <w:rPr>
                <w:rStyle w:val="Hyperlink"/>
                <w:noProof/>
              </w:rPr>
              <w:t>10.</w:t>
            </w:r>
            <w:r>
              <w:rPr>
                <w:rFonts w:asciiTheme="minorHAnsi" w:hAnsiTheme="minorHAnsi" w:cstheme="minorBidi"/>
                <w:noProof/>
                <w:kern w:val="2"/>
                <w:sz w:val="24"/>
                <w:szCs w:val="24"/>
                <w14:ligatures w14:val="standardContextual"/>
              </w:rPr>
              <w:tab/>
            </w:r>
            <w:r w:rsidRPr="004F2656">
              <w:rPr>
                <w:rStyle w:val="Hyperlink"/>
                <w:noProof/>
              </w:rPr>
              <w:t>Minor Project Refinements</w:t>
            </w:r>
            <w:r>
              <w:rPr>
                <w:noProof/>
                <w:webHidden/>
              </w:rPr>
              <w:tab/>
            </w:r>
            <w:r>
              <w:rPr>
                <w:noProof/>
                <w:webHidden/>
              </w:rPr>
              <w:fldChar w:fldCharType="begin"/>
            </w:r>
            <w:r>
              <w:rPr>
                <w:noProof/>
                <w:webHidden/>
              </w:rPr>
              <w:instrText xml:space="preserve"> PAGEREF _Toc225410181 \h </w:instrText>
            </w:r>
            <w:r>
              <w:rPr>
                <w:noProof/>
                <w:webHidden/>
              </w:rPr>
            </w:r>
            <w:r>
              <w:rPr>
                <w:noProof/>
                <w:webHidden/>
              </w:rPr>
              <w:fldChar w:fldCharType="separate"/>
            </w:r>
            <w:r>
              <w:rPr>
                <w:noProof/>
                <w:webHidden/>
              </w:rPr>
              <w:t>50</w:t>
            </w:r>
            <w:r>
              <w:rPr>
                <w:noProof/>
                <w:webHidden/>
              </w:rPr>
              <w:fldChar w:fldCharType="end"/>
            </w:r>
          </w:hyperlink>
        </w:p>
        <w:p w:rsidR="00DE4C51" w:rsidRDefault="00DE4C51" w14:paraId="625FA539" w14:textId="65A61082">
          <w:pPr>
            <w:pStyle w:val="TOC1"/>
            <w:tabs>
              <w:tab w:val="right" w:leader="dot" w:pos="9350"/>
            </w:tabs>
            <w:rPr>
              <w:rFonts w:asciiTheme="minorHAnsi" w:hAnsiTheme="minorHAnsi" w:cstheme="minorBidi"/>
              <w:noProof/>
              <w:kern w:val="2"/>
              <w:sz w:val="24"/>
              <w:szCs w:val="24"/>
              <w14:ligatures w14:val="standardContextual"/>
            </w:rPr>
          </w:pPr>
          <w:hyperlink w:history="1" w:anchor="_Toc225410182">
            <w:r w:rsidRPr="004F2656">
              <w:rPr>
                <w:rStyle w:val="Hyperlink"/>
                <w:rFonts w:cs="Arial"/>
                <w:noProof/>
              </w:rPr>
              <w:t>11.</w:t>
            </w:r>
            <w:r>
              <w:rPr>
                <w:rFonts w:asciiTheme="minorHAnsi" w:hAnsiTheme="minorHAnsi" w:cstheme="minorBidi"/>
                <w:noProof/>
                <w:kern w:val="2"/>
                <w:sz w:val="24"/>
                <w:szCs w:val="24"/>
                <w14:ligatures w14:val="standardContextual"/>
              </w:rPr>
              <w:tab/>
            </w:r>
            <w:r w:rsidRPr="004F2656">
              <w:rPr>
                <w:rStyle w:val="Hyperlink"/>
                <w:rFonts w:cs="Arial"/>
                <w:noProof/>
              </w:rPr>
              <w:t>Conclusion</w:t>
            </w:r>
            <w:r>
              <w:rPr>
                <w:noProof/>
                <w:webHidden/>
              </w:rPr>
              <w:tab/>
            </w:r>
            <w:r>
              <w:rPr>
                <w:noProof/>
                <w:webHidden/>
              </w:rPr>
              <w:fldChar w:fldCharType="begin"/>
            </w:r>
            <w:r>
              <w:rPr>
                <w:noProof/>
                <w:webHidden/>
              </w:rPr>
              <w:instrText xml:space="preserve"> PAGEREF _Toc225410182 \h </w:instrText>
            </w:r>
            <w:r>
              <w:rPr>
                <w:noProof/>
                <w:webHidden/>
              </w:rPr>
            </w:r>
            <w:r>
              <w:rPr>
                <w:noProof/>
                <w:webHidden/>
              </w:rPr>
              <w:fldChar w:fldCharType="separate"/>
            </w:r>
            <w:r>
              <w:rPr>
                <w:noProof/>
                <w:webHidden/>
              </w:rPr>
              <w:t>51</w:t>
            </w:r>
            <w:r>
              <w:rPr>
                <w:noProof/>
                <w:webHidden/>
              </w:rPr>
              <w:fldChar w:fldCharType="end"/>
            </w:r>
          </w:hyperlink>
        </w:p>
        <w:p w:rsidR="00DE4C51" w:rsidRDefault="00DE4C51" w14:paraId="0A525A7F" w14:textId="1C9BC378">
          <w:pPr>
            <w:pStyle w:val="TOC1"/>
            <w:tabs>
              <w:tab w:val="right" w:leader="dot" w:pos="9350"/>
            </w:tabs>
            <w:rPr>
              <w:rFonts w:asciiTheme="minorHAnsi" w:hAnsiTheme="minorHAnsi" w:cstheme="minorBidi"/>
              <w:noProof/>
              <w:kern w:val="2"/>
              <w:sz w:val="24"/>
              <w:szCs w:val="24"/>
              <w14:ligatures w14:val="standardContextual"/>
            </w:rPr>
          </w:pPr>
          <w:hyperlink w:history="1" w:anchor="_Toc225410183">
            <w:r w:rsidRPr="004F2656">
              <w:rPr>
                <w:rStyle w:val="Hyperlink"/>
                <w:noProof/>
              </w:rPr>
              <w:t>12.</w:t>
            </w:r>
            <w:r>
              <w:rPr>
                <w:rFonts w:asciiTheme="minorHAnsi" w:hAnsiTheme="minorHAnsi" w:cstheme="minorBidi"/>
                <w:noProof/>
                <w:kern w:val="2"/>
                <w:sz w:val="24"/>
                <w:szCs w:val="24"/>
                <w14:ligatures w14:val="standardContextual"/>
              </w:rPr>
              <w:tab/>
            </w:r>
            <w:r w:rsidRPr="004F2656">
              <w:rPr>
                <w:rStyle w:val="Hyperlink"/>
                <w:noProof/>
              </w:rPr>
              <w:t>Summary of Public Comment</w:t>
            </w:r>
            <w:r>
              <w:rPr>
                <w:noProof/>
                <w:webHidden/>
              </w:rPr>
              <w:tab/>
            </w:r>
            <w:r>
              <w:rPr>
                <w:noProof/>
                <w:webHidden/>
              </w:rPr>
              <w:fldChar w:fldCharType="begin"/>
            </w:r>
            <w:r>
              <w:rPr>
                <w:noProof/>
                <w:webHidden/>
              </w:rPr>
              <w:instrText xml:space="preserve"> PAGEREF _Toc225410183 \h </w:instrText>
            </w:r>
            <w:r>
              <w:rPr>
                <w:noProof/>
                <w:webHidden/>
              </w:rPr>
            </w:r>
            <w:r>
              <w:rPr>
                <w:noProof/>
                <w:webHidden/>
              </w:rPr>
              <w:fldChar w:fldCharType="separate"/>
            </w:r>
            <w:r>
              <w:rPr>
                <w:noProof/>
                <w:webHidden/>
              </w:rPr>
              <w:t>51</w:t>
            </w:r>
            <w:r>
              <w:rPr>
                <w:noProof/>
                <w:webHidden/>
              </w:rPr>
              <w:fldChar w:fldCharType="end"/>
            </w:r>
          </w:hyperlink>
        </w:p>
        <w:p w:rsidR="00DE4C51" w:rsidRDefault="00DE4C51" w14:paraId="14666500" w14:textId="7885CEC6">
          <w:pPr>
            <w:pStyle w:val="TOC1"/>
            <w:tabs>
              <w:tab w:val="right" w:leader="dot" w:pos="9350"/>
            </w:tabs>
            <w:rPr>
              <w:rFonts w:asciiTheme="minorHAnsi" w:hAnsiTheme="minorHAnsi" w:cstheme="minorBidi"/>
              <w:noProof/>
              <w:kern w:val="2"/>
              <w:sz w:val="24"/>
              <w:szCs w:val="24"/>
              <w14:ligatures w14:val="standardContextual"/>
            </w:rPr>
          </w:pPr>
          <w:hyperlink w:history="1" w:anchor="_Toc225410184">
            <w:r w:rsidRPr="004F2656">
              <w:rPr>
                <w:rStyle w:val="Hyperlink"/>
                <w:noProof/>
              </w:rPr>
              <w:t>13.</w:t>
            </w:r>
            <w:r>
              <w:rPr>
                <w:rFonts w:asciiTheme="minorHAnsi" w:hAnsiTheme="minorHAnsi" w:cstheme="minorBidi"/>
                <w:noProof/>
                <w:kern w:val="2"/>
                <w:sz w:val="24"/>
                <w:szCs w:val="24"/>
                <w14:ligatures w14:val="standardContextual"/>
              </w:rPr>
              <w:tab/>
            </w:r>
            <w:r w:rsidRPr="004F2656">
              <w:rPr>
                <w:rStyle w:val="Hyperlink"/>
                <w:noProof/>
              </w:rPr>
              <w:t>Procedural Matters</w:t>
            </w:r>
            <w:r>
              <w:rPr>
                <w:noProof/>
                <w:webHidden/>
              </w:rPr>
              <w:tab/>
            </w:r>
            <w:r>
              <w:rPr>
                <w:noProof/>
                <w:webHidden/>
              </w:rPr>
              <w:fldChar w:fldCharType="begin"/>
            </w:r>
            <w:r>
              <w:rPr>
                <w:noProof/>
                <w:webHidden/>
              </w:rPr>
              <w:instrText xml:space="preserve"> PAGEREF _Toc225410184 \h </w:instrText>
            </w:r>
            <w:r>
              <w:rPr>
                <w:noProof/>
                <w:webHidden/>
              </w:rPr>
            </w:r>
            <w:r>
              <w:rPr>
                <w:noProof/>
                <w:webHidden/>
              </w:rPr>
              <w:fldChar w:fldCharType="separate"/>
            </w:r>
            <w:r>
              <w:rPr>
                <w:noProof/>
                <w:webHidden/>
              </w:rPr>
              <w:t>52</w:t>
            </w:r>
            <w:r>
              <w:rPr>
                <w:noProof/>
                <w:webHidden/>
              </w:rPr>
              <w:fldChar w:fldCharType="end"/>
            </w:r>
          </w:hyperlink>
        </w:p>
        <w:p w:rsidR="00DE4C51" w:rsidRDefault="00DE4C51" w14:paraId="373D6095" w14:textId="68AFC195">
          <w:pPr>
            <w:pStyle w:val="TOC1"/>
            <w:tabs>
              <w:tab w:val="right" w:leader="dot" w:pos="9350"/>
            </w:tabs>
            <w:rPr>
              <w:rFonts w:asciiTheme="minorHAnsi" w:hAnsiTheme="minorHAnsi" w:cstheme="minorBidi"/>
              <w:noProof/>
              <w:kern w:val="2"/>
              <w:sz w:val="24"/>
              <w:szCs w:val="24"/>
              <w14:ligatures w14:val="standardContextual"/>
            </w:rPr>
          </w:pPr>
          <w:hyperlink w:history="1" w:anchor="_Toc225410185">
            <w:r w:rsidRPr="004F2656">
              <w:rPr>
                <w:rStyle w:val="Hyperlink"/>
                <w:rFonts w:cs="Arial"/>
                <w:noProof/>
              </w:rPr>
              <w:t>14.</w:t>
            </w:r>
            <w:r>
              <w:rPr>
                <w:rFonts w:asciiTheme="minorHAnsi" w:hAnsiTheme="minorHAnsi" w:cstheme="minorBidi"/>
                <w:noProof/>
                <w:kern w:val="2"/>
                <w:sz w:val="24"/>
                <w:szCs w:val="24"/>
                <w14:ligatures w14:val="standardContextual"/>
              </w:rPr>
              <w:tab/>
            </w:r>
            <w:r w:rsidRPr="004F2656">
              <w:rPr>
                <w:rStyle w:val="Hyperlink"/>
                <w:rFonts w:cs="Arial"/>
                <w:noProof/>
              </w:rPr>
              <w:t>Comments on Proposed Decision</w:t>
            </w:r>
            <w:r>
              <w:rPr>
                <w:noProof/>
                <w:webHidden/>
              </w:rPr>
              <w:tab/>
            </w:r>
            <w:r>
              <w:rPr>
                <w:noProof/>
                <w:webHidden/>
              </w:rPr>
              <w:fldChar w:fldCharType="begin"/>
            </w:r>
            <w:r>
              <w:rPr>
                <w:noProof/>
                <w:webHidden/>
              </w:rPr>
              <w:instrText xml:space="preserve"> PAGEREF _Toc225410185 \h </w:instrText>
            </w:r>
            <w:r>
              <w:rPr>
                <w:noProof/>
                <w:webHidden/>
              </w:rPr>
            </w:r>
            <w:r>
              <w:rPr>
                <w:noProof/>
                <w:webHidden/>
              </w:rPr>
              <w:fldChar w:fldCharType="separate"/>
            </w:r>
            <w:r>
              <w:rPr>
                <w:noProof/>
                <w:webHidden/>
              </w:rPr>
              <w:t>52</w:t>
            </w:r>
            <w:r>
              <w:rPr>
                <w:noProof/>
                <w:webHidden/>
              </w:rPr>
              <w:fldChar w:fldCharType="end"/>
            </w:r>
          </w:hyperlink>
        </w:p>
        <w:p w:rsidR="00DE4C51" w:rsidRDefault="00DE4C51" w14:paraId="48AEF4B8" w14:textId="25F151ED">
          <w:pPr>
            <w:pStyle w:val="TOC1"/>
            <w:tabs>
              <w:tab w:val="right" w:leader="dot" w:pos="9350"/>
            </w:tabs>
            <w:rPr>
              <w:rFonts w:asciiTheme="minorHAnsi" w:hAnsiTheme="minorHAnsi" w:cstheme="minorBidi"/>
              <w:noProof/>
              <w:kern w:val="2"/>
              <w:sz w:val="24"/>
              <w:szCs w:val="24"/>
              <w14:ligatures w14:val="standardContextual"/>
            </w:rPr>
          </w:pPr>
          <w:hyperlink w:history="1" w:anchor="_Toc225410186">
            <w:r w:rsidRPr="004F2656">
              <w:rPr>
                <w:rStyle w:val="Hyperlink"/>
                <w:rFonts w:cs="Arial"/>
                <w:noProof/>
              </w:rPr>
              <w:t>15.</w:t>
            </w:r>
            <w:r>
              <w:rPr>
                <w:rFonts w:asciiTheme="minorHAnsi" w:hAnsiTheme="minorHAnsi" w:cstheme="minorBidi"/>
                <w:noProof/>
                <w:kern w:val="2"/>
                <w:sz w:val="24"/>
                <w:szCs w:val="24"/>
                <w14:ligatures w14:val="standardContextual"/>
              </w:rPr>
              <w:tab/>
            </w:r>
            <w:r w:rsidRPr="004F2656">
              <w:rPr>
                <w:rStyle w:val="Hyperlink"/>
                <w:rFonts w:cs="Arial"/>
                <w:noProof/>
              </w:rPr>
              <w:t>Assignment of Proceeding</w:t>
            </w:r>
            <w:r>
              <w:rPr>
                <w:noProof/>
                <w:webHidden/>
              </w:rPr>
              <w:tab/>
            </w:r>
            <w:r>
              <w:rPr>
                <w:noProof/>
                <w:webHidden/>
              </w:rPr>
              <w:fldChar w:fldCharType="begin"/>
            </w:r>
            <w:r>
              <w:rPr>
                <w:noProof/>
                <w:webHidden/>
              </w:rPr>
              <w:instrText xml:space="preserve"> PAGEREF _Toc225410186 \h </w:instrText>
            </w:r>
            <w:r>
              <w:rPr>
                <w:noProof/>
                <w:webHidden/>
              </w:rPr>
            </w:r>
            <w:r>
              <w:rPr>
                <w:noProof/>
                <w:webHidden/>
              </w:rPr>
              <w:fldChar w:fldCharType="separate"/>
            </w:r>
            <w:r>
              <w:rPr>
                <w:noProof/>
                <w:webHidden/>
              </w:rPr>
              <w:t>54</w:t>
            </w:r>
            <w:r>
              <w:rPr>
                <w:noProof/>
                <w:webHidden/>
              </w:rPr>
              <w:fldChar w:fldCharType="end"/>
            </w:r>
          </w:hyperlink>
        </w:p>
        <w:p w:rsidR="00DE4C51" w:rsidRDefault="00DE4C51" w14:paraId="7AEF0058" w14:textId="0960A72F">
          <w:pPr>
            <w:pStyle w:val="TOC1"/>
            <w:tabs>
              <w:tab w:val="right" w:leader="dot" w:pos="9350"/>
            </w:tabs>
            <w:rPr>
              <w:rFonts w:asciiTheme="minorHAnsi" w:hAnsiTheme="minorHAnsi" w:cstheme="minorBidi"/>
              <w:noProof/>
              <w:kern w:val="2"/>
              <w:sz w:val="24"/>
              <w:szCs w:val="24"/>
              <w14:ligatures w14:val="standardContextual"/>
            </w:rPr>
          </w:pPr>
          <w:hyperlink w:history="1" w:anchor="_Toc225410187">
            <w:r w:rsidRPr="004F2656">
              <w:rPr>
                <w:rStyle w:val="Hyperlink"/>
                <w:noProof/>
              </w:rPr>
              <w:t>Findings of Fact</w:t>
            </w:r>
            <w:r>
              <w:rPr>
                <w:noProof/>
                <w:webHidden/>
              </w:rPr>
              <w:tab/>
            </w:r>
            <w:r>
              <w:rPr>
                <w:noProof/>
                <w:webHidden/>
              </w:rPr>
              <w:fldChar w:fldCharType="begin"/>
            </w:r>
            <w:r>
              <w:rPr>
                <w:noProof/>
                <w:webHidden/>
              </w:rPr>
              <w:instrText xml:space="preserve"> PAGEREF _Toc225410187 \h </w:instrText>
            </w:r>
            <w:r>
              <w:rPr>
                <w:noProof/>
                <w:webHidden/>
              </w:rPr>
            </w:r>
            <w:r>
              <w:rPr>
                <w:noProof/>
                <w:webHidden/>
              </w:rPr>
              <w:fldChar w:fldCharType="separate"/>
            </w:r>
            <w:r>
              <w:rPr>
                <w:noProof/>
                <w:webHidden/>
              </w:rPr>
              <w:t>54</w:t>
            </w:r>
            <w:r>
              <w:rPr>
                <w:noProof/>
                <w:webHidden/>
              </w:rPr>
              <w:fldChar w:fldCharType="end"/>
            </w:r>
          </w:hyperlink>
        </w:p>
        <w:p w:rsidR="00DE4C51" w:rsidRDefault="00DE4C51" w14:paraId="3DED3771" w14:textId="33A415E2">
          <w:pPr>
            <w:pStyle w:val="TOC1"/>
            <w:tabs>
              <w:tab w:val="right" w:leader="dot" w:pos="9350"/>
            </w:tabs>
            <w:rPr>
              <w:rFonts w:asciiTheme="minorHAnsi" w:hAnsiTheme="minorHAnsi" w:cstheme="minorBidi"/>
              <w:noProof/>
              <w:kern w:val="2"/>
              <w:sz w:val="24"/>
              <w:szCs w:val="24"/>
              <w14:ligatures w14:val="standardContextual"/>
            </w:rPr>
          </w:pPr>
          <w:hyperlink w:history="1" w:anchor="_Toc225410188">
            <w:r w:rsidRPr="004F2656">
              <w:rPr>
                <w:rStyle w:val="Hyperlink"/>
                <w:noProof/>
              </w:rPr>
              <w:t>Conclusions of Law</w:t>
            </w:r>
            <w:r>
              <w:rPr>
                <w:noProof/>
                <w:webHidden/>
              </w:rPr>
              <w:tab/>
            </w:r>
            <w:r>
              <w:rPr>
                <w:noProof/>
                <w:webHidden/>
              </w:rPr>
              <w:fldChar w:fldCharType="begin"/>
            </w:r>
            <w:r>
              <w:rPr>
                <w:noProof/>
                <w:webHidden/>
              </w:rPr>
              <w:instrText xml:space="preserve"> PAGEREF _Toc225410188 \h </w:instrText>
            </w:r>
            <w:r>
              <w:rPr>
                <w:noProof/>
                <w:webHidden/>
              </w:rPr>
            </w:r>
            <w:r>
              <w:rPr>
                <w:noProof/>
                <w:webHidden/>
              </w:rPr>
              <w:fldChar w:fldCharType="separate"/>
            </w:r>
            <w:r>
              <w:rPr>
                <w:noProof/>
                <w:webHidden/>
              </w:rPr>
              <w:t>60</w:t>
            </w:r>
            <w:r>
              <w:rPr>
                <w:noProof/>
                <w:webHidden/>
              </w:rPr>
              <w:fldChar w:fldCharType="end"/>
            </w:r>
          </w:hyperlink>
        </w:p>
        <w:p w:rsidR="00DE4C51" w:rsidRDefault="00DE4C51" w14:paraId="5074AD1C" w14:textId="4324D8AF">
          <w:pPr>
            <w:pStyle w:val="TOC1"/>
            <w:tabs>
              <w:tab w:val="right" w:leader="dot" w:pos="9350"/>
            </w:tabs>
            <w:rPr>
              <w:rFonts w:asciiTheme="minorHAnsi" w:hAnsiTheme="minorHAnsi" w:cstheme="minorBidi"/>
              <w:noProof/>
              <w:kern w:val="2"/>
              <w:sz w:val="24"/>
              <w:szCs w:val="24"/>
              <w14:ligatures w14:val="standardContextual"/>
            </w:rPr>
          </w:pPr>
          <w:hyperlink w:history="1" w:anchor="_Toc225410189">
            <w:r w:rsidRPr="004F2656">
              <w:rPr>
                <w:rStyle w:val="Hyperlink"/>
                <w:rFonts w:cs="Arial"/>
                <w:noProof/>
              </w:rPr>
              <w:t>ORDER</w:t>
            </w:r>
            <w:r>
              <w:rPr>
                <w:noProof/>
                <w:webHidden/>
              </w:rPr>
              <w:tab/>
            </w:r>
            <w:r>
              <w:rPr>
                <w:noProof/>
                <w:webHidden/>
              </w:rPr>
              <w:fldChar w:fldCharType="begin"/>
            </w:r>
            <w:r>
              <w:rPr>
                <w:noProof/>
                <w:webHidden/>
              </w:rPr>
              <w:instrText xml:space="preserve"> PAGEREF _Toc225410189 \h </w:instrText>
            </w:r>
            <w:r>
              <w:rPr>
                <w:noProof/>
                <w:webHidden/>
              </w:rPr>
            </w:r>
            <w:r>
              <w:rPr>
                <w:noProof/>
                <w:webHidden/>
              </w:rPr>
              <w:fldChar w:fldCharType="separate"/>
            </w:r>
            <w:r>
              <w:rPr>
                <w:noProof/>
                <w:webHidden/>
              </w:rPr>
              <w:t>62</w:t>
            </w:r>
            <w:r>
              <w:rPr>
                <w:noProof/>
                <w:webHidden/>
              </w:rPr>
              <w:fldChar w:fldCharType="end"/>
            </w:r>
          </w:hyperlink>
        </w:p>
        <w:p w:rsidRPr="003B0148" w:rsidR="00D82A43" w:rsidP="00CA1641" w:rsidRDefault="008C7413" w14:paraId="4829D40E" w14:textId="2721FAD1">
          <w:pPr>
            <w:pStyle w:val="TOC1"/>
            <w:tabs>
              <w:tab w:val="right" w:leader="dot" w:pos="9350"/>
            </w:tabs>
            <w:ind w:left="0" w:firstLine="0"/>
            <w:rPr>
              <w:szCs w:val="26"/>
            </w:rPr>
          </w:pPr>
          <w:r w:rsidRPr="003B0148">
            <w:rPr>
              <w:szCs w:val="26"/>
            </w:rPr>
            <w:fldChar w:fldCharType="end"/>
          </w:r>
        </w:p>
      </w:sdtContent>
    </w:sdt>
    <w:p w:rsidR="0098655A" w:rsidP="00D50119" w:rsidRDefault="0098655A" w14:paraId="07B8EADE" w14:textId="77777777">
      <w:pPr>
        <w:spacing w:line="240" w:lineRule="auto"/>
        <w:ind w:firstLine="0"/>
        <w:rPr>
          <w:rFonts w:cs="Arial"/>
          <w:szCs w:val="26"/>
        </w:rPr>
      </w:pPr>
      <w:r w:rsidRPr="003B0148">
        <w:rPr>
          <w:rFonts w:cs="Arial"/>
          <w:b/>
          <w:szCs w:val="26"/>
        </w:rPr>
        <w:t>Appendix A</w:t>
      </w:r>
      <w:r w:rsidRPr="003B0148">
        <w:rPr>
          <w:rFonts w:cs="Arial"/>
          <w:szCs w:val="26"/>
        </w:rPr>
        <w:t xml:space="preserve"> –</w:t>
      </w:r>
      <w:r w:rsidRPr="003B0148" w:rsidR="00E23CBB">
        <w:rPr>
          <w:rFonts w:cs="Arial"/>
          <w:szCs w:val="26"/>
        </w:rPr>
        <w:t xml:space="preserve"> </w:t>
      </w:r>
      <w:r w:rsidR="00F704B3">
        <w:rPr>
          <w:rFonts w:cs="Arial"/>
          <w:szCs w:val="26"/>
        </w:rPr>
        <w:t>Mitigation</w:t>
      </w:r>
      <w:r w:rsidR="001D79EE">
        <w:rPr>
          <w:rFonts w:cs="Arial"/>
          <w:szCs w:val="26"/>
        </w:rPr>
        <w:t>,</w:t>
      </w:r>
      <w:r w:rsidR="00F704B3">
        <w:rPr>
          <w:rFonts w:cs="Arial"/>
          <w:szCs w:val="26"/>
        </w:rPr>
        <w:t xml:space="preserve"> Monitor</w:t>
      </w:r>
      <w:r w:rsidR="001D79EE">
        <w:rPr>
          <w:rFonts w:cs="Arial"/>
          <w:szCs w:val="26"/>
        </w:rPr>
        <w:t>ing, Compliance, and Reporting</w:t>
      </w:r>
      <w:r w:rsidR="00F704B3">
        <w:rPr>
          <w:rFonts w:cs="Arial"/>
          <w:szCs w:val="26"/>
        </w:rPr>
        <w:t xml:space="preserve"> Plan</w:t>
      </w:r>
      <w:r w:rsidR="00EF42E6">
        <w:rPr>
          <w:rFonts w:cs="Arial"/>
          <w:szCs w:val="26"/>
        </w:rPr>
        <w:t xml:space="preserve"> for the Alberhill System Project</w:t>
      </w:r>
      <w:r w:rsidR="00F704B3">
        <w:rPr>
          <w:rFonts w:cs="Arial"/>
          <w:szCs w:val="26"/>
        </w:rPr>
        <w:t xml:space="preserve"> (Redline and Clean)</w:t>
      </w:r>
    </w:p>
    <w:p w:rsidR="00D909B2" w:rsidP="00D50119" w:rsidRDefault="00D909B2" w14:paraId="5C16E897" w14:textId="77777777">
      <w:pPr>
        <w:spacing w:line="240" w:lineRule="auto"/>
        <w:ind w:firstLine="0"/>
        <w:rPr>
          <w:rFonts w:cs="Arial"/>
          <w:szCs w:val="26"/>
        </w:rPr>
      </w:pPr>
      <w:r w:rsidRPr="00CD2DF8">
        <w:rPr>
          <w:rFonts w:cs="Arial"/>
          <w:b/>
          <w:bCs/>
          <w:szCs w:val="26"/>
        </w:rPr>
        <w:t>Appendix B</w:t>
      </w:r>
      <w:r>
        <w:rPr>
          <w:rFonts w:cs="Arial"/>
          <w:szCs w:val="26"/>
        </w:rPr>
        <w:t xml:space="preserve"> – Map of </w:t>
      </w:r>
      <w:r w:rsidR="008F2434">
        <w:rPr>
          <w:rFonts w:cs="Arial"/>
          <w:szCs w:val="26"/>
        </w:rPr>
        <w:t>Valley South System (</w:t>
      </w:r>
      <w:r>
        <w:rPr>
          <w:rFonts w:cs="Arial"/>
          <w:szCs w:val="26"/>
        </w:rPr>
        <w:t>Electrical Needs Area</w:t>
      </w:r>
      <w:r w:rsidR="008F2434">
        <w:rPr>
          <w:rFonts w:cs="Arial"/>
          <w:szCs w:val="26"/>
        </w:rPr>
        <w:t>)</w:t>
      </w:r>
    </w:p>
    <w:p w:rsidRPr="003B0148" w:rsidR="009D5F18" w:rsidP="00D50119" w:rsidRDefault="009D5F18" w14:paraId="75E5CD8E" w14:textId="77777777">
      <w:pPr>
        <w:spacing w:line="240" w:lineRule="auto"/>
        <w:ind w:firstLine="0"/>
        <w:rPr>
          <w:rFonts w:cs="Arial"/>
          <w:szCs w:val="26"/>
        </w:rPr>
      </w:pPr>
      <w:r w:rsidRPr="00CD2DF8">
        <w:rPr>
          <w:rFonts w:cs="Arial"/>
          <w:b/>
          <w:bCs/>
          <w:szCs w:val="26"/>
        </w:rPr>
        <w:t>Appendix C</w:t>
      </w:r>
      <w:r>
        <w:rPr>
          <w:rFonts w:cs="Arial"/>
          <w:szCs w:val="26"/>
        </w:rPr>
        <w:t xml:space="preserve"> – Alberhill System Project Description</w:t>
      </w:r>
    </w:p>
    <w:p w:rsidRPr="00E12C1B" w:rsidR="00D44DB6" w:rsidP="00D44DB6" w:rsidRDefault="00D44DB6" w14:paraId="0C0BC596" w14:textId="77777777">
      <w:pPr>
        <w:spacing w:line="240" w:lineRule="auto"/>
        <w:ind w:firstLine="0"/>
        <w:rPr>
          <w:rFonts w:cs="Arial"/>
          <w:iCs/>
          <w:szCs w:val="26"/>
        </w:rPr>
      </w:pPr>
    </w:p>
    <w:p w:rsidRPr="00E12C1B" w:rsidR="00A20946" w:rsidP="00D44DB6" w:rsidRDefault="00A20946" w14:paraId="3AA7CEDA" w14:textId="77777777">
      <w:pPr>
        <w:spacing w:line="240" w:lineRule="auto"/>
        <w:ind w:firstLine="0"/>
        <w:rPr>
          <w:rFonts w:cs="Arial"/>
          <w:iCs/>
          <w:szCs w:val="26"/>
        </w:rPr>
      </w:pPr>
    </w:p>
    <w:p w:rsidRPr="00E12C1B" w:rsidR="00A20946" w:rsidP="00D44DB6" w:rsidRDefault="00A20946" w14:paraId="52B76659" w14:textId="77777777">
      <w:pPr>
        <w:spacing w:line="240" w:lineRule="auto"/>
        <w:ind w:firstLine="0"/>
        <w:rPr>
          <w:rFonts w:cs="Arial"/>
          <w:iCs/>
          <w:szCs w:val="26"/>
        </w:rPr>
        <w:sectPr w:rsidRPr="00E12C1B" w:rsidR="00A2094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Pr="001D29C4" w:rsidR="0098655A" w:rsidP="00D82A43" w:rsidRDefault="00602930" w14:paraId="60DE4669" w14:textId="77777777">
      <w:pPr>
        <w:pStyle w:val="Main"/>
        <w:spacing w:after="240"/>
        <w:rPr>
          <w:rFonts w:cs="Arial"/>
        </w:rPr>
      </w:pPr>
      <w:r w:rsidRPr="001D29C4">
        <w:rPr>
          <w:rFonts w:cs="Arial"/>
        </w:rPr>
        <w:lastRenderedPageBreak/>
        <w:t>decision on Alberhill System project</w:t>
      </w:r>
    </w:p>
    <w:p w:rsidRPr="001D29C4" w:rsidR="005A148C" w:rsidP="005A148C" w:rsidRDefault="005A148C" w14:paraId="4A40216E" w14:textId="77777777">
      <w:pPr>
        <w:pStyle w:val="Dummy"/>
      </w:pPr>
      <w:bookmarkStart w:name="_Toc8123714" w:id="2"/>
      <w:bookmarkStart w:name="_Toc225410152" w:id="3"/>
      <w:r w:rsidRPr="001D29C4">
        <w:t>Summary</w:t>
      </w:r>
      <w:bookmarkEnd w:id="2"/>
      <w:bookmarkEnd w:id="3"/>
    </w:p>
    <w:p w:rsidRPr="00E12C1B" w:rsidR="00F073DF" w:rsidP="00C13C48" w:rsidRDefault="00F073DF" w14:paraId="194F5965" w14:textId="77777777">
      <w:pPr>
        <w:pStyle w:val="Standard"/>
      </w:pPr>
      <w:r w:rsidRPr="00E12C1B">
        <w:t>This decision grants</w:t>
      </w:r>
      <w:r w:rsidRPr="00E12C1B" w:rsidR="00465811">
        <w:t xml:space="preserve"> </w:t>
      </w:r>
      <w:r w:rsidRPr="00E12C1B" w:rsidR="00C13C48">
        <w:t>Southern California Edison</w:t>
      </w:r>
      <w:r w:rsidR="00403477">
        <w:t xml:space="preserve"> Company</w:t>
      </w:r>
      <w:r w:rsidRPr="00E12C1B" w:rsidR="00C13C48">
        <w:t xml:space="preserve">’s </w:t>
      </w:r>
      <w:r w:rsidRPr="00E12C1B">
        <w:t>request</w:t>
      </w:r>
      <w:r w:rsidRPr="00E12C1B" w:rsidR="00C13C48">
        <w:t xml:space="preserve"> for a </w:t>
      </w:r>
      <w:r w:rsidRPr="00E12C1B">
        <w:t>c</w:t>
      </w:r>
      <w:r w:rsidRPr="00E12C1B" w:rsidR="00C13C48">
        <w:t xml:space="preserve">ertificate of </w:t>
      </w:r>
      <w:r w:rsidRPr="00E12C1B">
        <w:t>p</w:t>
      </w:r>
      <w:r w:rsidRPr="00E12C1B" w:rsidR="00C13C48">
        <w:t xml:space="preserve">ublic </w:t>
      </w:r>
      <w:r w:rsidRPr="00E12C1B">
        <w:t>c</w:t>
      </w:r>
      <w:r w:rsidRPr="00E12C1B" w:rsidR="00C13C48">
        <w:t xml:space="preserve">onvenience and </w:t>
      </w:r>
      <w:r w:rsidRPr="00E12C1B">
        <w:t>n</w:t>
      </w:r>
      <w:r w:rsidRPr="00E12C1B" w:rsidR="00C13C48">
        <w:t xml:space="preserve">ecessity to construct the proposed Alberhill System </w:t>
      </w:r>
      <w:r w:rsidRPr="00E12C1B" w:rsidR="00602930">
        <w:t>Project</w:t>
      </w:r>
      <w:r w:rsidRPr="00E12C1B">
        <w:t xml:space="preserve"> subject to the Mitigation Monitoring, Compliance and Reporting Plan (Appendix </w:t>
      </w:r>
      <w:r w:rsidR="00D909B2">
        <w:t>A</w:t>
      </w:r>
      <w:r w:rsidRPr="00E12C1B">
        <w:t>)</w:t>
      </w:r>
      <w:r w:rsidRPr="00E12C1B" w:rsidR="00C13C48">
        <w:t>.</w:t>
      </w:r>
    </w:p>
    <w:p w:rsidR="0073353F" w:rsidP="00C13C48" w:rsidRDefault="00EE4581" w14:paraId="142548C4" w14:textId="77777777">
      <w:pPr>
        <w:pStyle w:val="Standard"/>
      </w:pPr>
      <w:r w:rsidRPr="00E12C1B">
        <w:t xml:space="preserve">The Commission </w:t>
      </w:r>
      <w:r w:rsidRPr="00E12C1B" w:rsidR="00C60CFC">
        <w:t xml:space="preserve">certified the Final Environmental Impact Report for the Alberhill </w:t>
      </w:r>
      <w:r w:rsidRPr="00E12C1B" w:rsidR="00602930">
        <w:t xml:space="preserve">System </w:t>
      </w:r>
      <w:r w:rsidRPr="00E12C1B" w:rsidR="00C60CFC">
        <w:t xml:space="preserve">Project </w:t>
      </w:r>
      <w:r w:rsidRPr="00E12C1B">
        <w:t xml:space="preserve">in 2018 (Decision 18-08-026), finding it </w:t>
      </w:r>
      <w:r w:rsidRPr="00E12C1B" w:rsidR="00C60CFC">
        <w:t>in compliance with the California Environmental Quality Act</w:t>
      </w:r>
      <w:r w:rsidRPr="00E12C1B">
        <w:t>.</w:t>
      </w:r>
      <w:r w:rsidRPr="00E12C1B" w:rsidR="00F073DF">
        <w:t xml:space="preserve">  This decision finds and certifies that the subsequent Addendum to the Final Environmental Impact Report</w:t>
      </w:r>
      <w:r w:rsidRPr="00E12C1B">
        <w:t xml:space="preserve"> </w:t>
      </w:r>
      <w:r w:rsidRPr="00E12C1B" w:rsidR="00F073DF">
        <w:t>meets the requirements of the California Environmental Quality Act</w:t>
      </w:r>
      <w:r w:rsidRPr="00E12C1B" w:rsidR="00C13C48">
        <w:t>.</w:t>
      </w:r>
      <w:r w:rsidR="000A4725">
        <w:t xml:space="preserve">  The Addendum affirms that </w:t>
      </w:r>
      <w:r w:rsidR="002C0CC3">
        <w:t>based on the analysis of the alternatives,</w:t>
      </w:r>
      <w:r w:rsidR="001D34C2">
        <w:t xml:space="preserve"> the</w:t>
      </w:r>
      <w:r w:rsidR="000A4725">
        <w:t xml:space="preserve"> Alberhill Sy</w:t>
      </w:r>
      <w:r w:rsidR="002C0CC3">
        <w:t>stem Project is the environmentally superior alternative</w:t>
      </w:r>
      <w:r w:rsidR="005E7147">
        <w:t>.</w:t>
      </w:r>
      <w:r w:rsidR="002C0CC3">
        <w:t xml:space="preserve"> </w:t>
      </w:r>
    </w:p>
    <w:p w:rsidRPr="00E12C1B" w:rsidR="00FB0FF9" w:rsidP="00C13C48" w:rsidRDefault="00FB0FF9" w14:paraId="75654F35" w14:textId="77777777">
      <w:pPr>
        <w:pStyle w:val="Standard"/>
      </w:pPr>
      <w:r>
        <w:t xml:space="preserve">The Alberhill System Project </w:t>
      </w:r>
      <w:r w:rsidR="00FB31A5">
        <w:t xml:space="preserve">will serve public convenience and necessity of </w:t>
      </w:r>
      <w:r w:rsidR="008E4814">
        <w:t>approximately 560,000 people</w:t>
      </w:r>
      <w:r>
        <w:t xml:space="preserve"> living in </w:t>
      </w:r>
      <w:r w:rsidR="0083518C">
        <w:t xml:space="preserve">the Valley South System, </w:t>
      </w:r>
      <w:r>
        <w:t xml:space="preserve">an area subject to extreme heat events in Southern California.  </w:t>
      </w:r>
      <w:r w:rsidR="0083518C">
        <w:t>The Alberhill System Project</w:t>
      </w:r>
      <w:r w:rsidR="00FB31A5">
        <w:t xml:space="preserve"> will increase the Valley South System’s capacity to meet customer load</w:t>
      </w:r>
      <w:r w:rsidR="005E7147">
        <w:t>.  Customer</w:t>
      </w:r>
      <w:r w:rsidR="00403477">
        <w:t>s</w:t>
      </w:r>
      <w:r w:rsidR="005E7147">
        <w:t xml:space="preserve"> will experience</w:t>
      </w:r>
      <w:r w:rsidR="00FB31A5">
        <w:t xml:space="preserve"> reliability and resilience </w:t>
      </w:r>
      <w:r w:rsidR="005E7147">
        <w:t xml:space="preserve">benefits </w:t>
      </w:r>
      <w:r w:rsidR="00FB31A5">
        <w:t xml:space="preserve">during maintenance, operational issues, and contingency events.  </w:t>
      </w:r>
      <w:r>
        <w:t xml:space="preserve">In light of the environmental impacts, the Commission finds that the capacity need, reliability need, and resilience need of the Valley South System are overriding considerations.  </w:t>
      </w:r>
    </w:p>
    <w:p w:rsidRPr="00E12C1B" w:rsidR="000843DA" w:rsidP="00C13C48" w:rsidRDefault="000843DA" w14:paraId="4A9C9372" w14:textId="77777777">
      <w:pPr>
        <w:pStyle w:val="Standard"/>
      </w:pPr>
      <w:r w:rsidRPr="00E12C1B">
        <w:t>This proceeding is closed.</w:t>
      </w:r>
    </w:p>
    <w:p w:rsidR="002C7FE9" w:rsidP="00A9398A" w:rsidRDefault="002C7FE9" w14:paraId="73D16B88" w14:textId="77777777">
      <w:pPr>
        <w:pStyle w:val="Heading1"/>
        <w:numPr>
          <w:ilvl w:val="0"/>
          <w:numId w:val="1"/>
        </w:numPr>
        <w:rPr>
          <w:rFonts w:cs="Arial"/>
        </w:rPr>
      </w:pPr>
      <w:bookmarkStart w:name="_Toc8123715" w:id="4"/>
      <w:bookmarkStart w:name="_Toc225410153" w:id="5"/>
      <w:r w:rsidRPr="001D29C4">
        <w:rPr>
          <w:rFonts w:cs="Arial"/>
        </w:rPr>
        <w:t>Background</w:t>
      </w:r>
      <w:bookmarkEnd w:id="4"/>
      <w:bookmarkEnd w:id="5"/>
    </w:p>
    <w:p w:rsidRPr="00906979" w:rsidR="00931C41" w:rsidP="00CD2DF8" w:rsidRDefault="00931C41" w14:paraId="4417288F" w14:textId="77777777">
      <w:pPr>
        <w:pStyle w:val="Heading2"/>
      </w:pPr>
      <w:bookmarkStart w:name="_Toc225410154" w:id="6"/>
      <w:r w:rsidRPr="00906979">
        <w:t>Procedural Background</w:t>
      </w:r>
      <w:bookmarkEnd w:id="6"/>
    </w:p>
    <w:p w:rsidR="008A3B4C" w:rsidP="008C3782" w:rsidRDefault="00922036" w14:paraId="477BBC02" w14:textId="77777777">
      <w:pPr>
        <w:pStyle w:val="Standard"/>
      </w:pPr>
      <w:r w:rsidRPr="00E12C1B">
        <w:t>On September 30, 2009, Southern California Edison</w:t>
      </w:r>
      <w:r w:rsidR="00403477">
        <w:t xml:space="preserve"> Company</w:t>
      </w:r>
      <w:r w:rsidRPr="00E12C1B">
        <w:t xml:space="preserve"> (SCE) filed Application (A.) 09-09-022 for</w:t>
      </w:r>
      <w:r w:rsidRPr="00E12C1B" w:rsidR="00BE2B89">
        <w:t xml:space="preserve"> a certificate of public convenience and necessity</w:t>
      </w:r>
      <w:r w:rsidRPr="00E12C1B">
        <w:t xml:space="preserve"> </w:t>
      </w:r>
      <w:r w:rsidRPr="00E12C1B" w:rsidR="00BE2B89">
        <w:lastRenderedPageBreak/>
        <w:t>(</w:t>
      </w:r>
      <w:r w:rsidRPr="00E12C1B">
        <w:t>CPCN</w:t>
      </w:r>
      <w:r w:rsidRPr="00E12C1B" w:rsidR="00BE2B89">
        <w:t>)</w:t>
      </w:r>
      <w:r w:rsidRPr="00E12C1B">
        <w:t xml:space="preserve"> to construct </w:t>
      </w:r>
      <w:r w:rsidRPr="00E12C1B" w:rsidR="005008B1">
        <w:t xml:space="preserve">the </w:t>
      </w:r>
      <w:bookmarkStart w:name="_Hlk218078506" w:id="7"/>
      <w:r w:rsidRPr="00E12C1B" w:rsidR="005008B1">
        <w:t xml:space="preserve">proposed Alberhill System Project </w:t>
      </w:r>
      <w:bookmarkEnd w:id="7"/>
      <w:r w:rsidRPr="00E12C1B" w:rsidR="005008B1">
        <w:t>(</w:t>
      </w:r>
      <w:r w:rsidRPr="00E12C1B" w:rsidR="000223FC">
        <w:t>Alberhill p</w:t>
      </w:r>
      <w:r w:rsidRPr="00E12C1B" w:rsidR="005008B1">
        <w:t>roject)</w:t>
      </w:r>
      <w:r w:rsidRPr="00E12C1B">
        <w:t xml:space="preserve">.  The </w:t>
      </w:r>
      <w:r w:rsidRPr="00E12C1B" w:rsidR="00512A66">
        <w:t>Alberhill p</w:t>
      </w:r>
      <w:r w:rsidRPr="00E12C1B" w:rsidR="00E03B25">
        <w:t>roject</w:t>
      </w:r>
      <w:r w:rsidRPr="00E12C1B">
        <w:t xml:space="preserve"> is related to two prior applications: A.07-01-03</w:t>
      </w:r>
      <w:r w:rsidR="00D93425">
        <w:t>1</w:t>
      </w:r>
      <w:r w:rsidRPr="00E12C1B">
        <w:t xml:space="preserve"> (the Valley-Ivyglen Sub</w:t>
      </w:r>
      <w:r w:rsidRPr="00E12C1B" w:rsidR="00197542">
        <w:noBreakHyphen/>
      </w:r>
      <w:r w:rsidRPr="00E12C1B">
        <w:t>transmission Line Project (V</w:t>
      </w:r>
      <w:r w:rsidRPr="00E12C1B" w:rsidR="00B24C03">
        <w:t>alley-Ivyglen</w:t>
      </w:r>
      <w:r w:rsidRPr="00E12C1B" w:rsidR="00E03B25">
        <w:t xml:space="preserve"> </w:t>
      </w:r>
      <w:r w:rsidRPr="00E12C1B" w:rsidR="00512A66">
        <w:t>p</w:t>
      </w:r>
      <w:r w:rsidRPr="00E12C1B" w:rsidR="00E03B25">
        <w:t>roject</w:t>
      </w:r>
      <w:r w:rsidRPr="00E12C1B">
        <w:t xml:space="preserve">)) and A.07-04-028 (Fogarty </w:t>
      </w:r>
      <w:r w:rsidRPr="00E12C1B" w:rsidR="00512A66">
        <w:t>p</w:t>
      </w:r>
      <w:r w:rsidRPr="00E12C1B">
        <w:t>roject).</w:t>
      </w:r>
      <w:r w:rsidRPr="00B669E0" w:rsidR="00E03B25">
        <w:rPr>
          <w:rStyle w:val="FootnoteReference"/>
          <w:sz w:val="22"/>
        </w:rPr>
        <w:footnoteReference w:id="2"/>
      </w:r>
      <w:r w:rsidRPr="00B669E0">
        <w:rPr>
          <w:sz w:val="22"/>
        </w:rPr>
        <w:t xml:space="preserve"> </w:t>
      </w:r>
      <w:r w:rsidRPr="00E12C1B">
        <w:t xml:space="preserve"> </w:t>
      </w:r>
    </w:p>
    <w:p w:rsidR="008A3B4C" w:rsidP="008C3782" w:rsidRDefault="008A3B4C" w14:paraId="70E86C32" w14:textId="77777777">
      <w:pPr>
        <w:pStyle w:val="Standard"/>
      </w:pPr>
      <w:r>
        <w:t xml:space="preserve">On March 12, 2010, SCE filed the </w:t>
      </w:r>
      <w:r>
        <w:rPr>
          <w:i/>
          <w:iCs/>
        </w:rPr>
        <w:t xml:space="preserve">Amendment to the Application of Southern California Edison Company for a Certificate of Public Convenience and Necessity for the Alberhill System Project </w:t>
      </w:r>
      <w:r>
        <w:t xml:space="preserve">(Amended Application), which contained amended sections of the Proponent’s Environmental Assessment (PEA).  </w:t>
      </w:r>
    </w:p>
    <w:p w:rsidRPr="00E12C1B" w:rsidR="00922036" w:rsidP="008C3782" w:rsidRDefault="00922036" w14:paraId="1F8BA158" w14:textId="77777777">
      <w:pPr>
        <w:pStyle w:val="Standard"/>
      </w:pPr>
      <w:r w:rsidRPr="00E12C1B">
        <w:t xml:space="preserve">Before the Energy Division was able to issue a Notice of Preparation of an </w:t>
      </w:r>
      <w:r w:rsidRPr="00E12C1B" w:rsidR="00E03B25">
        <w:t>Environmental Impact Report (</w:t>
      </w:r>
      <w:r w:rsidRPr="00E12C1B">
        <w:t>EIR</w:t>
      </w:r>
      <w:r w:rsidRPr="00E12C1B" w:rsidR="00E03B25">
        <w:t>)</w:t>
      </w:r>
      <w:r w:rsidRPr="00E12C1B">
        <w:t xml:space="preserve"> for the </w:t>
      </w:r>
      <w:r w:rsidRPr="00E12C1B" w:rsidR="00512A66">
        <w:t>Alberhill</w:t>
      </w:r>
      <w:r w:rsidRPr="00E12C1B" w:rsidR="00E03B25">
        <w:t xml:space="preserve"> </w:t>
      </w:r>
      <w:r w:rsidRPr="00E12C1B" w:rsidR="00512A66">
        <w:t>p</w:t>
      </w:r>
      <w:r w:rsidRPr="00E12C1B" w:rsidR="00E03B25">
        <w:t>roject</w:t>
      </w:r>
      <w:r w:rsidRPr="00E12C1B">
        <w:t xml:space="preserve">, SCE petitioned </w:t>
      </w:r>
      <w:r w:rsidRPr="00E12C1B" w:rsidR="00E03B25">
        <w:t>to modify</w:t>
      </w:r>
      <w:r w:rsidRPr="00E12C1B">
        <w:t xml:space="preserve"> the V</w:t>
      </w:r>
      <w:r w:rsidRPr="00E12C1B" w:rsidR="00B24C03">
        <w:t xml:space="preserve">alley-Ivyglen </w:t>
      </w:r>
      <w:r w:rsidRPr="00E12C1B" w:rsidR="00512A66">
        <w:t>p</w:t>
      </w:r>
      <w:r w:rsidRPr="00E12C1B">
        <w:t>roject</w:t>
      </w:r>
      <w:r w:rsidR="00205B40">
        <w:t>.</w:t>
      </w:r>
      <w:r w:rsidRPr="00E12C1B">
        <w:t xml:space="preserve"> </w:t>
      </w:r>
      <w:r w:rsidR="00205B40">
        <w:t xml:space="preserve"> O</w:t>
      </w:r>
      <w:r w:rsidRPr="00E12C1B">
        <w:t>n May 23, 2014, SCE filed an amendment to its petition.</w:t>
      </w:r>
      <w:r w:rsidRPr="00B669E0">
        <w:rPr>
          <w:rStyle w:val="FootnoteReference"/>
          <w:sz w:val="22"/>
        </w:rPr>
        <w:footnoteReference w:id="3"/>
      </w:r>
      <w:r w:rsidRPr="00B669E0">
        <w:rPr>
          <w:sz w:val="22"/>
        </w:rPr>
        <w:t xml:space="preserve"> </w:t>
      </w:r>
      <w:r w:rsidRPr="00E12C1B">
        <w:t xml:space="preserve"> </w:t>
      </w:r>
      <w:r w:rsidRPr="00E12C1B" w:rsidR="00E03B25">
        <w:t xml:space="preserve">The Commission’s </w:t>
      </w:r>
      <w:r w:rsidRPr="00E12C1B">
        <w:t xml:space="preserve">Energy Division consolidated the environmental review of </w:t>
      </w:r>
      <w:r w:rsidRPr="00E12C1B" w:rsidR="00E03B25">
        <w:t xml:space="preserve">the </w:t>
      </w:r>
      <w:r w:rsidRPr="00E12C1B" w:rsidR="00512A66">
        <w:t>Alberhill</w:t>
      </w:r>
      <w:r w:rsidRPr="00E12C1B" w:rsidR="00E03B25">
        <w:t xml:space="preserve"> </w:t>
      </w:r>
      <w:r w:rsidRPr="00E12C1B" w:rsidR="00512A66">
        <w:t>p</w:t>
      </w:r>
      <w:r w:rsidRPr="00E12C1B" w:rsidR="00E03B25">
        <w:t xml:space="preserve">roject </w:t>
      </w:r>
      <w:r w:rsidRPr="00E12C1B">
        <w:t xml:space="preserve">and </w:t>
      </w:r>
      <w:r w:rsidR="008A3B4C">
        <w:t xml:space="preserve">the </w:t>
      </w:r>
      <w:r w:rsidRPr="00E12C1B">
        <w:t>modified V</w:t>
      </w:r>
      <w:r w:rsidRPr="00E12C1B" w:rsidR="00B24C03">
        <w:t>alley-Iv</w:t>
      </w:r>
      <w:r w:rsidR="00D93425">
        <w:t>y</w:t>
      </w:r>
      <w:r w:rsidRPr="00E12C1B" w:rsidR="00B24C03">
        <w:t>glen</w:t>
      </w:r>
      <w:r w:rsidRPr="00E12C1B">
        <w:t xml:space="preserve"> </w:t>
      </w:r>
      <w:r w:rsidRPr="00E12C1B" w:rsidR="00512A66">
        <w:t>p</w:t>
      </w:r>
      <w:r w:rsidRPr="00E12C1B">
        <w:t xml:space="preserve">roject given that components of the </w:t>
      </w:r>
      <w:r w:rsidR="00D93425">
        <w:t>Valley-Ivyglen p</w:t>
      </w:r>
      <w:r w:rsidRPr="00E12C1B">
        <w:t xml:space="preserve">roject are required for construction of the </w:t>
      </w:r>
      <w:r w:rsidRPr="00E12C1B" w:rsidR="00512A66">
        <w:t>Alberhill</w:t>
      </w:r>
      <w:r w:rsidRPr="00E12C1B" w:rsidR="00E03B25">
        <w:t xml:space="preserve"> </w:t>
      </w:r>
      <w:r w:rsidRPr="00E12C1B" w:rsidR="00512A66">
        <w:t>p</w:t>
      </w:r>
      <w:r w:rsidRPr="00E12C1B" w:rsidR="00E03B25">
        <w:t>roject</w:t>
      </w:r>
      <w:r w:rsidRPr="00E12C1B">
        <w:t>.</w:t>
      </w:r>
    </w:p>
    <w:p w:rsidRPr="00E12C1B" w:rsidR="007704FB" w:rsidP="008C3782" w:rsidRDefault="001D34C2" w14:paraId="4AB96517" w14:textId="77777777">
      <w:pPr>
        <w:pStyle w:val="Standard"/>
      </w:pPr>
      <w:r>
        <w:t>O</w:t>
      </w:r>
      <w:r w:rsidRPr="00E12C1B">
        <w:t>n May 6, 2015</w:t>
      </w:r>
      <w:r>
        <w:t xml:space="preserve">, </w:t>
      </w:r>
      <w:r w:rsidRPr="00E12C1B" w:rsidR="00922036">
        <w:t>Energy Division issued a Notice of Preparation of EIR (State Clearinghouse No. 2008011082) pursuant to the California Environmental Quality Act (CEQA)</w:t>
      </w:r>
      <w:r w:rsidR="006540AF">
        <w:t>.  T</w:t>
      </w:r>
      <w:r w:rsidRPr="00E12C1B" w:rsidR="00922036">
        <w:t>he draft EIR</w:t>
      </w:r>
      <w:r w:rsidR="006540AF">
        <w:t xml:space="preserve"> was circulated for public comment</w:t>
      </w:r>
      <w:r w:rsidRPr="00E12C1B" w:rsidR="00922036">
        <w:t xml:space="preserve"> in April 2016</w:t>
      </w:r>
      <w:r w:rsidR="006540AF">
        <w:t xml:space="preserve">.   The </w:t>
      </w:r>
      <w:r>
        <w:t>F</w:t>
      </w:r>
      <w:r w:rsidRPr="00E12C1B" w:rsidR="00922036">
        <w:t>inal EIR</w:t>
      </w:r>
      <w:r w:rsidR="006540AF">
        <w:t xml:space="preserve"> with responses to public comments was pos</w:t>
      </w:r>
      <w:r>
        <w:t>t</w:t>
      </w:r>
      <w:r w:rsidR="006540AF">
        <w:t>ed on the Energy Division’s website for use in the proceeding</w:t>
      </w:r>
      <w:r w:rsidRPr="00E12C1B" w:rsidR="00922036">
        <w:t xml:space="preserve"> in April 2017.  Energy </w:t>
      </w:r>
      <w:r w:rsidRPr="00E12C1B" w:rsidR="00922036">
        <w:lastRenderedPageBreak/>
        <w:t>Division issued</w:t>
      </w:r>
      <w:r w:rsidR="006540AF">
        <w:t xml:space="preserve"> an</w:t>
      </w:r>
      <w:r w:rsidRPr="00E12C1B" w:rsidR="00922036">
        <w:t xml:space="preserve"> errata to the </w:t>
      </w:r>
      <w:r>
        <w:t>F</w:t>
      </w:r>
      <w:r w:rsidRPr="00E12C1B" w:rsidR="00922036">
        <w:t>inal EIR</w:t>
      </w:r>
      <w:r w:rsidR="006540AF">
        <w:t xml:space="preserve"> </w:t>
      </w:r>
      <w:r>
        <w:t>i</w:t>
      </w:r>
      <w:r w:rsidR="006540AF">
        <w:t>n February 2018 and a second errata in June 2018</w:t>
      </w:r>
      <w:r w:rsidRPr="00E12C1B" w:rsidR="00922036">
        <w:t>.</w:t>
      </w:r>
    </w:p>
    <w:p w:rsidR="00E33085" w:rsidP="007704FB" w:rsidRDefault="00922036" w14:paraId="4567FF11" w14:textId="77777777">
      <w:pPr>
        <w:pStyle w:val="Standard"/>
      </w:pPr>
      <w:r w:rsidRPr="00E12C1B">
        <w:t>The evidentiary hearing was held on October 17 through October 19 of 2017.  In 2018, after briefs and comments on proposed decisions, the Commission issued Decision (D.) 18-08-026.  D.18-08-026 certified the EIR</w:t>
      </w:r>
      <w:r w:rsidRPr="00B669E0">
        <w:rPr>
          <w:sz w:val="22"/>
        </w:rPr>
        <w:t xml:space="preserve"> </w:t>
      </w:r>
      <w:r w:rsidRPr="00E12C1B" w:rsidR="00836760">
        <w:t>as in compliance with CEQA</w:t>
      </w:r>
      <w:r w:rsidRPr="00B669E0" w:rsidR="007704FB">
        <w:rPr>
          <w:rStyle w:val="FootnoteReference"/>
          <w:sz w:val="22"/>
        </w:rPr>
        <w:footnoteReference w:id="4"/>
      </w:r>
      <w:r w:rsidRPr="00E12C1B" w:rsidR="00836760">
        <w:t xml:space="preserve"> </w:t>
      </w:r>
      <w:r w:rsidRPr="00E12C1B">
        <w:t>and granted modifications to the V</w:t>
      </w:r>
      <w:r w:rsidRPr="00E12C1B" w:rsidR="00B24C03">
        <w:t>alley-</w:t>
      </w:r>
      <w:r w:rsidRPr="00E12C1B">
        <w:t>I</w:t>
      </w:r>
      <w:r w:rsidRPr="00E12C1B" w:rsidR="00B24C03">
        <w:t>vyglen</w:t>
      </w:r>
      <w:r w:rsidRPr="00E12C1B">
        <w:t xml:space="preserve"> </w:t>
      </w:r>
      <w:r w:rsidR="007704FB">
        <w:t>p</w:t>
      </w:r>
      <w:r w:rsidRPr="00E12C1B">
        <w:t>roject</w:t>
      </w:r>
      <w:r w:rsidRPr="00E12C1B" w:rsidR="00836760">
        <w:t xml:space="preserve">.  </w:t>
      </w:r>
      <w:r w:rsidRPr="00E12C1B" w:rsidR="00864F13">
        <w:t>D.18-08-026 closed the proceedings regarding the V</w:t>
      </w:r>
      <w:r w:rsidRPr="00E12C1B" w:rsidR="00B24C03">
        <w:t>alley-Ivyglen</w:t>
      </w:r>
      <w:r w:rsidRPr="00E12C1B" w:rsidR="00864F13">
        <w:t xml:space="preserve"> </w:t>
      </w:r>
      <w:r w:rsidR="007704FB">
        <w:t>p</w:t>
      </w:r>
      <w:r w:rsidRPr="00E12C1B" w:rsidR="00864F13">
        <w:t xml:space="preserve">roject and Fogarty </w:t>
      </w:r>
      <w:r w:rsidR="007704FB">
        <w:t>p</w:t>
      </w:r>
      <w:r w:rsidRPr="00E12C1B" w:rsidR="00197542">
        <w:t>roject and</w:t>
      </w:r>
      <w:r w:rsidRPr="00E12C1B" w:rsidR="00864F13">
        <w:t xml:space="preserve"> deconsolidated the </w:t>
      </w:r>
      <w:r w:rsidRPr="00E12C1B" w:rsidR="00512A66">
        <w:t>Alberhill p</w:t>
      </w:r>
      <w:r w:rsidRPr="00E12C1B" w:rsidR="00864F13">
        <w:t>roject from those two proceedings.</w:t>
      </w:r>
      <w:r w:rsidRPr="00B669E0" w:rsidR="00864F13">
        <w:rPr>
          <w:rStyle w:val="FootnoteReference"/>
          <w:sz w:val="22"/>
        </w:rPr>
        <w:footnoteReference w:id="5"/>
      </w:r>
    </w:p>
    <w:p w:rsidRPr="00E12C1B" w:rsidR="00BA4BC2" w:rsidP="00CD2DF8" w:rsidRDefault="00836760" w14:paraId="41B1159A" w14:textId="77777777">
      <w:pPr>
        <w:pStyle w:val="Standard"/>
      </w:pPr>
      <w:r w:rsidRPr="00E12C1B">
        <w:t>D.18-08-02</w:t>
      </w:r>
      <w:r w:rsidRPr="00E12C1B" w:rsidR="00864F13">
        <w:t>6</w:t>
      </w:r>
      <w:r w:rsidRPr="00E12C1B" w:rsidR="00922036">
        <w:t xml:space="preserve"> </w:t>
      </w:r>
      <w:r w:rsidRPr="00E12C1B">
        <w:t>ordered</w:t>
      </w:r>
      <w:r w:rsidRPr="00E12C1B" w:rsidR="00BA4BC2">
        <w:t xml:space="preserve"> </w:t>
      </w:r>
      <w:r w:rsidRPr="00E12C1B" w:rsidR="00864F13">
        <w:t xml:space="preserve">the following </w:t>
      </w:r>
      <w:r w:rsidRPr="00E12C1B" w:rsidR="00650EA3">
        <w:t>supplemental</w:t>
      </w:r>
      <w:r w:rsidRPr="00E12C1B" w:rsidR="00BA4BC2">
        <w:t xml:space="preserve"> analysis related to the </w:t>
      </w:r>
      <w:r w:rsidRPr="00E12C1B" w:rsidR="00512A66">
        <w:t>Alberhill</w:t>
      </w:r>
      <w:r w:rsidRPr="00E12C1B" w:rsidR="00BA4BC2">
        <w:t xml:space="preserve"> </w:t>
      </w:r>
      <w:r w:rsidRPr="00E12C1B" w:rsidR="00512A66">
        <w:t>p</w:t>
      </w:r>
      <w:r w:rsidRPr="00E12C1B" w:rsidR="00BA4BC2">
        <w:t>roject:</w:t>
      </w:r>
    </w:p>
    <w:p w:rsidRPr="00E12C1B" w:rsidR="00BA4BC2" w:rsidP="00DB2107" w:rsidRDefault="00BA4BC2" w14:paraId="41969A66"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Load forecast including industry accepted methods for estimating load growth and incorporating load reduction programs due to energy efficiency, demand response, and behind-the-meter generation;</w:t>
      </w:r>
    </w:p>
    <w:p w:rsidRPr="00E12C1B" w:rsidR="00BA4BC2" w:rsidP="00DB2107" w:rsidRDefault="00BA4BC2" w14:paraId="49AE12A5"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Identification of all sub</w:t>
      </w:r>
      <w:r w:rsidRPr="00E12C1B" w:rsidR="00197542">
        <w:rPr>
          <w:rFonts w:ascii="Book Antiqua" w:hAnsi="Book Antiqua"/>
        </w:rPr>
        <w:noBreakHyphen/>
      </w:r>
      <w:r w:rsidRPr="00E12C1B">
        <w:rPr>
          <w:rFonts w:ascii="Book Antiqua" w:hAnsi="Book Antiqua"/>
        </w:rPr>
        <w:t>transmission planning areas in the SCE system with similar reliability issues;</w:t>
      </w:r>
    </w:p>
    <w:p w:rsidRPr="00E12C1B" w:rsidR="00BA4BC2" w:rsidP="00DB2107" w:rsidRDefault="00BA4BC2" w14:paraId="360E2ABE"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A planning study that supports the project need</w:t>
      </w:r>
      <w:r w:rsidRPr="00E12C1B" w:rsidR="00197542">
        <w:rPr>
          <w:rFonts w:ascii="Book Antiqua" w:hAnsi="Book Antiqua"/>
        </w:rPr>
        <w:t>s</w:t>
      </w:r>
      <w:r w:rsidRPr="00E12C1B">
        <w:rPr>
          <w:rFonts w:ascii="Book Antiqua" w:hAnsi="Book Antiqua"/>
        </w:rPr>
        <w:t xml:space="preserve"> and includes applicable planning criteria and reliability standards;</w:t>
      </w:r>
    </w:p>
    <w:p w:rsidRPr="00E12C1B" w:rsidR="00BA4BC2" w:rsidP="00DB2107" w:rsidRDefault="00BA4BC2" w14:paraId="588A9CF4"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 xml:space="preserve">An analysis of several years of electric reliability performance for the Valley systems to demonstrate </w:t>
      </w:r>
      <w:r w:rsidR="0083518C">
        <w:rPr>
          <w:rFonts w:ascii="Book Antiqua" w:hAnsi="Book Antiqua"/>
        </w:rPr>
        <w:t xml:space="preserve">the </w:t>
      </w:r>
      <w:r w:rsidRPr="00E12C1B">
        <w:rPr>
          <w:rFonts w:ascii="Book Antiqua" w:hAnsi="Book Antiqua"/>
        </w:rPr>
        <w:t>existing customer service level;</w:t>
      </w:r>
    </w:p>
    <w:p w:rsidRPr="00E12C1B" w:rsidR="00BA4BC2" w:rsidP="00DB2107" w:rsidRDefault="00BA4BC2" w14:paraId="58B425FD"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 xml:space="preserve">An analysis of outages over the past </w:t>
      </w:r>
      <w:r w:rsidR="0083518C">
        <w:rPr>
          <w:rFonts w:ascii="Book Antiqua" w:hAnsi="Book Antiqua"/>
        </w:rPr>
        <w:t>five</w:t>
      </w:r>
      <w:r w:rsidRPr="00E12C1B">
        <w:rPr>
          <w:rFonts w:ascii="Book Antiqua" w:hAnsi="Book Antiqua"/>
        </w:rPr>
        <w:t xml:space="preserve"> years by root cause for the Valley South systems in comparison to SCE </w:t>
      </w:r>
      <w:r w:rsidRPr="00E12C1B">
        <w:rPr>
          <w:rFonts w:ascii="Book Antiqua" w:hAnsi="Book Antiqua"/>
        </w:rPr>
        <w:lastRenderedPageBreak/>
        <w:t>system average and to other sub</w:t>
      </w:r>
      <w:r w:rsidRPr="00E12C1B" w:rsidR="00197542">
        <w:rPr>
          <w:rFonts w:ascii="Book Antiqua" w:hAnsi="Book Antiqua"/>
        </w:rPr>
        <w:noBreakHyphen/>
      </w:r>
      <w:r w:rsidRPr="00E12C1B">
        <w:rPr>
          <w:rFonts w:ascii="Book Antiqua" w:hAnsi="Book Antiqua"/>
        </w:rPr>
        <w:t>transmission radial systems;</w:t>
      </w:r>
    </w:p>
    <w:p w:rsidRPr="00E12C1B" w:rsidR="00BA4BC2" w:rsidP="00DB2107" w:rsidRDefault="00BA4BC2" w14:paraId="12224397"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The forecasted impact of the proposed project on service reliability performance, using electric service reliability metrics where applicable;</w:t>
      </w:r>
    </w:p>
    <w:p w:rsidRPr="00E12C1B" w:rsidR="00BA4BC2" w:rsidP="00DB2107" w:rsidRDefault="00BA4BC2" w14:paraId="4787A1D1"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Cost/benefit analysis of several alternatives for:</w:t>
      </w:r>
    </w:p>
    <w:p w:rsidRPr="00E12C1B" w:rsidR="00BA4BC2" w:rsidP="00DB2107" w:rsidRDefault="003B0148" w14:paraId="39579DFA" w14:textId="77777777">
      <w:pPr>
        <w:pStyle w:val="sub1"/>
        <w:numPr>
          <w:ilvl w:val="0"/>
          <w:numId w:val="18"/>
        </w:numPr>
        <w:spacing w:after="120" w:line="240" w:lineRule="auto"/>
        <w:ind w:right="1440" w:hanging="180"/>
        <w:rPr>
          <w:rFonts w:ascii="Book Antiqua" w:hAnsi="Book Antiqua"/>
        </w:rPr>
      </w:pPr>
      <w:r>
        <w:rPr>
          <w:rFonts w:ascii="Book Antiqua" w:hAnsi="Book Antiqua"/>
        </w:rPr>
        <w:t>E</w:t>
      </w:r>
      <w:r w:rsidRPr="00E12C1B" w:rsidR="00BA4BC2">
        <w:rPr>
          <w:rFonts w:ascii="Book Antiqua" w:hAnsi="Book Antiqua"/>
        </w:rPr>
        <w:t>nhancing reliability</w:t>
      </w:r>
      <w:r>
        <w:rPr>
          <w:rFonts w:ascii="Book Antiqua" w:hAnsi="Book Antiqua"/>
        </w:rPr>
        <w:t>; and</w:t>
      </w:r>
    </w:p>
    <w:p w:rsidRPr="00E12C1B" w:rsidR="00BA4BC2" w:rsidP="00DB2107" w:rsidRDefault="003B0148" w14:paraId="71544B7F" w14:textId="77777777">
      <w:pPr>
        <w:pStyle w:val="sub1"/>
        <w:numPr>
          <w:ilvl w:val="0"/>
          <w:numId w:val="18"/>
        </w:numPr>
        <w:spacing w:after="120" w:line="240" w:lineRule="auto"/>
        <w:ind w:right="1440" w:hanging="180"/>
        <w:rPr>
          <w:rFonts w:ascii="Book Antiqua" w:hAnsi="Book Antiqua"/>
        </w:rPr>
      </w:pPr>
      <w:r>
        <w:rPr>
          <w:rFonts w:ascii="Book Antiqua" w:hAnsi="Book Antiqua"/>
        </w:rPr>
        <w:t>P</w:t>
      </w:r>
      <w:r w:rsidRPr="00E12C1B" w:rsidR="00BA4BC2">
        <w:rPr>
          <w:rFonts w:ascii="Book Antiqua" w:hAnsi="Book Antiqua"/>
        </w:rPr>
        <w:t>roviding additional capacity</w:t>
      </w:r>
      <w:r w:rsidR="0083518C">
        <w:rPr>
          <w:rFonts w:ascii="Book Antiqua" w:hAnsi="Book Antiqua"/>
        </w:rPr>
        <w:t>,</w:t>
      </w:r>
      <w:r w:rsidRPr="00E12C1B" w:rsidR="00BA4BC2">
        <w:rPr>
          <w:rFonts w:ascii="Book Antiqua" w:hAnsi="Book Antiqua"/>
        </w:rPr>
        <w:t xml:space="preserve"> including evaluation of energy storage, distributed energy resources, demand response or smart-grid solutions;</w:t>
      </w:r>
    </w:p>
    <w:p w:rsidRPr="00E12C1B" w:rsidR="00BA4BC2" w:rsidP="00DB2107" w:rsidRDefault="00BA4BC2" w14:paraId="49E13282"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 xml:space="preserve">Identify capital investments or operational changes effectuated to address reliability issues in the absence of construction of </w:t>
      </w:r>
      <w:r w:rsidR="00EF3302">
        <w:rPr>
          <w:rFonts w:ascii="Book Antiqua" w:hAnsi="Book Antiqua"/>
        </w:rPr>
        <w:t xml:space="preserve">the </w:t>
      </w:r>
      <w:r w:rsidRPr="00E12C1B">
        <w:rPr>
          <w:rFonts w:ascii="Book Antiqua" w:hAnsi="Book Antiqua"/>
        </w:rPr>
        <w:t>Alberhill Substation and associated costs for such actions;</w:t>
      </w:r>
    </w:p>
    <w:p w:rsidRPr="00E12C1B" w:rsidR="00BA4BC2" w:rsidP="00DB2107" w:rsidRDefault="00BA4BC2" w14:paraId="5F5B8A4E" w14:textId="77777777">
      <w:pPr>
        <w:pStyle w:val="sub1"/>
        <w:numPr>
          <w:ilvl w:val="0"/>
          <w:numId w:val="10"/>
        </w:numPr>
        <w:spacing w:after="120" w:line="240" w:lineRule="auto"/>
        <w:ind w:left="1080" w:right="1440"/>
        <w:rPr>
          <w:rFonts w:ascii="Book Antiqua" w:hAnsi="Book Antiqua"/>
        </w:rPr>
      </w:pPr>
      <w:r w:rsidRPr="00E12C1B">
        <w:rPr>
          <w:rFonts w:ascii="Book Antiqua" w:hAnsi="Book Antiqua"/>
        </w:rPr>
        <w:t>Detailed justification of the recommended solution as the best solution, including an explanation of how the proposed project ranks in the SCE capital investment portfolio of infrastructure upgrades.</w:t>
      </w:r>
      <w:r w:rsidRPr="00B669E0">
        <w:rPr>
          <w:rStyle w:val="FootnoteReference"/>
          <w:rFonts w:ascii="Book Antiqua" w:hAnsi="Book Antiqua"/>
          <w:sz w:val="22"/>
          <w:szCs w:val="22"/>
        </w:rPr>
        <w:footnoteReference w:id="6"/>
      </w:r>
    </w:p>
    <w:p w:rsidRPr="00E12C1B" w:rsidR="00922036" w:rsidP="008C3782" w:rsidRDefault="00922036" w14:paraId="55D5AD73" w14:textId="77777777">
      <w:pPr>
        <w:pStyle w:val="Standard"/>
      </w:pPr>
      <w:r w:rsidRPr="00E12C1B">
        <w:t xml:space="preserve">On October 1, 2018, </w:t>
      </w:r>
      <w:r w:rsidRPr="00E12C1B" w:rsidR="00BE2B89">
        <w:t xml:space="preserve">City of </w:t>
      </w:r>
      <w:r w:rsidRPr="00E12C1B">
        <w:t xml:space="preserve">Lake Elsinore and </w:t>
      </w:r>
      <w:r w:rsidRPr="00E12C1B" w:rsidR="00BE2B89">
        <w:t>Forest Residents Opposing New Transmission Lines (Frontlines)</w:t>
      </w:r>
      <w:r w:rsidRPr="00E12C1B">
        <w:t xml:space="preserve"> filed applications for rehearing of D.18</w:t>
      </w:r>
      <w:r w:rsidRPr="00E12C1B" w:rsidR="003D5D56">
        <w:noBreakHyphen/>
      </w:r>
      <w:r w:rsidRPr="00E12C1B">
        <w:t>08</w:t>
      </w:r>
      <w:r w:rsidRPr="00E12C1B" w:rsidR="003D5D56">
        <w:noBreakHyphen/>
      </w:r>
      <w:r w:rsidRPr="00E12C1B">
        <w:t xml:space="preserve">026. </w:t>
      </w:r>
      <w:r w:rsidRPr="00E12C1B" w:rsidR="00BA4BC2">
        <w:t xml:space="preserve"> </w:t>
      </w:r>
      <w:r w:rsidRPr="00E12C1B">
        <w:t>On October 16, 2018, SCE filed a response.  On December 13, 2018, the Commission issued D.18-12-031 denying the applications for rehearing.  D.18</w:t>
      </w:r>
      <w:r w:rsidRPr="00E12C1B" w:rsidR="003D5D56">
        <w:noBreakHyphen/>
      </w:r>
      <w:r w:rsidRPr="00E12C1B">
        <w:t>12</w:t>
      </w:r>
      <w:r w:rsidRPr="00E12C1B" w:rsidR="003D5D56">
        <w:noBreakHyphen/>
      </w:r>
      <w:r w:rsidRPr="00E12C1B">
        <w:t xml:space="preserve">031 made minor modifications to D.18-08-026 to reiterate the Commission’s future consideration of the </w:t>
      </w:r>
      <w:r w:rsidRPr="00E12C1B" w:rsidR="00512A66">
        <w:t>Alberhill</w:t>
      </w:r>
      <w:r w:rsidRPr="00E12C1B">
        <w:t xml:space="preserve"> </w:t>
      </w:r>
      <w:r w:rsidRPr="00E12C1B" w:rsidR="00512A66">
        <w:t>p</w:t>
      </w:r>
      <w:r w:rsidRPr="00E12C1B">
        <w:t xml:space="preserve">roject and </w:t>
      </w:r>
      <w:r w:rsidRPr="00E12C1B" w:rsidR="00BA4BC2">
        <w:t>compliance with CEQA</w:t>
      </w:r>
      <w:r w:rsidRPr="00E12C1B">
        <w:t>.</w:t>
      </w:r>
    </w:p>
    <w:p w:rsidRPr="00E12C1B" w:rsidR="005D7141" w:rsidP="008C3782" w:rsidRDefault="00BA4BC2" w14:paraId="016BE9D3" w14:textId="77777777">
      <w:pPr>
        <w:pStyle w:val="Standard"/>
      </w:pPr>
      <w:r w:rsidRPr="00E12C1B">
        <w:lastRenderedPageBreak/>
        <w:t>On May 11, 2020</w:t>
      </w:r>
      <w:r w:rsidRPr="00E12C1B" w:rsidR="00197542">
        <w:t>,</w:t>
      </w:r>
      <w:r w:rsidRPr="00E12C1B" w:rsidR="00922036">
        <w:t xml:space="preserve"> SCE filed a motion to supplement the record</w:t>
      </w:r>
      <w:r w:rsidRPr="00E12C1B">
        <w:t>.</w:t>
      </w:r>
      <w:r w:rsidRPr="00E12C1B" w:rsidR="00922036">
        <w:t xml:space="preserve"> </w:t>
      </w:r>
      <w:r w:rsidRPr="00E12C1B">
        <w:t xml:space="preserve"> </w:t>
      </w:r>
      <w:r w:rsidRPr="00E12C1B" w:rsidR="005D7141">
        <w:t>SCE amended the motion to supplement the record on February 1, 2021</w:t>
      </w:r>
      <w:r w:rsidRPr="00E12C1B" w:rsidR="00197542">
        <w:t>,</w:t>
      </w:r>
      <w:r w:rsidRPr="00E12C1B" w:rsidR="005D7141">
        <w:t xml:space="preserve"> and June</w:t>
      </w:r>
      <w:r w:rsidRPr="00E12C1B" w:rsidR="00197542">
        <w:t> </w:t>
      </w:r>
      <w:r w:rsidRPr="00E12C1B" w:rsidR="005D7141">
        <w:t>22,</w:t>
      </w:r>
      <w:r w:rsidR="006245A7">
        <w:t xml:space="preserve"> </w:t>
      </w:r>
      <w:r w:rsidRPr="00E12C1B" w:rsidR="005D7141">
        <w:t>2021.</w:t>
      </w:r>
      <w:r w:rsidR="00F030EA">
        <w:rPr>
          <w:rStyle w:val="FootnoteReference"/>
        </w:rPr>
        <w:footnoteReference w:id="7"/>
      </w:r>
    </w:p>
    <w:p w:rsidRPr="00E12C1B" w:rsidR="00922036" w:rsidP="008C3782" w:rsidRDefault="005D7141" w14:paraId="23F5FD59" w14:textId="77777777">
      <w:pPr>
        <w:pStyle w:val="Standard"/>
      </w:pPr>
      <w:r w:rsidRPr="00E12C1B">
        <w:t>Also o</w:t>
      </w:r>
      <w:r w:rsidRPr="00E12C1B" w:rsidR="00922036">
        <w:t xml:space="preserve">n May 11, 2020, SCE filed a </w:t>
      </w:r>
      <w:r w:rsidR="002A1C04">
        <w:rPr>
          <w:i/>
          <w:iCs/>
        </w:rPr>
        <w:t xml:space="preserve">Second Amended Application of Southern California Edison Company for a Certificate of Public Convenience and Necessity for the Alberhill System Project </w:t>
      </w:r>
      <w:r w:rsidR="002A1C04">
        <w:t>(</w:t>
      </w:r>
      <w:r w:rsidRPr="00E12C1B" w:rsidR="002A1C04">
        <w:t>Second Amended Application</w:t>
      </w:r>
      <w:r w:rsidR="002A1C04">
        <w:t xml:space="preserve">), which </w:t>
      </w:r>
      <w:r w:rsidR="00CD1EED">
        <w:t>included the</w:t>
      </w:r>
      <w:r w:rsidR="00206646">
        <w:t xml:space="preserve"> second</w:t>
      </w:r>
      <w:r w:rsidR="002A1C04">
        <w:t xml:space="preserve"> </w:t>
      </w:r>
      <w:r w:rsidR="00F24F36">
        <w:t>amended</w:t>
      </w:r>
      <w:r w:rsidRPr="00E12C1B" w:rsidR="00922036">
        <w:t xml:space="preserve"> PEA.  On June 10, 2020, </w:t>
      </w:r>
      <w:r w:rsidR="00206646">
        <w:t>t</w:t>
      </w:r>
      <w:r w:rsidRPr="00E12C1B" w:rsidR="00BA4BC2">
        <w:t xml:space="preserve">he Commission’s </w:t>
      </w:r>
      <w:r w:rsidRPr="00E12C1B">
        <w:t>Public Advocate’s Office</w:t>
      </w:r>
      <w:r w:rsidRPr="00E12C1B" w:rsidR="00BA4BC2">
        <w:t xml:space="preserve"> (</w:t>
      </w:r>
      <w:r w:rsidRPr="00E12C1B" w:rsidR="00922036">
        <w:t>Cal Advocates</w:t>
      </w:r>
      <w:r w:rsidRPr="00E12C1B" w:rsidR="00BA4BC2">
        <w:t>)</w:t>
      </w:r>
      <w:r w:rsidRPr="00E12C1B" w:rsidR="00922036">
        <w:t xml:space="preserve">, </w:t>
      </w:r>
      <w:r w:rsidRPr="00E12C1B" w:rsidR="00BA4BC2">
        <w:t>The Utility Reform Network (</w:t>
      </w:r>
      <w:r w:rsidRPr="00E12C1B" w:rsidR="00922036">
        <w:t>TURN</w:t>
      </w:r>
      <w:r w:rsidRPr="00E12C1B" w:rsidR="00BA4BC2">
        <w:t>)</w:t>
      </w:r>
      <w:r w:rsidRPr="00E12C1B" w:rsidR="00922036">
        <w:t>, and Frontlines</w:t>
      </w:r>
      <w:r w:rsidR="00206646">
        <w:t xml:space="preserve"> filed protests to the Second Amended Application</w:t>
      </w:r>
      <w:r w:rsidRPr="00E12C1B" w:rsidR="00922036">
        <w:t>. On June 22, 2020, SCE filed a reply to the protests.</w:t>
      </w:r>
    </w:p>
    <w:p w:rsidRPr="00E12C1B" w:rsidR="00922036" w:rsidP="008C3782" w:rsidRDefault="00922036" w14:paraId="2F0513EE" w14:textId="77777777">
      <w:pPr>
        <w:pStyle w:val="Standard"/>
      </w:pPr>
      <w:r w:rsidRPr="00E12C1B">
        <w:t>On August 18, 2020, the assigned Administrative Law Judge (ALJ) held a prehearing conference regarding th</w:t>
      </w:r>
      <w:r w:rsidR="00CD1EED">
        <w:t>e</w:t>
      </w:r>
      <w:r w:rsidRPr="00E12C1B">
        <w:t xml:space="preserve"> Second Amended Application.  On September 30, 2020, the assigned Commissioner issued a ruling amending the scoping memo.  This ruling also directed the Energy Division to review SCE’s </w:t>
      </w:r>
      <w:r w:rsidR="00206646">
        <w:t xml:space="preserve">second amended </w:t>
      </w:r>
      <w:r w:rsidRPr="00E12C1B">
        <w:t>PEA, including load forecasts, reliability for the Valley system, analysis of outages at the Valley South system, cost/benefit analysis for alternatives, and other relevant matters pursuant to CEQA.  As a result of its review, Energy Division issued a Staff Report on September 23, 2023.</w:t>
      </w:r>
      <w:r w:rsidR="00206646">
        <w:rPr>
          <w:rStyle w:val="FootnoteReference"/>
        </w:rPr>
        <w:footnoteReference w:id="8"/>
      </w:r>
    </w:p>
    <w:p w:rsidRPr="00E12C1B" w:rsidR="00922036" w:rsidP="008C3782" w:rsidRDefault="00922036" w14:paraId="70DA5335" w14:textId="77777777">
      <w:pPr>
        <w:pStyle w:val="Standard"/>
      </w:pPr>
      <w:r w:rsidRPr="00E12C1B">
        <w:t xml:space="preserve">With permission </w:t>
      </w:r>
      <w:r w:rsidR="002146D0">
        <w:t xml:space="preserve">from </w:t>
      </w:r>
      <w:r w:rsidRPr="00E12C1B">
        <w:t>the assigned ALJ,</w:t>
      </w:r>
      <w:r w:rsidR="002146D0">
        <w:t xml:space="preserve"> on June 2, 2023,</w:t>
      </w:r>
      <w:r w:rsidRPr="00E12C1B">
        <w:t xml:space="preserve"> SCE filed </w:t>
      </w:r>
      <w:r w:rsidR="008A3B4C">
        <w:t xml:space="preserve">the </w:t>
      </w:r>
      <w:r w:rsidR="008A3B4C">
        <w:rPr>
          <w:i/>
          <w:iCs/>
        </w:rPr>
        <w:t xml:space="preserve">Third Amended Application of Southern California Edison Company for a Certificate of </w:t>
      </w:r>
      <w:r w:rsidR="008A3B4C">
        <w:rPr>
          <w:i/>
          <w:iCs/>
        </w:rPr>
        <w:lastRenderedPageBreak/>
        <w:t xml:space="preserve">Public Convenience and Necessity for the Alberhill System Project </w:t>
      </w:r>
      <w:r w:rsidR="008A3B4C">
        <w:t>(</w:t>
      </w:r>
      <w:r w:rsidRPr="00E12C1B">
        <w:t>Third Amended Application</w:t>
      </w:r>
      <w:r w:rsidR="008A3B4C">
        <w:t>)</w:t>
      </w:r>
      <w:r w:rsidR="00A60231">
        <w:t>, which included the</w:t>
      </w:r>
      <w:r w:rsidRPr="00E12C1B">
        <w:t xml:space="preserve"> </w:t>
      </w:r>
      <w:r w:rsidR="008A3B4C">
        <w:t xml:space="preserve">third amended </w:t>
      </w:r>
      <w:r w:rsidRPr="00E12C1B">
        <w:t>PEA</w:t>
      </w:r>
      <w:r w:rsidR="00011C85">
        <w:t>.  The Third Amended Application addressed design changes</w:t>
      </w:r>
      <w:r w:rsidRPr="00E12C1B" w:rsidR="00650EA3">
        <w:t>.</w:t>
      </w:r>
      <w:r w:rsidRPr="00E12C1B">
        <w:t xml:space="preserve"> </w:t>
      </w:r>
      <w:r w:rsidRPr="00E12C1B" w:rsidR="00650EA3">
        <w:t xml:space="preserve"> </w:t>
      </w:r>
      <w:r w:rsidRPr="00E12C1B">
        <w:t>On July 3, 2023, Cal</w:t>
      </w:r>
      <w:r w:rsidRPr="00E12C1B" w:rsidR="003D5D56">
        <w:t> </w:t>
      </w:r>
      <w:r w:rsidRPr="00E12C1B">
        <w:t>Advocates filed a protest to SCE’s Third Amended Application.  On</w:t>
      </w:r>
      <w:r w:rsidRPr="00E12C1B" w:rsidR="00197542">
        <w:t> </w:t>
      </w:r>
      <w:r w:rsidRPr="00E12C1B">
        <w:t>July</w:t>
      </w:r>
      <w:r w:rsidRPr="00E12C1B" w:rsidR="00197542">
        <w:t> </w:t>
      </w:r>
      <w:r w:rsidRPr="00E12C1B">
        <w:t>13,</w:t>
      </w:r>
      <w:r w:rsidRPr="00E12C1B" w:rsidR="00197542">
        <w:t> </w:t>
      </w:r>
      <w:r w:rsidRPr="00E12C1B">
        <w:t>2023, SCE filed a reply to the protest.</w:t>
      </w:r>
    </w:p>
    <w:p w:rsidRPr="00E12C1B" w:rsidR="00922036" w:rsidP="008C3782" w:rsidRDefault="00922036" w14:paraId="02B7143A" w14:textId="77777777">
      <w:pPr>
        <w:pStyle w:val="Standard"/>
      </w:pPr>
      <w:r w:rsidRPr="00E12C1B">
        <w:t xml:space="preserve">On June 27, 2024, Energy Division published an Addendum to the </w:t>
      </w:r>
      <w:r w:rsidR="00554B5B">
        <w:t>F</w:t>
      </w:r>
      <w:r w:rsidRPr="00E12C1B">
        <w:t>inal EIR (Addendum).</w:t>
      </w:r>
      <w:r w:rsidR="004F744D">
        <w:rPr>
          <w:rStyle w:val="FootnoteReference"/>
        </w:rPr>
        <w:footnoteReference w:id="9"/>
      </w:r>
      <w:r w:rsidRPr="00E12C1B">
        <w:t xml:space="preserve">  The Addendum incorporates and considers</w:t>
      </w:r>
      <w:r w:rsidRPr="00E12C1B" w:rsidR="00650EA3">
        <w:t xml:space="preserve"> SCE’s supplemental analysis required by D.18-08-026, </w:t>
      </w:r>
      <w:r w:rsidRPr="00E12C1B">
        <w:t>design changes in SCE’s Third Amended Application and PEA</w:t>
      </w:r>
      <w:r w:rsidRPr="00E12C1B" w:rsidR="00650EA3">
        <w:t>, and Energy Division’s Staff Report</w:t>
      </w:r>
      <w:r w:rsidRPr="00E12C1B">
        <w:t>.</w:t>
      </w:r>
    </w:p>
    <w:p w:rsidRPr="00E12C1B" w:rsidR="00922036" w:rsidP="008C3782" w:rsidRDefault="00922036" w14:paraId="448FA998" w14:textId="77777777">
      <w:pPr>
        <w:pStyle w:val="Standard"/>
      </w:pPr>
      <w:r w:rsidRPr="00E12C1B">
        <w:t>On September 27, 2024, the assigned ALJ held a prehearing conference.  SCE, TURN and Cal Advocates attended.</w:t>
      </w:r>
    </w:p>
    <w:p w:rsidR="000D6BC8" w:rsidP="008C3782" w:rsidRDefault="00922036" w14:paraId="566A12B9" w14:textId="77777777">
      <w:pPr>
        <w:pStyle w:val="Standard"/>
      </w:pPr>
      <w:r w:rsidRPr="00E12C1B">
        <w:t xml:space="preserve">On October 31, 2024, the assigned ALJ issued a ruling permitting limited discovery and service of supplemental testimony given the amount of time that has lapsed between the 2017 </w:t>
      </w:r>
      <w:r w:rsidR="00554B5B">
        <w:t>F</w:t>
      </w:r>
      <w:r w:rsidRPr="00E12C1B">
        <w:t xml:space="preserve">inal EIR and the 2024 Addendum to the </w:t>
      </w:r>
      <w:r w:rsidR="00554B5B">
        <w:t>F</w:t>
      </w:r>
      <w:r w:rsidRPr="00E12C1B">
        <w:t xml:space="preserve">inal EIR.  </w:t>
      </w:r>
      <w:r w:rsidR="00D74F21">
        <w:t>The parties served</w:t>
      </w:r>
      <w:r w:rsidRPr="00E12C1B">
        <w:t xml:space="preserve"> supplemental testimony in January and February of 2025</w:t>
      </w:r>
      <w:r w:rsidR="00D74F21">
        <w:t xml:space="preserve">. </w:t>
      </w:r>
      <w:r w:rsidRPr="00E12C1B">
        <w:t xml:space="preserve"> </w:t>
      </w:r>
    </w:p>
    <w:p w:rsidR="00554B5B" w:rsidP="008B72FD" w:rsidRDefault="00D74F21" w14:paraId="3E5D2045" w14:textId="77777777">
      <w:pPr>
        <w:pStyle w:val="Standard"/>
      </w:pPr>
      <w:r>
        <w:t>O</w:t>
      </w:r>
      <w:r w:rsidRPr="00E12C1B">
        <w:t>n March 14, 2025</w:t>
      </w:r>
      <w:r>
        <w:t xml:space="preserve">, </w:t>
      </w:r>
      <w:r w:rsidRPr="00E12C1B" w:rsidR="00922036">
        <w:t>TURN filed a motion for an evidentiary hearing.  On April</w:t>
      </w:r>
      <w:r w:rsidR="00B669E0">
        <w:t> </w:t>
      </w:r>
      <w:r w:rsidRPr="00E12C1B" w:rsidR="00922036">
        <w:t>1,</w:t>
      </w:r>
      <w:r w:rsidR="00B669E0">
        <w:t> </w:t>
      </w:r>
      <w:r w:rsidRPr="00E12C1B" w:rsidR="00922036">
        <w:t xml:space="preserve">2025, SCE responded.  On June 11, 2025, the assigned ALJ granted TURN’s motion for evidentiary hearing and </w:t>
      </w:r>
      <w:r w:rsidR="00C37A35">
        <w:t xml:space="preserve">amended </w:t>
      </w:r>
      <w:r w:rsidRPr="00E12C1B" w:rsidR="00922036">
        <w:t xml:space="preserve">the </w:t>
      </w:r>
      <w:r w:rsidR="00C37A35">
        <w:t xml:space="preserve">procedural </w:t>
      </w:r>
      <w:r w:rsidRPr="00E12C1B" w:rsidR="00922036">
        <w:t>schedule.  On June 26, 2025, the assigned ALJ extended the schedule to accommodate out-of-the office dates of counsel.  The evidentiary hearing was held on August 29, 2025.</w:t>
      </w:r>
      <w:r w:rsidR="00052DE6">
        <w:rPr>
          <w:rStyle w:val="FootnoteReference"/>
        </w:rPr>
        <w:footnoteReference w:id="10"/>
      </w:r>
      <w:r w:rsidRPr="00E12C1B" w:rsidR="00922036">
        <w:t xml:space="preserve">  </w:t>
      </w:r>
    </w:p>
    <w:p w:rsidR="00554B5B" w:rsidP="00554B5B" w:rsidRDefault="00554B5B" w14:paraId="15ABC179" w14:textId="77777777">
      <w:pPr>
        <w:pStyle w:val="Standard"/>
      </w:pPr>
      <w:r w:rsidRPr="000D6BC8">
        <w:lastRenderedPageBreak/>
        <w:t xml:space="preserve">Cal Advocates did not serve testimony </w:t>
      </w:r>
      <w:r>
        <w:t>or participate in the evidentiary hearing.  T</w:t>
      </w:r>
      <w:r w:rsidRPr="000D6BC8">
        <w:t xml:space="preserve">heir request to withdraw as a party, </w:t>
      </w:r>
      <w:r>
        <w:t xml:space="preserve">and instead </w:t>
      </w:r>
      <w:r w:rsidRPr="000D6BC8">
        <w:t>be identified as an “information only” entity on the service list, was granted on August 28, 2025.</w:t>
      </w:r>
      <w:r>
        <w:rPr>
          <w:rStyle w:val="FootnoteReference"/>
        </w:rPr>
        <w:footnoteReference w:id="11"/>
      </w:r>
      <w:r>
        <w:t xml:space="preserve">  </w:t>
      </w:r>
    </w:p>
    <w:p w:rsidRPr="00E12C1B" w:rsidR="008B72FD" w:rsidP="008B72FD" w:rsidRDefault="00922036" w14:paraId="792A0097" w14:textId="77777777">
      <w:pPr>
        <w:pStyle w:val="Standard"/>
      </w:pPr>
      <w:r w:rsidRPr="00E12C1B">
        <w:t>Opening and reply briefs were filed on October 22, 2025</w:t>
      </w:r>
      <w:r w:rsidRPr="00E12C1B" w:rsidR="0047207B">
        <w:t>,</w:t>
      </w:r>
      <w:r w:rsidRPr="00E12C1B">
        <w:t xml:space="preserve"> and November 5, 2025, respectively.</w:t>
      </w:r>
    </w:p>
    <w:p w:rsidRPr="001D29C4" w:rsidR="0063491C" w:rsidP="00FA0A67" w:rsidRDefault="00C85D01" w14:paraId="5B65A58D" w14:textId="77777777">
      <w:pPr>
        <w:pStyle w:val="Heading2"/>
      </w:pPr>
      <w:bookmarkStart w:name="_Toc225410155" w:id="9"/>
      <w:r w:rsidRPr="001D29C4">
        <w:t xml:space="preserve">Alberhill System Project </w:t>
      </w:r>
      <w:r w:rsidRPr="001D29C4" w:rsidR="005E1232">
        <w:t>Background</w:t>
      </w:r>
      <w:bookmarkEnd w:id="9"/>
    </w:p>
    <w:p w:rsidRPr="00E12C1B" w:rsidR="00047F65" w:rsidP="009F3CF2" w:rsidRDefault="00A96FBE" w14:paraId="658D066F" w14:textId="77777777">
      <w:pPr>
        <w:pStyle w:val="Standard"/>
      </w:pPr>
      <w:r w:rsidRPr="00E12C1B">
        <w:t xml:space="preserve">SCE plans to locate the </w:t>
      </w:r>
      <w:r w:rsidRPr="00E12C1B" w:rsidR="00512A66">
        <w:t>Alberhill</w:t>
      </w:r>
      <w:r w:rsidRPr="00E12C1B">
        <w:t xml:space="preserve"> </w:t>
      </w:r>
      <w:r w:rsidRPr="00E12C1B" w:rsidR="00512A66">
        <w:t>p</w:t>
      </w:r>
      <w:r w:rsidRPr="00E12C1B">
        <w:t>roject north of Interstate 15</w:t>
      </w:r>
      <w:r w:rsidRPr="00E12C1B" w:rsidR="00185537">
        <w:t>,</w:t>
      </w:r>
      <w:r w:rsidRPr="00E12C1B">
        <w:t xml:space="preserve"> in unincorporated </w:t>
      </w:r>
      <w:r w:rsidRPr="00E12C1B" w:rsidR="00A9398A">
        <w:t xml:space="preserve">western Riverside County, Southern California to meet electricity system </w:t>
      </w:r>
      <w:r w:rsidRPr="00E12C1B">
        <w:t>needs</w:t>
      </w:r>
      <w:r w:rsidRPr="00E12C1B" w:rsidR="00EE6A90">
        <w:t xml:space="preserve"> within </w:t>
      </w:r>
      <w:r w:rsidRPr="00E12C1B" w:rsidR="00D86D3E">
        <w:t xml:space="preserve">a defined </w:t>
      </w:r>
      <w:r w:rsidRPr="00E12C1B" w:rsidR="00EE6A90">
        <w:t>Electrical Needs Area</w:t>
      </w:r>
      <w:r w:rsidR="00846664">
        <w:t>, shown in Appendix B of this decision</w:t>
      </w:r>
      <w:r w:rsidRPr="00E12C1B" w:rsidR="00A9398A">
        <w:t>.</w:t>
      </w:r>
      <w:r w:rsidRPr="00B669E0" w:rsidR="004C04EC">
        <w:rPr>
          <w:rStyle w:val="FootnoteReference"/>
          <w:sz w:val="22"/>
        </w:rPr>
        <w:footnoteReference w:id="12"/>
      </w:r>
      <w:r w:rsidRPr="00E12C1B" w:rsidR="00A9398A">
        <w:t xml:space="preserve">  </w:t>
      </w:r>
      <w:r w:rsidRPr="00E12C1B" w:rsidR="0074781C">
        <w:t xml:space="preserve">SCE </w:t>
      </w:r>
      <w:r w:rsidRPr="00E12C1B" w:rsidR="00185537">
        <w:t>states</w:t>
      </w:r>
      <w:r w:rsidRPr="00E12C1B" w:rsidR="0074781C">
        <w:t xml:space="preserve"> the E</w:t>
      </w:r>
      <w:r w:rsidR="003024D1">
        <w:t xml:space="preserve">lectrical </w:t>
      </w:r>
      <w:r w:rsidRPr="00E12C1B" w:rsidR="0074781C">
        <w:t>N</w:t>
      </w:r>
      <w:r w:rsidR="003024D1">
        <w:t xml:space="preserve">eeds </w:t>
      </w:r>
      <w:r w:rsidRPr="00E12C1B" w:rsidR="0074781C">
        <w:t>A</w:t>
      </w:r>
      <w:r w:rsidR="003024D1">
        <w:t>rea</w:t>
      </w:r>
      <w:r w:rsidRPr="00E12C1B" w:rsidR="0074781C">
        <w:t xml:space="preserve"> </w:t>
      </w:r>
      <w:r w:rsidRPr="00E12C1B" w:rsidR="00185537">
        <w:t>is</w:t>
      </w:r>
      <w:r w:rsidRPr="00E12C1B" w:rsidR="0074781C">
        <w:t xml:space="preserve"> the service area of the Valley South 115 kV System</w:t>
      </w:r>
      <w:r w:rsidRPr="00E12C1B" w:rsidR="0020109C">
        <w:t xml:space="preserve"> (Valley South System)</w:t>
      </w:r>
      <w:r w:rsidR="00C024FB">
        <w:t>, which</w:t>
      </w:r>
      <w:r w:rsidRPr="00E12C1B" w:rsidR="0020109C">
        <w:t xml:space="preserve"> </w:t>
      </w:r>
      <w:r w:rsidRPr="00E12C1B" w:rsidR="0074781C">
        <w:t>encompass</w:t>
      </w:r>
      <w:r w:rsidR="00C024FB">
        <w:t>es</w:t>
      </w:r>
      <w:r w:rsidRPr="00E12C1B" w:rsidR="0074781C">
        <w:t xml:space="preserve"> portions of southwestern Riverside County</w:t>
      </w:r>
      <w:r w:rsidRPr="00E12C1B" w:rsidR="00572A69">
        <w:t xml:space="preserve"> in the San Jacinto Region of SCE’s service territory.  The </w:t>
      </w:r>
      <w:r w:rsidR="00C03B5E">
        <w:t>Valley South System</w:t>
      </w:r>
      <w:r w:rsidRPr="00E12C1B" w:rsidR="0074781C">
        <w:t xml:space="preserve"> includ</w:t>
      </w:r>
      <w:r w:rsidRPr="00E12C1B" w:rsidR="00572A69">
        <w:t>es</w:t>
      </w:r>
      <w:r w:rsidRPr="00E12C1B" w:rsidR="0074781C">
        <w:t xml:space="preserve"> </w:t>
      </w:r>
      <w:r w:rsidR="00896093">
        <w:t xml:space="preserve">the </w:t>
      </w:r>
      <w:r w:rsidRPr="00E12C1B" w:rsidR="0074781C">
        <w:t>cities of Lake Elsinore, Ca</w:t>
      </w:r>
      <w:r w:rsidR="00846664">
        <w:t>n</w:t>
      </w:r>
      <w:r w:rsidRPr="00E12C1B" w:rsidR="0074781C">
        <w:t>yon Lake,</w:t>
      </w:r>
      <w:r w:rsidR="00B262A6">
        <w:t xml:space="preserve"> Perris,</w:t>
      </w:r>
      <w:r w:rsidR="00B262A6">
        <w:rPr>
          <w:rStyle w:val="FootnoteReference"/>
        </w:rPr>
        <w:footnoteReference w:id="13"/>
      </w:r>
      <w:r w:rsidRPr="00E12C1B" w:rsidR="0074781C">
        <w:t xml:space="preserve"> Menifee, Murrieta Hot Springs, Temecula, and Wildomar, as well as the surrounding unincorporated portions of Riverside County.</w:t>
      </w:r>
      <w:r w:rsidRPr="00B669E0" w:rsidR="00B87512">
        <w:rPr>
          <w:rStyle w:val="FootnoteReference"/>
          <w:sz w:val="22"/>
        </w:rPr>
        <w:footnoteReference w:id="14"/>
      </w:r>
      <w:r w:rsidR="009F3CF2">
        <w:t xml:space="preserve">  </w:t>
      </w:r>
      <w:r w:rsidRPr="00E12C1B" w:rsidR="009F3CF2">
        <w:t>The Valley South System serve</w:t>
      </w:r>
      <w:r w:rsidR="00C02CB1">
        <w:t>s</w:t>
      </w:r>
      <w:r w:rsidRPr="00E12C1B" w:rsidR="009F3CF2">
        <w:t xml:space="preserve"> approximately 187,000 metered customers, representing approximately 560,000 individuals, 6,000 of wh</w:t>
      </w:r>
      <w:r w:rsidR="00391362">
        <w:t>om</w:t>
      </w:r>
      <w:r w:rsidRPr="00E12C1B" w:rsidR="009F3CF2">
        <w:t xml:space="preserve"> are critical care customers.</w:t>
      </w:r>
      <w:r w:rsidRPr="00B669E0" w:rsidR="009F3CF2">
        <w:rPr>
          <w:rStyle w:val="FootnoteReference"/>
          <w:sz w:val="22"/>
        </w:rPr>
        <w:footnoteReference w:id="15"/>
      </w:r>
      <w:r w:rsidR="009F3CF2">
        <w:t xml:space="preserve">  </w:t>
      </w:r>
    </w:p>
    <w:p w:rsidRPr="00E12C1B" w:rsidR="00BD3260" w:rsidP="00221C11" w:rsidRDefault="00671FD1" w14:paraId="6E3CC5F6" w14:textId="77777777">
      <w:pPr>
        <w:pStyle w:val="Standard"/>
      </w:pPr>
      <w:r>
        <w:lastRenderedPageBreak/>
        <w:t>T</w:t>
      </w:r>
      <w:r w:rsidRPr="00E12C1B" w:rsidR="0020109C">
        <w:t>he load at Valley South System is managed by the Valley Substation</w:t>
      </w:r>
      <w:r w:rsidR="009F4156">
        <w:t>.  The Valley Substation serves both</w:t>
      </w:r>
      <w:r>
        <w:t xml:space="preserve"> </w:t>
      </w:r>
      <w:r w:rsidRPr="00E12C1B">
        <w:t>the Valley South</w:t>
      </w:r>
      <w:r>
        <w:t xml:space="preserve"> 115kV</w:t>
      </w:r>
      <w:r w:rsidRPr="00E12C1B">
        <w:t xml:space="preserve"> System and the Valley North 115 kV System (Valley North System)</w:t>
      </w:r>
      <w:r w:rsidRPr="00E12C1B" w:rsidR="0020109C">
        <w:t>.</w:t>
      </w:r>
      <w:r w:rsidRPr="00B669E0" w:rsidR="002312F5">
        <w:rPr>
          <w:rStyle w:val="FootnoteReference"/>
          <w:sz w:val="22"/>
        </w:rPr>
        <w:footnoteReference w:id="16"/>
      </w:r>
      <w:r w:rsidRPr="00B669E0" w:rsidR="00E56FF7">
        <w:rPr>
          <w:sz w:val="22"/>
        </w:rPr>
        <w:t xml:space="preserve"> </w:t>
      </w:r>
      <w:r w:rsidRPr="00E12C1B" w:rsidR="0074781C">
        <w:t xml:space="preserve"> </w:t>
      </w:r>
      <w:r w:rsidRPr="00E12C1B" w:rsidR="00C34A6A">
        <w:t xml:space="preserve">The Valley </w:t>
      </w:r>
      <w:r w:rsidRPr="00E12C1B" w:rsidR="003473F0">
        <w:t>S</w:t>
      </w:r>
      <w:r w:rsidRPr="00E12C1B" w:rsidR="00C34A6A">
        <w:t xml:space="preserve">ubstation is the only 500/115 kV substation serving electrical demand in the San Jacinto Region of southwestern Riverside County.  </w:t>
      </w:r>
      <w:bookmarkStart w:name="_Hlk216856801" w:id="11"/>
      <w:r w:rsidRPr="00E12C1B" w:rsidR="00BD3260">
        <w:t>The Valley Substation is SCE’s largest load-serving substation in total transformer capacity installed, total load served, and total population served.</w:t>
      </w:r>
      <w:r w:rsidRPr="00B669E0" w:rsidR="00BD3260">
        <w:rPr>
          <w:rStyle w:val="FootnoteReference"/>
          <w:sz w:val="22"/>
        </w:rPr>
        <w:footnoteReference w:id="17"/>
      </w:r>
      <w:r w:rsidRPr="00B669E0" w:rsidR="00BD3260">
        <w:rPr>
          <w:sz w:val="22"/>
        </w:rPr>
        <w:t xml:space="preserve">  </w:t>
      </w:r>
      <w:r w:rsidRPr="00E12C1B" w:rsidR="005A3148">
        <w:t>With</w:t>
      </w:r>
      <w:r w:rsidRPr="00E12C1B" w:rsidR="00BD3260">
        <w:t xml:space="preserve"> approximately 325,000 metered customers, the Valley Substation provides electricity to approximately 1,000,000 pe</w:t>
      </w:r>
      <w:r w:rsidR="009F3CF2">
        <w:t>ople</w:t>
      </w:r>
      <w:r w:rsidRPr="00E12C1B" w:rsidR="00BD3260">
        <w:t>.</w:t>
      </w:r>
      <w:r w:rsidRPr="00B669E0" w:rsidR="00BD3260">
        <w:rPr>
          <w:rStyle w:val="FootnoteReference"/>
          <w:sz w:val="22"/>
        </w:rPr>
        <w:footnoteReference w:id="18"/>
      </w:r>
      <w:r w:rsidR="00C02CB1">
        <w:t xml:space="preserve">  Additionally, the Valley Substation services the largest concentration of critical care and medical base-line customers in the SCE service territory.</w:t>
      </w:r>
      <w:r w:rsidR="004A0473">
        <w:rPr>
          <w:rStyle w:val="FootnoteReference"/>
        </w:rPr>
        <w:footnoteReference w:id="19"/>
      </w:r>
      <w:r w:rsidRPr="00E12C1B" w:rsidR="00BD3260">
        <w:t xml:space="preserve">  Compared to San Diego Gas </w:t>
      </w:r>
      <w:r w:rsidR="00933F51">
        <w:t>&amp;</w:t>
      </w:r>
      <w:r w:rsidRPr="00E12C1B" w:rsidR="00BD3260">
        <w:t xml:space="preserve"> Electric</w:t>
      </w:r>
      <w:r w:rsidR="00933F51">
        <w:t xml:space="preserve"> Company</w:t>
      </w:r>
      <w:r w:rsidRPr="00E12C1B" w:rsidR="00BD3260">
        <w:t>, the Valley Substation manages nearly 50 percent of the peak demand of SDG&amp;E’s entire system.</w:t>
      </w:r>
      <w:r w:rsidRPr="00B669E0" w:rsidR="00BD3260">
        <w:rPr>
          <w:rStyle w:val="FootnoteReference"/>
          <w:sz w:val="22"/>
        </w:rPr>
        <w:footnoteReference w:id="20"/>
      </w:r>
    </w:p>
    <w:bookmarkEnd w:id="11"/>
    <w:p w:rsidR="009F3CF2" w:rsidP="00281058" w:rsidRDefault="0020109C" w14:paraId="2C834EF4" w14:textId="77777777">
      <w:pPr>
        <w:pStyle w:val="Standard"/>
      </w:pPr>
      <w:r w:rsidRPr="00E12C1B">
        <w:t xml:space="preserve">The </w:t>
      </w:r>
      <w:r w:rsidRPr="00E12C1B" w:rsidR="00221C11">
        <w:t>Valley Substation has five 500/115 kV 560</w:t>
      </w:r>
      <w:r w:rsidR="00933F51">
        <w:t xml:space="preserve"> megavolt ampere (MVA)</w:t>
      </w:r>
      <w:r w:rsidRPr="00E12C1B" w:rsidR="00221C11">
        <w:t xml:space="preserve"> load-serving transformers, two for the Valley North System, two for the Valley South System, and a fifth spare transformer.  </w:t>
      </w:r>
      <w:r w:rsidR="00671FD1">
        <w:t xml:space="preserve">The spare transformer is required by SCE’s internal Transmission Planning Criteria Guidelines.  It states that all </w:t>
      </w:r>
      <w:r w:rsidR="00671FD1">
        <w:lastRenderedPageBreak/>
        <w:t>500/115 kV substations must have a three-phase transformer available for use in the event of transformer failure.</w:t>
      </w:r>
      <w:r w:rsidR="00671FD1">
        <w:rPr>
          <w:rStyle w:val="FootnoteReference"/>
        </w:rPr>
        <w:footnoteReference w:id="21"/>
      </w:r>
      <w:r w:rsidR="00671FD1">
        <w:t xml:space="preserve">  </w:t>
      </w:r>
    </w:p>
    <w:p w:rsidRPr="00E12C1B" w:rsidR="0020109C" w:rsidP="00281058" w:rsidRDefault="009F3CF2" w14:paraId="44789F5D" w14:textId="77777777">
      <w:pPr>
        <w:pStyle w:val="Standard"/>
      </w:pPr>
      <w:r>
        <w:t xml:space="preserve">An important difference between </w:t>
      </w:r>
      <w:r w:rsidR="00AC2907">
        <w:t>t</w:t>
      </w:r>
      <w:r w:rsidRPr="00E12C1B" w:rsidR="00221C11">
        <w:t xml:space="preserve">he </w:t>
      </w:r>
      <w:r w:rsidR="00AC2907">
        <w:t xml:space="preserve">Valley South System and the </w:t>
      </w:r>
      <w:r w:rsidRPr="00E12C1B" w:rsidR="00221C11">
        <w:t xml:space="preserve">Valley North System </w:t>
      </w:r>
      <w:r w:rsidR="00AC2907">
        <w:t>i</w:t>
      </w:r>
      <w:r w:rsidRPr="00E12C1B" w:rsidR="00221C11">
        <w:t>s tie-lines.</w:t>
      </w:r>
      <w:r w:rsidRPr="00B669E0" w:rsidR="00221C11">
        <w:rPr>
          <w:rStyle w:val="FootnoteReference"/>
          <w:sz w:val="22"/>
        </w:rPr>
        <w:footnoteReference w:id="22"/>
      </w:r>
      <w:r w:rsidR="00AC2907">
        <w:t xml:space="preserve">  Tie-lines allow for the transfer of customer demand from a system that is experiencing disturbances</w:t>
      </w:r>
      <w:r w:rsidR="009F4156">
        <w:t>,</w:t>
      </w:r>
      <w:r w:rsidR="00AC2907">
        <w:t xml:space="preserve"> </w:t>
      </w:r>
      <w:r w:rsidR="009F4156">
        <w:t xml:space="preserve">or demand that exceed transformer operating limits, </w:t>
      </w:r>
      <w:r w:rsidR="00AC2907">
        <w:t>to an adjacent system to relieve the burden on the affected system.</w:t>
      </w:r>
      <w:r w:rsidR="00AC2907">
        <w:rPr>
          <w:rStyle w:val="FootnoteReference"/>
        </w:rPr>
        <w:footnoteReference w:id="23"/>
      </w:r>
      <w:r w:rsidRPr="00B669E0" w:rsidR="00221C11">
        <w:rPr>
          <w:sz w:val="22"/>
        </w:rPr>
        <w:t xml:space="preserve"> </w:t>
      </w:r>
      <w:r w:rsidRPr="00E12C1B" w:rsidR="00221C11">
        <w:t xml:space="preserve"> </w:t>
      </w:r>
      <w:r w:rsidR="009F4156">
        <w:t>Without tie-lines</w:t>
      </w:r>
      <w:r w:rsidR="00933F51">
        <w:t xml:space="preserve"> to adjacent systems</w:t>
      </w:r>
      <w:r w:rsidR="009F4156">
        <w:t>, p</w:t>
      </w:r>
      <w:r w:rsidRPr="00E12C1B" w:rsidR="0020109C">
        <w:t>ower travels only one way, into the system, but not out.</w:t>
      </w:r>
      <w:r w:rsidRPr="00B669E0" w:rsidR="0020109C">
        <w:rPr>
          <w:rStyle w:val="FootnoteReference"/>
          <w:sz w:val="22"/>
        </w:rPr>
        <w:footnoteReference w:id="24"/>
      </w:r>
      <w:r w:rsidR="009F4156">
        <w:t xml:space="preserve">  The Valley North System has tie-lines</w:t>
      </w:r>
      <w:r w:rsidR="00933F51">
        <w:t xml:space="preserve"> to other adjacent systems</w:t>
      </w:r>
      <w:r w:rsidR="009F4156">
        <w:t>.  The Valley South System does not and cannot rely on other systems to relieve load</w:t>
      </w:r>
      <w:r w:rsidR="008A175A">
        <w:rPr>
          <w:rStyle w:val="FootnoteReference"/>
        </w:rPr>
        <w:footnoteReference w:id="25"/>
      </w:r>
      <w:r w:rsidR="009F4156">
        <w:t xml:space="preserve"> or provide electricity during disturbances.</w:t>
      </w:r>
      <w:r w:rsidRPr="00E12C1B" w:rsidR="00572A69">
        <w:t xml:space="preserve"> </w:t>
      </w:r>
      <w:r w:rsidRPr="00E12C1B" w:rsidR="005A3148">
        <w:t xml:space="preserve"> </w:t>
      </w:r>
    </w:p>
    <w:p w:rsidRPr="00E12C1B" w:rsidR="00A24CCD" w:rsidP="00883DC4" w:rsidRDefault="00C85D01" w14:paraId="62867984" w14:textId="77777777">
      <w:pPr>
        <w:pStyle w:val="Standard"/>
      </w:pPr>
      <w:r w:rsidRPr="00334E52">
        <w:t>The</w:t>
      </w:r>
      <w:r w:rsidRPr="00E12C1B">
        <w:t xml:space="preserve"> main components of the </w:t>
      </w:r>
      <w:r w:rsidRPr="00E12C1B" w:rsidR="00512A66">
        <w:t>Alberhill</w:t>
      </w:r>
      <w:r w:rsidRPr="00E12C1B" w:rsidR="006D54A2">
        <w:t xml:space="preserve"> </w:t>
      </w:r>
      <w:r w:rsidRPr="00E12C1B" w:rsidR="00512A66">
        <w:t>p</w:t>
      </w:r>
      <w:r w:rsidRPr="00E12C1B">
        <w:t xml:space="preserve">roject </w:t>
      </w:r>
      <w:r w:rsidR="009D5F18">
        <w:t>include construction of a new substation, transmission lines, sub-transmission lines and telecommunications equipment.</w:t>
      </w:r>
      <w:r w:rsidRPr="00B669E0">
        <w:rPr>
          <w:rStyle w:val="FootnoteReference"/>
          <w:sz w:val="22"/>
        </w:rPr>
        <w:footnoteReference w:id="26"/>
      </w:r>
    </w:p>
    <w:p w:rsidR="00270E3F" w:rsidP="00735943" w:rsidRDefault="00562BCF" w14:paraId="5BF0A8C6" w14:textId="77777777">
      <w:pPr>
        <w:pStyle w:val="Standard"/>
      </w:pPr>
      <w:r w:rsidRPr="00E12C1B">
        <w:t xml:space="preserve">The Third Amended Application </w:t>
      </w:r>
      <w:r w:rsidRPr="00E12C1B" w:rsidR="00E67C78">
        <w:t>differed</w:t>
      </w:r>
      <w:r w:rsidRPr="00E12C1B">
        <w:t xml:space="preserve"> from the </w:t>
      </w:r>
      <w:r w:rsidRPr="00E12C1B" w:rsidR="007825E0">
        <w:t xml:space="preserve">original </w:t>
      </w:r>
      <w:r w:rsidRPr="00E12C1B">
        <w:t xml:space="preserve">2009 application in that SCE proposes </w:t>
      </w:r>
      <w:r w:rsidRPr="00E12C1B" w:rsidR="00E67C78">
        <w:t xml:space="preserve">two </w:t>
      </w:r>
      <w:r w:rsidR="00B46AA5">
        <w:t>main changes</w:t>
      </w:r>
      <w:r w:rsidRPr="00E12C1B" w:rsidR="003C1BF6">
        <w:t xml:space="preserve">.  </w:t>
      </w:r>
      <w:r w:rsidRPr="00E12C1B" w:rsidR="00E67C78">
        <w:t xml:space="preserve">First, </w:t>
      </w:r>
      <w:r w:rsidRPr="00E12C1B" w:rsidR="003C1BF6">
        <w:t>SCE will</w:t>
      </w:r>
      <w:r w:rsidRPr="00E12C1B">
        <w:t xml:space="preserve"> incorporate air-insulated switchgear at the Alberhill Substation instead of gas-insulated switchgear.  </w:t>
      </w:r>
      <w:r w:rsidRPr="00E12C1B" w:rsidR="003C1BF6">
        <w:t>SCE states that t</w:t>
      </w:r>
      <w:r w:rsidRPr="00E12C1B">
        <w:t xml:space="preserve">he air-insulated switchgear for the Alberhill </w:t>
      </w:r>
      <w:r w:rsidRPr="00E12C1B" w:rsidR="00602930">
        <w:t>p</w:t>
      </w:r>
      <w:r w:rsidRPr="00E12C1B">
        <w:t>roject could reduce greenhouse gas emissions by approximately 75</w:t>
      </w:r>
      <w:r w:rsidRPr="00E12C1B" w:rsidR="005E1232">
        <w:t xml:space="preserve"> percent</w:t>
      </w:r>
      <w:r w:rsidRPr="00E12C1B">
        <w:t>.</w:t>
      </w:r>
      <w:r w:rsidRPr="003C148E">
        <w:rPr>
          <w:rStyle w:val="FootnoteReference"/>
          <w:sz w:val="22"/>
        </w:rPr>
        <w:footnoteReference w:id="27"/>
      </w:r>
      <w:r w:rsidRPr="00E12C1B">
        <w:t xml:space="preserve">  </w:t>
      </w:r>
      <w:r w:rsidRPr="00E12C1B" w:rsidR="00E67C78">
        <w:t xml:space="preserve">Second, </w:t>
      </w:r>
      <w:r w:rsidRPr="00E12C1B" w:rsidR="00E67C78">
        <w:lastRenderedPageBreak/>
        <w:t>SCE</w:t>
      </w:r>
      <w:r w:rsidRPr="00E12C1B">
        <w:t xml:space="preserve"> </w:t>
      </w:r>
      <w:r w:rsidRPr="00E12C1B" w:rsidR="003C1BF6">
        <w:t>proposes to</w:t>
      </w:r>
      <w:r w:rsidRPr="00E12C1B">
        <w:t xml:space="preserve"> leverage existing infrastructure and use helicopter construction to eliminate three of five transmission structure access roads.</w:t>
      </w:r>
      <w:r w:rsidRPr="003C148E">
        <w:rPr>
          <w:rStyle w:val="FootnoteReference"/>
          <w:sz w:val="22"/>
        </w:rPr>
        <w:footnoteReference w:id="28"/>
      </w:r>
      <w:r w:rsidRPr="00E12C1B" w:rsidR="00696281">
        <w:t xml:space="preserve">  SCE estimates </w:t>
      </w:r>
      <w:r w:rsidR="008B72FD">
        <w:t>construction of</w:t>
      </w:r>
      <w:r w:rsidRPr="00E12C1B" w:rsidR="00696281">
        <w:t xml:space="preserve"> the </w:t>
      </w:r>
      <w:r w:rsidRPr="00E12C1B" w:rsidR="00512A66">
        <w:t>Alberhill</w:t>
      </w:r>
      <w:r w:rsidRPr="00E12C1B" w:rsidR="00696281">
        <w:t xml:space="preserve"> </w:t>
      </w:r>
      <w:r w:rsidRPr="00E12C1B" w:rsidR="00512A66">
        <w:t>p</w:t>
      </w:r>
      <w:r w:rsidRPr="00E12C1B" w:rsidR="00696281">
        <w:t>roject will take approximately 3</w:t>
      </w:r>
      <w:r w:rsidR="005328A9">
        <w:t xml:space="preserve"> years</w:t>
      </w:r>
      <w:r w:rsidRPr="00E12C1B" w:rsidR="00696281">
        <w:t>.</w:t>
      </w:r>
      <w:r w:rsidRPr="003C148E" w:rsidR="00696281">
        <w:rPr>
          <w:rStyle w:val="FootnoteReference"/>
          <w:sz w:val="22"/>
        </w:rPr>
        <w:footnoteReference w:id="29"/>
      </w:r>
    </w:p>
    <w:p w:rsidR="008B72FD" w:rsidP="00FA0A67" w:rsidRDefault="008B72FD" w14:paraId="3A879C61" w14:textId="77777777">
      <w:pPr>
        <w:pStyle w:val="Heading1"/>
      </w:pPr>
      <w:bookmarkStart w:name="_Toc225410156" w:id="12"/>
      <w:r>
        <w:t>Submission Date</w:t>
      </w:r>
      <w:bookmarkEnd w:id="12"/>
    </w:p>
    <w:p w:rsidRPr="008B72FD" w:rsidR="008B72FD" w:rsidP="008B72FD" w:rsidRDefault="008B72FD" w14:paraId="7F871704" w14:textId="77777777">
      <w:pPr>
        <w:pStyle w:val="Standard"/>
      </w:pPr>
      <w:r>
        <w:t xml:space="preserve">This matter was submitted on January 27, 2026, </w:t>
      </w:r>
      <w:r w:rsidR="004D1285">
        <w:t xml:space="preserve">after reply briefs and </w:t>
      </w:r>
      <w:r>
        <w:t xml:space="preserve">upon the admission into the record </w:t>
      </w:r>
      <w:r w:rsidR="00E70B49">
        <w:t xml:space="preserve">the </w:t>
      </w:r>
      <w:r>
        <w:t>supplemental analysis required by D.18-08-026</w:t>
      </w:r>
      <w:r w:rsidR="000F606F">
        <w:t>.</w:t>
      </w:r>
      <w:r w:rsidR="000F606F">
        <w:rPr>
          <w:rStyle w:val="FootnoteReference"/>
        </w:rPr>
        <w:footnoteReference w:id="30"/>
      </w:r>
      <w:r>
        <w:t xml:space="preserve"> </w:t>
      </w:r>
    </w:p>
    <w:p w:rsidRPr="00C908DB" w:rsidR="00C908DB" w:rsidP="00FA0A67" w:rsidRDefault="00533D98" w14:paraId="7C8AF63A" w14:textId="77777777">
      <w:pPr>
        <w:pStyle w:val="Heading1"/>
        <w:rPr>
          <w:rFonts w:cs="Arial"/>
        </w:rPr>
      </w:pPr>
      <w:bookmarkStart w:name="_Toc225410157" w:id="13"/>
      <w:r>
        <w:rPr>
          <w:rFonts w:cs="Arial"/>
        </w:rPr>
        <w:t>Juri</w:t>
      </w:r>
      <w:r w:rsidR="00C908DB">
        <w:rPr>
          <w:rFonts w:cs="Arial"/>
        </w:rPr>
        <w:t>sdiction</w:t>
      </w:r>
      <w:bookmarkEnd w:id="13"/>
    </w:p>
    <w:p w:rsidRPr="005E7147" w:rsidR="005E7147" w:rsidP="00CD2DF8" w:rsidRDefault="005E7147" w14:paraId="7A14FFFC" w14:textId="77777777">
      <w:pPr>
        <w:pStyle w:val="Standard"/>
      </w:pPr>
      <w:r>
        <w:t>SCE is a public utility (U338E) providing electrical and gas services to customers in southern California, and is therefore subject to the Commission’s jurisdiction.</w:t>
      </w:r>
    </w:p>
    <w:p w:rsidR="00C908DB" w:rsidP="00FA0A67" w:rsidRDefault="00C908DB" w14:paraId="12AD5C90" w14:textId="77777777">
      <w:pPr>
        <w:pStyle w:val="Heading2"/>
      </w:pPr>
      <w:bookmarkStart w:name="_Toc225410158" w:id="14"/>
      <w:r>
        <w:t>CPCN/CEQA Process</w:t>
      </w:r>
      <w:bookmarkEnd w:id="14"/>
    </w:p>
    <w:p w:rsidR="00485E86" w:rsidRDefault="00C908DB" w14:paraId="1FC4B716" w14:textId="77777777">
      <w:pPr>
        <w:pStyle w:val="Standard"/>
      </w:pPr>
      <w:r>
        <w:t>In reviewing SCE’s request for approval of the Alberhill project, the Commission</w:t>
      </w:r>
      <w:r w:rsidR="001469BC">
        <w:t xml:space="preserve"> is responsible for both </w:t>
      </w:r>
      <w:r w:rsidR="00485E86">
        <w:t>administering the statutory duties of CEQA and fulfilling the statutory requirements related to a CPCN</w:t>
      </w:r>
      <w:r w:rsidR="0055700F">
        <w:t xml:space="preserve">.  </w:t>
      </w:r>
    </w:p>
    <w:p w:rsidR="00485E86" w:rsidRDefault="00485E86" w14:paraId="58B0985D" w14:textId="77777777">
      <w:pPr>
        <w:pStyle w:val="Standard"/>
      </w:pPr>
      <w:r>
        <w:t>The CEQA statute (Public Resources Code Section 21000 et seq.) and the CEQA Guidelines (California Code of Regulations, Title 14, Section 15000 et seq.) govern the CEQA process.  CEQA</w:t>
      </w:r>
      <w:r w:rsidRPr="00E12C1B">
        <w:t xml:space="preserve"> requires the lead agency responsible for </w:t>
      </w:r>
      <w:r>
        <w:t>reviewing</w:t>
      </w:r>
      <w:r w:rsidRPr="00E12C1B">
        <w:t xml:space="preserve"> the project conduct </w:t>
      </w:r>
      <w:r>
        <w:t>an initial study</w:t>
      </w:r>
      <w:r w:rsidRPr="00E12C1B">
        <w:t xml:space="preserve"> to identify environmental impacts of the proposed project and ways to avoid or reduce environmental harm.</w:t>
      </w:r>
      <w:r>
        <w:t xml:space="preserve">  The Commission is the lead agency.  Section 4 below summarizes the CEQA requirements and the analysis of the Alberhill project.   </w:t>
      </w:r>
      <w:r w:rsidRPr="00E12C1B">
        <w:t xml:space="preserve">  </w:t>
      </w:r>
      <w:r>
        <w:t xml:space="preserve">   </w:t>
      </w:r>
    </w:p>
    <w:p w:rsidRPr="00C908DB" w:rsidR="00C908DB" w:rsidP="00CD2DF8" w:rsidRDefault="00485E86" w14:paraId="09D20BAB" w14:textId="77777777">
      <w:pPr>
        <w:pStyle w:val="Standard"/>
      </w:pPr>
      <w:r>
        <w:lastRenderedPageBreak/>
        <w:t xml:space="preserve">The application for a CPCN is governed by </w:t>
      </w:r>
      <w:r w:rsidR="00952CEC">
        <w:t>Public Utilities (</w:t>
      </w:r>
      <w:r>
        <w:t>Pub. Util.</w:t>
      </w:r>
      <w:r w:rsidR="00952CEC">
        <w:t>)</w:t>
      </w:r>
      <w:r>
        <w:t xml:space="preserve"> Code Section 1001 et seq.  </w:t>
      </w:r>
      <w:r w:rsidR="001469BC">
        <w:t>B</w:t>
      </w:r>
      <w:r w:rsidR="0055700F">
        <w:t xml:space="preserve">efore SCE can construct the Alberhill project, the Commission </w:t>
      </w:r>
      <w:r w:rsidR="00C908DB">
        <w:t xml:space="preserve">must grant a CPCN on the grounds that the present or future public convenience and necessity require </w:t>
      </w:r>
      <w:r>
        <w:t xml:space="preserve">approval </w:t>
      </w:r>
      <w:r w:rsidR="00C908DB">
        <w:t>of the project.</w:t>
      </w:r>
      <w:r w:rsidR="00712A89">
        <w:rPr>
          <w:rStyle w:val="FootnoteReference"/>
        </w:rPr>
        <w:footnoteReference w:id="31"/>
      </w:r>
      <w:r w:rsidR="001469BC">
        <w:t xml:space="preserve">  </w:t>
      </w:r>
    </w:p>
    <w:p w:rsidRPr="001D29C4" w:rsidR="00047F65" w:rsidP="00FA0A67" w:rsidRDefault="00047F65" w14:paraId="5A165777" w14:textId="77777777">
      <w:pPr>
        <w:pStyle w:val="Heading1"/>
      </w:pPr>
      <w:bookmarkStart w:name="_Toc225410159" w:id="15"/>
      <w:r w:rsidRPr="001D29C4">
        <w:t>CEQA</w:t>
      </w:r>
      <w:r w:rsidRPr="001D29C4" w:rsidR="00EB412F">
        <w:t xml:space="preserve"> </w:t>
      </w:r>
      <w:r w:rsidRPr="001D29C4" w:rsidR="00B24C03">
        <w:t>Requirements</w:t>
      </w:r>
      <w:bookmarkEnd w:id="15"/>
    </w:p>
    <w:p w:rsidRPr="00E12C1B" w:rsidR="0047207B" w:rsidP="00DA0C69" w:rsidRDefault="00DA0C69" w14:paraId="262660D9" w14:textId="77777777">
      <w:pPr>
        <w:pStyle w:val="Standard"/>
      </w:pPr>
      <w:r w:rsidRPr="00E12C1B">
        <w:t>The Commission must prepare an EIR i</w:t>
      </w:r>
      <w:r w:rsidRPr="00E12C1B" w:rsidR="00912BF3">
        <w:t xml:space="preserve">f the </w:t>
      </w:r>
      <w:r w:rsidRPr="00E12C1B" w:rsidR="003B5952">
        <w:t>initial study</w:t>
      </w:r>
      <w:r w:rsidRPr="00E12C1B" w:rsidR="00912BF3">
        <w:t xml:space="preserve"> finds</w:t>
      </w:r>
      <w:r w:rsidRPr="00E12C1B" w:rsidR="003B5952">
        <w:t xml:space="preserve"> there is</w:t>
      </w:r>
      <w:r w:rsidRPr="00E12C1B" w:rsidR="0047207B">
        <w:t>:</w:t>
      </w:r>
    </w:p>
    <w:p w:rsidRPr="00E12C1B" w:rsidR="0047207B" w:rsidP="00DB2107" w:rsidRDefault="0047207B" w14:paraId="295E3EE6" w14:textId="77777777">
      <w:pPr>
        <w:pStyle w:val="Standard"/>
        <w:numPr>
          <w:ilvl w:val="0"/>
          <w:numId w:val="19"/>
        </w:numPr>
        <w:spacing w:after="120" w:line="240" w:lineRule="auto"/>
        <w:ind w:right="1440"/>
      </w:pPr>
      <w:r w:rsidRPr="00E12C1B">
        <w:t>S</w:t>
      </w:r>
      <w:r w:rsidRPr="00E12C1B" w:rsidR="003B5952">
        <w:t>ubstantial evidence that the project may have a significant effect on the environment</w:t>
      </w:r>
      <w:r w:rsidRPr="00E12C1B">
        <w:t xml:space="preserve">; </w:t>
      </w:r>
      <w:r w:rsidRPr="00E12C1B" w:rsidR="003B5952">
        <w:t>or</w:t>
      </w:r>
    </w:p>
    <w:p w:rsidRPr="00E12C1B" w:rsidR="003477DB" w:rsidP="00DB2107" w:rsidRDefault="0047207B" w14:paraId="1F9FBDC5" w14:textId="77777777">
      <w:pPr>
        <w:pStyle w:val="Standard"/>
        <w:numPr>
          <w:ilvl w:val="0"/>
          <w:numId w:val="19"/>
        </w:numPr>
        <w:spacing w:after="120" w:line="240" w:lineRule="auto"/>
        <w:ind w:right="1440"/>
      </w:pPr>
      <w:r w:rsidRPr="00E12C1B">
        <w:t>R</w:t>
      </w:r>
      <w:r w:rsidRPr="00E12C1B" w:rsidR="00912BF3">
        <w:t>evisions to</w:t>
      </w:r>
      <w:r w:rsidRPr="00E12C1B" w:rsidR="003B5952">
        <w:t xml:space="preserve"> the project plan </w:t>
      </w:r>
      <w:r w:rsidRPr="00E12C1B" w:rsidR="00912BF3">
        <w:t xml:space="preserve">cannot </w:t>
      </w:r>
      <w:r w:rsidRPr="00E12C1B" w:rsidR="003B5952">
        <w:t>reduce all project-related environmental impacts to less than significant levels.</w:t>
      </w:r>
    </w:p>
    <w:p w:rsidRPr="00E12C1B" w:rsidR="003477DB" w:rsidP="003477DB" w:rsidRDefault="00DA0C69" w14:paraId="4E3FFB98" w14:textId="77777777">
      <w:pPr>
        <w:pStyle w:val="Standard"/>
        <w:ind w:firstLine="1080"/>
      </w:pPr>
      <w:r w:rsidRPr="00E12C1B">
        <w:t xml:space="preserve">The EIR </w:t>
      </w:r>
      <w:r w:rsidR="0034087F">
        <w:t>states specific</w:t>
      </w:r>
      <w:r w:rsidRPr="00E12C1B">
        <w:t xml:space="preserve"> project objectives and CEQA requires evaluation of a</w:t>
      </w:r>
      <w:r w:rsidRPr="00E12C1B" w:rsidR="003477DB">
        <w:t xml:space="preserve"> </w:t>
      </w:r>
      <w:r w:rsidRPr="00E12C1B">
        <w:t>reasonable range of alternatives to the proposed project that would minimize or avoid significant environmental impacts</w:t>
      </w:r>
      <w:r w:rsidR="0034087F">
        <w:t xml:space="preserve"> while meeting the project objectives</w:t>
      </w:r>
      <w:r w:rsidRPr="00E12C1B">
        <w:t>.</w:t>
      </w:r>
      <w:r w:rsidRPr="003C148E">
        <w:rPr>
          <w:rStyle w:val="FootnoteReference"/>
          <w:sz w:val="22"/>
        </w:rPr>
        <w:footnoteReference w:id="32"/>
      </w:r>
      <w:r w:rsidRPr="003C148E">
        <w:rPr>
          <w:sz w:val="22"/>
        </w:rPr>
        <w:t xml:space="preserve"> </w:t>
      </w:r>
      <w:r w:rsidRPr="00E12C1B">
        <w:t xml:space="preserve"> The Commission must</w:t>
      </w:r>
      <w:r w:rsidRPr="00E12C1B" w:rsidR="007816C2">
        <w:t xml:space="preserve"> certify</w:t>
      </w:r>
      <w:r w:rsidRPr="00E12C1B" w:rsidR="008C19AC">
        <w:t xml:space="preserve"> the final EIR indicating</w:t>
      </w:r>
      <w:r w:rsidRPr="00E12C1B" w:rsidR="007816C2">
        <w:t xml:space="preserve"> that</w:t>
      </w:r>
      <w:r w:rsidRPr="00E12C1B" w:rsidR="003477DB">
        <w:t>:</w:t>
      </w:r>
    </w:p>
    <w:p w:rsidRPr="00E12C1B" w:rsidR="003477DB" w:rsidP="00DB2107" w:rsidRDefault="003477DB" w14:paraId="07A3C592" w14:textId="77777777">
      <w:pPr>
        <w:pStyle w:val="Standard"/>
        <w:numPr>
          <w:ilvl w:val="0"/>
          <w:numId w:val="11"/>
        </w:numPr>
        <w:spacing w:after="120" w:line="240" w:lineRule="auto"/>
        <w:ind w:left="1080" w:right="1440"/>
      </w:pPr>
      <w:r w:rsidRPr="00E12C1B">
        <w:t>T</w:t>
      </w:r>
      <w:r w:rsidRPr="00E12C1B" w:rsidR="007816C2">
        <w:t>he final EIR has been completed in compliance with CEQA</w:t>
      </w:r>
      <w:r w:rsidRPr="00E12C1B">
        <w:t>;</w:t>
      </w:r>
    </w:p>
    <w:p w:rsidRPr="00E12C1B" w:rsidR="003477DB" w:rsidP="00DB2107" w:rsidRDefault="003477DB" w14:paraId="30DF333A" w14:textId="77777777">
      <w:pPr>
        <w:pStyle w:val="Standard"/>
        <w:numPr>
          <w:ilvl w:val="0"/>
          <w:numId w:val="11"/>
        </w:numPr>
        <w:spacing w:after="120" w:line="240" w:lineRule="auto"/>
        <w:ind w:left="1080" w:right="1440"/>
      </w:pPr>
      <w:r w:rsidRPr="00E12C1B">
        <w:t>T</w:t>
      </w:r>
      <w:r w:rsidRPr="00E12C1B" w:rsidR="005B64A8">
        <w:t>hat the final EIR was presented to the decision-making body of the public agency</w:t>
      </w:r>
      <w:r w:rsidRPr="00E12C1B">
        <w:t>;</w:t>
      </w:r>
    </w:p>
    <w:p w:rsidRPr="00E12C1B" w:rsidR="003477DB" w:rsidP="00DB2107" w:rsidRDefault="003477DB" w14:paraId="7DBD12F4" w14:textId="77777777">
      <w:pPr>
        <w:pStyle w:val="Standard"/>
        <w:numPr>
          <w:ilvl w:val="0"/>
          <w:numId w:val="11"/>
        </w:numPr>
        <w:spacing w:after="120" w:line="240" w:lineRule="auto"/>
        <w:ind w:left="1080" w:right="1440"/>
      </w:pPr>
      <w:r w:rsidRPr="00E12C1B">
        <w:t>T</w:t>
      </w:r>
      <w:r w:rsidRPr="00E12C1B" w:rsidR="00E147AE">
        <w:t>hat the decision-making body reviewed and considered information contained in</w:t>
      </w:r>
      <w:r w:rsidRPr="00E12C1B" w:rsidR="003C69F6">
        <w:t xml:space="preserve"> </w:t>
      </w:r>
      <w:r w:rsidRPr="00E12C1B" w:rsidR="00393071">
        <w:t>the final EIR</w:t>
      </w:r>
      <w:r w:rsidRPr="00E12C1B">
        <w:t>;</w:t>
      </w:r>
      <w:r w:rsidRPr="00E12C1B" w:rsidR="00393071">
        <w:t xml:space="preserve"> and</w:t>
      </w:r>
    </w:p>
    <w:p w:rsidRPr="00E12C1B" w:rsidR="003477DB" w:rsidP="00DB2107" w:rsidRDefault="003477DB" w14:paraId="598D2781" w14:textId="77777777">
      <w:pPr>
        <w:pStyle w:val="Standard"/>
        <w:numPr>
          <w:ilvl w:val="0"/>
          <w:numId w:val="11"/>
        </w:numPr>
        <w:spacing w:after="120" w:line="240" w:lineRule="auto"/>
        <w:ind w:left="1080" w:right="1440"/>
      </w:pPr>
      <w:r w:rsidRPr="00E12C1B">
        <w:t>T</w:t>
      </w:r>
      <w:r w:rsidRPr="00E12C1B" w:rsidR="00393071">
        <w:t>hat the final EIR reflects the agency’s independent judgment and analysis.</w:t>
      </w:r>
      <w:r w:rsidRPr="003C148E" w:rsidR="00393071">
        <w:rPr>
          <w:rStyle w:val="FootnoteReference"/>
          <w:sz w:val="22"/>
        </w:rPr>
        <w:footnoteReference w:id="33"/>
      </w:r>
    </w:p>
    <w:p w:rsidRPr="00E12C1B" w:rsidR="00642F65" w:rsidP="008C3782" w:rsidRDefault="00642F65" w14:paraId="17316C4A" w14:textId="77777777">
      <w:pPr>
        <w:pStyle w:val="Standard"/>
      </w:pPr>
      <w:r w:rsidRPr="00E12C1B">
        <w:t xml:space="preserve">If a final EIR identifies </w:t>
      </w:r>
      <w:r w:rsidRPr="00E12C1B" w:rsidR="00B20803">
        <w:t xml:space="preserve">significant </w:t>
      </w:r>
      <w:r w:rsidR="00164E4C">
        <w:t xml:space="preserve">environmental </w:t>
      </w:r>
      <w:r w:rsidRPr="00E12C1B" w:rsidR="00B20803">
        <w:t xml:space="preserve">effects </w:t>
      </w:r>
      <w:r w:rsidR="00164E4C">
        <w:t xml:space="preserve">from the approved project </w:t>
      </w:r>
      <w:r w:rsidRPr="00E12C1B" w:rsidR="00B20803">
        <w:t xml:space="preserve">that cannot be avoided or substantially lessened, the agency shall </w:t>
      </w:r>
      <w:r w:rsidRPr="00E12C1B" w:rsidR="001725D9">
        <w:t>state</w:t>
      </w:r>
      <w:r w:rsidR="00334E52">
        <w:t>,</w:t>
      </w:r>
      <w:r w:rsidRPr="00E12C1B" w:rsidR="001725D9">
        <w:t xml:space="preserve"> in writing</w:t>
      </w:r>
      <w:r w:rsidR="00334E52">
        <w:t>,</w:t>
      </w:r>
      <w:r w:rsidRPr="00E12C1B" w:rsidR="001725D9">
        <w:t xml:space="preserve"> the specific reasons to support its action based on the final EIR and/or </w:t>
      </w:r>
      <w:r w:rsidRPr="00E12C1B" w:rsidR="001725D9">
        <w:lastRenderedPageBreak/>
        <w:t>other information in the record.</w:t>
      </w:r>
      <w:r w:rsidRPr="003C148E" w:rsidR="001725D9">
        <w:rPr>
          <w:rStyle w:val="FootnoteReference"/>
          <w:sz w:val="22"/>
        </w:rPr>
        <w:footnoteReference w:id="34"/>
      </w:r>
      <w:r w:rsidRPr="003C148E" w:rsidR="003477DB">
        <w:rPr>
          <w:sz w:val="22"/>
        </w:rPr>
        <w:t xml:space="preserve"> </w:t>
      </w:r>
      <w:r w:rsidRPr="00E12C1B" w:rsidR="001725D9">
        <w:t xml:space="preserve"> These are called Statements of Overriding Consideration</w:t>
      </w:r>
      <w:r w:rsidRPr="00E12C1B" w:rsidR="0014035F">
        <w:t xml:space="preserve"> and they are made at the time the agency makes a final decision </w:t>
      </w:r>
      <w:r w:rsidRPr="00E12C1B" w:rsidR="00CB35E5">
        <w:t xml:space="preserve">to approve a </w:t>
      </w:r>
      <w:r w:rsidRPr="00E12C1B" w:rsidR="0014035F">
        <w:t>project</w:t>
      </w:r>
      <w:r w:rsidRPr="00E12C1B" w:rsidR="00CB35E5">
        <w:t xml:space="preserve"> that would result in significant and unavoidable impacts</w:t>
      </w:r>
      <w:r w:rsidRPr="00E12C1B" w:rsidR="0014035F">
        <w:t>.</w:t>
      </w:r>
    </w:p>
    <w:p w:rsidRPr="00E12C1B" w:rsidR="00047F65" w:rsidP="003B5952" w:rsidRDefault="003B5952" w14:paraId="5E13FFFD" w14:textId="77777777">
      <w:pPr>
        <w:pStyle w:val="Standard"/>
      </w:pPr>
      <w:r w:rsidRPr="00E12C1B">
        <w:t>G</w:t>
      </w:r>
      <w:r w:rsidR="003F0A09">
        <w:t xml:space="preserve">eneral </w:t>
      </w:r>
      <w:r w:rsidRPr="00E12C1B">
        <w:t>O</w:t>
      </w:r>
      <w:r w:rsidR="003F0A09">
        <w:t>rder</w:t>
      </w:r>
      <w:r w:rsidRPr="00E12C1B">
        <w:t xml:space="preserve"> 131-E</w:t>
      </w:r>
      <w:r w:rsidRPr="003C148E" w:rsidR="00912BF3">
        <w:rPr>
          <w:rStyle w:val="FootnoteReference"/>
          <w:sz w:val="22"/>
        </w:rPr>
        <w:footnoteReference w:id="35"/>
      </w:r>
      <w:r w:rsidRPr="00E12C1B">
        <w:t xml:space="preserve"> and Decision (D.) 06-01-042 added the requirement that a project comply with Commission policies governing the mitigation of electromagnetic field (EMF) effects using low- or no-cost measures.</w:t>
      </w:r>
    </w:p>
    <w:p w:rsidRPr="00E12C1B" w:rsidR="00DA0C69" w:rsidP="00B24C03" w:rsidRDefault="00DA0C69" w14:paraId="40507416" w14:textId="77777777">
      <w:pPr>
        <w:pStyle w:val="Standard"/>
      </w:pPr>
      <w:r w:rsidRPr="00E12C1B">
        <w:t xml:space="preserve">The Commission shall consider the final EIR </w:t>
      </w:r>
      <w:r w:rsidRPr="00E12C1B" w:rsidR="00C508C3">
        <w:t xml:space="preserve">in its </w:t>
      </w:r>
      <w:r w:rsidRPr="00E12C1B">
        <w:t>approval or disapproval of a project.</w:t>
      </w:r>
      <w:r w:rsidRPr="003C148E">
        <w:rPr>
          <w:rStyle w:val="FootnoteReference"/>
          <w:sz w:val="22"/>
        </w:rPr>
        <w:footnoteReference w:id="36"/>
      </w:r>
    </w:p>
    <w:p w:rsidRPr="001D29C4" w:rsidR="00367F5F" w:rsidP="00FA0A67" w:rsidRDefault="00367F5F" w14:paraId="69824E66" w14:textId="77777777">
      <w:pPr>
        <w:pStyle w:val="Heading2"/>
      </w:pPr>
      <w:bookmarkStart w:name="_Toc225410160" w:id="16"/>
      <w:r w:rsidRPr="001D29C4">
        <w:t xml:space="preserve">CEQA </w:t>
      </w:r>
      <w:r w:rsidRPr="001D29C4" w:rsidR="00735943">
        <w:t>Analysis of the</w:t>
      </w:r>
      <w:r w:rsidRPr="001D29C4">
        <w:t xml:space="preserve"> Proposed Project</w:t>
      </w:r>
      <w:bookmarkEnd w:id="16"/>
    </w:p>
    <w:p w:rsidRPr="00E12C1B" w:rsidR="003477DB" w:rsidP="00243B90" w:rsidRDefault="00B24C03" w14:paraId="47069A29" w14:textId="77777777">
      <w:pPr>
        <w:pStyle w:val="Standard"/>
      </w:pPr>
      <w:r w:rsidRPr="00E12C1B">
        <w:t xml:space="preserve">In this proceeding, the Commission prepared a </w:t>
      </w:r>
      <w:r w:rsidRPr="00E12C1B" w:rsidR="00204497">
        <w:t>joint EIR</w:t>
      </w:r>
      <w:r w:rsidRPr="00E12C1B" w:rsidR="00F90E71">
        <w:t xml:space="preserve"> for the </w:t>
      </w:r>
      <w:r w:rsidR="00D00F9C">
        <w:t>Alberhill</w:t>
      </w:r>
      <w:r w:rsidRPr="00E12C1B" w:rsidR="00F90E71">
        <w:t xml:space="preserve"> </w:t>
      </w:r>
      <w:r w:rsidR="00D00F9C">
        <w:t>p</w:t>
      </w:r>
      <w:r w:rsidRPr="00E12C1B" w:rsidR="00F90E71">
        <w:t xml:space="preserve">roject and </w:t>
      </w:r>
      <w:r w:rsidRPr="00E12C1B" w:rsidR="00204497">
        <w:t xml:space="preserve">the Valley-Ivyglen </w:t>
      </w:r>
      <w:r w:rsidR="000F606F">
        <w:t>p</w:t>
      </w:r>
      <w:r w:rsidRPr="00E12C1B" w:rsidR="00204497">
        <w:t xml:space="preserve">roject.  The </w:t>
      </w:r>
      <w:r w:rsidR="00D00F9C">
        <w:t xml:space="preserve">Final </w:t>
      </w:r>
      <w:r w:rsidRPr="00E12C1B" w:rsidR="00204497">
        <w:t xml:space="preserve">EIR analyzed a range of alternatives to the </w:t>
      </w:r>
      <w:r w:rsidRPr="00E12C1B" w:rsidR="00B55E5E">
        <w:t>p</w:t>
      </w:r>
      <w:r w:rsidRPr="00E12C1B" w:rsidR="00204497">
        <w:t xml:space="preserve">roposed </w:t>
      </w:r>
      <w:r w:rsidRPr="00E12C1B" w:rsidR="00B55E5E">
        <w:t>Alberhill p</w:t>
      </w:r>
      <w:r w:rsidRPr="00E12C1B" w:rsidR="00204497">
        <w:t xml:space="preserve">roject that would minimize or avoid significant environmental impacts.  </w:t>
      </w:r>
      <w:r w:rsidRPr="00E12C1B" w:rsidR="001B36B0">
        <w:t xml:space="preserve">The </w:t>
      </w:r>
      <w:r w:rsidRPr="00E12C1B" w:rsidR="008A3D7B">
        <w:t>Commission evaluated the alternatives based</w:t>
      </w:r>
      <w:r w:rsidR="00334E52">
        <w:t xml:space="preserve"> on</w:t>
      </w:r>
      <w:r w:rsidRPr="00E12C1B" w:rsidR="008A3D7B">
        <w:t xml:space="preserve"> </w:t>
      </w:r>
      <w:r w:rsidR="00D00F9C">
        <w:t xml:space="preserve">the </w:t>
      </w:r>
      <w:r w:rsidRPr="00E12C1B" w:rsidR="008A3D7B">
        <w:t>objectives to relieve</w:t>
      </w:r>
      <w:r w:rsidR="00D00F9C">
        <w:t>/meet</w:t>
      </w:r>
      <w:r w:rsidRPr="00E12C1B" w:rsidR="008A3D7B">
        <w:t xml:space="preserve"> </w:t>
      </w:r>
      <w:r w:rsidR="00D00F9C">
        <w:t>customer</w:t>
      </w:r>
      <w:r w:rsidRPr="00E12C1B" w:rsidR="00D00F9C">
        <w:t xml:space="preserve"> </w:t>
      </w:r>
      <w:r w:rsidRPr="00E12C1B" w:rsidR="008A3D7B">
        <w:t>demand</w:t>
      </w:r>
      <w:r w:rsidR="00D00F9C">
        <w:t xml:space="preserve">, improve reliability, </w:t>
      </w:r>
      <w:r w:rsidRPr="00E12C1B" w:rsidR="008A3D7B">
        <w:t>and maintain system ties during maintenance, emergency events, or other operational issues.</w:t>
      </w:r>
      <w:r w:rsidRPr="003C148E" w:rsidR="008A3D7B">
        <w:rPr>
          <w:rStyle w:val="FootnoteReference"/>
          <w:sz w:val="22"/>
        </w:rPr>
        <w:footnoteReference w:id="37"/>
      </w:r>
    </w:p>
    <w:p w:rsidR="00F46484" w:rsidP="00243B90" w:rsidRDefault="00204497" w14:paraId="63550171" w14:textId="77777777">
      <w:pPr>
        <w:pStyle w:val="Standard"/>
      </w:pPr>
      <w:r w:rsidRPr="00E12C1B">
        <w:t>D.18</w:t>
      </w:r>
      <w:r w:rsidRPr="00E12C1B" w:rsidR="003D5D56">
        <w:noBreakHyphen/>
      </w:r>
      <w:r w:rsidRPr="00E12C1B">
        <w:t>08</w:t>
      </w:r>
      <w:r w:rsidRPr="00E12C1B" w:rsidR="003D5D56">
        <w:noBreakHyphen/>
      </w:r>
      <w:r w:rsidRPr="00E12C1B">
        <w:t xml:space="preserve">026 certified the </w:t>
      </w:r>
      <w:r w:rsidRPr="00E12C1B" w:rsidR="0036770F">
        <w:t>F</w:t>
      </w:r>
      <w:r w:rsidRPr="00E12C1B">
        <w:t xml:space="preserve">inal EIR as consistent with CEQA and determined that the </w:t>
      </w:r>
      <w:r w:rsidRPr="00E12C1B" w:rsidR="00B55E5E">
        <w:t>p</w:t>
      </w:r>
      <w:r w:rsidRPr="00E12C1B">
        <w:t>roposed</w:t>
      </w:r>
      <w:r w:rsidRPr="00E12C1B" w:rsidR="00B55E5E">
        <w:t xml:space="preserve"> Alberhill</w:t>
      </w:r>
      <w:r w:rsidRPr="00E12C1B">
        <w:t xml:space="preserve"> </w:t>
      </w:r>
      <w:r w:rsidRPr="00E12C1B" w:rsidR="00B55E5E">
        <w:t>p</w:t>
      </w:r>
      <w:r w:rsidRPr="00E12C1B">
        <w:t>roject is the environmentally superior alternative.</w:t>
      </w:r>
      <w:r w:rsidRPr="003C148E">
        <w:rPr>
          <w:rStyle w:val="FootnoteReference"/>
          <w:sz w:val="22"/>
        </w:rPr>
        <w:footnoteReference w:id="38"/>
      </w:r>
      <w:r w:rsidRPr="00E12C1B">
        <w:t xml:space="preserve">  </w:t>
      </w:r>
      <w:r w:rsidR="00F9123D">
        <w:t>However</w:t>
      </w:r>
      <w:r w:rsidRPr="00E12C1B" w:rsidR="00337C5F">
        <w:t xml:space="preserve">, D.18-08-026 did not take action on the </w:t>
      </w:r>
      <w:r w:rsidRPr="00E12C1B" w:rsidR="00B55E5E">
        <w:t>p</w:t>
      </w:r>
      <w:r w:rsidRPr="00E12C1B" w:rsidR="00337C5F">
        <w:t xml:space="preserve">roposed </w:t>
      </w:r>
      <w:r w:rsidRPr="00E12C1B" w:rsidR="00B55E5E">
        <w:lastRenderedPageBreak/>
        <w:t>Alberhill p</w:t>
      </w:r>
      <w:r w:rsidRPr="00E12C1B" w:rsidR="00337C5F">
        <w:t>roject</w:t>
      </w:r>
      <w:r w:rsidR="00F9123D">
        <w:t xml:space="preserve">.  This was based on uncertainties with respect to demand, reliability, and alternatives.  To address these </w:t>
      </w:r>
      <w:r w:rsidR="00F46484">
        <w:t>concerns</w:t>
      </w:r>
      <w:r w:rsidR="00F9123D">
        <w:t xml:space="preserve">, D.18-08-026 </w:t>
      </w:r>
      <w:r w:rsidRPr="00E12C1B" w:rsidR="00337C5F">
        <w:t xml:space="preserve">ordered SCE to supplement the record with additional analyses of </w:t>
      </w:r>
      <w:r w:rsidR="00F46484">
        <w:t xml:space="preserve">demand and </w:t>
      </w:r>
      <w:r w:rsidRPr="00E12C1B" w:rsidR="00337C5F">
        <w:t xml:space="preserve">alternatives which may </w:t>
      </w:r>
      <w:r w:rsidRPr="00E12C1B" w:rsidR="00F90E71">
        <w:t>satisfy</w:t>
      </w:r>
      <w:r w:rsidRPr="00E12C1B" w:rsidR="00337C5F">
        <w:t xml:space="preserve"> the needs of the Valley South System.</w:t>
      </w:r>
      <w:r w:rsidRPr="003C148E" w:rsidR="00337C5F">
        <w:rPr>
          <w:rStyle w:val="FootnoteReference"/>
          <w:sz w:val="22"/>
        </w:rPr>
        <w:footnoteReference w:id="39"/>
      </w:r>
      <w:r w:rsidRPr="00E12C1B" w:rsidR="00337C5F">
        <w:t xml:space="preserve"> </w:t>
      </w:r>
      <w:r w:rsidRPr="00E12C1B" w:rsidR="00F90E71">
        <w:t xml:space="preserve"> </w:t>
      </w:r>
    </w:p>
    <w:p w:rsidR="00334780" w:rsidP="00CD2DF8" w:rsidRDefault="00334780" w14:paraId="4F253121" w14:textId="77777777">
      <w:pPr>
        <w:pStyle w:val="Heading2"/>
      </w:pPr>
      <w:bookmarkStart w:name="_Toc225410161" w:id="17"/>
      <w:r>
        <w:t>Supplemental Analysis</w:t>
      </w:r>
      <w:bookmarkEnd w:id="17"/>
    </w:p>
    <w:p w:rsidRPr="00E12C1B" w:rsidR="00F56088" w:rsidP="00243B90" w:rsidRDefault="00F90E71" w14:paraId="60DA9A19" w14:textId="77777777">
      <w:pPr>
        <w:pStyle w:val="Standard"/>
      </w:pPr>
      <w:r w:rsidRPr="00E12C1B">
        <w:t>In 2020 and 2021 SCE supplemented the record with analyses of alternatives that included</w:t>
      </w:r>
      <w:r w:rsidRPr="00E12C1B" w:rsidR="004345A8">
        <w:t xml:space="preserve"> </w:t>
      </w:r>
      <w:r w:rsidR="008B4A41">
        <w:t xml:space="preserve">updated </w:t>
      </w:r>
      <w:r w:rsidRPr="00E12C1B" w:rsidR="00696281">
        <w:t xml:space="preserve">demand </w:t>
      </w:r>
      <w:r w:rsidRPr="00E12C1B" w:rsidR="004345A8">
        <w:t>forecasts</w:t>
      </w:r>
      <w:r w:rsidR="008B4A41">
        <w:t>.  The updated forecasts</w:t>
      </w:r>
      <w:r w:rsidRPr="00E12C1B" w:rsidR="004345A8">
        <w:t xml:space="preserve"> incorporated</w:t>
      </w:r>
      <w:r w:rsidRPr="00E12C1B">
        <w:t xml:space="preserve"> load reduction programs due to energy efficiency, demand response, and behind-the-meter generation.  Additionally, SCE </w:t>
      </w:r>
      <w:r w:rsidRPr="00E12C1B" w:rsidR="004345A8">
        <w:t>analyzed</w:t>
      </w:r>
      <w:r w:rsidRPr="00E12C1B">
        <w:t xml:space="preserve"> outages, reliability</w:t>
      </w:r>
      <w:r w:rsidRPr="00E12C1B" w:rsidR="004345A8">
        <w:t>, and resilience.  Lastly, SCE ranked alternatives based on</w:t>
      </w:r>
      <w:r w:rsidRPr="00E12C1B">
        <w:t xml:space="preserve"> cost/benefit of </w:t>
      </w:r>
      <w:r w:rsidRPr="00E12C1B" w:rsidR="004345A8">
        <w:t>alternatives that enhanced reliability and added capacity from energy storage, distributed energy sources, demand response and smart grid solutions.</w:t>
      </w:r>
      <w:r w:rsidRPr="003C148E" w:rsidR="004345A8">
        <w:rPr>
          <w:rStyle w:val="FootnoteReference"/>
          <w:sz w:val="22"/>
        </w:rPr>
        <w:footnoteReference w:id="40"/>
      </w:r>
      <w:r w:rsidRPr="00E12C1B" w:rsidR="00FE3C0A">
        <w:t xml:space="preserve">  </w:t>
      </w:r>
    </w:p>
    <w:p w:rsidRPr="00E12C1B" w:rsidR="00FE3C0A" w:rsidP="00FE3C0A" w:rsidRDefault="00FE3C0A" w14:paraId="3D56AC7D" w14:textId="77777777">
      <w:pPr>
        <w:pStyle w:val="Standard"/>
      </w:pPr>
      <w:r w:rsidRPr="00E12C1B">
        <w:t>To address the supplemental analyses and the amended applications in 2020 and 2023, the Commission</w:t>
      </w:r>
      <w:r w:rsidRPr="00E12C1B" w:rsidR="006E42FE">
        <w:t xml:space="preserve"> determined that</w:t>
      </w:r>
      <w:r w:rsidRPr="00E12C1B">
        <w:t xml:space="preserve"> the appropriate next step pursuant to CEQA</w:t>
      </w:r>
      <w:r w:rsidRPr="00E12C1B" w:rsidR="006E42FE">
        <w:t xml:space="preserve"> was to prepare an addendum to the certified </w:t>
      </w:r>
      <w:r w:rsidRPr="00E12C1B" w:rsidR="00212114">
        <w:t>F</w:t>
      </w:r>
      <w:r w:rsidRPr="00E12C1B" w:rsidR="006E42FE">
        <w:t>inal EIR</w:t>
      </w:r>
      <w:r w:rsidRPr="00E12C1B">
        <w:t xml:space="preserve">.  </w:t>
      </w:r>
      <w:r w:rsidRPr="00E12C1B" w:rsidR="006E42FE">
        <w:t>An addendum to a certified EIR must be prepared if only minor technical changes or additions are necessary.</w:t>
      </w:r>
      <w:r w:rsidRPr="003C148E" w:rsidR="006E42FE">
        <w:rPr>
          <w:rStyle w:val="FootnoteReference"/>
          <w:sz w:val="22"/>
        </w:rPr>
        <w:footnoteReference w:id="41"/>
      </w:r>
      <w:r w:rsidRPr="00E12C1B" w:rsidR="006E42FE">
        <w:t xml:space="preserve"> </w:t>
      </w:r>
      <w:r w:rsidR="004A585F">
        <w:t xml:space="preserve"> In contrast, a</w:t>
      </w:r>
      <w:r w:rsidRPr="00E12C1B" w:rsidR="006E42FE">
        <w:t>n amendment to the certified EIR is appropriate if</w:t>
      </w:r>
      <w:r w:rsidRPr="00E12C1B">
        <w:t xml:space="preserve"> the applicant proposes substantial changes to the project, substantial changes occur with respect to the circumstances under which the project is undertaken, or new information of substantial importance becomes available and this information results in new significant impacts or a substantial </w:t>
      </w:r>
      <w:r w:rsidRPr="00E12C1B">
        <w:lastRenderedPageBreak/>
        <w:t>increase in the severity of previously identified significant impacts.</w:t>
      </w:r>
      <w:r w:rsidRPr="003C148E">
        <w:rPr>
          <w:rStyle w:val="FootnoteReference"/>
          <w:sz w:val="22"/>
        </w:rPr>
        <w:footnoteReference w:id="42"/>
      </w:r>
      <w:r w:rsidRPr="00E12C1B">
        <w:t xml:space="preserve"> </w:t>
      </w:r>
      <w:r w:rsidRPr="00E12C1B" w:rsidR="006E42FE">
        <w:t xml:space="preserve"> </w:t>
      </w:r>
      <w:r w:rsidRPr="00E12C1B">
        <w:t>The addendum need not be circulated for public review;</w:t>
      </w:r>
      <w:r w:rsidRPr="003C148E">
        <w:rPr>
          <w:rStyle w:val="FootnoteReference"/>
          <w:sz w:val="22"/>
        </w:rPr>
        <w:footnoteReference w:id="43"/>
      </w:r>
      <w:r w:rsidRPr="00E12C1B">
        <w:t xml:space="preserve"> however, an addendum is to be considered by the decision maker prior to deciding on the project.</w:t>
      </w:r>
      <w:r w:rsidRPr="003C148E">
        <w:rPr>
          <w:rStyle w:val="FootnoteReference"/>
          <w:sz w:val="22"/>
        </w:rPr>
        <w:footnoteReference w:id="44"/>
      </w:r>
    </w:p>
    <w:p w:rsidRPr="00E12C1B" w:rsidR="007C77C6" w:rsidP="007C77C6" w:rsidRDefault="003E1B4E" w14:paraId="41241778" w14:textId="77777777">
      <w:pPr>
        <w:pStyle w:val="Standard"/>
      </w:pPr>
      <w:r w:rsidRPr="00E12C1B">
        <w:t xml:space="preserve">For the </w:t>
      </w:r>
      <w:r w:rsidRPr="00E12C1B" w:rsidR="00B55E5E">
        <w:t>p</w:t>
      </w:r>
      <w:r w:rsidRPr="00E12C1B">
        <w:t xml:space="preserve">roposed </w:t>
      </w:r>
      <w:r w:rsidRPr="00E12C1B" w:rsidR="00B55E5E">
        <w:t>Alberhill p</w:t>
      </w:r>
      <w:r w:rsidRPr="00E12C1B">
        <w:t xml:space="preserve">roject, the Addendum to the certified </w:t>
      </w:r>
      <w:r w:rsidRPr="00E12C1B" w:rsidR="00212114">
        <w:t>F</w:t>
      </w:r>
      <w:r w:rsidRPr="00E12C1B">
        <w:t xml:space="preserve">inal EIR (Addendum) </w:t>
      </w:r>
      <w:r w:rsidRPr="00E12C1B" w:rsidR="007C77C6">
        <w:t xml:space="preserve">reviewed </w:t>
      </w:r>
      <w:r w:rsidR="00BA7F4C">
        <w:t xml:space="preserve">project changes proposed by </w:t>
      </w:r>
      <w:r w:rsidRPr="00E12C1B" w:rsidR="007C77C6">
        <w:t>SCE</w:t>
      </w:r>
      <w:r w:rsidR="00BA7F4C">
        <w:t xml:space="preserve"> in its</w:t>
      </w:r>
      <w:r w:rsidRPr="00E12C1B" w:rsidR="007C77C6">
        <w:t xml:space="preserve"> Third Amended Application and </w:t>
      </w:r>
      <w:r w:rsidR="00BA7F4C">
        <w:t xml:space="preserve">determined </w:t>
      </w:r>
      <w:r w:rsidRPr="00E12C1B" w:rsidR="007C77C6">
        <w:t xml:space="preserve">whether the changes would </w:t>
      </w:r>
      <w:r w:rsidR="00BA7F4C">
        <w:t xml:space="preserve">materially alter the </w:t>
      </w:r>
      <w:r w:rsidRPr="00E12C1B" w:rsidR="007C77C6">
        <w:t>environmental impacts.</w:t>
      </w:r>
      <w:r w:rsidRPr="003C148E" w:rsidR="007C77C6">
        <w:rPr>
          <w:rStyle w:val="FootnoteReference"/>
          <w:sz w:val="22"/>
        </w:rPr>
        <w:footnoteReference w:id="45"/>
      </w:r>
      <w:r w:rsidRPr="003C148E" w:rsidR="007C77C6">
        <w:rPr>
          <w:sz w:val="22"/>
        </w:rPr>
        <w:t xml:space="preserve">  </w:t>
      </w:r>
      <w:r w:rsidRPr="00E12C1B" w:rsidR="007C77C6">
        <w:t>The</w:t>
      </w:r>
      <w:r w:rsidRPr="00E12C1B" w:rsidR="00FA028B">
        <w:t> </w:t>
      </w:r>
      <w:r w:rsidRPr="00E12C1B" w:rsidR="007C77C6">
        <w:t>Addendum</w:t>
      </w:r>
      <w:r w:rsidR="00DC2FCD">
        <w:t xml:space="preserve"> also</w:t>
      </w:r>
      <w:r w:rsidRPr="00E12C1B" w:rsidR="007C77C6">
        <w:t xml:space="preserve"> attaches the Mitigation Monitoring, Compliance, and Reporting Plan.</w:t>
      </w:r>
      <w:r w:rsidRPr="003C148E" w:rsidR="007C77C6">
        <w:rPr>
          <w:rStyle w:val="FootnoteReference"/>
          <w:sz w:val="22"/>
        </w:rPr>
        <w:footnoteReference w:id="46"/>
      </w:r>
      <w:r w:rsidRPr="003C148E" w:rsidR="00106718">
        <w:rPr>
          <w:sz w:val="22"/>
        </w:rPr>
        <w:t xml:space="preserve"> </w:t>
      </w:r>
      <w:r w:rsidRPr="00E12C1B" w:rsidR="00106718">
        <w:t xml:space="preserve"> Lastly the Addendum </w:t>
      </w:r>
      <w:r w:rsidRPr="00E12C1B" w:rsidR="00876EB7">
        <w:t>reviewed new alternatives and the supplemental analyses prepared by SCE</w:t>
      </w:r>
      <w:r w:rsidR="00DC2FCD">
        <w:t xml:space="preserve"> in their response to D.18-08-026</w:t>
      </w:r>
      <w:r w:rsidRPr="00E12C1B" w:rsidR="00876EB7">
        <w:t>.</w:t>
      </w:r>
      <w:r w:rsidRPr="003C148E" w:rsidR="00876EB7">
        <w:rPr>
          <w:rStyle w:val="FootnoteReference"/>
          <w:sz w:val="22"/>
        </w:rPr>
        <w:footnoteReference w:id="47"/>
      </w:r>
    </w:p>
    <w:p w:rsidRPr="00E12C1B" w:rsidR="00F56088" w:rsidP="00F56088" w:rsidRDefault="007775A5" w14:paraId="20A52B31" w14:textId="77777777">
      <w:pPr>
        <w:pStyle w:val="Standard"/>
      </w:pPr>
      <w:r w:rsidRPr="00E12C1B">
        <w:t>T</w:t>
      </w:r>
      <w:r w:rsidRPr="00E12C1B" w:rsidR="00F56088">
        <w:t xml:space="preserve">he Addendum </w:t>
      </w:r>
      <w:r w:rsidRPr="00E12C1B">
        <w:t>concluded</w:t>
      </w:r>
      <w:r w:rsidRPr="00E12C1B" w:rsidR="00F56088">
        <w:t xml:space="preserve"> that:</w:t>
      </w:r>
    </w:p>
    <w:p w:rsidRPr="00E12C1B" w:rsidR="00F56088" w:rsidP="00DB2107" w:rsidRDefault="00F56088" w14:paraId="7B76AD0C" w14:textId="77777777">
      <w:pPr>
        <w:pStyle w:val="Standard"/>
        <w:numPr>
          <w:ilvl w:val="0"/>
          <w:numId w:val="12"/>
        </w:numPr>
        <w:spacing w:after="120" w:line="240" w:lineRule="auto"/>
        <w:ind w:left="1080" w:right="1440"/>
      </w:pPr>
      <w:bookmarkStart w:name="_Hlk216961511" w:id="18"/>
      <w:r w:rsidRPr="00E12C1B">
        <w:t xml:space="preserve">No specific circumstances necessitating changes to the previous alternatives screening analysis included in the 2017 </w:t>
      </w:r>
      <w:r w:rsidRPr="00E12C1B" w:rsidR="00212114">
        <w:t>F</w:t>
      </w:r>
      <w:r w:rsidRPr="00E12C1B">
        <w:t>inal EIR were identified.</w:t>
      </w:r>
      <w:r w:rsidR="004A585F">
        <w:t xml:space="preserve">  Also based on Energy Division’s Supplement to the Alternatives Screening </w:t>
      </w:r>
      <w:r w:rsidR="0086098D">
        <w:t>R</w:t>
      </w:r>
      <w:r w:rsidR="004A585F">
        <w:t>eport, none of the new alternatives needed to be carried forward for full analysis under CEQA.</w:t>
      </w:r>
      <w:r w:rsidRPr="003C148E" w:rsidR="007775A5">
        <w:rPr>
          <w:rStyle w:val="FootnoteReference"/>
          <w:sz w:val="22"/>
        </w:rPr>
        <w:footnoteReference w:id="48"/>
      </w:r>
    </w:p>
    <w:bookmarkEnd w:id="18"/>
    <w:p w:rsidRPr="00E12C1B" w:rsidR="00F56088" w:rsidP="00DB2107" w:rsidRDefault="00F56088" w14:paraId="12D992AF" w14:textId="77777777">
      <w:pPr>
        <w:pStyle w:val="Standard"/>
        <w:numPr>
          <w:ilvl w:val="0"/>
          <w:numId w:val="12"/>
        </w:numPr>
        <w:spacing w:after="120" w:line="240" w:lineRule="auto"/>
        <w:ind w:left="1080" w:right="1440"/>
      </w:pPr>
      <w:r w:rsidRPr="00E12C1B">
        <w:t xml:space="preserve">The amended project description included in SCE’s Third Amended Application and PEA would not result in new significant environmental effects, a substantial increase in the severity of a previously identified significant environmental effects, </w:t>
      </w:r>
      <w:r w:rsidR="00DC4FB0">
        <w:t>n</w:t>
      </w:r>
      <w:r w:rsidRPr="00E12C1B">
        <w:t>or</w:t>
      </w:r>
      <w:r w:rsidR="00DC4FB0">
        <w:t xml:space="preserve"> the need for</w:t>
      </w:r>
      <w:r w:rsidRPr="00E12C1B">
        <w:t xml:space="preserve"> new or </w:t>
      </w:r>
      <w:r w:rsidRPr="00E12C1B">
        <w:lastRenderedPageBreak/>
        <w:t>substantially modified mitigation measures that would reduce one or more significant effects.</w:t>
      </w:r>
    </w:p>
    <w:p w:rsidRPr="00E12C1B" w:rsidR="00F56088" w:rsidP="00DB2107" w:rsidRDefault="00F56088" w14:paraId="3FDCF7A6" w14:textId="77777777">
      <w:pPr>
        <w:pStyle w:val="Standard"/>
        <w:numPr>
          <w:ilvl w:val="0"/>
          <w:numId w:val="12"/>
        </w:numPr>
        <w:spacing w:after="120" w:line="240" w:lineRule="auto"/>
        <w:ind w:left="1080" w:right="1440"/>
      </w:pPr>
      <w:r w:rsidRPr="00E12C1B">
        <w:t>No substantial changes have occurred with respect to the circumstances under which the project is being undertaken.</w:t>
      </w:r>
    </w:p>
    <w:p w:rsidRPr="00E12C1B" w:rsidR="00F56088" w:rsidP="00DB2107" w:rsidRDefault="00DC4FB0" w14:paraId="1B157E5D" w14:textId="77777777">
      <w:pPr>
        <w:pStyle w:val="Standard"/>
        <w:numPr>
          <w:ilvl w:val="0"/>
          <w:numId w:val="12"/>
        </w:numPr>
        <w:spacing w:after="120" w:line="240" w:lineRule="auto"/>
        <w:ind w:left="1080" w:right="1440"/>
      </w:pPr>
      <w:r>
        <w:t>I</w:t>
      </w:r>
      <w:r w:rsidRPr="00E12C1B" w:rsidR="00F56088">
        <w:t xml:space="preserve">mpacts of the proposed technical design changes and engineering refinements would be minor and not result in new or substantially more severe impacts compared to those previously disclosed in the 2017 </w:t>
      </w:r>
      <w:r w:rsidRPr="00E12C1B" w:rsidR="00212114">
        <w:t>F</w:t>
      </w:r>
      <w:r w:rsidRPr="00E12C1B" w:rsidR="00F56088">
        <w:t>inal EIR.</w:t>
      </w:r>
      <w:r w:rsidRPr="003C148E" w:rsidR="000D0ED5">
        <w:rPr>
          <w:rStyle w:val="FootnoteReference"/>
          <w:sz w:val="22"/>
        </w:rPr>
        <w:footnoteReference w:id="49"/>
      </w:r>
    </w:p>
    <w:p w:rsidRPr="00E12C1B" w:rsidR="00F56088" w:rsidP="00BD22B7" w:rsidRDefault="000D0ED5" w14:paraId="229D6E35" w14:textId="77777777">
      <w:pPr>
        <w:pStyle w:val="Standard"/>
      </w:pPr>
      <w:r w:rsidRPr="00E12C1B">
        <w:t xml:space="preserve">The </w:t>
      </w:r>
      <w:r w:rsidRPr="00E12C1B" w:rsidR="00F56088">
        <w:t xml:space="preserve">Addendum to </w:t>
      </w:r>
      <w:r w:rsidRPr="00E12C1B">
        <w:t xml:space="preserve">the certified Final </w:t>
      </w:r>
      <w:r w:rsidRPr="00E12C1B" w:rsidR="00F56088">
        <w:t xml:space="preserve">EIR is the appropriate document to prepare for the </w:t>
      </w:r>
      <w:r w:rsidR="00754287">
        <w:t>Alberhill project</w:t>
      </w:r>
      <w:r w:rsidRPr="00E12C1B" w:rsidR="00F56088">
        <w:t xml:space="preserve"> changes pursuant to CEQA Guidelines </w:t>
      </w:r>
      <w:r w:rsidR="00754287">
        <w:t xml:space="preserve">Section </w:t>
      </w:r>
      <w:r w:rsidRPr="00E12C1B" w:rsidR="00F56088">
        <w:t xml:space="preserve">15164(b) based on the determination that none of the conditions described in CEQA Guidelines </w:t>
      </w:r>
      <w:r w:rsidR="00754287">
        <w:t xml:space="preserve">Section </w:t>
      </w:r>
      <w:r w:rsidRPr="00E12C1B" w:rsidR="00F56088">
        <w:t xml:space="preserve">15162 calling for the preparation of a Subsequent EIR or Supplemental EIR have occurred.  As a Subsequent EIR or Supplemental EIR was not required by CEQA, the Commission’s certification of the </w:t>
      </w:r>
      <w:r w:rsidRPr="00E12C1B" w:rsidR="00212114">
        <w:t>F</w:t>
      </w:r>
      <w:r w:rsidRPr="00E12C1B" w:rsidR="00F56088">
        <w:t>inal EIR in D.18</w:t>
      </w:r>
      <w:r w:rsidRPr="00E12C1B" w:rsidR="003D5D56">
        <w:noBreakHyphen/>
      </w:r>
      <w:r w:rsidRPr="00E12C1B" w:rsidR="00F56088">
        <w:t>08-026 is in compliance with CEQA.  No additional certification is required for this decision to be in compliance with CEQA.</w:t>
      </w:r>
    </w:p>
    <w:p w:rsidRPr="001D29C4" w:rsidR="005A148C" w:rsidP="00FA0A67" w:rsidRDefault="005939A5" w14:paraId="0C99B87B" w14:textId="77777777">
      <w:pPr>
        <w:pStyle w:val="Heading1"/>
        <w:rPr>
          <w:rFonts w:cs="Arial"/>
        </w:rPr>
      </w:pPr>
      <w:bookmarkStart w:name="_Toc8123719" w:id="19"/>
      <w:bookmarkStart w:name="_Toc225410162" w:id="20"/>
      <w:r w:rsidRPr="001D29C4">
        <w:rPr>
          <w:rFonts w:cs="Arial"/>
        </w:rPr>
        <w:t xml:space="preserve">Issues Before the </w:t>
      </w:r>
      <w:bookmarkEnd w:id="19"/>
      <w:r w:rsidRPr="001D29C4" w:rsidR="008A08BF">
        <w:rPr>
          <w:rFonts w:cs="Arial"/>
        </w:rPr>
        <w:t>Commission</w:t>
      </w:r>
      <w:bookmarkEnd w:id="20"/>
    </w:p>
    <w:p w:rsidRPr="00E12C1B" w:rsidR="007D013D" w:rsidP="0052789E" w:rsidRDefault="002811F1" w14:paraId="0046F644" w14:textId="77777777">
      <w:pPr>
        <w:pStyle w:val="Standard"/>
      </w:pPr>
      <w:r w:rsidRPr="00E12C1B">
        <w:t>Nine issues were scoped in the June 19, 2017</w:t>
      </w:r>
      <w:r w:rsidRPr="00E12C1B" w:rsidR="003D5D56">
        <w:t>,</w:t>
      </w:r>
      <w:r w:rsidRPr="00E12C1B">
        <w:t xml:space="preserve"> Scoping Mem</w:t>
      </w:r>
      <w:r w:rsidRPr="00E12C1B" w:rsidR="00EB4C45">
        <w:t>o</w:t>
      </w:r>
      <w:r w:rsidRPr="00E12C1B">
        <w:t xml:space="preserve"> regarding the </w:t>
      </w:r>
      <w:r w:rsidR="00337F75">
        <w:t>Alberhill</w:t>
      </w:r>
      <w:r w:rsidRPr="00E12C1B" w:rsidR="00243B90">
        <w:t xml:space="preserve"> </w:t>
      </w:r>
      <w:r w:rsidR="00337F75">
        <w:t>p</w:t>
      </w:r>
      <w:r w:rsidRPr="00E12C1B" w:rsidR="00243B90">
        <w:t>roject</w:t>
      </w:r>
      <w:r w:rsidRPr="00E12C1B">
        <w:t>, with an evidenti</w:t>
      </w:r>
      <w:r w:rsidRPr="00E12C1B" w:rsidR="00DA6977">
        <w:t>ary</w:t>
      </w:r>
      <w:r w:rsidRPr="00E12C1B">
        <w:t xml:space="preserve"> hearing on those issues held in October</w:t>
      </w:r>
      <w:r w:rsidRPr="00E12C1B" w:rsidR="00537207">
        <w:t> </w:t>
      </w:r>
      <w:r w:rsidRPr="00E12C1B">
        <w:t>2017.  D.18-08-026</w:t>
      </w:r>
      <w:r w:rsidR="00E820BD">
        <w:t xml:space="preserve"> resolved Issue </w:t>
      </w:r>
      <w:r w:rsidRPr="004A1DBE" w:rsidR="00E820BD">
        <w:t>6(</w:t>
      </w:r>
      <w:r w:rsidRPr="004A1DBE" w:rsidR="00B84C98">
        <w:t>a</w:t>
      </w:r>
      <w:r w:rsidRPr="004A1DBE" w:rsidR="00E820BD">
        <w:t>)</w:t>
      </w:r>
      <w:r w:rsidRPr="00E820BD" w:rsidR="00E820BD">
        <w:t xml:space="preserve"> </w:t>
      </w:r>
      <w:r w:rsidR="00E820BD">
        <w:t>as it solely related to the</w:t>
      </w:r>
      <w:r w:rsidRPr="00E820BD" w:rsidR="00E820BD">
        <w:t xml:space="preserve"> Valley Ivyglen project</w:t>
      </w:r>
      <w:r w:rsidR="00E820BD">
        <w:t>.  D.18-08-026</w:t>
      </w:r>
      <w:r w:rsidRPr="00E12C1B">
        <w:t xml:space="preserve"> resolved Issue 1 through Issue </w:t>
      </w:r>
      <w:r w:rsidRPr="00E12C1B" w:rsidR="007D013D">
        <w:t>5</w:t>
      </w:r>
      <w:r w:rsidR="00E820BD">
        <w:t xml:space="preserve"> related to the Alberhill project</w:t>
      </w:r>
      <w:r w:rsidRPr="00E12C1B" w:rsidR="00735943">
        <w:t xml:space="preserve"> and concluded as follows:</w:t>
      </w:r>
    </w:p>
    <w:p w:rsidRPr="00E12C1B" w:rsidR="007D013D" w:rsidP="00DB2107" w:rsidRDefault="007D013D" w14:paraId="3D624F4B" w14:textId="77777777">
      <w:pPr>
        <w:pStyle w:val="ListParagraph"/>
        <w:numPr>
          <w:ilvl w:val="0"/>
          <w:numId w:val="13"/>
        </w:numPr>
        <w:spacing w:after="120" w:line="240" w:lineRule="auto"/>
        <w:ind w:right="1440"/>
        <w:contextualSpacing w:val="0"/>
      </w:pPr>
      <w:r w:rsidRPr="00E12C1B">
        <w:t xml:space="preserve">The Alberhill project would have significant and unavoidable impacts on air quality and noise during </w:t>
      </w:r>
      <w:r w:rsidRPr="00E12C1B">
        <w:lastRenderedPageBreak/>
        <w:t>project construction, on noise during maintenance activities, and on aesthetics.</w:t>
      </w:r>
      <w:r w:rsidRPr="003C148E">
        <w:rPr>
          <w:rStyle w:val="FootnoteReference"/>
          <w:sz w:val="22"/>
        </w:rPr>
        <w:footnoteReference w:id="50"/>
      </w:r>
    </w:p>
    <w:p w:rsidRPr="00E12C1B" w:rsidR="00273E20" w:rsidP="00DB2107" w:rsidRDefault="00735943" w14:paraId="7F88B9C0" w14:textId="77777777">
      <w:pPr>
        <w:pStyle w:val="ListParagraph"/>
        <w:numPr>
          <w:ilvl w:val="0"/>
          <w:numId w:val="13"/>
        </w:numPr>
        <w:spacing w:after="120" w:line="240" w:lineRule="auto"/>
        <w:ind w:right="1440"/>
      </w:pPr>
      <w:r w:rsidRPr="00E12C1B">
        <w:t>After screening 33 alternatives to the Alberhill project, three were retained for consideration.</w:t>
      </w:r>
      <w:r w:rsidRPr="00E12C1B" w:rsidR="007D013D">
        <w:t xml:space="preserve"> </w:t>
      </w:r>
      <w:r w:rsidRPr="00E12C1B">
        <w:t xml:space="preserve"> T</w:t>
      </w:r>
      <w:r w:rsidRPr="00E12C1B" w:rsidR="007D013D">
        <w:t xml:space="preserve">he No Project Alternative </w:t>
      </w:r>
      <w:r w:rsidRPr="00E12C1B">
        <w:t>was determined to be</w:t>
      </w:r>
      <w:r w:rsidRPr="00E12C1B" w:rsidR="007D013D">
        <w:t xml:space="preserve"> the environmentally superior alternative.  Among the other alternatives, the proposed Alberhill project is the environmentally superior alternative.</w:t>
      </w:r>
      <w:r w:rsidRPr="003C148E" w:rsidR="007D013D">
        <w:rPr>
          <w:rStyle w:val="FootnoteReference"/>
          <w:sz w:val="22"/>
        </w:rPr>
        <w:footnoteReference w:id="51"/>
      </w:r>
    </w:p>
    <w:p w:rsidRPr="00E12C1B" w:rsidR="00273E20" w:rsidP="00DB2107" w:rsidRDefault="00273E20" w14:paraId="3B4AEA3E" w14:textId="77777777">
      <w:pPr>
        <w:pStyle w:val="ListParagraph"/>
        <w:numPr>
          <w:ilvl w:val="0"/>
          <w:numId w:val="13"/>
        </w:numPr>
        <w:spacing w:after="120" w:line="240" w:lineRule="auto"/>
        <w:ind w:right="1440"/>
      </w:pPr>
      <w:r w:rsidRPr="00E12C1B">
        <w:t>S</w:t>
      </w:r>
      <w:r w:rsidRPr="00E12C1B" w:rsidR="007D013D">
        <w:t xml:space="preserve">ubstantial evidence supports the </w:t>
      </w:r>
      <w:r w:rsidRPr="00E12C1B" w:rsidR="00212114">
        <w:t>f</w:t>
      </w:r>
      <w:r w:rsidRPr="00E12C1B" w:rsidR="007D013D">
        <w:t xml:space="preserve">inal EIR’s </w:t>
      </w:r>
      <w:r w:rsidRPr="00E12C1B" w:rsidR="003C148E">
        <w:t>findings and</w:t>
      </w:r>
      <w:r w:rsidRPr="00E12C1B" w:rsidR="007D013D">
        <w:t xml:space="preserve"> certified that the final EIR was completed in compliance with CEQA.</w:t>
      </w:r>
      <w:r w:rsidRPr="003C148E" w:rsidR="007D013D">
        <w:rPr>
          <w:rStyle w:val="FootnoteReference"/>
          <w:sz w:val="22"/>
        </w:rPr>
        <w:footnoteReference w:id="52"/>
      </w:r>
    </w:p>
    <w:p w:rsidRPr="00E12C1B" w:rsidR="00273E20" w:rsidP="00DB2107" w:rsidRDefault="007D013D" w14:paraId="44093127" w14:textId="77777777">
      <w:pPr>
        <w:pStyle w:val="ListParagraph"/>
        <w:numPr>
          <w:ilvl w:val="0"/>
          <w:numId w:val="13"/>
        </w:numPr>
        <w:spacing w:after="120" w:line="240" w:lineRule="auto"/>
        <w:ind w:right="1440"/>
      </w:pPr>
      <w:r w:rsidRPr="00E12C1B">
        <w:t>Because no party asserted that the environmentally superior project alternatives and associated mitigation measures were infeasible, the Commission found that they were not infeasible.</w:t>
      </w:r>
      <w:r w:rsidRPr="003C148E">
        <w:rPr>
          <w:rStyle w:val="FootnoteReference"/>
          <w:sz w:val="22"/>
        </w:rPr>
        <w:footnoteReference w:id="53"/>
      </w:r>
    </w:p>
    <w:p w:rsidRPr="00E12C1B" w:rsidR="00304731" w:rsidP="00273E20" w:rsidRDefault="00273E20" w14:paraId="2FAF7CD6" w14:textId="77777777">
      <w:r w:rsidRPr="00E12C1B">
        <w:t xml:space="preserve">This decision resolves </w:t>
      </w:r>
      <w:r w:rsidRPr="00E12C1B" w:rsidR="0067308C">
        <w:t xml:space="preserve">the </w:t>
      </w:r>
      <w:r w:rsidRPr="00E12C1B">
        <w:t>remaining issues</w:t>
      </w:r>
      <w:r w:rsidRPr="00E12C1B" w:rsidR="002811F1">
        <w:t>:</w:t>
      </w:r>
    </w:p>
    <w:p w:rsidRPr="00E12C1B" w:rsidR="00304731" w:rsidP="00273E20" w:rsidRDefault="00304731" w14:paraId="7A54E525" w14:textId="77777777">
      <w:pPr>
        <w:pStyle w:val="Standard"/>
        <w:spacing w:after="120" w:line="240" w:lineRule="auto"/>
        <w:ind w:left="720" w:right="1440" w:firstLine="0"/>
      </w:pPr>
      <w:r w:rsidRPr="00E12C1B">
        <w:rPr>
          <w:b/>
          <w:bCs/>
        </w:rPr>
        <w:t>Issue 6:</w:t>
      </w:r>
      <w:r w:rsidRPr="00E12C1B">
        <w:t xml:space="preserve"> </w:t>
      </w:r>
      <w:r w:rsidRPr="00E12C1B" w:rsidR="00537207">
        <w:t xml:space="preserve"> </w:t>
      </w:r>
      <w:r w:rsidRPr="00E12C1B">
        <w:t xml:space="preserve">To the extent that the proposed projects and/or project alternatives result in significant and unavoidable adverse environmental impacts, are there overriding considerations [pursuant to California Environmental Quality Act (CEQA) Guidelines </w:t>
      </w:r>
      <w:r w:rsidR="00F33422">
        <w:t xml:space="preserve">Section </w:t>
      </w:r>
      <w:r w:rsidRPr="00E12C1B">
        <w:t>15093] that nevertheless merit Commission-approval of the proposed project or project alternative?  This issue encompasses consideration of whether:</w:t>
      </w:r>
    </w:p>
    <w:p w:rsidRPr="00E12C1B" w:rsidR="00304731" w:rsidP="00142FFC" w:rsidRDefault="00304731" w14:paraId="25E7C09E" w14:textId="77777777">
      <w:pPr>
        <w:pStyle w:val="Standard"/>
        <w:spacing w:after="120" w:line="240" w:lineRule="auto"/>
        <w:ind w:left="1080" w:right="1440" w:firstLine="0"/>
      </w:pPr>
      <w:r w:rsidRPr="00E12C1B">
        <w:t>(</w:t>
      </w:r>
      <w:r w:rsidR="00A4431A">
        <w:t>b</w:t>
      </w:r>
      <w:r w:rsidRPr="00E12C1B">
        <w:t>) With respect to the Alberhill project, is there a need to relieve projected electrical demand that would exceed the operating limit of the two load-serving Valley South 115 kV system 500/115</w:t>
      </w:r>
      <w:r w:rsidRPr="00E12C1B" w:rsidR="002C354F">
        <w:t xml:space="preserve"> </w:t>
      </w:r>
      <w:r w:rsidRPr="00E12C1B">
        <w:t>kV transformers within the Electrical Needs Area, and to provide electricity in place of the Alberhill 115 kV system during maintenance, during emergency events, or to relieve other operational issues on one of the systems?</w:t>
      </w:r>
      <w:r w:rsidRPr="003C148E" w:rsidDel="00E820BD" w:rsidR="00E820BD">
        <w:rPr>
          <w:rStyle w:val="FootnoteReference"/>
          <w:sz w:val="22"/>
        </w:rPr>
        <w:t xml:space="preserve"> </w:t>
      </w:r>
    </w:p>
    <w:p w:rsidRPr="00E12C1B" w:rsidR="00304731" w:rsidP="00A4431A" w:rsidRDefault="00304731" w14:paraId="46D530C2" w14:textId="77777777">
      <w:pPr>
        <w:pStyle w:val="Standard"/>
        <w:spacing w:after="120" w:line="240" w:lineRule="auto"/>
        <w:ind w:left="720" w:right="1440" w:firstLine="0"/>
      </w:pPr>
      <w:r w:rsidRPr="00E12C1B">
        <w:rPr>
          <w:b/>
          <w:bCs/>
        </w:rPr>
        <w:lastRenderedPageBreak/>
        <w:t>Issue 7:</w:t>
      </w:r>
      <w:r w:rsidRPr="00E12C1B">
        <w:t xml:space="preserve"> </w:t>
      </w:r>
      <w:r w:rsidRPr="00E12C1B" w:rsidR="00142FFC">
        <w:t xml:space="preserve"> </w:t>
      </w:r>
      <w:r w:rsidRPr="00E12C1B">
        <w:t>Are the proposed projects and/or project alternative designed in compliance with the Commission’s policies governing the mitigation of EMF effects using low-cost and no-cost measures?</w:t>
      </w:r>
    </w:p>
    <w:p w:rsidRPr="00E12C1B" w:rsidR="00304731" w:rsidP="00273E20" w:rsidRDefault="00304731" w14:paraId="7BBC67A0" w14:textId="77777777">
      <w:pPr>
        <w:pStyle w:val="Standard"/>
        <w:spacing w:after="120" w:line="240" w:lineRule="auto"/>
        <w:ind w:left="720" w:right="1440" w:firstLine="0"/>
      </w:pPr>
      <w:r w:rsidRPr="00E12C1B">
        <w:rPr>
          <w:b/>
          <w:bCs/>
        </w:rPr>
        <w:t>Issue 8:</w:t>
      </w:r>
      <w:r w:rsidRPr="00E12C1B">
        <w:t xml:space="preserve"> </w:t>
      </w:r>
      <w:r w:rsidRPr="00E12C1B" w:rsidR="00142FFC">
        <w:t xml:space="preserve"> </w:t>
      </w:r>
      <w:r w:rsidRPr="00E12C1B">
        <w:t>Does the Alberhill project serve a present or future public convenience and necessity [</w:t>
      </w:r>
      <w:r w:rsidR="001810F7">
        <w:t>p</w:t>
      </w:r>
      <w:r w:rsidRPr="00E12C1B">
        <w:t>ursuant to California Public Resources Code §1001]</w:t>
      </w:r>
      <w:r w:rsidR="001810F7">
        <w:t>?</w:t>
      </w:r>
      <w:r w:rsidRPr="00E12C1B">
        <w:t xml:space="preserve">  This issue overlaps with Issue</w:t>
      </w:r>
      <w:r w:rsidRPr="00E12C1B" w:rsidR="00142FFC">
        <w:t> </w:t>
      </w:r>
      <w:r w:rsidRPr="00E12C1B">
        <w:t>6</w:t>
      </w:r>
      <w:r w:rsidR="00E820BD">
        <w:t>(</w:t>
      </w:r>
      <w:r w:rsidRPr="00E12C1B">
        <w:t>b</w:t>
      </w:r>
      <w:r w:rsidR="00E820BD">
        <w:t>)</w:t>
      </w:r>
      <w:r w:rsidRPr="00E12C1B">
        <w:t>.</w:t>
      </w:r>
    </w:p>
    <w:p w:rsidRPr="003D0677" w:rsidR="00782AE0" w:rsidP="003D0677" w:rsidRDefault="00304731" w14:paraId="05E06D93" w14:textId="77777777">
      <w:pPr>
        <w:pStyle w:val="Standard"/>
        <w:spacing w:after="120" w:line="240" w:lineRule="auto"/>
        <w:ind w:left="720" w:right="1440" w:firstLine="0"/>
      </w:pPr>
      <w:r w:rsidRPr="00E12C1B">
        <w:rPr>
          <w:b/>
          <w:bCs/>
        </w:rPr>
        <w:t>Issue 9:</w:t>
      </w:r>
      <w:r w:rsidRPr="00E12C1B">
        <w:t xml:space="preserve"> </w:t>
      </w:r>
      <w:r w:rsidRPr="00E12C1B" w:rsidR="00142FFC">
        <w:t xml:space="preserve"> </w:t>
      </w:r>
      <w:r w:rsidRPr="00E12C1B">
        <w:t>What is the maximum prudent and reasonable cost of the Alberhill project?</w:t>
      </w:r>
      <w:r w:rsidRPr="003C148E" w:rsidR="001C3F7C">
        <w:rPr>
          <w:rStyle w:val="FootnoteReference"/>
          <w:sz w:val="22"/>
        </w:rPr>
        <w:footnoteReference w:id="54"/>
      </w:r>
    </w:p>
    <w:p w:rsidRPr="001D29C4" w:rsidR="00233BE9" w:rsidP="00883DC4" w:rsidRDefault="00E53934" w14:paraId="0DD84B0A" w14:textId="77777777">
      <w:pPr>
        <w:pStyle w:val="Heading1"/>
      </w:pPr>
      <w:bookmarkStart w:name="_Toc225410163" w:id="21"/>
      <w:r w:rsidRPr="001D29C4">
        <w:t>Issue 6</w:t>
      </w:r>
      <w:r w:rsidRPr="001D29C4" w:rsidR="001B36B0">
        <w:t>:</w:t>
      </w:r>
      <w:r w:rsidRPr="001D29C4" w:rsidR="00E61009">
        <w:t xml:space="preserve"> </w:t>
      </w:r>
      <w:r w:rsidRPr="001D29C4" w:rsidR="00142FFC">
        <w:t xml:space="preserve"> </w:t>
      </w:r>
      <w:r w:rsidRPr="001D29C4" w:rsidR="00010808">
        <w:t>Overriding Considerations</w:t>
      </w:r>
      <w:r w:rsidRPr="001D29C4" w:rsidR="00640193">
        <w:t xml:space="preserve"> and Need</w:t>
      </w:r>
      <w:bookmarkEnd w:id="21"/>
    </w:p>
    <w:p w:rsidR="000A4725" w:rsidP="00233BE9" w:rsidRDefault="008974D7" w14:paraId="3DC37FAC" w14:textId="77777777">
      <w:pPr>
        <w:pStyle w:val="Standard"/>
      </w:pPr>
      <w:r w:rsidRPr="00E12C1B">
        <w:t>Issue 6 is based on the</w:t>
      </w:r>
      <w:r w:rsidRPr="00E12C1B" w:rsidR="00D50886">
        <w:t xml:space="preserve"> </w:t>
      </w:r>
      <w:r w:rsidRPr="00E12C1B" w:rsidR="00233BE9">
        <w:t>CEQA</w:t>
      </w:r>
      <w:r w:rsidRPr="00E12C1B" w:rsidR="008F1290">
        <w:t xml:space="preserve"> r</w:t>
      </w:r>
      <w:r w:rsidRPr="00E12C1B" w:rsidR="00C55D75">
        <w:t>e</w:t>
      </w:r>
      <w:r w:rsidRPr="00E12C1B" w:rsidR="008F1290">
        <w:t>quirement</w:t>
      </w:r>
      <w:r w:rsidRPr="00E12C1B" w:rsidR="00233BE9">
        <w:t xml:space="preserve"> that a public agency may not approve a project that has significant and unavoidable (unmitigable) environmental impacts unless it determines that there are overriding considerations that merit project approval despite those unmitigable environmental impacts. </w:t>
      </w:r>
      <w:r w:rsidRPr="00E12C1B" w:rsidR="00497D96">
        <w:t xml:space="preserve"> </w:t>
      </w:r>
    </w:p>
    <w:p w:rsidRPr="00E12C1B" w:rsidR="008F1290" w:rsidP="00233BE9" w:rsidRDefault="008F1290" w14:paraId="1005B670" w14:textId="77777777">
      <w:pPr>
        <w:pStyle w:val="Standard"/>
      </w:pPr>
      <w:r w:rsidRPr="00E12C1B">
        <w:t>Issue 6 also asks whether there is a need to relieve the projected demand and provide electricity in place of the current system during emergency events or to relieve other issues.</w:t>
      </w:r>
      <w:r w:rsidRPr="003C148E">
        <w:rPr>
          <w:rStyle w:val="FootnoteReference"/>
          <w:sz w:val="22"/>
        </w:rPr>
        <w:footnoteReference w:id="55"/>
      </w:r>
      <w:r w:rsidRPr="003C148E">
        <w:rPr>
          <w:sz w:val="22"/>
        </w:rPr>
        <w:t xml:space="preserve"> </w:t>
      </w:r>
      <w:r w:rsidRPr="00E12C1B">
        <w:t xml:space="preserve"> </w:t>
      </w:r>
      <w:r w:rsidRPr="00E12C1B" w:rsidR="00B85672">
        <w:t xml:space="preserve">Because the topics of </w:t>
      </w:r>
      <w:r w:rsidRPr="00E12C1B">
        <w:t>Issue 6 overlap with Issue 8,</w:t>
      </w:r>
      <w:r w:rsidRPr="003C148E" w:rsidR="00B85672">
        <w:rPr>
          <w:rStyle w:val="FootnoteReference"/>
          <w:sz w:val="22"/>
        </w:rPr>
        <w:footnoteReference w:id="56"/>
      </w:r>
      <w:r w:rsidRPr="003C148E">
        <w:rPr>
          <w:sz w:val="22"/>
        </w:rPr>
        <w:t xml:space="preserve"> </w:t>
      </w:r>
      <w:r w:rsidRPr="00E12C1B">
        <w:t>which requires the Commission to consider whether the Alberhill project serve</w:t>
      </w:r>
      <w:r w:rsidRPr="00E12C1B" w:rsidR="00C55D75">
        <w:t>s</w:t>
      </w:r>
      <w:r w:rsidRPr="00E12C1B">
        <w:t xml:space="preserve"> a present or future public convenience and necessity</w:t>
      </w:r>
      <w:r w:rsidRPr="00E12C1B" w:rsidR="00B85672">
        <w:t xml:space="preserve">, the discussions </w:t>
      </w:r>
      <w:r w:rsidR="004E2051">
        <w:t>in this section apply to the section below regarding the CPCN (</w:t>
      </w:r>
      <w:r w:rsidRPr="00E12C1B" w:rsidR="00B85672">
        <w:t xml:space="preserve">Section </w:t>
      </w:r>
      <w:r w:rsidR="008525CF">
        <w:t>8</w:t>
      </w:r>
      <w:r w:rsidRPr="00E12C1B" w:rsidR="00B85672">
        <w:t xml:space="preserve"> as well</w:t>
      </w:r>
      <w:r w:rsidR="001B288D">
        <w:t>)</w:t>
      </w:r>
      <w:r w:rsidRPr="00E12C1B">
        <w:t>.</w:t>
      </w:r>
    </w:p>
    <w:p w:rsidRPr="00E12C1B" w:rsidR="00497D96" w:rsidP="00233BE9" w:rsidRDefault="00497D96" w14:paraId="4634AF11" w14:textId="77777777">
      <w:pPr>
        <w:pStyle w:val="Standard"/>
      </w:pPr>
      <w:r w:rsidRPr="00E12C1B">
        <w:t>D.18-08-026 analyzed whether overriding considerations merit approval of the Alberhill project and</w:t>
      </w:r>
      <w:r w:rsidRPr="00E12C1B" w:rsidR="008A5985">
        <w:t xml:space="preserve"> determined that</w:t>
      </w:r>
      <w:r w:rsidR="000B7C76">
        <w:t xml:space="preserve">, because forecasts at that time </w:t>
      </w:r>
      <w:r w:rsidR="000B7C76">
        <w:lastRenderedPageBreak/>
        <w:t>predicted</w:t>
      </w:r>
      <w:r w:rsidRPr="00E12C1B" w:rsidR="008A5985">
        <w:t xml:space="preserve"> declining load growth</w:t>
      </w:r>
      <w:r w:rsidR="000B7C76">
        <w:t xml:space="preserve">, </w:t>
      </w:r>
      <w:r w:rsidRPr="00E12C1B" w:rsidR="008A5985">
        <w:t xml:space="preserve">the </w:t>
      </w:r>
      <w:r w:rsidRPr="00E12C1B" w:rsidR="008974D7">
        <w:t xml:space="preserve">Alberhill project </w:t>
      </w:r>
      <w:r w:rsidRPr="00E12C1B" w:rsidR="008A5985">
        <w:t>was not needed</w:t>
      </w:r>
      <w:r w:rsidRPr="00E12C1B" w:rsidR="008974D7">
        <w:t>.</w:t>
      </w:r>
      <w:r w:rsidRPr="003C148E" w:rsidR="008974D7">
        <w:rPr>
          <w:rStyle w:val="FootnoteReference"/>
          <w:sz w:val="22"/>
        </w:rPr>
        <w:footnoteReference w:id="57"/>
      </w:r>
      <w:r w:rsidRPr="00E12C1B" w:rsidR="008974D7">
        <w:t xml:space="preserve">  D.18-08-026 </w:t>
      </w:r>
      <w:r w:rsidRPr="00E12C1B" w:rsidR="00886D40">
        <w:t xml:space="preserve">concluded that it was necessary for SCE to perform </w:t>
      </w:r>
      <w:r w:rsidRPr="00E12C1B">
        <w:t>additional analyses of load forecasts and alternatives.</w:t>
      </w:r>
      <w:r w:rsidRPr="003C148E">
        <w:rPr>
          <w:rStyle w:val="FootnoteReference"/>
          <w:sz w:val="22"/>
        </w:rPr>
        <w:footnoteReference w:id="58"/>
      </w:r>
      <w:r w:rsidRPr="003C148E">
        <w:rPr>
          <w:sz w:val="22"/>
        </w:rPr>
        <w:t xml:space="preserve"> </w:t>
      </w:r>
      <w:r w:rsidRPr="00E12C1B">
        <w:t xml:space="preserve"> </w:t>
      </w:r>
      <w:r w:rsidRPr="00E12C1B" w:rsidR="00886D40">
        <w:t xml:space="preserve">Based on </w:t>
      </w:r>
      <w:r w:rsidRPr="00E12C1B" w:rsidR="00B47F78">
        <w:t xml:space="preserve">SCE’s </w:t>
      </w:r>
      <w:r w:rsidRPr="00E12C1B" w:rsidR="00DE4021">
        <w:t xml:space="preserve">supplemental </w:t>
      </w:r>
      <w:r w:rsidRPr="00E12C1B" w:rsidR="00886D40">
        <w:t>material</w:t>
      </w:r>
      <w:r w:rsidRPr="00E12C1B" w:rsidR="00DE4021">
        <w:t>,</w:t>
      </w:r>
      <w:r w:rsidRPr="00E12C1B" w:rsidR="00886D40">
        <w:t xml:space="preserve"> </w:t>
      </w:r>
      <w:r w:rsidRPr="00E12C1B">
        <w:t>Energy Division</w:t>
      </w:r>
      <w:r w:rsidRPr="00E12C1B" w:rsidR="00886D40">
        <w:t>’s Staff Report detailed its independent review</w:t>
      </w:r>
      <w:r w:rsidRPr="00E12C1B">
        <w:t xml:space="preserve"> of SCE’s analysis</w:t>
      </w:r>
      <w:r w:rsidRPr="00E12C1B" w:rsidR="00886D40">
        <w:t>.</w:t>
      </w:r>
      <w:r w:rsidRPr="003C148E" w:rsidR="00886D40">
        <w:rPr>
          <w:rStyle w:val="FootnoteReference"/>
          <w:sz w:val="22"/>
        </w:rPr>
        <w:footnoteReference w:id="59"/>
      </w:r>
      <w:r w:rsidRPr="00E12C1B" w:rsidR="00B85672">
        <w:t xml:space="preserve">  </w:t>
      </w:r>
      <w:r w:rsidRPr="00E12C1B" w:rsidR="00B47F78">
        <w:t>Also</w:t>
      </w:r>
      <w:r w:rsidRPr="00E12C1B" w:rsidR="00DE4021">
        <w:t xml:space="preserve"> based on SCE’s supplemental material, </w:t>
      </w:r>
      <w:r w:rsidRPr="00E12C1B" w:rsidR="00B47F78">
        <w:t>the</w:t>
      </w:r>
      <w:r w:rsidRPr="00E12C1B" w:rsidR="00886D40">
        <w:t xml:space="preserve"> </w:t>
      </w:r>
      <w:r w:rsidRPr="00E12C1B" w:rsidR="00B47F78">
        <w:t xml:space="preserve">Addendum </w:t>
      </w:r>
      <w:r w:rsidRPr="00E12C1B" w:rsidR="008A5985">
        <w:t xml:space="preserve">to the </w:t>
      </w:r>
      <w:r w:rsidRPr="00E12C1B" w:rsidR="00212114">
        <w:t>F</w:t>
      </w:r>
      <w:r w:rsidRPr="00E12C1B" w:rsidR="008A5985">
        <w:t xml:space="preserve">inal EIR </w:t>
      </w:r>
      <w:r w:rsidRPr="00E12C1B" w:rsidR="00B47F78">
        <w:t>considered 1</w:t>
      </w:r>
      <w:r w:rsidR="00B5744B">
        <w:t>3</w:t>
      </w:r>
      <w:r w:rsidRPr="00E12C1B" w:rsidR="00B47F78">
        <w:t xml:space="preserve"> new alternatives,</w:t>
      </w:r>
      <w:r w:rsidRPr="00E12C1B" w:rsidR="008A5985">
        <w:t xml:space="preserve"> and</w:t>
      </w:r>
      <w:r w:rsidRPr="00E12C1B" w:rsidR="00DE4021">
        <w:t xml:space="preserve"> the Addendum</w:t>
      </w:r>
      <w:r w:rsidRPr="00E12C1B" w:rsidR="00B47F78">
        <w:t xml:space="preserve"> </w:t>
      </w:r>
      <w:r w:rsidRPr="00E12C1B" w:rsidR="00B85672">
        <w:t xml:space="preserve">incorporated </w:t>
      </w:r>
      <w:r w:rsidRPr="00E12C1B" w:rsidR="008A5985">
        <w:t xml:space="preserve">in its analysis </w:t>
      </w:r>
      <w:r w:rsidRPr="00E12C1B" w:rsidR="00B85672">
        <w:t>the</w:t>
      </w:r>
      <w:r w:rsidRPr="00E12C1B" w:rsidR="00B47F78">
        <w:t xml:space="preserve"> Staff Report and</w:t>
      </w:r>
      <w:r w:rsidRPr="00E12C1B" w:rsidR="00B85672">
        <w:t xml:space="preserve"> rankings of the alternatives in the Staff Report</w:t>
      </w:r>
      <w:r w:rsidRPr="00E12C1B" w:rsidR="00B47F78">
        <w:t>.</w:t>
      </w:r>
      <w:r w:rsidR="00C84FDB">
        <w:rPr>
          <w:rStyle w:val="FootnoteReference"/>
        </w:rPr>
        <w:footnoteReference w:id="60"/>
      </w:r>
      <w:r w:rsidRPr="00E12C1B" w:rsidR="00B47F78">
        <w:t xml:space="preserve">  The Addendum </w:t>
      </w:r>
      <w:r w:rsidRPr="00E12C1B" w:rsidR="00886D40">
        <w:t xml:space="preserve">concluded that </w:t>
      </w:r>
      <w:r w:rsidRPr="00E12C1B" w:rsidR="008974D7">
        <w:t xml:space="preserve">none of </w:t>
      </w:r>
      <w:r w:rsidRPr="00E12C1B" w:rsidR="00886D40">
        <w:t>the new alternatives will be carried forward for full analysis under CEQA.</w:t>
      </w:r>
      <w:r w:rsidRPr="003C148E" w:rsidR="008974D7">
        <w:rPr>
          <w:rStyle w:val="FootnoteReference"/>
          <w:sz w:val="22"/>
        </w:rPr>
        <w:footnoteReference w:id="61"/>
      </w:r>
      <w:r w:rsidRPr="00E12C1B">
        <w:t xml:space="preserve">  </w:t>
      </w:r>
      <w:r w:rsidRPr="00E12C1B" w:rsidR="00B85672">
        <w:t>T</w:t>
      </w:r>
      <w:r w:rsidRPr="00E12C1B" w:rsidR="008974D7">
        <w:t xml:space="preserve">he Alberhill project </w:t>
      </w:r>
      <w:r w:rsidR="00D46D44">
        <w:t>remain</w:t>
      </w:r>
      <w:r w:rsidRPr="00E12C1B" w:rsidR="008974D7">
        <w:t>s the environmentally superior alternative.</w:t>
      </w:r>
      <w:r w:rsidRPr="003C148E" w:rsidR="008974D7">
        <w:rPr>
          <w:rStyle w:val="FootnoteReference"/>
          <w:sz w:val="22"/>
        </w:rPr>
        <w:footnoteReference w:id="62"/>
      </w:r>
    </w:p>
    <w:p w:rsidR="008B7CDC" w:rsidP="00233BE9" w:rsidRDefault="000A4725" w14:paraId="6E2D0AD8" w14:textId="77777777">
      <w:pPr>
        <w:pStyle w:val="Standard"/>
      </w:pPr>
      <w:r>
        <w:t>As</w:t>
      </w:r>
      <w:r w:rsidR="008B7CDC">
        <w:t xml:space="preserve"> explained below, t</w:t>
      </w:r>
      <w:r w:rsidRPr="00E12C1B" w:rsidR="00B85672">
        <w:t>he Commission concludes with regards to Issue 6 that</w:t>
      </w:r>
      <w:r w:rsidRPr="00E12C1B" w:rsidR="00233BE9">
        <w:t xml:space="preserve"> </w:t>
      </w:r>
      <w:r w:rsidR="008B7CDC">
        <w:t>the following needs are overriding considerations that outweigh the project’s unavoidable environmental impacts:</w:t>
      </w:r>
    </w:p>
    <w:p w:rsidR="008B7CDC" w:rsidP="00DB2107" w:rsidRDefault="008B7CDC" w14:paraId="51060158" w14:textId="77777777">
      <w:pPr>
        <w:pStyle w:val="Standard"/>
        <w:numPr>
          <w:ilvl w:val="0"/>
          <w:numId w:val="22"/>
        </w:numPr>
        <w:spacing w:after="120" w:line="240" w:lineRule="auto"/>
        <w:ind w:right="1440"/>
      </w:pPr>
      <w:r>
        <w:t>T</w:t>
      </w:r>
      <w:r w:rsidRPr="00E12C1B" w:rsidR="00233BE9">
        <w:t xml:space="preserve">he need to relieve projected electrical demand that would exceed the operating limit of the two load-serving </w:t>
      </w:r>
      <w:r w:rsidR="000A4725">
        <w:t>transformers for the Valley South System</w:t>
      </w:r>
      <w:r w:rsidR="00043B46">
        <w:t>;</w:t>
      </w:r>
      <w:r w:rsidRPr="00E12C1B" w:rsidR="00233BE9">
        <w:t xml:space="preserve"> </w:t>
      </w:r>
    </w:p>
    <w:p w:rsidR="008B7CDC" w:rsidP="00DB2107" w:rsidRDefault="008B7CDC" w14:paraId="6E6E76FD" w14:textId="77777777">
      <w:pPr>
        <w:pStyle w:val="Standard"/>
        <w:numPr>
          <w:ilvl w:val="0"/>
          <w:numId w:val="22"/>
        </w:numPr>
        <w:spacing w:after="120" w:line="240" w:lineRule="auto"/>
        <w:ind w:right="1440"/>
      </w:pPr>
      <w:r>
        <w:t>T</w:t>
      </w:r>
      <w:r w:rsidRPr="00E12C1B" w:rsidR="00233BE9">
        <w:t xml:space="preserve">he need to provide electricity in place of the </w:t>
      </w:r>
      <w:r w:rsidRPr="00E12C1B" w:rsidR="008F1290">
        <w:t>Valley South</w:t>
      </w:r>
      <w:r w:rsidRPr="00E12C1B" w:rsidR="00233BE9">
        <w:t xml:space="preserve"> </w:t>
      </w:r>
      <w:r w:rsidR="000A4725">
        <w:t>S</w:t>
      </w:r>
      <w:r w:rsidRPr="00E12C1B" w:rsidR="00233BE9">
        <w:t>ystem during maintenance</w:t>
      </w:r>
      <w:r w:rsidR="00043B46">
        <w:t>;</w:t>
      </w:r>
      <w:r w:rsidRPr="00E12C1B" w:rsidR="00233BE9">
        <w:t xml:space="preserve"> </w:t>
      </w:r>
      <w:r w:rsidR="00043B46">
        <w:t>and</w:t>
      </w:r>
    </w:p>
    <w:p w:rsidR="008B7CDC" w:rsidP="00DB2107" w:rsidRDefault="008B7CDC" w14:paraId="1ED7C8F0" w14:textId="77777777">
      <w:pPr>
        <w:pStyle w:val="Standard"/>
        <w:numPr>
          <w:ilvl w:val="0"/>
          <w:numId w:val="22"/>
        </w:numPr>
        <w:spacing w:after="120" w:line="240" w:lineRule="auto"/>
        <w:ind w:right="1440"/>
      </w:pPr>
      <w:r>
        <w:lastRenderedPageBreak/>
        <w:t xml:space="preserve">The need to provide an alternative </w:t>
      </w:r>
      <w:r w:rsidRPr="00E12C1B" w:rsidR="00233BE9">
        <w:t xml:space="preserve">during emergency events, or to relieve other operational issues on one of the systems.  </w:t>
      </w:r>
    </w:p>
    <w:p w:rsidRPr="00E12C1B" w:rsidR="00233BE9" w:rsidP="00A4431A" w:rsidRDefault="008B7CDC" w14:paraId="574470EF" w14:textId="77777777">
      <w:pPr>
        <w:pStyle w:val="Standard"/>
      </w:pPr>
      <w:r>
        <w:t xml:space="preserve">By meeting these needs, the Alberhill project </w:t>
      </w:r>
      <w:r w:rsidRPr="00E12C1B">
        <w:t>serve</w:t>
      </w:r>
      <w:r>
        <w:t>s</w:t>
      </w:r>
      <w:r w:rsidRPr="00E12C1B">
        <w:t xml:space="preserve"> the public convenience and necessity and</w:t>
      </w:r>
      <w:r w:rsidR="001B288D">
        <w:t xml:space="preserve"> the benefits</w:t>
      </w:r>
      <w:r w:rsidRPr="00E12C1B">
        <w:t xml:space="preserve"> outweigh the project’s unavoidable impacts on aesthetics, air quality</w:t>
      </w:r>
      <w:r w:rsidR="00467786">
        <w:t>,</w:t>
      </w:r>
      <w:r w:rsidRPr="00E12C1B">
        <w:t xml:space="preserve"> noise and vibration during construction, a</w:t>
      </w:r>
      <w:r w:rsidR="001D726F">
        <w:t xml:space="preserve">long with </w:t>
      </w:r>
      <w:r w:rsidRPr="00E12C1B">
        <w:t>cumulative impacts</w:t>
      </w:r>
      <w:r>
        <w:t xml:space="preserve">.  </w:t>
      </w:r>
      <w:r w:rsidRPr="00E12C1B" w:rsidR="00CF577E">
        <w:t>The detailed reasons for finding capacity need,</w:t>
      </w:r>
      <w:r w:rsidR="00166728">
        <w:rPr>
          <w:rStyle w:val="FootnoteReference"/>
        </w:rPr>
        <w:footnoteReference w:id="63"/>
      </w:r>
      <w:r w:rsidRPr="00E12C1B" w:rsidR="00CF577E">
        <w:t xml:space="preserve"> reliability need, and resilience need are below in </w:t>
      </w:r>
      <w:r w:rsidR="000A4725">
        <w:t xml:space="preserve">Sections </w:t>
      </w:r>
      <w:r w:rsidR="008525CF">
        <w:t>6.1</w:t>
      </w:r>
      <w:r w:rsidR="000A4725">
        <w:t xml:space="preserve">, </w:t>
      </w:r>
      <w:r w:rsidR="008525CF">
        <w:t>6.2</w:t>
      </w:r>
      <w:r w:rsidR="000A4725">
        <w:t xml:space="preserve">, </w:t>
      </w:r>
      <w:r w:rsidR="008525CF">
        <w:t>6.3</w:t>
      </w:r>
      <w:r w:rsidR="000A4725">
        <w:t xml:space="preserve"> and </w:t>
      </w:r>
      <w:r w:rsidR="008525CF">
        <w:t>6.4</w:t>
      </w:r>
      <w:r w:rsidRPr="00E12C1B" w:rsidR="00CF577E">
        <w:t xml:space="preserve">  However, </w:t>
      </w:r>
      <w:r w:rsidRPr="00E12C1B" w:rsidR="009F3D76">
        <w:t>as a preliminary matter, the Commission explains why it finds that the fifth spare transformer</w:t>
      </w:r>
      <w:r w:rsidRPr="00E12C1B" w:rsidR="00C66539">
        <w:t xml:space="preserve"> should be </w:t>
      </w:r>
      <w:r w:rsidRPr="00E12C1B" w:rsidR="009F3D76">
        <w:t xml:space="preserve">excluded from </w:t>
      </w:r>
      <w:r w:rsidRPr="00E12C1B" w:rsidR="00C66539">
        <w:t>analysis and calculations with regard to need within the Valley South System.</w:t>
      </w:r>
    </w:p>
    <w:p w:rsidRPr="001D29C4" w:rsidR="001432B9" w:rsidP="00883DC4" w:rsidRDefault="00E539CA" w14:paraId="77AD612E" w14:textId="77777777">
      <w:pPr>
        <w:pStyle w:val="Heading2"/>
      </w:pPr>
      <w:bookmarkStart w:name="_Toc225410164" w:id="22"/>
      <w:r w:rsidRPr="001D29C4">
        <w:t xml:space="preserve">The </w:t>
      </w:r>
      <w:r w:rsidR="000A4725">
        <w:t xml:space="preserve">Fifth </w:t>
      </w:r>
      <w:r w:rsidRPr="001D29C4">
        <w:t>Spare Transformer is Not a Long</w:t>
      </w:r>
      <w:r w:rsidRPr="001D29C4" w:rsidR="0067308C">
        <w:t xml:space="preserve"> – </w:t>
      </w:r>
      <w:r w:rsidRPr="001D29C4">
        <w:t>Term Solution to Meet Load</w:t>
      </w:r>
      <w:bookmarkEnd w:id="22"/>
    </w:p>
    <w:p w:rsidR="001D4B5B" w:rsidP="0026128C" w:rsidRDefault="00F35778" w14:paraId="5176122D" w14:textId="77777777">
      <w:pPr>
        <w:pStyle w:val="Standard"/>
      </w:pPr>
      <w:r>
        <w:t>The Final EIR</w:t>
      </w:r>
      <w:r w:rsidR="00B356D4">
        <w:t xml:space="preserve"> considered and rejected the alternative that would place the fifth spare transformer into permanent service at Valley Substation.  </w:t>
      </w:r>
      <w:r w:rsidR="001D726F">
        <w:t>If the fifth spare transformer becomes a permanent load serving asset, then SCE</w:t>
      </w:r>
      <w:r w:rsidR="00B356D4">
        <w:t xml:space="preserve"> would require installation of a new spare, a sixth transformer</w:t>
      </w:r>
      <w:r w:rsidR="001D726F">
        <w:t>,</w:t>
      </w:r>
      <w:r w:rsidRPr="001D726F" w:rsidR="001D726F">
        <w:t xml:space="preserve"> </w:t>
      </w:r>
      <w:r w:rsidR="001D726F">
        <w:t>to meet SCE’s internal Transmission Planning Criteria and Guidelines</w:t>
      </w:r>
      <w:r w:rsidR="00B356D4">
        <w:t>.</w:t>
      </w:r>
      <w:r w:rsidR="00B76BF9">
        <w:rPr>
          <w:rStyle w:val="FootnoteReference"/>
        </w:rPr>
        <w:footnoteReference w:id="64"/>
      </w:r>
      <w:r w:rsidR="00B356D4">
        <w:t xml:space="preserve">  </w:t>
      </w:r>
      <w:r w:rsidR="001D726F">
        <w:t xml:space="preserve">In other words, a spare is always required.  </w:t>
      </w:r>
      <w:r w:rsidR="00B76BF9">
        <w:t xml:space="preserve">As </w:t>
      </w:r>
      <w:r w:rsidR="006D711F">
        <w:t>one</w:t>
      </w:r>
      <w:r w:rsidR="00B76BF9">
        <w:t xml:space="preserve"> of the minimal investment </w:t>
      </w:r>
      <w:r w:rsidR="006D711F">
        <w:t>group of alternatives</w:t>
      </w:r>
      <w:r w:rsidR="00B76BF9">
        <w:t>, t</w:t>
      </w:r>
      <w:r w:rsidR="00B356D4">
        <w:t xml:space="preserve">he Addendum again reviewed </w:t>
      </w:r>
      <w:r w:rsidR="00B76BF9">
        <w:t xml:space="preserve">and rejected </w:t>
      </w:r>
      <w:r w:rsidR="00B356D4">
        <w:t>the same alternative</w:t>
      </w:r>
      <w:r w:rsidR="00B76BF9">
        <w:t>.</w:t>
      </w:r>
      <w:r w:rsidR="00B76BF9">
        <w:rPr>
          <w:rStyle w:val="FootnoteReference"/>
        </w:rPr>
        <w:footnoteReference w:id="65"/>
      </w:r>
      <w:r w:rsidR="00B76BF9">
        <w:t xml:space="preserve">  </w:t>
      </w:r>
      <w:r w:rsidR="001D4B5B">
        <w:t xml:space="preserve">The Addendum concluded that even though </w:t>
      </w:r>
      <w:r w:rsidR="001D726F">
        <w:t>currently the fifth spare transformer</w:t>
      </w:r>
      <w:r w:rsidR="001D4B5B">
        <w:t xml:space="preserve"> is used to meet peak electrical demand, it is a short-term solution and it is unlikely to be able to </w:t>
      </w:r>
      <w:r w:rsidR="001D4B5B">
        <w:lastRenderedPageBreak/>
        <w:t>meet future projected electrical demand.</w:t>
      </w:r>
      <w:r w:rsidR="001D4B5B">
        <w:rPr>
          <w:rStyle w:val="FootnoteReference"/>
        </w:rPr>
        <w:footnoteReference w:id="66"/>
      </w:r>
      <w:r w:rsidR="001D4B5B">
        <w:t xml:space="preserve">  Ultimately, the Addendum confirmed that the Alberhill project is the superior alternative.</w:t>
      </w:r>
    </w:p>
    <w:p w:rsidR="0068181C" w:rsidP="006D711F" w:rsidRDefault="00B76BF9" w14:paraId="39A43AEA" w14:textId="77777777">
      <w:pPr>
        <w:pStyle w:val="Standard"/>
      </w:pPr>
      <w:r>
        <w:t xml:space="preserve">TURN’s current argument that the fifth spare transformer should be considered a permanent load-serving transformer is </w:t>
      </w:r>
      <w:r w:rsidR="00761C0F">
        <w:t xml:space="preserve">nearly identical to previously rejected alternatives. </w:t>
      </w:r>
      <w:r>
        <w:t xml:space="preserve"> </w:t>
      </w:r>
      <w:r w:rsidR="00D43E6F">
        <w:t xml:space="preserve">Of the five transformers at the Valley Substation, two serve the Valley South System and two serve the Valley North System.  The fifth spare transformer </w:t>
      </w:r>
      <w:r w:rsidR="009B0C07">
        <w:t xml:space="preserve">can be used </w:t>
      </w:r>
      <w:r w:rsidR="00D43E6F">
        <w:t xml:space="preserve">for either system.  </w:t>
      </w:r>
      <w:r w:rsidR="006D711F">
        <w:t>T</w:t>
      </w:r>
      <w:r w:rsidRPr="00E12C1B" w:rsidR="0098071C">
        <w:t xml:space="preserve">URN </w:t>
      </w:r>
      <w:r w:rsidRPr="00E12C1B" w:rsidR="00DE4021">
        <w:t>argues that</w:t>
      </w:r>
      <w:r w:rsidR="001246FE">
        <w:t xml:space="preserve"> the</w:t>
      </w:r>
      <w:r w:rsidRPr="00E12C1B" w:rsidR="00DE4021">
        <w:t xml:space="preserve"> </w:t>
      </w:r>
      <w:r w:rsidR="001246FE">
        <w:t>Commission should consider the</w:t>
      </w:r>
      <w:r w:rsidRPr="00E12C1B" w:rsidR="001246FE">
        <w:t xml:space="preserve"> capacity of three transformers</w:t>
      </w:r>
      <w:r w:rsidR="00D43E6F">
        <w:t>, instead of two,</w:t>
      </w:r>
      <w:r w:rsidRPr="00E12C1B" w:rsidR="001246FE">
        <w:t xml:space="preserve"> </w:t>
      </w:r>
      <w:r w:rsidR="001246FE">
        <w:t>as</w:t>
      </w:r>
      <w:r w:rsidRPr="00E12C1B" w:rsidR="001246FE">
        <w:t xml:space="preserve"> “the status quo” from which the Commission </w:t>
      </w:r>
      <w:r w:rsidR="001246FE">
        <w:t>would assess</w:t>
      </w:r>
      <w:r w:rsidRPr="00E12C1B" w:rsidR="001246FE">
        <w:t xml:space="preserve"> the need for the Alberhill project.</w:t>
      </w:r>
      <w:r w:rsidRPr="002E0A70" w:rsidR="001246FE">
        <w:rPr>
          <w:rStyle w:val="FootnoteReference"/>
          <w:sz w:val="22"/>
        </w:rPr>
        <w:footnoteReference w:id="67"/>
      </w:r>
      <w:r w:rsidR="00D43E6F">
        <w:t xml:space="preserve">  TURN </w:t>
      </w:r>
      <w:r w:rsidR="004E43F6">
        <w:t xml:space="preserve">notes </w:t>
      </w:r>
      <w:r w:rsidR="00D43E6F">
        <w:t xml:space="preserve">that </w:t>
      </w:r>
      <w:r w:rsidRPr="00E12C1B" w:rsidR="0098071C">
        <w:t xml:space="preserve">SCE approved an exception to </w:t>
      </w:r>
      <w:r w:rsidR="00D43E6F">
        <w:t xml:space="preserve">its own </w:t>
      </w:r>
      <w:r w:rsidRPr="00E12C1B" w:rsidR="0098071C">
        <w:t>planning cr</w:t>
      </w:r>
      <w:r w:rsidRPr="00E12C1B" w:rsidR="008C5424">
        <w:t>iteria so the Valley South System would be operated with three transformers</w:t>
      </w:r>
      <w:r w:rsidRPr="00E12C1B" w:rsidR="0068181C">
        <w:t xml:space="preserve"> (instead of two)</w:t>
      </w:r>
      <w:r w:rsidRPr="00E12C1B" w:rsidR="008C5424">
        <w:t xml:space="preserve"> during peak load conditions</w:t>
      </w:r>
      <w:r w:rsidR="00D43E6F">
        <w:t xml:space="preserve">.  Furthermore, TURN highlights </w:t>
      </w:r>
      <w:r w:rsidRPr="00E12C1B" w:rsidR="00DB32A0">
        <w:t xml:space="preserve"> </w:t>
      </w:r>
      <w:r w:rsidRPr="00E12C1B" w:rsidR="008C5424">
        <w:t xml:space="preserve">SCE’s use of the </w:t>
      </w:r>
      <w:r w:rsidRPr="00E12C1B" w:rsidR="00800506">
        <w:t xml:space="preserve">spare </w:t>
      </w:r>
      <w:r w:rsidRPr="00E12C1B" w:rsidR="008C5424">
        <w:t>transformer</w:t>
      </w:r>
      <w:r w:rsidR="00D43E6F">
        <w:t xml:space="preserve"> to satisfy peak load</w:t>
      </w:r>
      <w:r w:rsidRPr="00E12C1B" w:rsidR="008C5424">
        <w:t xml:space="preserve"> </w:t>
      </w:r>
      <w:r w:rsidRPr="00E12C1B" w:rsidR="00B31588">
        <w:t>since 201</w:t>
      </w:r>
      <w:r w:rsidRPr="00E12C1B" w:rsidR="00374614">
        <w:t>2</w:t>
      </w:r>
      <w:r w:rsidR="00D43E6F">
        <w:t>.</w:t>
      </w:r>
      <w:r w:rsidRPr="00E12C1B" w:rsidR="00DE4021">
        <w:t xml:space="preserve"> </w:t>
      </w:r>
      <w:r w:rsidR="006D711F">
        <w:t xml:space="preserve"> </w:t>
      </w:r>
    </w:p>
    <w:p w:rsidRPr="00E12C1B" w:rsidR="00886BA8" w:rsidP="00886BA8" w:rsidRDefault="00886BA8" w14:paraId="6C74F26E" w14:textId="77777777">
      <w:pPr>
        <w:pStyle w:val="Standard"/>
      </w:pPr>
      <w:r>
        <w:t xml:space="preserve">The Commission is persuaded that SCE’s temporary use of the fifth spare transformer should not be considered “the status quo.”  </w:t>
      </w:r>
      <w:r w:rsidRPr="00E12C1B">
        <w:t xml:space="preserve">Since the fifth spare transformer was added, SCE explains that load growth in the </w:t>
      </w:r>
      <w:r w:rsidR="00A2384B">
        <w:t>Valley South System</w:t>
      </w:r>
      <w:r w:rsidRPr="00E12C1B">
        <w:t xml:space="preserve"> forced it to decide between two options:</w:t>
      </w:r>
    </w:p>
    <w:p w:rsidRPr="00E12C1B" w:rsidR="00886BA8" w:rsidP="00DB2107" w:rsidRDefault="004E2004" w14:paraId="5D85547B" w14:textId="77777777">
      <w:pPr>
        <w:pStyle w:val="Standard"/>
        <w:numPr>
          <w:ilvl w:val="0"/>
          <w:numId w:val="22"/>
        </w:numPr>
        <w:spacing w:after="120" w:line="240" w:lineRule="auto"/>
        <w:ind w:right="1440"/>
      </w:pPr>
      <w:r>
        <w:t>Shedding</w:t>
      </w:r>
      <w:r w:rsidRPr="00E12C1B" w:rsidR="00886BA8">
        <w:t xml:space="preserve"> load</w:t>
      </w:r>
      <w:r w:rsidRPr="00E12C1B" w:rsidR="00886BA8">
        <w:rPr>
          <w:rStyle w:val="FootnoteReference"/>
        </w:rPr>
        <w:footnoteReference w:id="68"/>
      </w:r>
      <w:r w:rsidRPr="00E12C1B" w:rsidR="00886BA8">
        <w:t xml:space="preserve"> (keep load within 896 MW emergency operating limits</w:t>
      </w:r>
      <w:r w:rsidR="00886BA8">
        <w:t>);</w:t>
      </w:r>
      <w:r w:rsidRPr="00E12C1B" w:rsidR="00886BA8">
        <w:t xml:space="preserve"> or</w:t>
      </w:r>
    </w:p>
    <w:p w:rsidRPr="00E12C1B" w:rsidR="00886BA8" w:rsidP="00DB2107" w:rsidRDefault="00886BA8" w14:paraId="5F06C986" w14:textId="77777777">
      <w:pPr>
        <w:pStyle w:val="Standard"/>
        <w:numPr>
          <w:ilvl w:val="0"/>
          <w:numId w:val="22"/>
        </w:numPr>
        <w:spacing w:after="120" w:line="240" w:lineRule="auto"/>
        <w:ind w:right="1440"/>
      </w:pPr>
      <w:r w:rsidRPr="00E12C1B">
        <w:t>Us</w:t>
      </w:r>
      <w:r w:rsidR="004E2004">
        <w:t>ing</w:t>
      </w:r>
      <w:r w:rsidRPr="00E12C1B">
        <w:t xml:space="preserve"> the spare transformer during periods of high demand to provide additional transformer capacity to the </w:t>
      </w:r>
      <w:r w:rsidRPr="00E12C1B">
        <w:lastRenderedPageBreak/>
        <w:t>Valley South System until a long</w:t>
      </w:r>
      <w:r>
        <w:noBreakHyphen/>
      </w:r>
      <w:r w:rsidRPr="00E12C1B">
        <w:t>term solution (such as the Alberhill project) could be implemented</w:t>
      </w:r>
      <w:r w:rsidRPr="002E0A70">
        <w:rPr>
          <w:vertAlign w:val="superscript"/>
        </w:rPr>
        <w:t>.</w:t>
      </w:r>
      <w:r w:rsidRPr="002E0A70">
        <w:rPr>
          <w:rStyle w:val="FootnoteReference"/>
          <w:sz w:val="22"/>
        </w:rPr>
        <w:footnoteReference w:id="69"/>
      </w:r>
    </w:p>
    <w:p w:rsidRPr="00E12C1B" w:rsidR="00886BA8" w:rsidP="00886BA8" w:rsidRDefault="00886BA8" w14:paraId="226E0787" w14:textId="77777777">
      <w:pPr>
        <w:pStyle w:val="Standard"/>
      </w:pPr>
      <w:r w:rsidRPr="00E12C1B">
        <w:t>SCE states it rejected the first option because it would require load shedding and interrupt electricity service.  SCE explain</w:t>
      </w:r>
      <w:r w:rsidR="004B4C6F">
        <w:t>s</w:t>
      </w:r>
      <w:r w:rsidRPr="00E12C1B">
        <w:t xml:space="preserve"> that it selected the second option to provide safe and reliable service to customers.</w:t>
      </w:r>
      <w:r w:rsidRPr="002E0A70">
        <w:rPr>
          <w:rStyle w:val="FootnoteReference"/>
          <w:sz w:val="22"/>
        </w:rPr>
        <w:footnoteReference w:id="70"/>
      </w:r>
      <w:r w:rsidRPr="00E12C1B">
        <w:t xml:space="preserve">  In the face of local area growth and increase in customers, SCE granted an exception to its own internal planning guidelines to provide electricity while a long-term solution was being developed, permitted, and implemented.</w:t>
      </w:r>
    </w:p>
    <w:p w:rsidR="00886BA8" w:rsidP="00CD2DF8" w:rsidRDefault="00886BA8" w14:paraId="72238475" w14:textId="77777777">
      <w:r w:rsidRPr="00E12C1B">
        <w:t>The Commission agrees the fifth transformer must serve its intended function as a spare.</w:t>
      </w:r>
      <w:r w:rsidRPr="004439B2">
        <w:rPr>
          <w:rStyle w:val="FootnoteReference"/>
          <w:sz w:val="22"/>
        </w:rPr>
        <w:footnoteReference w:id="71"/>
      </w:r>
      <w:r w:rsidRPr="00E12C1B">
        <w:t xml:space="preserve">  </w:t>
      </w:r>
      <w:r w:rsidRPr="00E12C1B" w:rsidR="00D43E6F">
        <w:t xml:space="preserve">The Valley South System is the only </w:t>
      </w:r>
      <w:proofErr w:type="spellStart"/>
      <w:r w:rsidRPr="00E12C1B" w:rsidR="00D43E6F">
        <w:t>subtransmission</w:t>
      </w:r>
      <w:proofErr w:type="spellEnd"/>
      <w:r w:rsidRPr="00E12C1B" w:rsidR="00D43E6F">
        <w:t xml:space="preserve"> system within SCE’s entire territory that operates with no tie</w:t>
      </w:r>
      <w:r w:rsidRPr="00E12C1B" w:rsidR="00D43E6F">
        <w:noBreakHyphen/>
        <w:t>lines to other systems.</w:t>
      </w:r>
      <w:r w:rsidRPr="004439B2" w:rsidR="00D43E6F">
        <w:rPr>
          <w:rStyle w:val="FootnoteReference"/>
          <w:sz w:val="22"/>
        </w:rPr>
        <w:footnoteReference w:id="72"/>
      </w:r>
      <w:r w:rsidRPr="00E12C1B" w:rsidR="00D43E6F">
        <w:t xml:space="preserve">  If the spare fifth transformer is counted as the “status quo” as TURN argues, then it would not be available for use in the event of the failure of one or both of the transformers serving the Valley South System.  </w:t>
      </w:r>
      <w:r w:rsidRPr="007E77C8" w:rsidR="007E77C8">
        <w:t>For example, on September 5, 2024, load exceeded 896 MW for a total of seven consecutive hours.  If the spare transformer was unavailable due to maintenance or other reasons, SCE would have been required to shed load during each hour that da</w:t>
      </w:r>
      <w:r w:rsidR="007E77C8">
        <w:t>y.</w:t>
      </w:r>
      <w:r w:rsidR="007E77C8">
        <w:rPr>
          <w:rStyle w:val="FootnoteReference"/>
        </w:rPr>
        <w:footnoteReference w:id="73"/>
      </w:r>
      <w:r w:rsidR="007E77C8">
        <w:t xml:space="preserve">  </w:t>
      </w:r>
      <w:r w:rsidR="00D43E6F">
        <w:t>T</w:t>
      </w:r>
      <w:r w:rsidRPr="00E12C1B">
        <w:t>he Commission agrees with SCE that relying on the spare fifth transformer as the “status quo” for additional capacity is not prudent</w:t>
      </w:r>
      <w:r w:rsidR="00D43E6F">
        <w:t xml:space="preserve"> </w:t>
      </w:r>
      <w:r w:rsidR="004B4C6F">
        <w:t xml:space="preserve">in the long term </w:t>
      </w:r>
      <w:r w:rsidRPr="00E12C1B">
        <w:t>and places SCE’s customers at unreasonable</w:t>
      </w:r>
      <w:r w:rsidR="004B4C6F">
        <w:t xml:space="preserve"> </w:t>
      </w:r>
      <w:r w:rsidRPr="00E12C1B">
        <w:t>risk.</w:t>
      </w:r>
      <w:r w:rsidRPr="004439B2">
        <w:rPr>
          <w:rStyle w:val="FootnoteReference"/>
          <w:sz w:val="22"/>
        </w:rPr>
        <w:footnoteReference w:id="74"/>
      </w:r>
      <w:r w:rsidR="00A2384B">
        <w:t xml:space="preserve">  </w:t>
      </w:r>
    </w:p>
    <w:p w:rsidR="00886BA8" w:rsidP="00886BA8" w:rsidRDefault="00D43E6F" w14:paraId="579D621B" w14:textId="77777777">
      <w:pPr>
        <w:pStyle w:val="Standard"/>
      </w:pPr>
      <w:r>
        <w:lastRenderedPageBreak/>
        <w:t xml:space="preserve">Previously, the Commission </w:t>
      </w:r>
      <w:r w:rsidR="00886BA8">
        <w:t xml:space="preserve">noted that </w:t>
      </w:r>
      <w:r w:rsidR="008B7CDC">
        <w:t xml:space="preserve">potentially cheaper alternatives that would </w:t>
      </w:r>
      <w:r>
        <w:t>eliminate the</w:t>
      </w:r>
      <w:r w:rsidR="008B7CDC">
        <w:t xml:space="preserve"> need for the Alberhill project conflates the issues of need </w:t>
      </w:r>
      <w:r>
        <w:t xml:space="preserve">with possible </w:t>
      </w:r>
      <w:r w:rsidR="008B7CDC">
        <w:t>alternatives to meet that need.  D.18-09-026 clarified that the question of need involves whether there is a need to achieve project objectives in the first place, not whether there is a superior project alternative.</w:t>
      </w:r>
      <w:r w:rsidR="008B7CDC">
        <w:rPr>
          <w:rStyle w:val="FootnoteReference"/>
        </w:rPr>
        <w:footnoteReference w:id="75"/>
      </w:r>
      <w:r w:rsidR="00A2384B">
        <w:t xml:space="preserve">  </w:t>
      </w:r>
      <w:r w:rsidR="001D726F">
        <w:t>Here, if the Commission adopted TURN’s</w:t>
      </w:r>
      <w:r w:rsidR="00DE5FE5">
        <w:t xml:space="preserve"> current</w:t>
      </w:r>
      <w:r w:rsidR="001D726F">
        <w:t xml:space="preserve"> argument, then a sixth transformer would be required to operate as a spare.  This appears to repeat TURN’s argument that there is a cheaper alternative to Alberhill project</w:t>
      </w:r>
      <w:r w:rsidR="00DE5FE5">
        <w:t xml:space="preserve">.  Again, </w:t>
      </w:r>
      <w:r w:rsidR="001D726F">
        <w:t>the Commission rejects</w:t>
      </w:r>
      <w:r w:rsidR="00DE5FE5">
        <w:t xml:space="preserve"> this argument</w:t>
      </w:r>
      <w:r w:rsidR="001D726F">
        <w:t xml:space="preserve">. </w:t>
      </w:r>
    </w:p>
    <w:p w:rsidRPr="008A51E3" w:rsidR="00FA65DE" w:rsidP="00FA65DE" w:rsidRDefault="00FA65DE" w14:paraId="4BC98B56" w14:textId="77777777">
      <w:pPr>
        <w:pStyle w:val="Standard"/>
      </w:pPr>
      <w:r>
        <w:t>The Commission now turns to the specific arguments of capacity need, reliability need and resilience need.</w:t>
      </w:r>
    </w:p>
    <w:p w:rsidR="00D43E6F" w:rsidP="00883DC4" w:rsidRDefault="00D43E6F" w14:paraId="0DF340CE" w14:textId="77777777">
      <w:pPr>
        <w:pStyle w:val="Heading2"/>
      </w:pPr>
      <w:bookmarkStart w:name="_Toc225410165" w:id="23"/>
      <w:r w:rsidRPr="001D29C4">
        <w:t>There is a Capacity Need for the Alberhill Project</w:t>
      </w:r>
      <w:bookmarkEnd w:id="23"/>
    </w:p>
    <w:p w:rsidR="008B7CDC" w:rsidP="00883DC4" w:rsidRDefault="00D43E6F" w14:paraId="4809DB27" w14:textId="77777777">
      <w:pPr>
        <w:pStyle w:val="Heading3"/>
      </w:pPr>
      <w:bookmarkStart w:name="_Toc225410166" w:id="24"/>
      <w:r>
        <w:t>Transformer Capacity</w:t>
      </w:r>
      <w:bookmarkEnd w:id="24"/>
    </w:p>
    <w:p w:rsidRPr="00E12C1B" w:rsidR="00DB32A0" w:rsidP="00DB32A0" w:rsidRDefault="00D43E6F" w14:paraId="3D294979" w14:textId="77777777">
      <w:pPr>
        <w:pStyle w:val="Standard"/>
      </w:pPr>
      <w:r>
        <w:t>Each of the</w:t>
      </w:r>
      <w:r w:rsidR="004D3A4C">
        <w:t xml:space="preserve"> </w:t>
      </w:r>
      <w:r w:rsidRPr="00E12C1B" w:rsidR="00DB32A0">
        <w:t>transformers at Valley Substation ha</w:t>
      </w:r>
      <w:r w:rsidRPr="00E12C1B" w:rsidR="00ED2947">
        <w:t>ve</w:t>
      </w:r>
      <w:r w:rsidRPr="00E12C1B" w:rsidR="00DB32A0">
        <w:t xml:space="preserve"> three ratings:</w:t>
      </w:r>
    </w:p>
    <w:p w:rsidRPr="00E12C1B" w:rsidR="00DB32A0" w:rsidP="00DB2107" w:rsidRDefault="00DB32A0" w14:paraId="73F48CC8" w14:textId="77777777">
      <w:pPr>
        <w:pStyle w:val="Standard"/>
        <w:numPr>
          <w:ilvl w:val="0"/>
          <w:numId w:val="21"/>
        </w:numPr>
        <w:spacing w:after="120" w:line="240" w:lineRule="auto"/>
        <w:ind w:right="1440"/>
      </w:pPr>
      <w:r w:rsidRPr="00E12C1B">
        <w:t xml:space="preserve">Normal </w:t>
      </w:r>
      <w:r w:rsidR="00D43E6F">
        <w:t>rating of</w:t>
      </w:r>
      <w:r w:rsidRPr="00E12C1B">
        <w:t xml:space="preserve"> 560 MW</w:t>
      </w:r>
      <w:r w:rsidRPr="002E0A70" w:rsidR="00D3367C">
        <w:rPr>
          <w:rStyle w:val="FootnoteReference"/>
          <w:sz w:val="22"/>
        </w:rPr>
        <w:footnoteReference w:id="76"/>
      </w:r>
      <w:r w:rsidRPr="00E12C1B" w:rsidR="00ED2947">
        <w:t xml:space="preserve"> (also called the nameplate rating)</w:t>
      </w:r>
      <w:r w:rsidR="00D9390C">
        <w:t>;</w:t>
      </w:r>
    </w:p>
    <w:p w:rsidRPr="00E12C1B" w:rsidR="00DB32A0" w:rsidP="00DB2107" w:rsidRDefault="00DB32A0" w14:paraId="07C9CF18" w14:textId="77777777">
      <w:pPr>
        <w:pStyle w:val="Standard"/>
        <w:numPr>
          <w:ilvl w:val="0"/>
          <w:numId w:val="21"/>
        </w:numPr>
        <w:spacing w:after="120" w:line="240" w:lineRule="auto"/>
        <w:ind w:right="1440"/>
      </w:pPr>
      <w:r w:rsidRPr="00E12C1B">
        <w:t xml:space="preserve">Short term emergency </w:t>
      </w:r>
      <w:r w:rsidR="004D3A4C">
        <w:t xml:space="preserve">rating </w:t>
      </w:r>
      <w:r w:rsidRPr="00E12C1B" w:rsidR="00ED2947">
        <w:t>of 896 MW (which</w:t>
      </w:r>
      <w:r w:rsidRPr="00E12C1B">
        <w:t xml:space="preserve"> is 160% of the nameplate rating and is valid for one hour)</w:t>
      </w:r>
      <w:r w:rsidR="00D9390C">
        <w:t>;</w:t>
      </w:r>
      <w:r w:rsidR="004D3A4C">
        <w:t xml:space="preserve"> and</w:t>
      </w:r>
    </w:p>
    <w:p w:rsidRPr="00E12C1B" w:rsidR="00DB32A0" w:rsidP="00DB2107" w:rsidRDefault="00DB32A0" w14:paraId="641A77B3" w14:textId="77777777">
      <w:pPr>
        <w:pStyle w:val="Standard"/>
        <w:numPr>
          <w:ilvl w:val="0"/>
          <w:numId w:val="21"/>
        </w:numPr>
        <w:spacing w:after="120" w:line="240" w:lineRule="auto"/>
        <w:ind w:right="1440"/>
      </w:pPr>
      <w:r w:rsidRPr="00E12C1B">
        <w:t xml:space="preserve">Long-term emergency </w:t>
      </w:r>
      <w:r w:rsidR="004D3A4C">
        <w:t>rating of</w:t>
      </w:r>
      <w:r w:rsidRPr="00E12C1B" w:rsidR="00ED2947">
        <w:t xml:space="preserve"> 672</w:t>
      </w:r>
      <w:r w:rsidR="004D3A4C">
        <w:t xml:space="preserve"> MW</w:t>
      </w:r>
      <w:r w:rsidRPr="00E12C1B" w:rsidR="00ED2947">
        <w:t xml:space="preserve"> (which is</w:t>
      </w:r>
      <w:r w:rsidRPr="00E12C1B" w:rsidR="003878F2">
        <w:t xml:space="preserve"> 120% of the name place rating and is valid for 24 hours</w:t>
      </w:r>
      <w:r w:rsidR="006669A7">
        <w:t>; a</w:t>
      </w:r>
      <w:r w:rsidRPr="00E12C1B" w:rsidR="003878F2">
        <w:t xml:space="preserve">fter 24 </w:t>
      </w:r>
      <w:r w:rsidRPr="00E12C1B" w:rsidR="00A75C32">
        <w:t>hours, the transformer must be returned to its nameplate rating</w:t>
      </w:r>
      <w:r w:rsidR="004D3A4C">
        <w:t>)</w:t>
      </w:r>
      <w:r w:rsidRPr="00E12C1B" w:rsidR="00A75C32">
        <w:t>.</w:t>
      </w:r>
      <w:r w:rsidRPr="002E0A70" w:rsidR="00A75C32">
        <w:rPr>
          <w:sz w:val="22"/>
          <w:vertAlign w:val="superscript"/>
        </w:rPr>
        <w:footnoteReference w:id="77"/>
      </w:r>
    </w:p>
    <w:p w:rsidR="004D3A4C" w:rsidP="003C43A6" w:rsidRDefault="00936A9C" w14:paraId="666EFFC4" w14:textId="77777777">
      <w:pPr>
        <w:pStyle w:val="Standard"/>
      </w:pPr>
      <w:r w:rsidRPr="00E12C1B">
        <w:lastRenderedPageBreak/>
        <w:t>The two transformers for the Valley South System have a maximum operating limit of 1,119 MW</w:t>
      </w:r>
      <w:r w:rsidRPr="00E12C1B" w:rsidR="00ED2947">
        <w:t>,</w:t>
      </w:r>
      <w:r w:rsidRPr="002E0A70">
        <w:rPr>
          <w:rStyle w:val="FootnoteReference"/>
          <w:sz w:val="22"/>
        </w:rPr>
        <w:footnoteReference w:id="78"/>
      </w:r>
      <w:r w:rsidRPr="002E0A70" w:rsidR="00ED2947">
        <w:rPr>
          <w:sz w:val="22"/>
        </w:rPr>
        <w:t xml:space="preserve"> </w:t>
      </w:r>
      <w:r w:rsidRPr="00E12C1B" w:rsidR="00ED2947">
        <w:t>but</w:t>
      </w:r>
      <w:r w:rsidRPr="00E12C1B">
        <w:t xml:space="preserve"> </w:t>
      </w:r>
      <w:r w:rsidRPr="00E12C1B" w:rsidR="00841968">
        <w:t xml:space="preserve">SCE explains that </w:t>
      </w:r>
      <w:r w:rsidRPr="00E12C1B" w:rsidR="00ED2947">
        <w:t xml:space="preserve">use of </w:t>
      </w:r>
      <w:r w:rsidRPr="00E12C1B" w:rsidR="00841968">
        <w:t xml:space="preserve">the </w:t>
      </w:r>
      <w:r w:rsidRPr="00E12C1B" w:rsidR="00ED2947">
        <w:t xml:space="preserve">full </w:t>
      </w:r>
      <w:r w:rsidRPr="00E12C1B" w:rsidR="00841968">
        <w:t>1,119 MW limit is predicated</w:t>
      </w:r>
      <w:r w:rsidRPr="00E12C1B" w:rsidR="00ED2947">
        <w:t xml:space="preserve"> upon</w:t>
      </w:r>
      <w:r w:rsidRPr="00E12C1B" w:rsidR="00841968">
        <w:t xml:space="preserve"> </w:t>
      </w:r>
      <w:r w:rsidRPr="00E12C1B" w:rsidR="00ED2947">
        <w:t>tie-lines</w:t>
      </w:r>
      <w:r w:rsidRPr="002E0A70" w:rsidR="004F5CD9">
        <w:rPr>
          <w:rStyle w:val="FootnoteReference"/>
          <w:sz w:val="22"/>
        </w:rPr>
        <w:footnoteReference w:id="79"/>
      </w:r>
      <w:r w:rsidRPr="00E12C1B" w:rsidR="00ED2947">
        <w:t xml:space="preserve"> </w:t>
      </w:r>
      <w:r w:rsidRPr="00E12C1B" w:rsidR="004F5CD9">
        <w:t xml:space="preserve">to transfer away </w:t>
      </w:r>
      <w:r w:rsidRPr="00E12C1B" w:rsidR="00841968">
        <w:t>load during emergency conditions if one transformer</w:t>
      </w:r>
      <w:r w:rsidRPr="00E12C1B" w:rsidR="004F5CD9">
        <w:t xml:space="preserve"> fails or</w:t>
      </w:r>
      <w:r w:rsidRPr="00E12C1B" w:rsidR="00841968">
        <w:t xml:space="preserve"> is out of service.  </w:t>
      </w:r>
      <w:r w:rsidRPr="00E12C1B" w:rsidR="00996F8C">
        <w:t>In other words, i</w:t>
      </w:r>
      <w:r w:rsidRPr="00E12C1B" w:rsidR="00A43F1D">
        <w:t>f there are tie-lines,</w:t>
      </w:r>
      <w:r w:rsidRPr="00E12C1B" w:rsidR="00996F8C">
        <w:t xml:space="preserve"> and one transformer fails,</w:t>
      </w:r>
      <w:r w:rsidRPr="00E12C1B" w:rsidR="00A43F1D">
        <w:t xml:space="preserve"> then operators could momentarily shed </w:t>
      </w:r>
      <w:r w:rsidRPr="00E12C1B" w:rsidR="00102CA7">
        <w:t>load</w:t>
      </w:r>
      <w:r w:rsidRPr="00E12C1B" w:rsidR="001F18B6">
        <w:t xml:space="preserve"> (implement a rolling blackout)</w:t>
      </w:r>
      <w:r w:rsidRPr="00E12C1B" w:rsidR="00A43F1D">
        <w:t xml:space="preserve"> to </w:t>
      </w:r>
      <w:r w:rsidRPr="00E12C1B" w:rsidR="00996F8C">
        <w:t xml:space="preserve">at or </w:t>
      </w:r>
      <w:r w:rsidRPr="00E12C1B" w:rsidR="00A43F1D">
        <w:t>below the 896 MW 1-hour emergency rating</w:t>
      </w:r>
      <w:r w:rsidRPr="00E12C1B" w:rsidR="00996F8C">
        <w:t xml:space="preserve"> on the remaining transformer while at the same time quickly re</w:t>
      </w:r>
      <w:r w:rsidRPr="00E12C1B" w:rsidR="00A43F1D">
        <w:t>store service to those customers using the tie</w:t>
      </w:r>
      <w:r w:rsidRPr="00E12C1B" w:rsidR="00102CA7">
        <w:t>-</w:t>
      </w:r>
      <w:r w:rsidRPr="00E12C1B" w:rsidR="00A43F1D">
        <w:t>lines</w:t>
      </w:r>
      <w:r w:rsidRPr="00E12C1B" w:rsidR="00483C31">
        <w:t xml:space="preserve"> to bring electricity back to those areas</w:t>
      </w:r>
      <w:r w:rsidRPr="00E12C1B" w:rsidR="00A43F1D">
        <w:t>.</w:t>
      </w:r>
      <w:r w:rsidRPr="002E0A70" w:rsidR="00102CA7">
        <w:rPr>
          <w:rStyle w:val="FootnoteReference"/>
          <w:sz w:val="22"/>
        </w:rPr>
        <w:footnoteReference w:id="80"/>
      </w:r>
      <w:r w:rsidRPr="002E0A70" w:rsidR="00A43F1D">
        <w:rPr>
          <w:sz w:val="22"/>
        </w:rPr>
        <w:t xml:space="preserve"> </w:t>
      </w:r>
      <w:r w:rsidRPr="00E12C1B" w:rsidR="00A43F1D">
        <w:t xml:space="preserve"> </w:t>
      </w:r>
      <w:r w:rsidR="008D323A">
        <w:t>If there are no tie-lines, and one transformer fails</w:t>
      </w:r>
      <w:r w:rsidRPr="00E12C1B" w:rsidR="00A43F1D">
        <w:t xml:space="preserve">, SCE states </w:t>
      </w:r>
      <w:r w:rsidR="004D3A4C">
        <w:t>it cannot</w:t>
      </w:r>
      <w:r w:rsidRPr="00E12C1B" w:rsidR="00A43F1D">
        <w:t xml:space="preserve"> restore service to those customers</w:t>
      </w:r>
      <w:r w:rsidR="008D323A">
        <w:t xml:space="preserve"> by brin</w:t>
      </w:r>
      <w:r w:rsidR="00DF7876">
        <w:t>ging in electricity or transferring load away to adjacent systems</w:t>
      </w:r>
      <w:r w:rsidR="008D323A">
        <w:t>.  This</w:t>
      </w:r>
      <w:r w:rsidRPr="00E12C1B" w:rsidR="00A43F1D">
        <w:t xml:space="preserve"> means </w:t>
      </w:r>
      <w:r w:rsidR="00E65122">
        <w:t xml:space="preserve">that SCE must take action at a lower threshold </w:t>
      </w:r>
      <w:r w:rsidR="00BC4C8E">
        <w:t xml:space="preserve">than the 1,119 MW of name place rating capacity </w:t>
      </w:r>
      <w:r w:rsidR="00E65122">
        <w:t xml:space="preserve">and </w:t>
      </w:r>
      <w:r w:rsidRPr="00E12C1B" w:rsidR="00A43F1D">
        <w:t xml:space="preserve">the total loading of the two transformers must be maintained at </w:t>
      </w:r>
      <w:r w:rsidRPr="00E12C1B" w:rsidR="004D268B">
        <w:t xml:space="preserve">or </w:t>
      </w:r>
      <w:r w:rsidRPr="00E12C1B" w:rsidR="00A43F1D">
        <w:t>less than 896 MW.</w:t>
      </w:r>
      <w:r w:rsidRPr="002E0A70" w:rsidR="00A43F1D">
        <w:rPr>
          <w:rStyle w:val="FootnoteReference"/>
          <w:sz w:val="22"/>
        </w:rPr>
        <w:footnoteReference w:id="81"/>
      </w:r>
      <w:r w:rsidRPr="00E12C1B" w:rsidR="00A43F1D">
        <w:t xml:space="preserve">  </w:t>
      </w:r>
      <w:r w:rsidRPr="00E12C1B" w:rsidR="004D268B">
        <w:t>At the Valley South System, if one transformer fails, the other transformer can operate for one hour at the 896 MW limit, u</w:t>
      </w:r>
      <w:r w:rsidRPr="00E12C1B" w:rsidR="00237092">
        <w:t xml:space="preserve">ntil the spare transformer is switched in.  </w:t>
      </w:r>
    </w:p>
    <w:p w:rsidRPr="001D29C4" w:rsidR="001A71ED" w:rsidP="00883DC4" w:rsidRDefault="004D3A4C" w14:paraId="4B56F811" w14:textId="77777777">
      <w:pPr>
        <w:pStyle w:val="Heading3"/>
      </w:pPr>
      <w:bookmarkStart w:name="_Toc220673100" w:id="25"/>
      <w:bookmarkStart w:name="_Toc220673232" w:id="26"/>
      <w:bookmarkStart w:name="_Toc221206278" w:id="27"/>
      <w:bookmarkStart w:name="_Toc221206799" w:id="28"/>
      <w:bookmarkStart w:name="_Toc221206844" w:id="29"/>
      <w:bookmarkStart w:name="_Toc220673101" w:id="30"/>
      <w:bookmarkStart w:name="_Toc220673233" w:id="31"/>
      <w:bookmarkStart w:name="_Toc221206279" w:id="32"/>
      <w:bookmarkStart w:name="_Toc221206800" w:id="33"/>
      <w:bookmarkStart w:name="_Toc221206845" w:id="34"/>
      <w:bookmarkStart w:name="_Toc220673102" w:id="35"/>
      <w:bookmarkStart w:name="_Toc220673234" w:id="36"/>
      <w:bookmarkStart w:name="_Toc221206280" w:id="37"/>
      <w:bookmarkStart w:name="_Toc221206801" w:id="38"/>
      <w:bookmarkStart w:name="_Toc221206846" w:id="39"/>
      <w:bookmarkStart w:name="_Toc220673103" w:id="40"/>
      <w:bookmarkStart w:name="_Toc220673235" w:id="41"/>
      <w:bookmarkStart w:name="_Toc221206281" w:id="42"/>
      <w:bookmarkStart w:name="_Toc221206802" w:id="43"/>
      <w:bookmarkStart w:name="_Toc221206847" w:id="44"/>
      <w:bookmarkStart w:name="_Toc220673104" w:id="45"/>
      <w:bookmarkStart w:name="_Toc220673236" w:id="46"/>
      <w:bookmarkStart w:name="_Toc221206282" w:id="47"/>
      <w:bookmarkStart w:name="_Toc221206803" w:id="48"/>
      <w:bookmarkStart w:name="_Toc221206848" w:id="49"/>
      <w:bookmarkStart w:name="_Toc220673105" w:id="50"/>
      <w:bookmarkStart w:name="_Toc220673237" w:id="51"/>
      <w:bookmarkStart w:name="_Toc221206283" w:id="52"/>
      <w:bookmarkStart w:name="_Toc221206804" w:id="53"/>
      <w:bookmarkStart w:name="_Toc221206849" w:id="54"/>
      <w:bookmarkStart w:name="_Toc220673106" w:id="55"/>
      <w:bookmarkStart w:name="_Toc220673238" w:id="56"/>
      <w:bookmarkStart w:name="_Toc221206284" w:id="57"/>
      <w:bookmarkStart w:name="_Toc221206805" w:id="58"/>
      <w:bookmarkStart w:name="_Toc221206850" w:id="59"/>
      <w:bookmarkStart w:name="_Toc220673107" w:id="60"/>
      <w:bookmarkStart w:name="_Toc220673239" w:id="61"/>
      <w:bookmarkStart w:name="_Toc221206285" w:id="62"/>
      <w:bookmarkStart w:name="_Toc221206806" w:id="63"/>
      <w:bookmarkStart w:name="_Toc221206851" w:id="64"/>
      <w:bookmarkStart w:name="_Toc225410167" w:id="6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Current/Forecast Load and Need for Capacity</w:t>
      </w:r>
      <w:bookmarkEnd w:id="65"/>
      <w:r>
        <w:t xml:space="preserve"> </w:t>
      </w:r>
    </w:p>
    <w:p w:rsidRPr="00E12C1B" w:rsidR="001A71ED" w:rsidP="001A71ED" w:rsidRDefault="001A71ED" w14:paraId="6277734C" w14:textId="77777777">
      <w:pPr>
        <w:pStyle w:val="Standard"/>
      </w:pPr>
      <w:r w:rsidRPr="00E12C1B">
        <w:t xml:space="preserve">D.18-08-026 </w:t>
      </w:r>
      <w:r w:rsidRPr="00E12C1B" w:rsidR="007A77C8">
        <w:t>determined</w:t>
      </w:r>
      <w:r w:rsidRPr="00E12C1B">
        <w:t xml:space="preserve"> that SCE</w:t>
      </w:r>
      <w:r w:rsidRPr="00E12C1B" w:rsidR="007A77C8">
        <w:t xml:space="preserve"> overestimated future local area peak demand</w:t>
      </w:r>
      <w:r w:rsidRPr="00E12C1B">
        <w:t xml:space="preserve"> in </w:t>
      </w:r>
      <w:r w:rsidRPr="00E12C1B" w:rsidR="007A77C8">
        <w:t xml:space="preserve">the </w:t>
      </w:r>
      <w:r w:rsidRPr="00E12C1B">
        <w:t>Valley South area.</w:t>
      </w:r>
      <w:r w:rsidRPr="00654FFB">
        <w:rPr>
          <w:rStyle w:val="FootnoteReference"/>
          <w:sz w:val="22"/>
        </w:rPr>
        <w:footnoteReference w:id="82"/>
      </w:r>
      <w:r w:rsidRPr="00E12C1B">
        <w:t xml:space="preserve">  </w:t>
      </w:r>
      <w:r w:rsidRPr="00E12C1B" w:rsidR="006970FD">
        <w:t xml:space="preserve">D.18-08-026 found that </w:t>
      </w:r>
      <w:r w:rsidRPr="00E12C1B">
        <w:t xml:space="preserve">SCE predicted decreasing rates of load growth, which pushed out the projected need for </w:t>
      </w:r>
      <w:r w:rsidRPr="00E12C1B">
        <w:lastRenderedPageBreak/>
        <w:t xml:space="preserve">Alberhill from 2011 to </w:t>
      </w:r>
      <w:r w:rsidRPr="00E12C1B" w:rsidR="006970FD">
        <w:t>2021</w:t>
      </w:r>
      <w:r w:rsidRPr="00E12C1B">
        <w:t>.</w:t>
      </w:r>
      <w:r w:rsidRPr="00654FFB">
        <w:rPr>
          <w:rStyle w:val="FootnoteReference"/>
          <w:sz w:val="22"/>
        </w:rPr>
        <w:footnoteReference w:id="83"/>
      </w:r>
      <w:r w:rsidR="008F4C9D">
        <w:t xml:space="preserve">  The Commission did not use this evidence to deny the application, but ordered additional information and analysis on load.</w:t>
      </w:r>
    </w:p>
    <w:p w:rsidRPr="00E12C1B" w:rsidR="00B01660" w:rsidP="001A71ED" w:rsidRDefault="001A71ED" w14:paraId="1B8F239F" w14:textId="77777777">
      <w:pPr>
        <w:pStyle w:val="Standard"/>
      </w:pPr>
      <w:r w:rsidRPr="00E12C1B">
        <w:t xml:space="preserve">Two years after the decision, in 2020, SCE predicted that the demand served by the Valley South System would exceed the maximum capacity of </w:t>
      </w:r>
      <w:r w:rsidRPr="00E12C1B" w:rsidR="002F3FC0">
        <w:t>the two transformers (</w:t>
      </w:r>
      <w:r w:rsidRPr="00E12C1B">
        <w:t>1,119 MW</w:t>
      </w:r>
      <w:r w:rsidRPr="00E12C1B" w:rsidR="002F3FC0">
        <w:t>)</w:t>
      </w:r>
      <w:r w:rsidRPr="00E12C1B">
        <w:t xml:space="preserve"> by 2022, at which time Alberhill would be</w:t>
      </w:r>
      <w:r w:rsidRPr="00E12C1B" w:rsidR="00D77C13">
        <w:t xml:space="preserve"> </w:t>
      </w:r>
      <w:r w:rsidRPr="00E12C1B">
        <w:t>needed.</w:t>
      </w:r>
      <w:r w:rsidRPr="00654FFB">
        <w:rPr>
          <w:rStyle w:val="FootnoteReference"/>
          <w:sz w:val="22"/>
        </w:rPr>
        <w:footnoteReference w:id="84"/>
      </w:r>
      <w:r w:rsidRPr="00654FFB" w:rsidR="002F3FC0">
        <w:rPr>
          <w:sz w:val="22"/>
        </w:rPr>
        <w:t xml:space="preserve"> </w:t>
      </w:r>
      <w:r w:rsidRPr="00E12C1B" w:rsidR="00B01660">
        <w:t xml:space="preserve"> By</w:t>
      </w:r>
      <w:r w:rsidRPr="00E12C1B" w:rsidR="002F3FC0">
        <w:t xml:space="preserve"> S</w:t>
      </w:r>
      <w:r w:rsidR="00D069C8">
        <w:t>eptember 5,</w:t>
      </w:r>
      <w:r w:rsidRPr="00E12C1B" w:rsidR="002F3FC0">
        <w:t xml:space="preserve"> 2024, the Valley South System reached </w:t>
      </w:r>
      <w:r w:rsidRPr="00E12C1B" w:rsidR="00D77C13">
        <w:t>an</w:t>
      </w:r>
      <w:r w:rsidRPr="00E12C1B" w:rsidR="002F3FC0">
        <w:t xml:space="preserve"> all</w:t>
      </w:r>
      <w:r w:rsidRPr="00E12C1B" w:rsidR="00D77C13">
        <w:t>-</w:t>
      </w:r>
      <w:r w:rsidRPr="00E12C1B" w:rsidR="002F3FC0">
        <w:t>time high</w:t>
      </w:r>
      <w:r w:rsidRPr="00E12C1B" w:rsidR="00A75C32">
        <w:t> </w:t>
      </w:r>
      <w:r w:rsidRPr="00E12C1B" w:rsidR="002F3FC0">
        <w:t>peak demand of 1,103 MW.</w:t>
      </w:r>
      <w:r w:rsidRPr="00654FFB" w:rsidR="002F3FC0">
        <w:rPr>
          <w:rStyle w:val="FootnoteReference"/>
          <w:sz w:val="22"/>
        </w:rPr>
        <w:footnoteReference w:id="85"/>
      </w:r>
    </w:p>
    <w:p w:rsidR="008F4C9D" w:rsidP="000D57C0" w:rsidRDefault="007A6F99" w14:paraId="5D564BA6" w14:textId="77777777">
      <w:pPr>
        <w:pStyle w:val="FootnoteText"/>
        <w:spacing w:after="0" w:line="360" w:lineRule="auto"/>
        <w:ind w:firstLine="720"/>
        <w:rPr>
          <w:sz w:val="26"/>
          <w:szCs w:val="26"/>
        </w:rPr>
      </w:pPr>
      <w:r w:rsidRPr="0043570A">
        <w:rPr>
          <w:sz w:val="26"/>
          <w:szCs w:val="26"/>
        </w:rPr>
        <w:t xml:space="preserve">As discussed above, the </w:t>
      </w:r>
      <w:r w:rsidRPr="0043570A" w:rsidR="005C32FA">
        <w:rPr>
          <w:sz w:val="26"/>
          <w:szCs w:val="26"/>
        </w:rPr>
        <w:t>maximum operating limit</w:t>
      </w:r>
      <w:r w:rsidRPr="0043570A">
        <w:rPr>
          <w:sz w:val="26"/>
          <w:szCs w:val="26"/>
        </w:rPr>
        <w:t xml:space="preserve"> of two transformers is 1</w:t>
      </w:r>
      <w:r w:rsidRPr="0043570A" w:rsidR="00D77C13">
        <w:rPr>
          <w:sz w:val="26"/>
          <w:szCs w:val="26"/>
        </w:rPr>
        <w:t>,</w:t>
      </w:r>
      <w:r w:rsidRPr="0043570A">
        <w:rPr>
          <w:sz w:val="26"/>
          <w:szCs w:val="26"/>
        </w:rPr>
        <w:t>119 MW, with tie-lines.  Without tie-lines,</w:t>
      </w:r>
      <w:r w:rsidRPr="0043570A" w:rsidR="005A394C">
        <w:rPr>
          <w:sz w:val="26"/>
          <w:szCs w:val="26"/>
        </w:rPr>
        <w:t xml:space="preserve"> the Commission is convinced by SCE that</w:t>
      </w:r>
      <w:r w:rsidRPr="0043570A" w:rsidR="00B01660">
        <w:rPr>
          <w:sz w:val="26"/>
          <w:szCs w:val="26"/>
        </w:rPr>
        <w:t xml:space="preserve"> </w:t>
      </w:r>
      <w:r w:rsidRPr="0043570A">
        <w:rPr>
          <w:sz w:val="26"/>
          <w:szCs w:val="26"/>
        </w:rPr>
        <w:t xml:space="preserve">the </w:t>
      </w:r>
      <w:r w:rsidRPr="0043570A" w:rsidR="005A394C">
        <w:rPr>
          <w:sz w:val="26"/>
          <w:szCs w:val="26"/>
        </w:rPr>
        <w:t xml:space="preserve">safe and reliable operation require the </w:t>
      </w:r>
      <w:r w:rsidRPr="0043570A">
        <w:rPr>
          <w:sz w:val="26"/>
          <w:szCs w:val="26"/>
        </w:rPr>
        <w:t xml:space="preserve">total load </w:t>
      </w:r>
      <w:r w:rsidRPr="0043570A" w:rsidR="005A394C">
        <w:rPr>
          <w:sz w:val="26"/>
          <w:szCs w:val="26"/>
        </w:rPr>
        <w:t>on</w:t>
      </w:r>
      <w:r w:rsidRPr="0043570A">
        <w:rPr>
          <w:sz w:val="26"/>
          <w:szCs w:val="26"/>
        </w:rPr>
        <w:t xml:space="preserve"> the two load-serving transformers for the Valley South System</w:t>
      </w:r>
      <w:r w:rsidRPr="0043570A" w:rsidR="005A394C">
        <w:rPr>
          <w:sz w:val="26"/>
          <w:szCs w:val="26"/>
        </w:rPr>
        <w:t xml:space="preserve"> to</w:t>
      </w:r>
      <w:r w:rsidRPr="0043570A">
        <w:rPr>
          <w:sz w:val="26"/>
          <w:szCs w:val="26"/>
        </w:rPr>
        <w:t xml:space="preserve"> be maintained at no greater than 896 MW.</w:t>
      </w:r>
      <w:r w:rsidRPr="0043570A">
        <w:rPr>
          <w:rStyle w:val="FootnoteReference"/>
          <w:sz w:val="26"/>
          <w:szCs w:val="26"/>
        </w:rPr>
        <w:footnoteReference w:id="86"/>
      </w:r>
      <w:r w:rsidRPr="0043570A">
        <w:rPr>
          <w:sz w:val="26"/>
          <w:szCs w:val="26"/>
        </w:rPr>
        <w:t xml:space="preserve">  </w:t>
      </w:r>
      <w:r w:rsidRPr="0043570A" w:rsidR="005A394C">
        <w:rPr>
          <w:sz w:val="26"/>
          <w:szCs w:val="26"/>
        </w:rPr>
        <w:t xml:space="preserve">The </w:t>
      </w:r>
      <w:r w:rsidR="008F4C9D">
        <w:rPr>
          <w:sz w:val="26"/>
          <w:szCs w:val="26"/>
        </w:rPr>
        <w:t>evidence is that</w:t>
      </w:r>
      <w:r w:rsidRPr="0043570A">
        <w:rPr>
          <w:sz w:val="26"/>
          <w:szCs w:val="26"/>
        </w:rPr>
        <w:t xml:space="preserve"> the all</w:t>
      </w:r>
      <w:r w:rsidRPr="0043570A" w:rsidR="005A394C">
        <w:rPr>
          <w:sz w:val="26"/>
          <w:szCs w:val="26"/>
        </w:rPr>
        <w:t>-</w:t>
      </w:r>
      <w:r w:rsidRPr="0043570A">
        <w:rPr>
          <w:sz w:val="26"/>
          <w:szCs w:val="26"/>
        </w:rPr>
        <w:t xml:space="preserve">time high peak demand of 1,103 MW is </w:t>
      </w:r>
      <w:r w:rsidRPr="0043570A" w:rsidR="00B01660">
        <w:rPr>
          <w:sz w:val="26"/>
          <w:szCs w:val="26"/>
        </w:rPr>
        <w:t>only 17 MW away from the</w:t>
      </w:r>
      <w:r w:rsidRPr="0043570A">
        <w:rPr>
          <w:sz w:val="26"/>
          <w:szCs w:val="26"/>
        </w:rPr>
        <w:t xml:space="preserve"> </w:t>
      </w:r>
      <w:r w:rsidRPr="0043570A" w:rsidR="005C32FA">
        <w:rPr>
          <w:sz w:val="26"/>
          <w:szCs w:val="26"/>
        </w:rPr>
        <w:t>nameplate</w:t>
      </w:r>
      <w:r w:rsidRPr="0043570A">
        <w:rPr>
          <w:sz w:val="26"/>
          <w:szCs w:val="26"/>
        </w:rPr>
        <w:t xml:space="preserve"> </w:t>
      </w:r>
      <w:r w:rsidRPr="0043570A" w:rsidR="00B01660">
        <w:rPr>
          <w:sz w:val="26"/>
          <w:szCs w:val="26"/>
        </w:rPr>
        <w:t>rating capacity of the two transformers.</w:t>
      </w:r>
      <w:r w:rsidRPr="0043570A" w:rsidR="00B01660">
        <w:rPr>
          <w:rStyle w:val="FootnoteReference"/>
          <w:sz w:val="26"/>
          <w:szCs w:val="26"/>
        </w:rPr>
        <w:footnoteReference w:id="87"/>
      </w:r>
      <w:r w:rsidRPr="0043570A" w:rsidR="005A394C">
        <w:rPr>
          <w:sz w:val="26"/>
          <w:szCs w:val="26"/>
        </w:rPr>
        <w:t xml:space="preserve">  </w:t>
      </w:r>
      <w:r w:rsidR="008F4C9D">
        <w:rPr>
          <w:sz w:val="26"/>
          <w:szCs w:val="26"/>
        </w:rPr>
        <w:t>That means</w:t>
      </w:r>
      <w:r w:rsidRPr="0043570A" w:rsidR="005A394C">
        <w:rPr>
          <w:sz w:val="26"/>
          <w:szCs w:val="26"/>
        </w:rPr>
        <w:t xml:space="preserve"> the Valley South System</w:t>
      </w:r>
      <w:r w:rsidR="008F4C9D">
        <w:rPr>
          <w:sz w:val="26"/>
          <w:szCs w:val="26"/>
        </w:rPr>
        <w:t xml:space="preserve"> in Summer 2024, if it had tie-lines, was</w:t>
      </w:r>
      <w:r w:rsidRPr="0043570A" w:rsidR="005A394C">
        <w:rPr>
          <w:sz w:val="26"/>
          <w:szCs w:val="26"/>
        </w:rPr>
        <w:t xml:space="preserve"> at 99% capacity.</w:t>
      </w:r>
      <w:r w:rsidRPr="0043570A" w:rsidR="005C32FA">
        <w:rPr>
          <w:rStyle w:val="FootnoteReference"/>
          <w:sz w:val="26"/>
          <w:szCs w:val="26"/>
        </w:rPr>
        <w:footnoteReference w:id="88"/>
      </w:r>
      <w:r w:rsidRPr="0043570A" w:rsidR="00B01660">
        <w:rPr>
          <w:sz w:val="26"/>
          <w:szCs w:val="26"/>
        </w:rPr>
        <w:t xml:space="preserve">  </w:t>
      </w:r>
      <w:r w:rsidR="008F4C9D">
        <w:rPr>
          <w:sz w:val="26"/>
          <w:szCs w:val="26"/>
        </w:rPr>
        <w:t>W</w:t>
      </w:r>
      <w:r w:rsidRPr="0043570A" w:rsidR="005A394C">
        <w:rPr>
          <w:sz w:val="26"/>
          <w:szCs w:val="26"/>
        </w:rPr>
        <w:t xml:space="preserve">ithout tie-lines at the </w:t>
      </w:r>
      <w:r w:rsidRPr="0043570A" w:rsidR="00B01660">
        <w:rPr>
          <w:sz w:val="26"/>
          <w:szCs w:val="26"/>
        </w:rPr>
        <w:t>Valley South System</w:t>
      </w:r>
      <w:r w:rsidRPr="0043570A" w:rsidR="005A394C">
        <w:rPr>
          <w:sz w:val="26"/>
          <w:szCs w:val="26"/>
        </w:rPr>
        <w:t xml:space="preserve">, </w:t>
      </w:r>
      <w:r w:rsidR="008F4C9D">
        <w:rPr>
          <w:sz w:val="26"/>
          <w:szCs w:val="26"/>
        </w:rPr>
        <w:t>the summer</w:t>
      </w:r>
      <w:r w:rsidRPr="0043570A" w:rsidR="00B01660">
        <w:rPr>
          <w:sz w:val="26"/>
          <w:szCs w:val="26"/>
        </w:rPr>
        <w:t xml:space="preserve"> peak demand in 2024</w:t>
      </w:r>
      <w:r w:rsidR="008F4C9D">
        <w:rPr>
          <w:sz w:val="26"/>
          <w:szCs w:val="26"/>
        </w:rPr>
        <w:t xml:space="preserve"> of 1,103 MW was</w:t>
      </w:r>
      <w:r w:rsidRPr="0043570A" w:rsidR="00B01660">
        <w:rPr>
          <w:sz w:val="26"/>
          <w:szCs w:val="26"/>
        </w:rPr>
        <w:t xml:space="preserve"> </w:t>
      </w:r>
      <w:r w:rsidR="008F4C9D">
        <w:rPr>
          <w:sz w:val="26"/>
          <w:szCs w:val="26"/>
        </w:rPr>
        <w:t>217</w:t>
      </w:r>
      <w:r w:rsidRPr="0043570A" w:rsidR="00B01660">
        <w:rPr>
          <w:sz w:val="26"/>
          <w:szCs w:val="26"/>
        </w:rPr>
        <w:t xml:space="preserve"> MW </w:t>
      </w:r>
      <w:r w:rsidR="008F4C9D">
        <w:rPr>
          <w:sz w:val="26"/>
          <w:szCs w:val="26"/>
        </w:rPr>
        <w:t>above</w:t>
      </w:r>
      <w:r w:rsidRPr="0043570A" w:rsidR="00B01660">
        <w:rPr>
          <w:sz w:val="26"/>
          <w:szCs w:val="26"/>
        </w:rPr>
        <w:t xml:space="preserve"> the 896 MW 1-hour emergency rating of a single transformer, subjecting customers to potential</w:t>
      </w:r>
      <w:r w:rsidRPr="0043570A" w:rsidR="005C32FA">
        <w:rPr>
          <w:sz w:val="26"/>
          <w:szCs w:val="26"/>
        </w:rPr>
        <w:t xml:space="preserve"> rolling blackouts </w:t>
      </w:r>
      <w:r w:rsidRPr="0043570A" w:rsidR="00B01660">
        <w:rPr>
          <w:sz w:val="26"/>
          <w:szCs w:val="26"/>
        </w:rPr>
        <w:lastRenderedPageBreak/>
        <w:t>during peak load conditions.</w:t>
      </w:r>
      <w:r w:rsidRPr="0043570A" w:rsidR="00B01660">
        <w:rPr>
          <w:rStyle w:val="FootnoteReference"/>
          <w:sz w:val="26"/>
          <w:szCs w:val="26"/>
        </w:rPr>
        <w:footnoteReference w:id="89"/>
      </w:r>
      <w:r w:rsidRPr="0043570A" w:rsidR="00A62E6C">
        <w:rPr>
          <w:sz w:val="26"/>
          <w:szCs w:val="26"/>
        </w:rPr>
        <w:t xml:space="preserve"> </w:t>
      </w:r>
      <w:r w:rsidRPr="0043570A" w:rsidR="00E92967">
        <w:rPr>
          <w:sz w:val="26"/>
          <w:szCs w:val="26"/>
        </w:rPr>
        <w:t xml:space="preserve"> </w:t>
      </w:r>
      <w:r w:rsidR="00CC4AAF">
        <w:rPr>
          <w:sz w:val="26"/>
          <w:szCs w:val="26"/>
        </w:rPr>
        <w:t>SCE states that even modest load growth will negatively SCE’s ability to serve the Valley South System.</w:t>
      </w:r>
      <w:r w:rsidR="0059285D">
        <w:rPr>
          <w:rStyle w:val="FootnoteReference"/>
          <w:sz w:val="26"/>
          <w:szCs w:val="26"/>
        </w:rPr>
        <w:footnoteReference w:id="90"/>
      </w:r>
    </w:p>
    <w:p w:rsidRPr="0043570A" w:rsidR="00CF05D4" w:rsidP="000D57C0" w:rsidRDefault="0059285D" w14:paraId="52A104AF" w14:textId="77777777">
      <w:pPr>
        <w:pStyle w:val="FootnoteText"/>
        <w:spacing w:after="0" w:line="360" w:lineRule="auto"/>
        <w:ind w:firstLine="720"/>
        <w:rPr>
          <w:sz w:val="26"/>
          <w:szCs w:val="26"/>
        </w:rPr>
      </w:pPr>
      <w:r>
        <w:rPr>
          <w:sz w:val="26"/>
          <w:szCs w:val="26"/>
        </w:rPr>
        <w:t xml:space="preserve">By 2028, </w:t>
      </w:r>
      <w:r w:rsidRPr="0043570A" w:rsidR="00CF05D4">
        <w:rPr>
          <w:sz w:val="26"/>
          <w:szCs w:val="26"/>
        </w:rPr>
        <w:t>SCE</w:t>
      </w:r>
      <w:r w:rsidRPr="0043570A" w:rsidR="005032DD">
        <w:rPr>
          <w:sz w:val="26"/>
          <w:szCs w:val="26"/>
        </w:rPr>
        <w:t xml:space="preserve"> </w:t>
      </w:r>
      <w:r w:rsidRPr="0043570A" w:rsidR="00CF05D4">
        <w:rPr>
          <w:sz w:val="26"/>
          <w:szCs w:val="26"/>
        </w:rPr>
        <w:t>forecast</w:t>
      </w:r>
      <w:r w:rsidR="008F4C9D">
        <w:rPr>
          <w:sz w:val="26"/>
          <w:szCs w:val="26"/>
        </w:rPr>
        <w:t xml:space="preserve">s </w:t>
      </w:r>
      <w:r w:rsidRPr="0043570A" w:rsidR="005C32FA">
        <w:rPr>
          <w:sz w:val="26"/>
          <w:szCs w:val="26"/>
        </w:rPr>
        <w:t xml:space="preserve">1,104 </w:t>
      </w:r>
      <w:r w:rsidRPr="0043570A" w:rsidR="00FA248B">
        <w:rPr>
          <w:sz w:val="26"/>
          <w:szCs w:val="26"/>
        </w:rPr>
        <w:t xml:space="preserve">MW </w:t>
      </w:r>
      <w:r w:rsidRPr="0043570A" w:rsidR="005C32FA">
        <w:rPr>
          <w:sz w:val="26"/>
          <w:szCs w:val="26"/>
        </w:rPr>
        <w:t>in peak electrical demand in the Valley South System during normal operations</w:t>
      </w:r>
      <w:r>
        <w:rPr>
          <w:sz w:val="26"/>
          <w:szCs w:val="26"/>
        </w:rPr>
        <w:t xml:space="preserve">.  Also by 2028, SCE forecasts </w:t>
      </w:r>
      <w:r w:rsidRPr="0043570A" w:rsidR="00CF05D4">
        <w:rPr>
          <w:sz w:val="26"/>
          <w:szCs w:val="26"/>
        </w:rPr>
        <w:t>that the peak electrical demand for a 1</w:t>
      </w:r>
      <w:r w:rsidRPr="0043570A" w:rsidR="00A75C32">
        <w:rPr>
          <w:sz w:val="26"/>
          <w:szCs w:val="26"/>
        </w:rPr>
        <w:noBreakHyphen/>
      </w:r>
      <w:r w:rsidRPr="0043570A" w:rsidR="00CF05D4">
        <w:rPr>
          <w:sz w:val="26"/>
          <w:szCs w:val="26"/>
        </w:rPr>
        <w:t>in</w:t>
      </w:r>
      <w:r w:rsidRPr="0043570A" w:rsidR="00A75C32">
        <w:rPr>
          <w:sz w:val="26"/>
          <w:szCs w:val="26"/>
        </w:rPr>
        <w:noBreakHyphen/>
      </w:r>
      <w:r w:rsidRPr="0043570A" w:rsidR="00CF05D4">
        <w:rPr>
          <w:sz w:val="26"/>
          <w:szCs w:val="26"/>
        </w:rPr>
        <w:t xml:space="preserve">5 year heat storm could increase to 1,187 </w:t>
      </w:r>
      <w:r w:rsidRPr="0043570A" w:rsidR="005032DD">
        <w:rPr>
          <w:sz w:val="26"/>
          <w:szCs w:val="26"/>
        </w:rPr>
        <w:t>MW</w:t>
      </w:r>
      <w:r w:rsidRPr="0043570A" w:rsidR="00CF05D4">
        <w:rPr>
          <w:sz w:val="26"/>
          <w:szCs w:val="26"/>
        </w:rPr>
        <w:t>.</w:t>
      </w:r>
      <w:r w:rsidRPr="0043570A" w:rsidR="00CF05D4">
        <w:rPr>
          <w:rStyle w:val="FootnoteReference"/>
          <w:sz w:val="26"/>
          <w:szCs w:val="26"/>
        </w:rPr>
        <w:footnoteReference w:id="91"/>
      </w:r>
      <w:r w:rsidRPr="0043570A" w:rsidR="005032DD">
        <w:rPr>
          <w:sz w:val="26"/>
          <w:szCs w:val="26"/>
        </w:rPr>
        <w:t xml:space="preserve">  </w:t>
      </w:r>
    </w:p>
    <w:p w:rsidRPr="00E12C1B" w:rsidR="00A75C32" w:rsidP="000D57C0" w:rsidRDefault="004C67B3" w14:paraId="063D7E33" w14:textId="77777777">
      <w:pPr>
        <w:pStyle w:val="CoL"/>
        <w:numPr>
          <w:ilvl w:val="0"/>
          <w:numId w:val="0"/>
        </w:numPr>
        <w:ind w:firstLine="720"/>
      </w:pPr>
      <w:r w:rsidRPr="00E12C1B">
        <w:t>TURN</w:t>
      </w:r>
      <w:r w:rsidRPr="00E12C1B" w:rsidR="00D77C13">
        <w:t xml:space="preserve"> </w:t>
      </w:r>
      <w:r w:rsidRPr="00E12C1B">
        <w:t xml:space="preserve">argues the Valley South System is not </w:t>
      </w:r>
      <w:r w:rsidRPr="00E12C1B" w:rsidR="00A62E6C">
        <w:t>close to maximum</w:t>
      </w:r>
      <w:r w:rsidRPr="00E12C1B">
        <w:t xml:space="preserve"> capacity because</w:t>
      </w:r>
      <w:r w:rsidRPr="00E12C1B" w:rsidR="000B64F4">
        <w:t xml:space="preserve"> </w:t>
      </w:r>
      <w:r w:rsidRPr="00E12C1B" w:rsidR="005C32FA">
        <w:t xml:space="preserve">TURN </w:t>
      </w:r>
      <w:r w:rsidRPr="00E12C1B" w:rsidR="000B64F4">
        <w:t xml:space="preserve">calculates the maximum </w:t>
      </w:r>
      <w:r w:rsidRPr="00E12C1B" w:rsidR="00A62E6C">
        <w:t>capacity as 1,680 M</w:t>
      </w:r>
      <w:r w:rsidR="00F977BC">
        <w:t>W</w:t>
      </w:r>
      <w:r w:rsidRPr="00E12C1B" w:rsidR="00A62E6C">
        <w:t xml:space="preserve"> (</w:t>
      </w:r>
      <w:r w:rsidRPr="00E12C1B" w:rsidR="000B64F4">
        <w:t xml:space="preserve">two transformers (2 x 560) plus </w:t>
      </w:r>
      <w:r w:rsidRPr="00E12C1B">
        <w:t>the spare transformer M</w:t>
      </w:r>
      <w:r w:rsidR="00F977BC">
        <w:t>W</w:t>
      </w:r>
      <w:r w:rsidRPr="00E12C1B" w:rsidR="00A62E6C">
        <w:t xml:space="preserve"> (560))</w:t>
      </w:r>
      <w:r w:rsidRPr="00E12C1B">
        <w:t>.</w:t>
      </w:r>
      <w:r w:rsidRPr="005D483B" w:rsidR="000B64F4">
        <w:rPr>
          <w:rStyle w:val="Hyperlink"/>
          <w:u w:val="none"/>
          <w:vertAlign w:val="superscript"/>
        </w:rPr>
        <w:footnoteReference w:id="92"/>
      </w:r>
      <w:r w:rsidRPr="005D483B" w:rsidR="00D77C13">
        <w:rPr>
          <w:vertAlign w:val="superscript"/>
        </w:rPr>
        <w:t xml:space="preserve"> </w:t>
      </w:r>
      <w:r w:rsidRPr="00E12C1B" w:rsidR="00D77C13">
        <w:t xml:space="preserve"> TURN supports this argument </w:t>
      </w:r>
      <w:r w:rsidRPr="00E12C1B" w:rsidR="007A3BA6">
        <w:t>using two considerations:</w:t>
      </w:r>
    </w:p>
    <w:p w:rsidRPr="00E12C1B" w:rsidR="00CB42D8" w:rsidP="00DB2107" w:rsidRDefault="00CB42D8" w14:paraId="001F2F17" w14:textId="77777777">
      <w:pPr>
        <w:pStyle w:val="Standard"/>
        <w:numPr>
          <w:ilvl w:val="0"/>
          <w:numId w:val="20"/>
        </w:numPr>
        <w:spacing w:after="120" w:line="240" w:lineRule="auto"/>
        <w:ind w:right="1440"/>
      </w:pPr>
      <w:r w:rsidRPr="00E12C1B">
        <w:t>T</w:t>
      </w:r>
      <w:r w:rsidRPr="00E12C1B" w:rsidR="00D77C13">
        <w:t xml:space="preserve">he </w:t>
      </w:r>
      <w:r w:rsidRPr="00E12C1B" w:rsidR="009E3AAF">
        <w:t>frequency of</w:t>
      </w:r>
      <w:r w:rsidRPr="00E12C1B" w:rsidR="00D77C13">
        <w:t xml:space="preserve"> when the Valley South System exceed</w:t>
      </w:r>
      <w:r w:rsidRPr="00E12C1B" w:rsidR="009E3AAF">
        <w:t>ed</w:t>
      </w:r>
      <w:r w:rsidRPr="00E12C1B" w:rsidR="00D77C13">
        <w:t xml:space="preserve"> 896 MW</w:t>
      </w:r>
      <w:r w:rsidRPr="00E12C1B" w:rsidR="00A75C32">
        <w:t>;</w:t>
      </w:r>
      <w:r w:rsidRPr="00E12C1B" w:rsidR="007A3BA6">
        <w:t xml:space="preserve"> and</w:t>
      </w:r>
    </w:p>
    <w:p w:rsidRPr="00E12C1B" w:rsidR="00991DD0" w:rsidP="00DB2107" w:rsidRDefault="00CB42D8" w14:paraId="475E408C" w14:textId="77777777">
      <w:pPr>
        <w:pStyle w:val="Standard"/>
        <w:numPr>
          <w:ilvl w:val="0"/>
          <w:numId w:val="20"/>
        </w:numPr>
        <w:spacing w:after="120" w:line="240" w:lineRule="auto"/>
        <w:ind w:right="1440"/>
      </w:pPr>
      <w:r w:rsidRPr="00E12C1B">
        <w:t>T</w:t>
      </w:r>
      <w:r w:rsidRPr="00E12C1B" w:rsidR="00D77C13">
        <w:t xml:space="preserve">he likelihood the spare transformer would be unavailable to serve load because </w:t>
      </w:r>
      <w:r w:rsidRPr="00E12C1B" w:rsidR="00ED5492">
        <w:t xml:space="preserve">one </w:t>
      </w:r>
      <w:r w:rsidRPr="00E12C1B" w:rsidR="00D77C13">
        <w:t>of the two</w:t>
      </w:r>
      <w:r w:rsidRPr="00E12C1B" w:rsidR="00ED5492">
        <w:t>, or both,</w:t>
      </w:r>
      <w:r w:rsidRPr="00E12C1B" w:rsidR="00D77C13">
        <w:t xml:space="preserve"> transformers is</w:t>
      </w:r>
      <w:r w:rsidRPr="00E12C1B" w:rsidR="00ED5492">
        <w:t>/are</w:t>
      </w:r>
      <w:r w:rsidRPr="00E12C1B" w:rsidR="00D77C13">
        <w:t xml:space="preserve"> out of service.</w:t>
      </w:r>
    </w:p>
    <w:p w:rsidRPr="00E12C1B" w:rsidR="00A73FEB" w:rsidP="001A71ED" w:rsidRDefault="00ED5492" w14:paraId="05DF27BC" w14:textId="77777777">
      <w:pPr>
        <w:pStyle w:val="Standard"/>
      </w:pPr>
      <w:r w:rsidRPr="00E12C1B">
        <w:t>First, TURN states that between 2013 and 2024, there has been only one incident</w:t>
      </w:r>
      <w:r w:rsidRPr="00E12C1B" w:rsidR="00717BCC">
        <w:t xml:space="preserve"> in July 2018 that</w:t>
      </w:r>
      <w:r w:rsidRPr="00E12C1B">
        <w:t xml:space="preserve"> last</w:t>
      </w:r>
      <w:r w:rsidRPr="00E12C1B" w:rsidR="00717BCC">
        <w:t>ed</w:t>
      </w:r>
      <w:r w:rsidRPr="00E12C1B">
        <w:t xml:space="preserve"> a few hours when load in the Valley South System exceeded 896 M</w:t>
      </w:r>
      <w:r w:rsidR="00F977BC">
        <w:t>W</w:t>
      </w:r>
      <w:r w:rsidRPr="00E12C1B">
        <w:t xml:space="preserve"> while the spare transformer was unavailable to meet peak electric demand.</w:t>
      </w:r>
      <w:r w:rsidRPr="005D483B" w:rsidR="007D3AE9">
        <w:rPr>
          <w:rStyle w:val="FootnoteReference"/>
          <w:sz w:val="22"/>
        </w:rPr>
        <w:footnoteReference w:id="93"/>
      </w:r>
      <w:r w:rsidRPr="00E12C1B" w:rsidR="00D77C13">
        <w:t xml:space="preserve"> </w:t>
      </w:r>
      <w:r w:rsidRPr="00E12C1B" w:rsidR="007D3AE9">
        <w:t xml:space="preserve"> </w:t>
      </w:r>
      <w:r w:rsidRPr="00E12C1B">
        <w:t>In another in</w:t>
      </w:r>
      <w:r w:rsidRPr="00E12C1B" w:rsidR="00717BCC">
        <w:t xml:space="preserve">cident in August 2018, TURN notes that </w:t>
      </w:r>
      <w:r w:rsidRPr="00E12C1B">
        <w:t>the Valley South System load approached but did not reach 896 M</w:t>
      </w:r>
      <w:r w:rsidR="00F977BC">
        <w:t>W</w:t>
      </w:r>
      <w:r w:rsidRPr="00E12C1B">
        <w:t xml:space="preserve"> when the spare transformer was unavailable.</w:t>
      </w:r>
      <w:r w:rsidRPr="005D483B" w:rsidR="007D3AE9">
        <w:rPr>
          <w:rStyle w:val="FootnoteReference"/>
          <w:sz w:val="22"/>
        </w:rPr>
        <w:footnoteReference w:id="94"/>
      </w:r>
      <w:r w:rsidRPr="00E12C1B">
        <w:t xml:space="preserve">  </w:t>
      </w:r>
      <w:r w:rsidRPr="00E12C1B" w:rsidR="00717BCC">
        <w:t xml:space="preserve">Second, TURN </w:t>
      </w:r>
      <w:r w:rsidRPr="00E12C1B" w:rsidR="00BC7830">
        <w:t xml:space="preserve">performed a series of calculations </w:t>
      </w:r>
      <w:r w:rsidRPr="00E12C1B" w:rsidR="00BC7830">
        <w:lastRenderedPageBreak/>
        <w:t xml:space="preserve">based on </w:t>
      </w:r>
      <w:r w:rsidRPr="00E12C1B" w:rsidR="00717BCC">
        <w:t>SCE’s transformer maintenance schedule</w:t>
      </w:r>
      <w:r w:rsidRPr="00E12C1B" w:rsidR="009E2382">
        <w:t>,</w:t>
      </w:r>
      <w:r w:rsidRPr="00E12C1B" w:rsidR="00BC7830">
        <w:t xml:space="preserve"> SCE’s probability data on the </w:t>
      </w:r>
      <w:r w:rsidRPr="00E12C1B" w:rsidR="00717BCC">
        <w:t>likelihood of the spare transformer to be un</w:t>
      </w:r>
      <w:r w:rsidRPr="00E12C1B" w:rsidR="00BC7830">
        <w:t>a</w:t>
      </w:r>
      <w:r w:rsidRPr="00E12C1B" w:rsidR="00717BCC">
        <w:t>vailable when</w:t>
      </w:r>
      <w:r w:rsidRPr="00E12C1B" w:rsidR="00BC7830">
        <w:t xml:space="preserve"> the Valley South System peak demand exceeded 896 MW</w:t>
      </w:r>
      <w:r w:rsidRPr="00E12C1B" w:rsidR="009E2382">
        <w:t>, and SCE’s load forecasts</w:t>
      </w:r>
      <w:r w:rsidRPr="00E12C1B" w:rsidR="00BC7830">
        <w:t>.</w:t>
      </w:r>
      <w:r w:rsidRPr="005D483B" w:rsidR="00BC7830">
        <w:rPr>
          <w:rStyle w:val="FootnoteReference"/>
          <w:sz w:val="22"/>
        </w:rPr>
        <w:footnoteReference w:id="95"/>
      </w:r>
      <w:r w:rsidRPr="005D483B" w:rsidR="00BC7830">
        <w:rPr>
          <w:sz w:val="22"/>
        </w:rPr>
        <w:t xml:space="preserve"> </w:t>
      </w:r>
      <w:r w:rsidRPr="00E12C1B" w:rsidR="00BC7830">
        <w:t xml:space="preserve"> </w:t>
      </w:r>
      <w:r w:rsidRPr="00E12C1B" w:rsidR="009E2382">
        <w:t>TURN</w:t>
      </w:r>
      <w:r w:rsidRPr="00E12C1B" w:rsidR="00CB42D8">
        <w:t> </w:t>
      </w:r>
      <w:r w:rsidRPr="00E12C1B" w:rsidR="009E2382">
        <w:t xml:space="preserve">calculates there is a 6 in 10 million possibility of </w:t>
      </w:r>
      <w:r w:rsidRPr="00E12C1B" w:rsidR="00A73FEB">
        <w:t>a scenario where all three events occur:</w:t>
      </w:r>
    </w:p>
    <w:p w:rsidRPr="00E12C1B" w:rsidR="00A73FEB" w:rsidP="00DB2107" w:rsidRDefault="00CB42D8" w14:paraId="5D04163C" w14:textId="77777777">
      <w:pPr>
        <w:pStyle w:val="Standard"/>
        <w:numPr>
          <w:ilvl w:val="0"/>
          <w:numId w:val="14"/>
        </w:numPr>
        <w:spacing w:after="120" w:line="240" w:lineRule="auto"/>
        <w:ind w:left="1080" w:right="1440"/>
      </w:pPr>
      <w:r w:rsidRPr="00E12C1B">
        <w:t>T</w:t>
      </w:r>
      <w:r w:rsidRPr="00E12C1B" w:rsidR="00A73FEB">
        <w:t>he spare fifth transformer is unavailable,</w:t>
      </w:r>
    </w:p>
    <w:p w:rsidRPr="00E12C1B" w:rsidR="00A73FEB" w:rsidP="00DB2107" w:rsidRDefault="00CB42D8" w14:paraId="00D5EBD2" w14:textId="77777777">
      <w:pPr>
        <w:pStyle w:val="Standard"/>
        <w:numPr>
          <w:ilvl w:val="0"/>
          <w:numId w:val="14"/>
        </w:numPr>
        <w:spacing w:after="120" w:line="240" w:lineRule="auto"/>
        <w:ind w:left="1080" w:right="1440"/>
      </w:pPr>
      <w:r w:rsidRPr="00E12C1B">
        <w:t>O</w:t>
      </w:r>
      <w:r w:rsidRPr="00E12C1B" w:rsidR="00A73FEB">
        <w:t>ne of the Valley South transformers ha</w:t>
      </w:r>
      <w:r w:rsidRPr="00E12C1B" w:rsidR="009E3AAF">
        <w:t>s</w:t>
      </w:r>
      <w:r w:rsidRPr="00E12C1B" w:rsidR="00A73FEB">
        <w:t xml:space="preserve"> an unplanned outage</w:t>
      </w:r>
      <w:r w:rsidR="005D483B">
        <w:t>;</w:t>
      </w:r>
      <w:r w:rsidRPr="00E12C1B" w:rsidR="00A73FEB">
        <w:t xml:space="preserve"> and</w:t>
      </w:r>
    </w:p>
    <w:p w:rsidRPr="00E12C1B" w:rsidR="00A73FEB" w:rsidP="00DB2107" w:rsidRDefault="00CB42D8" w14:paraId="29C4799C" w14:textId="77777777">
      <w:pPr>
        <w:pStyle w:val="Standard"/>
        <w:numPr>
          <w:ilvl w:val="0"/>
          <w:numId w:val="14"/>
        </w:numPr>
        <w:spacing w:after="120" w:line="240" w:lineRule="auto"/>
        <w:ind w:left="1080" w:right="1440"/>
      </w:pPr>
      <w:r w:rsidRPr="00E12C1B">
        <w:t>B</w:t>
      </w:r>
      <w:r w:rsidRPr="00E12C1B" w:rsidR="00A73FEB">
        <w:t>oth event</w:t>
      </w:r>
      <w:r w:rsidRPr="00E12C1B" w:rsidR="005032DD">
        <w:t>s</w:t>
      </w:r>
      <w:r w:rsidRPr="00E12C1B" w:rsidR="00A73FEB">
        <w:t xml:space="preserve"> occur during pea</w:t>
      </w:r>
      <w:r w:rsidRPr="00E12C1B" w:rsidR="00991DD0">
        <w:t>k</w:t>
      </w:r>
      <w:r w:rsidRPr="00E12C1B" w:rsidR="00A73FEB">
        <w:t xml:space="preserve"> demand hours.</w:t>
      </w:r>
      <w:r w:rsidRPr="005D483B" w:rsidR="00FD713B">
        <w:rPr>
          <w:rStyle w:val="FootnoteReference"/>
          <w:sz w:val="22"/>
        </w:rPr>
        <w:footnoteReference w:id="96"/>
      </w:r>
    </w:p>
    <w:p w:rsidRPr="00E12C1B" w:rsidR="002C2203" w:rsidP="000D57C0" w:rsidRDefault="00A73FEB" w14:paraId="717A107D" w14:textId="77777777">
      <w:pPr>
        <w:pStyle w:val="Standard"/>
      </w:pPr>
      <w:r w:rsidRPr="00E12C1B">
        <w:t xml:space="preserve">TURN concludes there is adequate capacity at the Valley South </w:t>
      </w:r>
      <w:r w:rsidR="00F34431">
        <w:t>S</w:t>
      </w:r>
      <w:r w:rsidRPr="00E12C1B">
        <w:t xml:space="preserve">ystem because existing capacity should include the spare transformer capacity as the status quo, </w:t>
      </w:r>
      <w:r w:rsidRPr="00E12C1B" w:rsidR="009E2382">
        <w:t>the high likelihood that the spare transformer would be available to serve load</w:t>
      </w:r>
      <w:r w:rsidRPr="00E12C1B">
        <w:t>,</w:t>
      </w:r>
      <w:r w:rsidRPr="00E12C1B" w:rsidR="009E2382">
        <w:t xml:space="preserve"> and the low likelihood</w:t>
      </w:r>
      <w:r w:rsidRPr="00E12C1B">
        <w:t xml:space="preserve"> of damaging/high stress events occurring simultaneously.</w:t>
      </w:r>
      <w:r w:rsidRPr="005D483B">
        <w:rPr>
          <w:rStyle w:val="FootnoteReference"/>
          <w:sz w:val="22"/>
        </w:rPr>
        <w:footnoteReference w:id="97"/>
      </w:r>
    </w:p>
    <w:p w:rsidR="006669A7" w:rsidP="00494DE3" w:rsidRDefault="00241B7C" w14:paraId="72D7874D" w14:textId="77777777">
      <w:pPr>
        <w:pStyle w:val="Standard"/>
      </w:pPr>
      <w:r>
        <w:t xml:space="preserve">The Commission is concerned that </w:t>
      </w:r>
      <w:r w:rsidR="003B5E20">
        <w:t xml:space="preserve">approximately 560,000 individuals, including 6,000 critical care customers, are served by </w:t>
      </w:r>
      <w:r w:rsidR="0009695D">
        <w:t>a system that is</w:t>
      </w:r>
      <w:r w:rsidR="001762B2">
        <w:t xml:space="preserve"> isolated from the rest of SCE’s grid</w:t>
      </w:r>
      <w:r>
        <w:t>.</w:t>
      </w:r>
      <w:r>
        <w:rPr>
          <w:rStyle w:val="FootnoteReference"/>
        </w:rPr>
        <w:footnoteReference w:id="98"/>
      </w:r>
      <w:r>
        <w:t xml:space="preserve">   </w:t>
      </w:r>
      <w:r w:rsidR="00CA3397">
        <w:t xml:space="preserve">TURN’s argument is premised on the use of the </w:t>
      </w:r>
      <w:r w:rsidRPr="00E12C1B" w:rsidR="008B5128">
        <w:t>spare transformer as a</w:t>
      </w:r>
      <w:r w:rsidR="00CA3397">
        <w:t xml:space="preserve"> permanent</w:t>
      </w:r>
      <w:r w:rsidRPr="00E12C1B" w:rsidR="008B5128">
        <w:t xml:space="preserve"> load serving</w:t>
      </w:r>
      <w:r w:rsidR="00CA3397">
        <w:t xml:space="preserve"> asset</w:t>
      </w:r>
      <w:r w:rsidRPr="00E12C1B" w:rsidR="008B5128">
        <w:t>.</w:t>
      </w:r>
      <w:r w:rsidR="00CA3397">
        <w:t xml:space="preserve">  The Commission rejects this premise.</w:t>
      </w:r>
      <w:r w:rsidRPr="00E12C1B" w:rsidR="0052471C">
        <w:t xml:space="preserve"> </w:t>
      </w:r>
      <w:r w:rsidRPr="00E12C1B" w:rsidR="008B5128">
        <w:t xml:space="preserve"> Consequently, t</w:t>
      </w:r>
      <w:r w:rsidRPr="00E12C1B" w:rsidR="0052471C">
        <w:t xml:space="preserve">he Commission rejects TURN’s argument that the Valley South System has adequate capacity.  </w:t>
      </w:r>
    </w:p>
    <w:p w:rsidR="006669A7" w:rsidP="00494DE3" w:rsidRDefault="00DD34FA" w14:paraId="516E8F2E" w14:textId="77777777">
      <w:pPr>
        <w:pStyle w:val="Standard"/>
      </w:pPr>
      <w:r>
        <w:lastRenderedPageBreak/>
        <w:t xml:space="preserve">Likewise, the </w:t>
      </w:r>
      <w:r w:rsidRPr="00E12C1B" w:rsidR="0052471C">
        <w:t xml:space="preserve">Commission rejects TURN’s argument that </w:t>
      </w:r>
      <w:r>
        <w:t>there is such a low probability that</w:t>
      </w:r>
      <w:r w:rsidRPr="00E12C1B" w:rsidR="0052471C">
        <w:t xml:space="preserve"> Valley South System would experience</w:t>
      </w:r>
      <w:r>
        <w:t xml:space="preserve"> the type of contingency events that necessitates the Alberhill project</w:t>
      </w:r>
      <w:r w:rsidRPr="00E12C1B" w:rsidR="0052471C">
        <w:t xml:space="preserve">.  As this argument is </w:t>
      </w:r>
      <w:r w:rsidRPr="00E12C1B" w:rsidR="00C90645">
        <w:t>similar</w:t>
      </w:r>
      <w:r w:rsidRPr="00E12C1B" w:rsidR="0052471C">
        <w:t xml:space="preserve"> to TURN’s argument regarding </w:t>
      </w:r>
      <w:r w:rsidRPr="00E12C1B" w:rsidR="00A9434E">
        <w:t xml:space="preserve">the </w:t>
      </w:r>
      <w:r w:rsidRPr="00E12C1B" w:rsidR="0045713D">
        <w:t xml:space="preserve">resilience metric </w:t>
      </w:r>
      <w:r w:rsidRPr="00E12C1B" w:rsidR="00A9434E">
        <w:t xml:space="preserve">for the </w:t>
      </w:r>
      <w:r w:rsidRPr="00E12C1B" w:rsidR="0045713D">
        <w:t>Valley South System</w:t>
      </w:r>
      <w:r w:rsidRPr="00E12C1B" w:rsidR="00A9434E">
        <w:t xml:space="preserve">, the Commission details </w:t>
      </w:r>
      <w:r w:rsidRPr="00E12C1B" w:rsidR="0045713D">
        <w:t>its reasons</w:t>
      </w:r>
      <w:r w:rsidRPr="00E12C1B" w:rsidR="00A9434E">
        <w:t xml:space="preserve"> </w:t>
      </w:r>
      <w:r w:rsidRPr="00E12C1B" w:rsidR="0045713D">
        <w:t>below</w:t>
      </w:r>
      <w:r w:rsidRPr="00E12C1B" w:rsidR="00A9434E">
        <w:t xml:space="preserve">.  </w:t>
      </w:r>
    </w:p>
    <w:p w:rsidRPr="00E12C1B" w:rsidR="005F2010" w:rsidP="00494DE3" w:rsidRDefault="006669A7" w14:paraId="1977BB71" w14:textId="77777777">
      <w:pPr>
        <w:pStyle w:val="Standard"/>
      </w:pPr>
      <w:r>
        <w:t>The Commission finds a remedy is required and does not find TURN’s argument compelling.</w:t>
      </w:r>
      <w:r w:rsidRPr="00E12C1B">
        <w:t xml:space="preserve"> </w:t>
      </w:r>
      <w:r>
        <w:t xml:space="preserve"> </w:t>
      </w:r>
      <w:r w:rsidRPr="00E12C1B" w:rsidR="00A9434E">
        <w:t>In short, the Commission</w:t>
      </w:r>
      <w:r w:rsidRPr="00E12C1B" w:rsidR="00C90645">
        <w:t xml:space="preserve"> </w:t>
      </w:r>
      <w:r w:rsidR="00DD34FA">
        <w:t xml:space="preserve">finds there is </w:t>
      </w:r>
      <w:r w:rsidRPr="00E12C1B" w:rsidR="00C90645">
        <w:t>a capacity need for Alberhill project.</w:t>
      </w:r>
    </w:p>
    <w:p w:rsidRPr="00E12C1B" w:rsidR="001432B9" w:rsidP="00883DC4" w:rsidRDefault="00494DE3" w14:paraId="215EAED3" w14:textId="77777777">
      <w:pPr>
        <w:pStyle w:val="Heading2"/>
      </w:pPr>
      <w:bookmarkStart w:name="_Toc225410168" w:id="66"/>
      <w:bookmarkStart w:name="_Hlk214906088" w:id="67"/>
      <w:r w:rsidRPr="00E12C1B">
        <w:t xml:space="preserve">There is a </w:t>
      </w:r>
      <w:r w:rsidRPr="00E12C1B" w:rsidR="00F86FD7">
        <w:t>Reliability Need</w:t>
      </w:r>
      <w:r w:rsidRPr="00E12C1B">
        <w:t xml:space="preserve"> for the Alberhill Project</w:t>
      </w:r>
      <w:bookmarkEnd w:id="66"/>
    </w:p>
    <w:p w:rsidRPr="00E12C1B" w:rsidR="00B351ED" w:rsidP="00CD2DF8" w:rsidRDefault="00A72F6D" w14:paraId="4865A726" w14:textId="77777777">
      <w:pPr>
        <w:pStyle w:val="Standard"/>
        <w:rPr>
          <w:rFonts w:cs="Arial"/>
        </w:rPr>
      </w:pPr>
      <w:r>
        <w:t xml:space="preserve">Reliability is a utility’s ability to serve customers under normal conditions </w:t>
      </w:r>
      <w:r w:rsidR="0003458F">
        <w:t xml:space="preserve">(N-0) </w:t>
      </w:r>
      <w:r>
        <w:t>and conditions where one asset is unavailable</w:t>
      </w:r>
      <w:r w:rsidR="0003458F">
        <w:t xml:space="preserve"> (N-1)</w:t>
      </w:r>
      <w:r>
        <w:t>.</w:t>
      </w:r>
      <w:r>
        <w:rPr>
          <w:rStyle w:val="FootnoteReference"/>
        </w:rPr>
        <w:footnoteReference w:id="99"/>
      </w:r>
      <w:r>
        <w:t xml:space="preserve">  </w:t>
      </w:r>
      <w:r w:rsidRPr="00E12C1B" w:rsidR="00CB31AF">
        <w:t xml:space="preserve">D.18-08-026 required SCE to produce </w:t>
      </w:r>
      <w:r w:rsidR="008B62C3">
        <w:t xml:space="preserve">a </w:t>
      </w:r>
      <w:r w:rsidRPr="00E12C1B" w:rsidR="00CB31AF">
        <w:t>reliability analysis, including past electric reliability performance for the Valley systems and forecasted impact of the proposed project on service reliability performance.</w:t>
      </w:r>
      <w:r w:rsidRPr="005D483B" w:rsidR="00CB31AF">
        <w:rPr>
          <w:rStyle w:val="FootnoteReference"/>
          <w:sz w:val="22"/>
        </w:rPr>
        <w:footnoteReference w:id="100"/>
      </w:r>
      <w:r w:rsidRPr="00E12C1B" w:rsidR="00CB31AF">
        <w:t xml:space="preserve">  </w:t>
      </w:r>
      <w:r w:rsidRPr="00E12C1B" w:rsidR="006327B9">
        <w:t xml:space="preserve">SCE produced </w:t>
      </w:r>
      <w:r w:rsidRPr="00E12C1B" w:rsidR="004811DD">
        <w:t xml:space="preserve">supplemental </w:t>
      </w:r>
      <w:r w:rsidR="007E77C8">
        <w:t>analysis</w:t>
      </w:r>
      <w:r w:rsidRPr="00E12C1B" w:rsidR="004811DD">
        <w:t>,</w:t>
      </w:r>
      <w:r w:rsidRPr="005D483B" w:rsidR="00745CC2">
        <w:rPr>
          <w:rStyle w:val="FootnoteReference"/>
          <w:sz w:val="22"/>
        </w:rPr>
        <w:footnoteReference w:id="101"/>
      </w:r>
      <w:r w:rsidRPr="00E12C1B" w:rsidR="004811DD">
        <w:t xml:space="preserve"> which was then considered in the Staff Report and the Adde</w:t>
      </w:r>
      <w:r w:rsidR="007E77C8">
        <w:t>n</w:t>
      </w:r>
      <w:r w:rsidRPr="00E12C1B" w:rsidR="004811DD">
        <w:t>dum.</w:t>
      </w:r>
      <w:r w:rsidRPr="00E12C1B" w:rsidR="00F32001">
        <w:t xml:space="preserve">  </w:t>
      </w:r>
    </w:p>
    <w:p w:rsidR="00F121CA" w:rsidP="00B351ED" w:rsidRDefault="00F121CA" w14:paraId="7ECA361E" w14:textId="77777777">
      <w:pPr>
        <w:pStyle w:val="Standard"/>
      </w:pPr>
      <w:r>
        <w:t xml:space="preserve">SCE’s evidence shows that the Valley South System operates at or very </w:t>
      </w:r>
      <w:bookmarkStart w:name="_Hlk221033412" w:id="68"/>
      <w:r>
        <w:t>close to its maximum operating limits and has no connections to other systems</w:t>
      </w:r>
      <w:bookmarkEnd w:id="68"/>
      <w:r>
        <w:t xml:space="preserve">.  Inadequate capacity adversely impacts reliability.  </w:t>
      </w:r>
      <w:r w:rsidRPr="00E12C1B" w:rsidR="00D10140">
        <w:t>SCE</w:t>
      </w:r>
      <w:r w:rsidR="007E77C8">
        <w:t xml:space="preserve"> provides</w:t>
      </w:r>
      <w:r>
        <w:t xml:space="preserve"> additional</w:t>
      </w:r>
      <w:r w:rsidR="007E77C8">
        <w:t xml:space="preserve"> evidence</w:t>
      </w:r>
      <w:r w:rsidRPr="00E12C1B" w:rsidR="00D10140">
        <w:t xml:space="preserve"> that the Valley South System has characteristics that increase reliability risks.  </w:t>
      </w:r>
    </w:p>
    <w:p w:rsidRPr="00E12C1B" w:rsidR="00FE09CD" w:rsidP="00B351ED" w:rsidRDefault="00EC6E77" w14:paraId="2E8B0A85" w14:textId="77777777">
      <w:pPr>
        <w:pStyle w:val="Standard"/>
      </w:pPr>
      <w:r w:rsidRPr="00E12C1B">
        <w:lastRenderedPageBreak/>
        <w:t>The Valley South and Valley North systems are radial systems, not</w:t>
      </w:r>
      <w:r w:rsidR="00F121CA">
        <w:t xml:space="preserve"> network systems</w:t>
      </w:r>
      <w:r w:rsidRPr="00E12C1B">
        <w:t xml:space="preserve">.  </w:t>
      </w:r>
      <w:r w:rsidRPr="00E12C1B" w:rsidR="007A0992">
        <w:t>I</w:t>
      </w:r>
      <w:r w:rsidRPr="00E12C1B" w:rsidR="00FE09CD">
        <w:t xml:space="preserve">n a network system, </w:t>
      </w:r>
      <w:r w:rsidRPr="00E12C1B" w:rsidR="007A0992">
        <w:t xml:space="preserve">its transmission and </w:t>
      </w:r>
      <w:r w:rsidRPr="00E12C1B" w:rsidR="0047207B">
        <w:t>sub-transmission</w:t>
      </w:r>
      <w:r w:rsidRPr="00E12C1B" w:rsidR="007A0992">
        <w:t xml:space="preserve"> systems would be interconnected.  </w:t>
      </w:r>
      <w:r w:rsidRPr="00E12C1B" w:rsidR="00FE09CD">
        <w:t>This mea</w:t>
      </w:r>
      <w:r w:rsidRPr="00E12C1B" w:rsidR="00494DE3">
        <w:t>n</w:t>
      </w:r>
      <w:r w:rsidRPr="00E12C1B" w:rsidR="00FE09CD">
        <w:t>s p</w:t>
      </w:r>
      <w:r w:rsidRPr="00E12C1B" w:rsidR="007A0992">
        <w:t xml:space="preserve">ower from generation sources flow through the transmission system, which is connected with the </w:t>
      </w:r>
      <w:r w:rsidRPr="00E12C1B" w:rsidR="0047207B">
        <w:t>sub-transmission</w:t>
      </w:r>
      <w:r w:rsidRPr="00E12C1B" w:rsidR="007A0992">
        <w:t xml:space="preserve"> system, before providing power to the distribution system to serve customers.  The advantage of a network design </w:t>
      </w:r>
      <w:r w:rsidRPr="00E12C1B" w:rsidR="00DE616E">
        <w:t>is that it is generally considered more reliable because when a disturbance occurs, such as a transformer outage, power flows around the outage</w:t>
      </w:r>
      <w:r w:rsidRPr="00E12C1B" w:rsidR="00494DE3">
        <w:t xml:space="preserve"> to customers via multiple paths</w:t>
      </w:r>
      <w:r w:rsidRPr="00E12C1B" w:rsidR="00DE616E">
        <w:t>.</w:t>
      </w:r>
      <w:r w:rsidRPr="005D483B" w:rsidR="00DE616E">
        <w:rPr>
          <w:rStyle w:val="FootnoteReference"/>
          <w:sz w:val="22"/>
        </w:rPr>
        <w:footnoteReference w:id="102"/>
      </w:r>
    </w:p>
    <w:p w:rsidRPr="00E12C1B" w:rsidR="00281058" w:rsidP="00F121CA" w:rsidRDefault="00DE616E" w14:paraId="271F6044" w14:textId="77777777">
      <w:pPr>
        <w:pStyle w:val="Standard"/>
      </w:pPr>
      <w:r w:rsidRPr="00E12C1B">
        <w:t>In contrast, both Valley South and Valley North are radial systems, which means each individual system serves a pocket of customer demand.  Power to a radial network is provided from the transmission system through a single point of connection (Valley Substation for</w:t>
      </w:r>
      <w:r w:rsidR="00234104">
        <w:t xml:space="preserve"> both</w:t>
      </w:r>
      <w:r w:rsidRPr="00E12C1B">
        <w:t xml:space="preserve"> Valley South and Valley North) rather than multiple points of connection. </w:t>
      </w:r>
      <w:r w:rsidRPr="00E12C1B" w:rsidR="002A41DE">
        <w:t xml:space="preserve"> </w:t>
      </w:r>
      <w:r w:rsidRPr="00E12C1B" w:rsidR="00085A64">
        <w:t xml:space="preserve">Because each radial system is electrically isolated from other systems and receives power through a single interface with the transmission system, each is subject to possible reliability issues during a transformer or </w:t>
      </w:r>
      <w:r w:rsidRPr="00E12C1B" w:rsidR="0047207B">
        <w:t>sub-transmission</w:t>
      </w:r>
      <w:r w:rsidRPr="00E12C1B" w:rsidR="00085A64">
        <w:t xml:space="preserve"> line outage.</w:t>
      </w:r>
      <w:r w:rsidRPr="005D483B" w:rsidR="00085A64">
        <w:rPr>
          <w:rStyle w:val="FootnoteReference"/>
          <w:sz w:val="22"/>
        </w:rPr>
        <w:footnoteReference w:id="103"/>
      </w:r>
      <w:r w:rsidRPr="005D483B" w:rsidR="00F14299">
        <w:rPr>
          <w:sz w:val="22"/>
        </w:rPr>
        <w:t xml:space="preserve"> </w:t>
      </w:r>
      <w:r w:rsidRPr="00E12C1B" w:rsidR="00F14299">
        <w:t xml:space="preserve"> For example, if there is a substation outage at Valley South, power has only one single point of interface with the transmission system at the Valley Substation and power</w:t>
      </w:r>
      <w:r w:rsidRPr="00E12C1B" w:rsidR="00336CD2">
        <w:t xml:space="preserve"> </w:t>
      </w:r>
      <w:r w:rsidRPr="00E12C1B" w:rsidR="00FE09CD">
        <w:t xml:space="preserve">cannot </w:t>
      </w:r>
      <w:r w:rsidRPr="00E12C1B" w:rsidR="00336CD2">
        <w:t>be imported to the Valley South System from other systems via tie-lines.</w:t>
      </w:r>
      <w:r w:rsidRPr="00E12C1B" w:rsidR="00207CFD">
        <w:t xml:space="preserve"> </w:t>
      </w:r>
      <w:r w:rsidRPr="00E12C1B" w:rsidR="00336CD2">
        <w:t xml:space="preserve"> </w:t>
      </w:r>
      <w:r w:rsidRPr="00E12C1B" w:rsidR="00205527">
        <w:t>Tie</w:t>
      </w:r>
      <w:r w:rsidRPr="00E12C1B" w:rsidR="00CB42D8">
        <w:noBreakHyphen/>
      </w:r>
      <w:r w:rsidRPr="00E12C1B" w:rsidR="00205527">
        <w:t>lines to adjacent radial systems allow for the transfer of customer demand from a system that is experiencing disturbances to an adjacent system to relieve the burden on the affected system so the affected system can be repaired.</w:t>
      </w:r>
      <w:r w:rsidRPr="005D483B" w:rsidR="00205527">
        <w:rPr>
          <w:rStyle w:val="FootnoteReference"/>
          <w:sz w:val="22"/>
        </w:rPr>
        <w:footnoteReference w:id="104"/>
      </w:r>
      <w:r w:rsidR="00F121CA">
        <w:t xml:space="preserve">  </w:t>
      </w:r>
      <w:r w:rsidRPr="00E12C1B" w:rsidR="001D3BC3">
        <w:t xml:space="preserve">The Valley South System is the only one of SCE’s 56 electrical systems without </w:t>
      </w:r>
      <w:r w:rsidRPr="00E12C1B" w:rsidR="001D3BC3">
        <w:lastRenderedPageBreak/>
        <w:t xml:space="preserve">system tie-lines to another 115 kV </w:t>
      </w:r>
      <w:r w:rsidRPr="00E12C1B" w:rsidR="0047207B">
        <w:t>sub</w:t>
      </w:r>
      <w:r w:rsidRPr="00E12C1B" w:rsidR="001804C5">
        <w:noBreakHyphen/>
      </w:r>
      <w:r w:rsidRPr="00E12C1B" w:rsidR="0047207B">
        <w:t>transmission</w:t>
      </w:r>
      <w:r w:rsidRPr="00E12C1B" w:rsidR="001D3BC3">
        <w:t xml:space="preserve"> system.</w:t>
      </w:r>
      <w:r w:rsidRPr="005D483B" w:rsidR="001D3BC3">
        <w:rPr>
          <w:rStyle w:val="FootnoteReference"/>
          <w:sz w:val="22"/>
        </w:rPr>
        <w:footnoteReference w:id="105"/>
      </w:r>
      <w:r w:rsidR="0025558E">
        <w:t xml:space="preserve">  The Valley South System is not only a radial system, but it is an </w:t>
      </w:r>
      <w:r w:rsidR="008808D7">
        <w:t>“</w:t>
      </w:r>
      <w:r w:rsidR="0025558E">
        <w:t>islanded</w:t>
      </w:r>
      <w:r w:rsidR="008808D7">
        <w:t>”</w:t>
      </w:r>
      <w:r w:rsidR="0025558E">
        <w:t xml:space="preserve"> radial system.</w:t>
      </w:r>
      <w:r w:rsidR="0025558E">
        <w:rPr>
          <w:rStyle w:val="FootnoteReference"/>
        </w:rPr>
        <w:footnoteReference w:id="106"/>
      </w:r>
      <w:r w:rsidRPr="00E12C1B" w:rsidR="001D3BC3">
        <w:t xml:space="preserve">  </w:t>
      </w:r>
    </w:p>
    <w:p w:rsidRPr="00E12C1B" w:rsidR="00F43DDB" w:rsidP="00DE311B" w:rsidRDefault="001D3BC3" w14:paraId="79BCE345" w14:textId="77777777">
      <w:pPr>
        <w:pStyle w:val="Standard"/>
      </w:pPr>
      <w:r w:rsidRPr="00E12C1B">
        <w:t xml:space="preserve">Lastly, the Valley Substation is different from others due to the size of its transformers.  </w:t>
      </w:r>
      <w:r w:rsidRPr="00E12C1B" w:rsidR="00EA4BD7">
        <w:t>In SCE’s territory, there</w:t>
      </w:r>
      <w:r w:rsidRPr="00E12C1B" w:rsidR="00281058">
        <w:t xml:space="preserve"> </w:t>
      </w:r>
      <w:r w:rsidRPr="00E12C1B" w:rsidR="00EA4BD7">
        <w:t xml:space="preserve">is </w:t>
      </w:r>
      <w:r w:rsidRPr="00E12C1B" w:rsidR="00281058">
        <w:t xml:space="preserve">a total of 56 distinct </w:t>
      </w:r>
      <w:r w:rsidRPr="00E12C1B" w:rsidR="0047207B">
        <w:t>sub</w:t>
      </w:r>
      <w:r w:rsidRPr="00E12C1B" w:rsidR="001804C5">
        <w:noBreakHyphen/>
      </w:r>
      <w:r w:rsidRPr="00E12C1B" w:rsidR="0047207B">
        <w:t>transmission</w:t>
      </w:r>
      <w:r w:rsidRPr="00E12C1B" w:rsidR="00281058">
        <w:t xml:space="preserve"> electrical systems </w:t>
      </w:r>
      <w:r w:rsidRPr="00E12C1B" w:rsidR="00EA4BD7">
        <w:t>served from its 43 A-bank substations.</w:t>
      </w:r>
      <w:r w:rsidRPr="005D483B" w:rsidR="00EA4BD7">
        <w:rPr>
          <w:rStyle w:val="FootnoteReference"/>
          <w:sz w:val="22"/>
        </w:rPr>
        <w:footnoteReference w:id="107"/>
      </w:r>
      <w:r w:rsidRPr="00E12C1B" w:rsidR="00EA4BD7">
        <w:t xml:space="preserve">  The Valley Substation is an A-bank substation.</w:t>
      </w:r>
      <w:r w:rsidRPr="005D483B" w:rsidR="00EE39CF">
        <w:rPr>
          <w:rStyle w:val="FootnoteReference"/>
          <w:sz w:val="22"/>
        </w:rPr>
        <w:footnoteReference w:id="108"/>
      </w:r>
      <w:r w:rsidRPr="00E12C1B" w:rsidR="00EA4BD7">
        <w:t xml:space="preserve">  </w:t>
      </w:r>
      <w:r w:rsidR="009F4318">
        <w:t>Forty-two</w:t>
      </w:r>
      <w:r w:rsidRPr="00E12C1B" w:rsidR="00D41B10">
        <w:t xml:space="preserve"> of the A-bank substations use four 280</w:t>
      </w:r>
      <w:r w:rsidRPr="00E12C1B" w:rsidR="001804C5">
        <w:t> </w:t>
      </w:r>
      <w:r w:rsidRPr="00E12C1B" w:rsidR="00D41B10">
        <w:t>MVA transformers.</w:t>
      </w:r>
      <w:r w:rsidRPr="005D483B" w:rsidR="00EE39CF">
        <w:rPr>
          <w:rStyle w:val="FootnoteReference"/>
          <w:sz w:val="22"/>
        </w:rPr>
        <w:footnoteReference w:id="109"/>
      </w:r>
      <w:r w:rsidRPr="00E12C1B" w:rsidR="00D41B10">
        <w:t xml:space="preserve">  Valley Substation is the only A-bank substation that </w:t>
      </w:r>
      <w:r w:rsidRPr="00E12C1B" w:rsidR="00EE39CF">
        <w:t>has transformers rated at 560 MVA, twice the capacity of the typical transformers used at all of the other A-bank substations.  The 560 MVA transformers at Valley Station differ from the typical 280 MVA transformers in procurement time, cost, logistics, and storage</w:t>
      </w:r>
      <w:r w:rsidRPr="00E12C1B" w:rsidR="00F43DDB">
        <w:t>.</w:t>
      </w:r>
      <w:r w:rsidRPr="005D483B" w:rsidR="00EE39CF">
        <w:rPr>
          <w:rStyle w:val="FootnoteReference"/>
          <w:sz w:val="22"/>
        </w:rPr>
        <w:footnoteReference w:id="110"/>
      </w:r>
      <w:r w:rsidR="00DE311B">
        <w:t xml:space="preserve">  </w:t>
      </w:r>
      <w:r w:rsidRPr="00E12C1B" w:rsidR="00F43DDB">
        <w:t xml:space="preserve">Based on the characteristics above presented by SCE, the Commission finds that the Valley South System is uniquely susceptible to reliability risks.  </w:t>
      </w:r>
    </w:p>
    <w:p w:rsidRPr="00E12C1B" w:rsidR="009D31F7" w:rsidP="00883DC4" w:rsidRDefault="00554B4F" w14:paraId="5E67D4B6" w14:textId="77777777">
      <w:pPr>
        <w:pStyle w:val="Heading3"/>
      </w:pPr>
      <w:bookmarkStart w:name="_Toc225410169" w:id="69"/>
      <w:r w:rsidRPr="00E12C1B">
        <w:t xml:space="preserve">Reliability </w:t>
      </w:r>
      <w:r w:rsidR="00B82E4A">
        <w:t>at Valley South System is Not Comparable</w:t>
      </w:r>
      <w:bookmarkEnd w:id="69"/>
    </w:p>
    <w:p w:rsidR="00B82E4A" w:rsidP="00B82E4A" w:rsidRDefault="00EA1A88" w14:paraId="505833B1" w14:textId="77777777">
      <w:pPr>
        <w:pStyle w:val="Standard"/>
        <w:ind w:firstLine="432"/>
      </w:pPr>
      <w:r w:rsidRPr="00E12C1B">
        <w:t xml:space="preserve">TURN argues </w:t>
      </w:r>
      <w:r w:rsidRPr="00E12C1B" w:rsidR="00464319">
        <w:t xml:space="preserve">that the </w:t>
      </w:r>
      <w:r w:rsidRPr="00E12C1B">
        <w:t>reliability at the Valley South System is comparable to other SCE service areas</w:t>
      </w:r>
      <w:r w:rsidR="00B82E4A">
        <w:t xml:space="preserve">.  </w:t>
      </w:r>
      <w:r w:rsidR="00B47C17">
        <w:t xml:space="preserve">TURN states that </w:t>
      </w:r>
      <w:r w:rsidRPr="00E12C1B" w:rsidR="00B47C17">
        <w:t xml:space="preserve">Valley South System has better or at </w:t>
      </w:r>
      <w:r w:rsidRPr="00E12C1B" w:rsidR="00B47C17">
        <w:lastRenderedPageBreak/>
        <w:t>least comparable reliability performance to that of SCE’s system as a whole.</w:t>
      </w:r>
      <w:r w:rsidRPr="00DE110D" w:rsidR="00B47C17">
        <w:rPr>
          <w:rStyle w:val="FootnoteReference"/>
          <w:sz w:val="22"/>
        </w:rPr>
        <w:footnoteReference w:id="111"/>
      </w:r>
      <w:r w:rsidRPr="00B47C17" w:rsidR="00B47C17">
        <w:t xml:space="preserve"> </w:t>
      </w:r>
      <w:r w:rsidR="00B47C17">
        <w:t xml:space="preserve">The Commission disagrees.  The Commission already explained above how the Valley South System is unique in that it is close to its maximum operating limits and has no </w:t>
      </w:r>
      <w:r w:rsidR="006669A7">
        <w:t>tie-lines</w:t>
      </w:r>
      <w:r w:rsidR="00B47C17">
        <w:t xml:space="preserve"> to other</w:t>
      </w:r>
      <w:r w:rsidR="006669A7">
        <w:t xml:space="preserve"> adjacent</w:t>
      </w:r>
      <w:r w:rsidR="00B47C17">
        <w:t xml:space="preserve"> systems</w:t>
      </w:r>
      <w:r w:rsidR="006669A7">
        <w:t>.</w:t>
      </w:r>
      <w:r w:rsidR="00B47C17">
        <w:t xml:space="preserve"> </w:t>
      </w:r>
    </w:p>
    <w:p w:rsidR="00464319" w:rsidP="00B82E4A" w:rsidRDefault="00B47C17" w14:paraId="62C3E484" w14:textId="77777777">
      <w:pPr>
        <w:pStyle w:val="Standard"/>
        <w:ind w:firstLine="432"/>
      </w:pPr>
      <w:r>
        <w:t xml:space="preserve">Next, </w:t>
      </w:r>
      <w:r w:rsidRPr="00E12C1B" w:rsidR="00464319">
        <w:t xml:space="preserve">TURN reviewed SCE’s </w:t>
      </w:r>
      <w:r w:rsidRPr="00E12C1B" w:rsidR="00B668A8">
        <w:t>analysis of past outages by root case for Valley South System as compared to SCE system average and other sub</w:t>
      </w:r>
      <w:r w:rsidRPr="00E12C1B" w:rsidR="001804C5">
        <w:noBreakHyphen/>
      </w:r>
      <w:r w:rsidRPr="00E12C1B" w:rsidR="00B668A8">
        <w:t>transmission radial systems.  TURN</w:t>
      </w:r>
      <w:r w:rsidRPr="00E12C1B" w:rsidR="00531455">
        <w:t xml:space="preserve"> states most of the services interruptions occurred in the distribution system and that between 2014 and 2018 only eight of the 2,311 service interruption events were caused by transmission.</w:t>
      </w:r>
      <w:r w:rsidRPr="005D483B" w:rsidR="00EF159F">
        <w:rPr>
          <w:rStyle w:val="FootnoteReference"/>
          <w:sz w:val="22"/>
        </w:rPr>
        <w:footnoteReference w:id="112"/>
      </w:r>
      <w:r w:rsidRPr="005D483B" w:rsidR="00531455">
        <w:rPr>
          <w:sz w:val="22"/>
        </w:rPr>
        <w:t xml:space="preserve"> </w:t>
      </w:r>
      <w:r w:rsidRPr="00E12C1B" w:rsidR="00531455">
        <w:t xml:space="preserve"> TURN concludes that transmission improvements of the Alberhill project are unnecessary because the transmission level-related customer outages in the Valley South System are minimal.</w:t>
      </w:r>
      <w:r w:rsidRPr="00E12C1B" w:rsidR="000D12EC">
        <w:t xml:space="preserve">   </w:t>
      </w:r>
    </w:p>
    <w:p w:rsidR="00995BCE" w:rsidP="009223F6" w:rsidRDefault="00B82E4A" w14:paraId="10228648" w14:textId="77777777">
      <w:pPr>
        <w:pStyle w:val="Standard"/>
      </w:pPr>
      <w:r>
        <w:t>The Commission rejects TURN’s argument</w:t>
      </w:r>
      <w:r w:rsidR="00B47C17">
        <w:t>s that the Valley South System is comparable to other systems in SCE’s territory</w:t>
      </w:r>
      <w:r>
        <w:t xml:space="preserve">.  The Commission agrees with </w:t>
      </w:r>
      <w:r w:rsidRPr="00E12C1B">
        <w:t>SCE</w:t>
      </w:r>
      <w:r>
        <w:t>’s statement</w:t>
      </w:r>
      <w:r w:rsidR="00995BCE">
        <w:t>:</w:t>
      </w:r>
      <w:r>
        <w:t xml:space="preserve"> </w:t>
      </w:r>
    </w:p>
    <w:p w:rsidR="00995BCE" w:rsidP="00995BCE" w:rsidRDefault="00995BCE" w14:paraId="178621F8" w14:textId="77777777">
      <w:pPr>
        <w:pStyle w:val="Standard"/>
        <w:spacing w:line="240" w:lineRule="auto"/>
        <w:ind w:left="432" w:firstLine="0"/>
      </w:pPr>
      <w:r>
        <w:t xml:space="preserve">The </w:t>
      </w:r>
      <w:r w:rsidRPr="00E12C1B" w:rsidR="00B82E4A">
        <w:t xml:space="preserve">need for the Alberhill project </w:t>
      </w:r>
      <w:r>
        <w:t xml:space="preserve">is </w:t>
      </w:r>
      <w:r w:rsidRPr="00E12C1B" w:rsidR="00B82E4A">
        <w:t>not based on existing reliability problems in the Valley South System, but rather a comprehensive need to increase system operational flexibility and maintain system reliability by creating system tie-lines that provide the ability to transfer substation load from the current Valley South System.</w:t>
      </w:r>
      <w:r w:rsidRPr="00DE110D" w:rsidR="00B82E4A">
        <w:rPr>
          <w:rStyle w:val="FootnoteReference"/>
          <w:sz w:val="22"/>
        </w:rPr>
        <w:footnoteReference w:id="113"/>
      </w:r>
      <w:r w:rsidR="00B82E4A">
        <w:t xml:space="preserve">  </w:t>
      </w:r>
    </w:p>
    <w:p w:rsidR="00995BCE" w:rsidP="00CD2DF8" w:rsidRDefault="00995BCE" w14:paraId="0FD1E836" w14:textId="77777777">
      <w:pPr>
        <w:pStyle w:val="Standard"/>
        <w:spacing w:line="240" w:lineRule="auto"/>
        <w:ind w:left="432" w:firstLine="0"/>
      </w:pPr>
    </w:p>
    <w:p w:rsidRPr="00E12C1B" w:rsidR="00B82E4A" w:rsidP="00CD2DF8" w:rsidRDefault="009223F6" w14:paraId="02C60D2D" w14:textId="77777777">
      <w:pPr>
        <w:pStyle w:val="Standard"/>
        <w:ind w:firstLine="0"/>
      </w:pPr>
      <w:r w:rsidRPr="00E12C1B">
        <w:t xml:space="preserve">SCE explains that even under normal conditions at Valley South SCE is forced to use the spare transformer to meet load because there are no tie-lines.  This means reliability is degraded when there is insufficient capacity to meet demand in the </w:t>
      </w:r>
      <w:r w:rsidRPr="00E12C1B">
        <w:lastRenderedPageBreak/>
        <w:t>first place.</w:t>
      </w:r>
      <w:r w:rsidRPr="00DE110D">
        <w:rPr>
          <w:rStyle w:val="FootnoteReference"/>
          <w:sz w:val="22"/>
        </w:rPr>
        <w:footnoteReference w:id="114"/>
      </w:r>
      <w:r w:rsidRPr="00DE110D">
        <w:rPr>
          <w:sz w:val="22"/>
        </w:rPr>
        <w:t xml:space="preserve"> </w:t>
      </w:r>
      <w:r w:rsidRPr="00E12C1B">
        <w:t xml:space="preserve"> </w:t>
      </w:r>
      <w:r w:rsidR="005729E9">
        <w:t>Reliability is related to capacity.</w:t>
      </w:r>
      <w:r>
        <w:t xml:space="preserve">  C</w:t>
      </w:r>
      <w:r w:rsidRPr="00E12C1B">
        <w:t>urrently the spare transformer is the only option to serve load, stand in during maintenance, during emergency events and any other operational issues.  The spare transformer is not enough to perform a variety of important activities without redundancy</w:t>
      </w:r>
      <w:r w:rsidR="00225218">
        <w:t xml:space="preserve">.  This means, as a result, customers are at increased </w:t>
      </w:r>
      <w:r w:rsidR="00B47C17">
        <w:t>risk</w:t>
      </w:r>
      <w:r>
        <w:t xml:space="preserve"> of rolling blackouts</w:t>
      </w:r>
      <w:r w:rsidRPr="00E12C1B">
        <w:t>.</w:t>
      </w:r>
      <w:r w:rsidR="00865E1D">
        <w:t xml:space="preserve">  </w:t>
      </w:r>
      <w:r w:rsidRPr="00E12C1B" w:rsidR="00865E1D">
        <w:t>As the on</w:t>
      </w:r>
      <w:r w:rsidR="00865E1D">
        <w:t xml:space="preserve">ly </w:t>
      </w:r>
      <w:r w:rsidRPr="00E12C1B" w:rsidR="00865E1D">
        <w:t>one of SCE’s 56 electrical area</w:t>
      </w:r>
      <w:r w:rsidR="00865E1D">
        <w:t xml:space="preserve">s </w:t>
      </w:r>
      <w:r w:rsidRPr="00E12C1B" w:rsidR="00865E1D">
        <w:t>without tie lines</w:t>
      </w:r>
      <w:r w:rsidR="00865E1D">
        <w:t xml:space="preserve"> to another</w:t>
      </w:r>
      <w:r w:rsidR="006669A7">
        <w:t xml:space="preserve"> adjacent system</w:t>
      </w:r>
      <w:r w:rsidR="00865E1D">
        <w:t>,</w:t>
      </w:r>
      <w:r w:rsidRPr="00E12C1B" w:rsidR="00865E1D">
        <w:t xml:space="preserve"> and at capacity, the Valley South System has fallen behind the rest of SCE’s service territory.</w:t>
      </w:r>
    </w:p>
    <w:p w:rsidR="005729E9" w:rsidP="00883DC4" w:rsidRDefault="005729E9" w14:paraId="02F43B9D" w14:textId="77777777">
      <w:pPr>
        <w:pStyle w:val="Heading3"/>
      </w:pPr>
      <w:bookmarkStart w:name="_Toc225410170" w:id="70"/>
      <w:r>
        <w:t xml:space="preserve">Reliability </w:t>
      </w:r>
      <w:r w:rsidR="000E3FA7">
        <w:t>Benefits</w:t>
      </w:r>
      <w:r>
        <w:t xml:space="preserve"> from Alberhill</w:t>
      </w:r>
      <w:bookmarkEnd w:id="70"/>
    </w:p>
    <w:p w:rsidR="00087106" w:rsidP="00D7623D" w:rsidRDefault="00BB3377" w14:paraId="6E9F955B" w14:textId="77777777">
      <w:pPr>
        <w:pStyle w:val="Standard"/>
      </w:pPr>
      <w:r w:rsidRPr="00E12C1B">
        <w:t xml:space="preserve">TURN argues SCE’s </w:t>
      </w:r>
      <w:r w:rsidR="00D7623D">
        <w:t>reliability analysis exaggerates the benefits of Alberhill project</w:t>
      </w:r>
      <w:r w:rsidRPr="00E12C1B" w:rsidR="00F61292">
        <w:t>.</w:t>
      </w:r>
      <w:r w:rsidRPr="00DE110D" w:rsidR="00860C97">
        <w:rPr>
          <w:rStyle w:val="FootnoteReference"/>
          <w:sz w:val="22"/>
        </w:rPr>
        <w:footnoteReference w:id="115"/>
      </w:r>
      <w:r w:rsidRPr="00DE110D" w:rsidR="00F65C70">
        <w:rPr>
          <w:sz w:val="22"/>
        </w:rPr>
        <w:t xml:space="preserve"> </w:t>
      </w:r>
      <w:r w:rsidRPr="00E12C1B" w:rsidR="00F65C70">
        <w:t xml:space="preserve"> </w:t>
      </w:r>
      <w:r w:rsidR="00D7623D">
        <w:t xml:space="preserve">TURN disagrees with SCE’s choice of metrics.  </w:t>
      </w:r>
      <w:r w:rsidRPr="00E12C1B" w:rsidR="00D44576">
        <w:t xml:space="preserve">TURN argues SCE should have included in its revised reliability forecast two metrics SCE </w:t>
      </w:r>
      <w:r w:rsidRPr="00E12C1B" w:rsidR="00A05D64">
        <w:t>initially</w:t>
      </w:r>
      <w:r w:rsidRPr="00E12C1B" w:rsidR="00D44576">
        <w:t xml:space="preserve"> used and calcula</w:t>
      </w:r>
      <w:r w:rsidRPr="00E12C1B" w:rsidR="00A05D64">
        <w:t>ted</w:t>
      </w:r>
      <w:r w:rsidRPr="00E12C1B" w:rsidR="00D44576">
        <w:t xml:space="preserve">: </w:t>
      </w:r>
      <w:r w:rsidR="000D57C0">
        <w:t xml:space="preserve"> </w:t>
      </w:r>
      <w:r w:rsidRPr="00E12C1B" w:rsidR="00D44576">
        <w:t>System Average Interruption Duration Index (SAIDI) and System Average Interruption Frequency Index (SAIFI) metrics when it revised the reliability forecast.</w:t>
      </w:r>
      <w:r w:rsidRPr="00DE110D" w:rsidR="004B4342">
        <w:rPr>
          <w:rStyle w:val="FootnoteReference"/>
          <w:sz w:val="22"/>
        </w:rPr>
        <w:footnoteReference w:id="116"/>
      </w:r>
      <w:r w:rsidR="00D7623D">
        <w:t xml:space="preserve">  </w:t>
      </w:r>
    </w:p>
    <w:p w:rsidRPr="00E12C1B" w:rsidR="00A05D64" w:rsidP="00D7623D" w:rsidRDefault="006E4745" w14:paraId="7B31B20C" w14:textId="77777777">
      <w:pPr>
        <w:pStyle w:val="Standard"/>
      </w:pPr>
      <w:r w:rsidRPr="00E12C1B">
        <w:t xml:space="preserve">TURN </w:t>
      </w:r>
      <w:r w:rsidR="00087106">
        <w:t xml:space="preserve">also </w:t>
      </w:r>
      <w:r w:rsidRPr="00E12C1B">
        <w:t xml:space="preserve">reviewed SCE’s </w:t>
      </w:r>
      <w:r w:rsidRPr="00E12C1B" w:rsidR="00D44576">
        <w:t xml:space="preserve">revised reliability forecast, including the </w:t>
      </w:r>
      <w:r w:rsidRPr="00E12C1B">
        <w:t>calculated Load at Risk (LAR)</w:t>
      </w:r>
      <w:r w:rsidRPr="00E12C1B" w:rsidR="00A05D64">
        <w:t>.  LAR is</w:t>
      </w:r>
      <w:r w:rsidRPr="00E12C1B">
        <w:t xml:space="preserve"> defined as</w:t>
      </w:r>
      <w:r w:rsidR="00312261">
        <w:t xml:space="preserve"> the </w:t>
      </w:r>
      <w:r w:rsidR="003624C5">
        <w:t>cumulative</w:t>
      </w:r>
      <w:r w:rsidR="00312261">
        <w:t xml:space="preserve"> load required to be curtailed </w:t>
      </w:r>
      <w:r w:rsidR="003624C5">
        <w:t xml:space="preserve">when </w:t>
      </w:r>
      <w:proofErr w:type="spellStart"/>
      <w:r w:rsidR="003624C5">
        <w:t>sub</w:t>
      </w:r>
      <w:r w:rsidR="001B288D">
        <w:t>trans</w:t>
      </w:r>
      <w:r w:rsidR="003624C5">
        <w:t>mission</w:t>
      </w:r>
      <w:proofErr w:type="spellEnd"/>
      <w:r w:rsidR="003624C5">
        <w:t xml:space="preserve"> operating criteria were not met, multiplied by the number of hours of violation, quantified in megawatt-hours.</w:t>
      </w:r>
      <w:r w:rsidR="003624C5">
        <w:rPr>
          <w:rStyle w:val="FootnoteReference"/>
        </w:rPr>
        <w:footnoteReference w:id="117"/>
      </w:r>
      <w:r w:rsidR="003624C5">
        <w:t xml:space="preserve">  SCE analyzed</w:t>
      </w:r>
      <w:r w:rsidRPr="00E12C1B">
        <w:t xml:space="preserve"> the </w:t>
      </w:r>
      <w:r w:rsidR="003624C5">
        <w:t>LAR</w:t>
      </w:r>
      <w:r w:rsidRPr="00E12C1B">
        <w:t xml:space="preserve"> for normal conditions (N-0)</w:t>
      </w:r>
      <w:r w:rsidRPr="00E12C1B" w:rsidR="00C1159B">
        <w:t xml:space="preserve"> of the electric power system</w:t>
      </w:r>
      <w:r w:rsidRPr="00E12C1B">
        <w:t xml:space="preserve"> and </w:t>
      </w:r>
      <w:r w:rsidRPr="00E12C1B" w:rsidR="00990C1F">
        <w:t>for conditions that involve</w:t>
      </w:r>
      <w:r w:rsidRPr="00E12C1B">
        <w:t xml:space="preserve"> a</w:t>
      </w:r>
      <w:r w:rsidRPr="00E12C1B" w:rsidR="00C1159B">
        <w:t>n</w:t>
      </w:r>
      <w:r w:rsidRPr="00E12C1B">
        <w:t xml:space="preserve"> </w:t>
      </w:r>
      <w:r w:rsidRPr="00E12C1B" w:rsidR="00990C1F">
        <w:t>outage</w:t>
      </w:r>
      <w:r w:rsidRPr="00E12C1B" w:rsidR="00C1159B">
        <w:t xml:space="preserve"> of a single component/element</w:t>
      </w:r>
      <w:r w:rsidRPr="00E12C1B">
        <w:t xml:space="preserve"> (N-1)</w:t>
      </w:r>
      <w:r w:rsidRPr="00E12C1B" w:rsidR="00C1159B">
        <w:t>,</w:t>
      </w:r>
      <w:r w:rsidRPr="00E12C1B" w:rsidR="00C52914">
        <w:t xml:space="preserve"> also </w:t>
      </w:r>
      <w:r w:rsidRPr="00E12C1B" w:rsidR="00C52914">
        <w:lastRenderedPageBreak/>
        <w:t>called single outage contingency.</w:t>
      </w:r>
      <w:r w:rsidRPr="00DE110D" w:rsidR="00C52914">
        <w:rPr>
          <w:rStyle w:val="FootnoteReference"/>
          <w:sz w:val="22"/>
        </w:rPr>
        <w:footnoteReference w:id="118"/>
      </w:r>
      <w:r w:rsidRPr="00DE110D" w:rsidR="00C52914">
        <w:rPr>
          <w:sz w:val="22"/>
        </w:rPr>
        <w:t xml:space="preserve"> </w:t>
      </w:r>
      <w:r w:rsidRPr="00E12C1B" w:rsidR="00C52914">
        <w:t xml:space="preserve"> For example, a transformer outage is a N-1 contingency</w:t>
      </w:r>
      <w:r w:rsidRPr="00E12C1B">
        <w:t xml:space="preserve">. </w:t>
      </w:r>
      <w:r w:rsidRPr="00E12C1B" w:rsidR="00C1159B">
        <w:t xml:space="preserve"> </w:t>
      </w:r>
      <w:r w:rsidRPr="00E12C1B" w:rsidR="005B5B40">
        <w:t xml:space="preserve">TURN finds SCE’s forecast regarding potential amount of unserved load in </w:t>
      </w:r>
      <w:r w:rsidR="0003458F">
        <w:t>excessive in</w:t>
      </w:r>
      <w:r w:rsidR="003624C5">
        <w:t xml:space="preserve"> </w:t>
      </w:r>
      <w:r w:rsidRPr="00E12C1B" w:rsidR="005B5B40">
        <w:t>MWh as</w:t>
      </w:r>
      <w:r w:rsidRPr="00E12C1B" w:rsidR="00496104">
        <w:t xml:space="preserve"> compared to</w:t>
      </w:r>
      <w:r w:rsidRPr="00E12C1B" w:rsidR="005B5B40">
        <w:t xml:space="preserve"> estimate</w:t>
      </w:r>
      <w:r w:rsidRPr="00E12C1B" w:rsidR="00496104">
        <w:t xml:space="preserve">s </w:t>
      </w:r>
      <w:r w:rsidRPr="00E12C1B" w:rsidR="005B5B40">
        <w:t>by TURN.</w:t>
      </w:r>
      <w:r w:rsidRPr="00DE110D" w:rsidR="005B5B40">
        <w:rPr>
          <w:rStyle w:val="FootnoteReference"/>
          <w:sz w:val="22"/>
        </w:rPr>
        <w:footnoteReference w:id="119"/>
      </w:r>
      <w:r w:rsidRPr="00DE110D" w:rsidR="00516802">
        <w:rPr>
          <w:sz w:val="22"/>
        </w:rPr>
        <w:t xml:space="preserve"> </w:t>
      </w:r>
      <w:r w:rsidRPr="00E12C1B" w:rsidR="00516802">
        <w:t xml:space="preserve"> </w:t>
      </w:r>
      <w:r w:rsidRPr="00E12C1B" w:rsidR="007C5BFB">
        <w:t>TURN’s forecast of the amount of unavailable power to serve customers involving the outage of one transformer (N-1) was only 3.2 M</w:t>
      </w:r>
      <w:r w:rsidRPr="00E12C1B" w:rsidR="005B7360">
        <w:t>W</w:t>
      </w:r>
      <w:r w:rsidRPr="00E12C1B" w:rsidR="007C5BFB">
        <w:t>h compared to SCE’s estimate of 21,373 MWh.</w:t>
      </w:r>
      <w:r w:rsidRPr="00DE110D" w:rsidR="007C5BFB">
        <w:rPr>
          <w:rStyle w:val="FootnoteReference"/>
          <w:sz w:val="22"/>
        </w:rPr>
        <w:footnoteReference w:id="120"/>
      </w:r>
      <w:r w:rsidRPr="00E12C1B" w:rsidR="008253FA">
        <w:t xml:space="preserve">  </w:t>
      </w:r>
      <w:r w:rsidRPr="00E12C1B" w:rsidR="007B7CEC">
        <w:t>TURN</w:t>
      </w:r>
      <w:r w:rsidRPr="00E12C1B" w:rsidR="000C24D9">
        <w:t xml:space="preserve">’s </w:t>
      </w:r>
      <w:r w:rsidRPr="00E12C1B" w:rsidR="008253FA">
        <w:t>calculations</w:t>
      </w:r>
      <w:r w:rsidRPr="00E12C1B" w:rsidR="000C24D9">
        <w:t xml:space="preserve"> include the spare transformer</w:t>
      </w:r>
      <w:r w:rsidRPr="00E12C1B" w:rsidR="00295E90">
        <w:t xml:space="preserve"> as part of the normal conditions. </w:t>
      </w:r>
      <w:r w:rsidR="00DE110D">
        <w:t xml:space="preserve"> </w:t>
      </w:r>
      <w:r w:rsidRPr="00E12C1B" w:rsidR="00295E90">
        <w:t xml:space="preserve">TURN argues that SCE </w:t>
      </w:r>
      <w:r w:rsidRPr="00E12C1B" w:rsidR="00692E66">
        <w:t xml:space="preserve">creates an artificial capacity shortfall and </w:t>
      </w:r>
      <w:r w:rsidRPr="00E12C1B" w:rsidR="00295E90">
        <w:t>distorts the reliability forecast because SCE assumes</w:t>
      </w:r>
      <w:r w:rsidRPr="00E12C1B" w:rsidR="000C24D9">
        <w:t xml:space="preserve"> that the spare transforme</w:t>
      </w:r>
      <w:r w:rsidRPr="00E12C1B" w:rsidR="00295E90">
        <w:t xml:space="preserve">r is unavailable </w:t>
      </w:r>
      <w:r w:rsidRPr="00E12C1B" w:rsidR="00FE711D">
        <w:t>in</w:t>
      </w:r>
      <w:r w:rsidRPr="00E12C1B" w:rsidR="00295E90">
        <w:t xml:space="preserve"> normal conditions</w:t>
      </w:r>
      <w:r w:rsidR="000D57C0">
        <w:t xml:space="preserve"> </w:t>
      </w:r>
      <w:r w:rsidRPr="00E12C1B" w:rsidR="00FE711D">
        <w:t>(N</w:t>
      </w:r>
      <w:r w:rsidRPr="00E12C1B" w:rsidR="00DF4F6A">
        <w:noBreakHyphen/>
      </w:r>
      <w:r w:rsidRPr="00E12C1B" w:rsidR="00FE711D">
        <w:t>0)</w:t>
      </w:r>
      <w:r w:rsidRPr="00E12C1B" w:rsidR="00295E90">
        <w:t>.</w:t>
      </w:r>
      <w:r w:rsidRPr="00DE110D" w:rsidR="00295E90">
        <w:rPr>
          <w:rStyle w:val="FootnoteReference"/>
          <w:sz w:val="22"/>
        </w:rPr>
        <w:footnoteReference w:id="121"/>
      </w:r>
    </w:p>
    <w:p w:rsidR="009223F6" w:rsidP="009223F6" w:rsidRDefault="002C3E53" w14:paraId="3C886195" w14:textId="77777777">
      <w:pPr>
        <w:pStyle w:val="Standard"/>
        <w:ind w:firstLine="0"/>
      </w:pPr>
      <w:r>
        <w:tab/>
      </w:r>
      <w:r w:rsidR="00B82E4A">
        <w:t>The Commission rejects TURN’s arguments</w:t>
      </w:r>
      <w:r w:rsidR="00D7623D">
        <w:t xml:space="preserve"> for </w:t>
      </w:r>
      <w:r w:rsidR="00865E1D">
        <w:t xml:space="preserve">two </w:t>
      </w:r>
      <w:r w:rsidR="00D7623D">
        <w:t xml:space="preserve">reasons.  </w:t>
      </w:r>
      <w:r w:rsidR="00087106">
        <w:t>First</w:t>
      </w:r>
      <w:r w:rsidRPr="00E12C1B" w:rsidR="00D7623D">
        <w:t>, the Commission again</w:t>
      </w:r>
      <w:r w:rsidR="00D7623D">
        <w:t xml:space="preserve"> finds</w:t>
      </w:r>
      <w:r w:rsidRPr="00E12C1B" w:rsidR="00D7623D">
        <w:t xml:space="preserve"> that the fifth</w:t>
      </w:r>
      <w:r w:rsidR="00D7623D">
        <w:t xml:space="preserve"> spare</w:t>
      </w:r>
      <w:r w:rsidRPr="00E12C1B" w:rsidR="00D7623D">
        <w:t xml:space="preserve"> transformer should </w:t>
      </w:r>
      <w:r w:rsidR="00D7623D">
        <w:t xml:space="preserve">not </w:t>
      </w:r>
      <w:r w:rsidRPr="00E12C1B" w:rsidR="00D7623D">
        <w:t xml:space="preserve">be included </w:t>
      </w:r>
      <w:r w:rsidR="00D7623D">
        <w:t xml:space="preserve">as “status quo” or as part normal operations at the Valley South System.  </w:t>
      </w:r>
      <w:r w:rsidR="009223F6">
        <w:t xml:space="preserve">The Commission does not find </w:t>
      </w:r>
      <w:r w:rsidR="00CB16D2">
        <w:t>TURN’s</w:t>
      </w:r>
      <w:r w:rsidR="009223F6">
        <w:t xml:space="preserve"> calculations </w:t>
      </w:r>
      <w:r w:rsidR="00865E1D">
        <w:t>persuasive</w:t>
      </w:r>
      <w:r w:rsidR="009223F6">
        <w:t xml:space="preserve"> because </w:t>
      </w:r>
      <w:r w:rsidR="00D7623D">
        <w:t>TURN inappropriately</w:t>
      </w:r>
      <w:r w:rsidR="009223F6">
        <w:t xml:space="preserve"> includes </w:t>
      </w:r>
      <w:r w:rsidR="00D7623D">
        <w:t xml:space="preserve">the fifth spare transformer as a permanent load </w:t>
      </w:r>
      <w:r w:rsidR="009223F6">
        <w:t>serving asset in its reliability analysis/calculations.</w:t>
      </w:r>
      <w:r w:rsidRPr="00DE110D" w:rsidR="00D7623D">
        <w:rPr>
          <w:rStyle w:val="FootnoteReference"/>
          <w:sz w:val="22"/>
        </w:rPr>
        <w:footnoteReference w:id="122"/>
      </w:r>
      <w:r w:rsidRPr="00E12C1B" w:rsidR="00D7623D">
        <w:t xml:space="preserve">  </w:t>
      </w:r>
      <w:r w:rsidR="00B82E4A">
        <w:t xml:space="preserve"> </w:t>
      </w:r>
    </w:p>
    <w:p w:rsidRPr="00E12C1B" w:rsidR="00865E1D" w:rsidP="00865E1D" w:rsidRDefault="009223F6" w14:paraId="57146845" w14:textId="77777777">
      <w:pPr>
        <w:pStyle w:val="Standard"/>
      </w:pPr>
      <w:r>
        <w:t xml:space="preserve">Second, the Commission finds </w:t>
      </w:r>
      <w:r w:rsidRPr="00E12C1B" w:rsidR="00865E1D">
        <w:t xml:space="preserve">SCE’s reliability forecast and calculations to be reasonable. </w:t>
      </w:r>
      <w:r w:rsidR="00147F8D">
        <w:t xml:space="preserve"> </w:t>
      </w:r>
      <w:r w:rsidRPr="00E12C1B" w:rsidR="008F0BBF">
        <w:t xml:space="preserve">SCE </w:t>
      </w:r>
      <w:r w:rsidR="004B78A5">
        <w:t>states</w:t>
      </w:r>
      <w:r w:rsidRPr="00E12C1B" w:rsidR="008F0BBF">
        <w:t xml:space="preserve"> SAIDI and SAIFI metrics are less informative for </w:t>
      </w:r>
      <w:r w:rsidRPr="00E12C1B" w:rsidR="008F0BBF">
        <w:lastRenderedPageBreak/>
        <w:t xml:space="preserve">planning at the </w:t>
      </w:r>
      <w:r w:rsidRPr="00E12C1B" w:rsidR="0047207B">
        <w:t>sub-transmission</w:t>
      </w:r>
      <w:r w:rsidRPr="00E12C1B" w:rsidR="008F0BBF">
        <w:t xml:space="preserve"> level.</w:t>
      </w:r>
      <w:r w:rsidRPr="00DE110D" w:rsidR="008F0BBF">
        <w:rPr>
          <w:rStyle w:val="FootnoteReference"/>
          <w:sz w:val="22"/>
        </w:rPr>
        <w:footnoteReference w:id="123"/>
      </w:r>
      <w:r w:rsidRPr="00E12C1B" w:rsidR="00052676">
        <w:t xml:space="preserve">  </w:t>
      </w:r>
      <w:r w:rsidRPr="00E12C1B" w:rsidR="00FC2A74">
        <w:t xml:space="preserve">SCE explains LAR metric is more appropriate as compared to SAIDI and SAIFI because the Alberhill project addresses transmission planning, not issues with distribution. </w:t>
      </w:r>
      <w:r w:rsidRPr="00E12C1B" w:rsidR="005F6A39">
        <w:t xml:space="preserve"> </w:t>
      </w:r>
      <w:r w:rsidRPr="00E12C1B" w:rsidR="00BA6CCB">
        <w:t xml:space="preserve">Energy Division Staff </w:t>
      </w:r>
      <w:r w:rsidR="00147F8D">
        <w:t xml:space="preserve">finds SCE’s calculations reasonable.  It </w:t>
      </w:r>
      <w:r w:rsidRPr="00E12C1B" w:rsidR="00CD626B">
        <w:t>reports</w:t>
      </w:r>
      <w:r w:rsidRPr="00E12C1B" w:rsidR="008B3895">
        <w:t xml:space="preserve"> that </w:t>
      </w:r>
      <w:r w:rsidRPr="00E12C1B" w:rsidR="00CD626B">
        <w:t>it</w:t>
      </w:r>
      <w:r w:rsidRPr="00E12C1B" w:rsidR="008B3895">
        <w:t xml:space="preserve"> </w:t>
      </w:r>
      <w:r w:rsidRPr="00E12C1B" w:rsidR="00BA6CCB">
        <w:t>explored LAR of normal conditions (all facilities in service) and contingency events separately.</w:t>
      </w:r>
      <w:r w:rsidRPr="00DE110D" w:rsidR="00692B70">
        <w:rPr>
          <w:rStyle w:val="FootnoteReference"/>
          <w:sz w:val="22"/>
        </w:rPr>
        <w:footnoteReference w:id="124"/>
      </w:r>
      <w:r w:rsidRPr="00E12C1B" w:rsidR="00577DA1">
        <w:t xml:space="preserve"> </w:t>
      </w:r>
      <w:r w:rsidRPr="00E12C1B" w:rsidR="00CD626B">
        <w:t xml:space="preserve"> </w:t>
      </w:r>
      <w:r w:rsidRPr="00E12C1B" w:rsidR="009E4215">
        <w:t xml:space="preserve">As indicated by TURN’s </w:t>
      </w:r>
      <w:r w:rsidR="00294B17">
        <w:t>calculation</w:t>
      </w:r>
      <w:r w:rsidRPr="00E12C1B" w:rsidR="009E4215">
        <w:t xml:space="preserve"> of MWh not served</w:t>
      </w:r>
      <w:r w:rsidR="00294B17">
        <w:t xml:space="preserve"> as compared to </w:t>
      </w:r>
      <w:r w:rsidRPr="00E12C1B" w:rsidR="009E4215">
        <w:t>SCE’s analysis, the results differ wildly depending on the reliability metric used.</w:t>
      </w:r>
      <w:r w:rsidRPr="00DE110D" w:rsidR="009E4215">
        <w:rPr>
          <w:sz w:val="22"/>
        </w:rPr>
        <w:t xml:space="preserve"> </w:t>
      </w:r>
      <w:r w:rsidRPr="00E12C1B" w:rsidR="009E4215">
        <w:t xml:space="preserve"> </w:t>
      </w:r>
      <w:r w:rsidRPr="00E12C1B" w:rsidR="00DD06D1">
        <w:t xml:space="preserve">Unsurprisingly, TURN’s calculations resulted in a lower MWh not served when including the spare as part of normal operations.  </w:t>
      </w:r>
    </w:p>
    <w:p w:rsidRPr="00E12C1B" w:rsidR="00E54485" w:rsidP="00865E1D" w:rsidRDefault="00E667A3" w14:paraId="44F1026C" w14:textId="77777777">
      <w:pPr>
        <w:pStyle w:val="Standard"/>
      </w:pPr>
      <w:r w:rsidRPr="00E12C1B">
        <w:t xml:space="preserve"> </w:t>
      </w:r>
      <w:r w:rsidRPr="00E12C1B" w:rsidR="00CD626B">
        <w:t xml:space="preserve">The Commission </w:t>
      </w:r>
      <w:r w:rsidRPr="00E12C1B" w:rsidR="00995E3F">
        <w:t>reject</w:t>
      </w:r>
      <w:r w:rsidRPr="00E12C1B" w:rsidR="00CD626B">
        <w:t>s</w:t>
      </w:r>
      <w:r w:rsidRPr="00E12C1B" w:rsidR="00995E3F">
        <w:t xml:space="preserve"> TURN’s argument that the improvement in reliability from the Alberhill project would be “small.” </w:t>
      </w:r>
      <w:r w:rsidRPr="00E12C1B" w:rsidR="002E0D29">
        <w:t xml:space="preserve"> </w:t>
      </w:r>
      <w:r w:rsidR="00E117D1">
        <w:t xml:space="preserve">As explained above, the need for Alberhill is not based on existing reliability problems, and the need to improve reliability.  Instead, </w:t>
      </w:r>
      <w:r w:rsidRPr="00E12C1B" w:rsidR="005F6A39">
        <w:t xml:space="preserve">SCE must prepare </w:t>
      </w:r>
      <w:r w:rsidR="00E117D1">
        <w:t>for</w:t>
      </w:r>
      <w:r w:rsidRPr="00E12C1B" w:rsidR="005F6A39">
        <w:t xml:space="preserve"> </w:t>
      </w:r>
      <w:r w:rsidRPr="00E12C1B">
        <w:t xml:space="preserve">impacts </w:t>
      </w:r>
      <w:r w:rsidRPr="00E12C1B" w:rsidR="005C7E45">
        <w:t>of unscheduled/unexpected contingencies that might impact</w:t>
      </w:r>
      <w:r w:rsidRPr="00E12C1B" w:rsidR="005F6A39">
        <w:t xml:space="preserve"> </w:t>
      </w:r>
      <w:r w:rsidRPr="00E12C1B">
        <w:t>a large number of customers.</w:t>
      </w:r>
      <w:r w:rsidRPr="00E12C1B" w:rsidR="007B39C7">
        <w:t xml:space="preserve">  </w:t>
      </w:r>
      <w:r w:rsidR="007752D1">
        <w:t>T</w:t>
      </w:r>
      <w:r w:rsidRPr="00E12C1B" w:rsidR="007B39C7">
        <w:t xml:space="preserve">o protect the public, </w:t>
      </w:r>
      <w:r w:rsidRPr="00E12C1B" w:rsidR="00CD626B">
        <w:t xml:space="preserve">the Commission finds that </w:t>
      </w:r>
      <w:r w:rsidRPr="00E12C1B" w:rsidR="007B39C7">
        <w:t>preemptive actions are required.</w:t>
      </w:r>
    </w:p>
    <w:p w:rsidRPr="001D29C4" w:rsidR="00F86FD7" w:rsidP="00883DC4" w:rsidRDefault="00946CB7" w14:paraId="6CF6BD87" w14:textId="77777777">
      <w:pPr>
        <w:pStyle w:val="Heading2"/>
      </w:pPr>
      <w:bookmarkStart w:name="_Toc225410171" w:id="71"/>
      <w:bookmarkEnd w:id="67"/>
      <w:r w:rsidRPr="001D29C4">
        <w:t xml:space="preserve">There is a </w:t>
      </w:r>
      <w:r w:rsidRPr="001D29C4" w:rsidR="00F86FD7">
        <w:t>Resilience Need</w:t>
      </w:r>
      <w:r w:rsidRPr="001D29C4">
        <w:t xml:space="preserve"> for </w:t>
      </w:r>
      <w:r w:rsidR="00613BA7">
        <w:t xml:space="preserve">the </w:t>
      </w:r>
      <w:r w:rsidRPr="001D29C4">
        <w:t>Alberhill</w:t>
      </w:r>
      <w:r w:rsidR="00613BA7">
        <w:t xml:space="preserve"> Project</w:t>
      </w:r>
      <w:bookmarkEnd w:id="71"/>
    </w:p>
    <w:p w:rsidR="008A5F67" w:rsidP="00682E4B" w:rsidRDefault="00F03347" w14:paraId="50D1CB25" w14:textId="77777777">
      <w:pPr>
        <w:pStyle w:val="Standard"/>
      </w:pPr>
      <w:r w:rsidRPr="00E12C1B">
        <w:t xml:space="preserve">Resilience is different from reliability in that resilience refers to a utility’s ability to serve customers under high impact low probability events, such as fires, earthquakes.  Resilience also refers to the effectiveness of containing the </w:t>
      </w:r>
      <w:r w:rsidRPr="00E12C1B">
        <w:lastRenderedPageBreak/>
        <w:t>impact of extraordinary events and how efficiently and quickly a system and/or service is restored.</w:t>
      </w:r>
      <w:r w:rsidRPr="00DE110D">
        <w:rPr>
          <w:rStyle w:val="FootnoteReference"/>
          <w:sz w:val="22"/>
        </w:rPr>
        <w:footnoteReference w:id="125"/>
      </w:r>
      <w:r w:rsidRPr="00E12C1B" w:rsidR="001804C5">
        <w:t xml:space="preserve"> </w:t>
      </w:r>
      <w:r w:rsidRPr="00E12C1B">
        <w:t xml:space="preserve"> Unlike the contingency planning for reliability, resilience focuses on comprehensive consideration of risk and mitigation.</w:t>
      </w:r>
      <w:r w:rsidRPr="00DE110D">
        <w:rPr>
          <w:rStyle w:val="FootnoteReference"/>
          <w:sz w:val="22"/>
        </w:rPr>
        <w:footnoteReference w:id="126"/>
      </w:r>
      <w:r w:rsidR="00121308">
        <w:t xml:space="preserve">  SCE presents evidence that there is a resilience need for the Alberhill project.  TURN argues that the Valley South System does not need improved resilience.  The Commission is persuaded by SCE’s evidence.</w:t>
      </w:r>
    </w:p>
    <w:p w:rsidR="00121308" w:rsidP="00771B2E" w:rsidRDefault="00121308" w14:paraId="1B6B21E3" w14:textId="77777777">
      <w:pPr>
        <w:pStyle w:val="Standard"/>
      </w:pPr>
      <w:r>
        <w:t xml:space="preserve">SCE and TURN present vastly different resilience </w:t>
      </w:r>
      <w:r w:rsidR="004A3D59">
        <w:t>calculations</w:t>
      </w:r>
      <w:r>
        <w:t xml:space="preserve">.  </w:t>
      </w:r>
      <w:r w:rsidR="00C90A17">
        <w:t xml:space="preserve">SCE </w:t>
      </w:r>
      <w:r w:rsidR="008A5F67">
        <w:t>measures r</w:t>
      </w:r>
      <w:r w:rsidRPr="008A5F67" w:rsidR="008A5F67">
        <w:t xml:space="preserve">esilience need </w:t>
      </w:r>
      <w:r w:rsidR="00611068">
        <w:t xml:space="preserve">with </w:t>
      </w:r>
      <w:r w:rsidRPr="008A5F67" w:rsidR="008A5F67">
        <w:t>metrics of possible contingency events, assuming a rate of frequency, then calculating the LAR which is the cumulative values of the potential amount of unserved load</w:t>
      </w:r>
      <w:r w:rsidR="004A06EF">
        <w:t xml:space="preserve"> as explained above</w:t>
      </w:r>
      <w:r w:rsidR="00C90A17">
        <w:t>.</w:t>
      </w:r>
      <w:r w:rsidR="00A3706D">
        <w:t xml:space="preserve">  SCE concluded that there is a resilience need based on the high amount of potential unserved load.  The higher the LAR, the more customers are at risk for rolling blackouts.  If the frequency of contingency events decreases, then the LAR decreases and fewer customers are at risk of rolling blackouts.  </w:t>
      </w:r>
    </w:p>
    <w:p w:rsidR="000D2860" w:rsidP="00121308" w:rsidRDefault="00A3706D" w14:paraId="77FFB3F7" w14:textId="77777777">
      <w:pPr>
        <w:pStyle w:val="Standard"/>
      </w:pPr>
      <w:r>
        <w:t>TURN</w:t>
      </w:r>
      <w:r w:rsidR="00DE6D64">
        <w:t xml:space="preserve"> argues SCE’s calculations of LAR are unreasonably high.  TURN</w:t>
      </w:r>
      <w:r>
        <w:t xml:space="preserve"> concludes that the risk of customers experiencing rolling blackouts is so low there is no </w:t>
      </w:r>
      <w:r w:rsidR="00DE6D64">
        <w:t xml:space="preserve">need to incur the cost of the Alberhill project for </w:t>
      </w:r>
      <w:r>
        <w:t>resilience.</w:t>
      </w:r>
      <w:r>
        <w:rPr>
          <w:rStyle w:val="FootnoteReference"/>
        </w:rPr>
        <w:footnoteReference w:id="127"/>
      </w:r>
      <w:r w:rsidR="00121308">
        <w:t xml:space="preserve">  </w:t>
      </w:r>
      <w:r w:rsidRPr="00E12C1B" w:rsidR="00EA1A88">
        <w:t>TURN</w:t>
      </w:r>
      <w:r w:rsidRPr="00E12C1B" w:rsidR="00576113">
        <w:t>’s main argument regarding re</w:t>
      </w:r>
      <w:r w:rsidRPr="00E12C1B" w:rsidR="006012EF">
        <w:t>silience</w:t>
      </w:r>
      <w:r w:rsidRPr="00E12C1B" w:rsidR="00576113">
        <w:t xml:space="preserve"> </w:t>
      </w:r>
      <w:r w:rsidRPr="00E12C1B" w:rsidR="00D070C1">
        <w:t>needs</w:t>
      </w:r>
      <w:r w:rsidRPr="00E12C1B" w:rsidR="00576113">
        <w:t xml:space="preserve"> </w:t>
      </w:r>
      <w:r w:rsidR="00042C7F">
        <w:t>focuses on</w:t>
      </w:r>
      <w:r w:rsidRPr="00E12C1B" w:rsidR="00576113">
        <w:t xml:space="preserve"> two metrics</w:t>
      </w:r>
      <w:r w:rsidRPr="00E12C1B" w:rsidR="000D2860">
        <w:t xml:space="preserve"> studied by SCE</w:t>
      </w:r>
      <w:r w:rsidR="003F53E4">
        <w:t xml:space="preserve"> summarized in the table below.</w:t>
      </w:r>
    </w:p>
    <w:p w:rsidRPr="00E12C1B" w:rsidR="001B288D" w:rsidP="00121308" w:rsidRDefault="001B288D" w14:paraId="27A7F4E8" w14:textId="77777777">
      <w:pPr>
        <w:pStyle w:val="Standard"/>
      </w:pPr>
    </w:p>
    <w:p w:rsidRPr="001D29C4" w:rsidR="003558AE" w:rsidP="00EA1A88" w:rsidRDefault="003558AE" w14:paraId="716B2A97" w14:textId="77777777">
      <w:pPr>
        <w:pStyle w:val="Standard"/>
        <w:rPr>
          <w:rFonts w:ascii="Arial" w:hAnsi="Arial" w:cs="Arial"/>
          <w:b/>
          <w:bCs/>
        </w:rPr>
      </w:pPr>
      <w:r w:rsidRPr="001D29C4">
        <w:rPr>
          <w:rFonts w:ascii="Arial" w:hAnsi="Arial" w:cs="Arial"/>
          <w:b/>
          <w:bCs/>
        </w:rPr>
        <w:lastRenderedPageBreak/>
        <w:t>Table 1</w:t>
      </w:r>
      <w:r w:rsidR="006D3108">
        <w:rPr>
          <w:rFonts w:ascii="Arial" w:hAnsi="Arial" w:cs="Arial"/>
          <w:b/>
          <w:bCs/>
        </w:rPr>
        <w:t>. Summary of Performance Metrics for Contingency Events</w:t>
      </w:r>
      <w:r w:rsidRPr="00DE110D" w:rsidR="00D5098C">
        <w:rPr>
          <w:rStyle w:val="FootnoteReference"/>
          <w:sz w:val="22"/>
        </w:rPr>
        <w:footnoteReference w:id="128"/>
      </w:r>
    </w:p>
    <w:tbl>
      <w:tblPr>
        <w:tblStyle w:val="TableGrid"/>
        <w:tblW w:w="0" w:type="auto"/>
        <w:tblLook w:val="04A0" w:firstRow="1" w:lastRow="0" w:firstColumn="1" w:lastColumn="0" w:noHBand="0" w:noVBand="1"/>
      </w:tblPr>
      <w:tblGrid>
        <w:gridCol w:w="3145"/>
        <w:gridCol w:w="6205"/>
      </w:tblGrid>
      <w:tr w:rsidRPr="00E12C1B" w:rsidR="000D2860" w:rsidTr="00D070C1" w14:paraId="7A979923" w14:textId="77777777">
        <w:tc>
          <w:tcPr>
            <w:tcW w:w="3145" w:type="dxa"/>
            <w:vAlign w:val="center"/>
          </w:tcPr>
          <w:p w:rsidRPr="001D29C4" w:rsidR="00461C6E" w:rsidP="001D29C4" w:rsidRDefault="000D2860" w14:paraId="374DD98B" w14:textId="77777777">
            <w:pPr>
              <w:pStyle w:val="Standard"/>
              <w:spacing w:before="60" w:line="240" w:lineRule="auto"/>
              <w:ind w:firstLine="0"/>
              <w:jc w:val="center"/>
              <w:rPr>
                <w:rFonts w:ascii="Arial" w:hAnsi="Arial" w:cs="Arial"/>
                <w:b/>
                <w:bCs/>
              </w:rPr>
            </w:pPr>
            <w:r w:rsidRPr="001D29C4">
              <w:rPr>
                <w:rFonts w:ascii="Arial" w:hAnsi="Arial" w:cs="Arial"/>
                <w:b/>
                <w:bCs/>
              </w:rPr>
              <w:t>Performance Metric</w:t>
            </w:r>
          </w:p>
          <w:p w:rsidRPr="001D29C4" w:rsidR="000D2860" w:rsidP="001D29C4" w:rsidRDefault="00461C6E" w14:paraId="409F788C" w14:textId="77777777">
            <w:pPr>
              <w:pStyle w:val="Standard"/>
              <w:spacing w:after="60" w:line="240" w:lineRule="auto"/>
              <w:ind w:firstLine="0"/>
              <w:jc w:val="center"/>
              <w:rPr>
                <w:rFonts w:ascii="Arial" w:hAnsi="Arial" w:cs="Arial"/>
                <w:b/>
                <w:bCs/>
              </w:rPr>
            </w:pPr>
            <w:r w:rsidRPr="001D29C4">
              <w:rPr>
                <w:rFonts w:ascii="Arial" w:hAnsi="Arial" w:cs="Arial"/>
                <w:b/>
                <w:bCs/>
              </w:rPr>
              <w:t>for Contingency Events</w:t>
            </w:r>
          </w:p>
        </w:tc>
        <w:tc>
          <w:tcPr>
            <w:tcW w:w="6205" w:type="dxa"/>
            <w:vAlign w:val="center"/>
          </w:tcPr>
          <w:p w:rsidRPr="001D29C4" w:rsidR="000D2860" w:rsidP="001D29C4" w:rsidRDefault="000D2860" w14:paraId="40E05E8A" w14:textId="77777777">
            <w:pPr>
              <w:pStyle w:val="Standard"/>
              <w:spacing w:before="60" w:after="60" w:line="240" w:lineRule="auto"/>
              <w:ind w:firstLine="0"/>
              <w:jc w:val="center"/>
              <w:rPr>
                <w:rFonts w:ascii="Arial" w:hAnsi="Arial" w:cs="Arial"/>
                <w:b/>
                <w:bCs/>
              </w:rPr>
            </w:pPr>
            <w:r w:rsidRPr="001D29C4">
              <w:rPr>
                <w:rFonts w:ascii="Arial" w:hAnsi="Arial" w:cs="Arial"/>
                <w:b/>
                <w:bCs/>
              </w:rPr>
              <w:t>Description</w:t>
            </w:r>
          </w:p>
        </w:tc>
      </w:tr>
      <w:tr w:rsidRPr="00E12C1B" w:rsidR="000D2860" w:rsidTr="00D070C1" w14:paraId="1E1EA58E" w14:textId="77777777">
        <w:tc>
          <w:tcPr>
            <w:tcW w:w="3145" w:type="dxa"/>
            <w:vAlign w:val="center"/>
          </w:tcPr>
          <w:p w:rsidRPr="00E12C1B" w:rsidR="000D2860" w:rsidP="00D070C1" w:rsidRDefault="000D2860" w14:paraId="24DADF15" w14:textId="77777777">
            <w:pPr>
              <w:pStyle w:val="Standard"/>
              <w:ind w:firstLine="0"/>
              <w:jc w:val="center"/>
              <w:rPr>
                <w:sz w:val="24"/>
                <w:szCs w:val="24"/>
              </w:rPr>
            </w:pPr>
            <w:r w:rsidRPr="00E12C1B">
              <w:rPr>
                <w:sz w:val="24"/>
                <w:szCs w:val="24"/>
              </w:rPr>
              <w:t>Flexibility-2-1</w:t>
            </w:r>
            <w:r w:rsidRPr="00E12C1B" w:rsidR="00021ECE">
              <w:rPr>
                <w:sz w:val="24"/>
                <w:szCs w:val="24"/>
              </w:rPr>
              <w:t xml:space="preserve"> (Flex-2-1)</w:t>
            </w:r>
          </w:p>
        </w:tc>
        <w:tc>
          <w:tcPr>
            <w:tcW w:w="6205" w:type="dxa"/>
          </w:tcPr>
          <w:p w:rsidRPr="00E12C1B" w:rsidR="000D2860" w:rsidP="00DB2107" w:rsidRDefault="00D16045" w14:paraId="7BACFCC5" w14:textId="77777777">
            <w:pPr>
              <w:pStyle w:val="Standard"/>
              <w:numPr>
                <w:ilvl w:val="0"/>
                <w:numId w:val="8"/>
              </w:numPr>
              <w:spacing w:after="60" w:line="240" w:lineRule="auto"/>
              <w:ind w:left="360"/>
              <w:rPr>
                <w:sz w:val="24"/>
                <w:szCs w:val="24"/>
              </w:rPr>
            </w:pPr>
            <w:r w:rsidRPr="00E12C1B">
              <w:rPr>
                <w:sz w:val="24"/>
                <w:szCs w:val="24"/>
              </w:rPr>
              <w:t>Complete loss of transformation capacity in the Valley Substation</w:t>
            </w:r>
            <w:r w:rsidRPr="00E12C1B" w:rsidR="005C7E45">
              <w:rPr>
                <w:sz w:val="24"/>
                <w:szCs w:val="24"/>
              </w:rPr>
              <w:t xml:space="preserve"> (including all transformers)</w:t>
            </w:r>
            <w:r w:rsidRPr="00E12C1B">
              <w:rPr>
                <w:sz w:val="24"/>
                <w:szCs w:val="24"/>
              </w:rPr>
              <w:t xml:space="preserve"> in the Valley South System</w:t>
            </w:r>
            <w:r w:rsidRPr="00E12C1B" w:rsidR="00FD2716">
              <w:rPr>
                <w:sz w:val="24"/>
                <w:szCs w:val="24"/>
              </w:rPr>
              <w:t xml:space="preserve"> due to a high impact, low probability event</w:t>
            </w:r>
          </w:p>
          <w:p w:rsidRPr="00E12C1B" w:rsidR="000D2860" w:rsidP="00DB2107" w:rsidRDefault="000D2860" w14:paraId="366A1118" w14:textId="77777777">
            <w:pPr>
              <w:pStyle w:val="Standard"/>
              <w:numPr>
                <w:ilvl w:val="0"/>
                <w:numId w:val="8"/>
              </w:numPr>
              <w:spacing w:after="60" w:line="240" w:lineRule="auto"/>
              <w:ind w:left="360"/>
              <w:rPr>
                <w:sz w:val="24"/>
                <w:szCs w:val="24"/>
              </w:rPr>
            </w:pPr>
            <w:r w:rsidRPr="00E12C1B">
              <w:rPr>
                <w:sz w:val="24"/>
                <w:szCs w:val="24"/>
              </w:rPr>
              <w:t>Assumes a two-week period that randomly occurs throughout the year</w:t>
            </w:r>
          </w:p>
        </w:tc>
      </w:tr>
      <w:tr w:rsidRPr="00E12C1B" w:rsidR="000D2860" w:rsidTr="00D070C1" w14:paraId="3D2A68F7" w14:textId="77777777">
        <w:tc>
          <w:tcPr>
            <w:tcW w:w="3145" w:type="dxa"/>
            <w:vAlign w:val="center"/>
          </w:tcPr>
          <w:p w:rsidRPr="00E12C1B" w:rsidR="000D2860" w:rsidP="00D070C1" w:rsidRDefault="000D2860" w14:paraId="18C1F847" w14:textId="77777777">
            <w:pPr>
              <w:pStyle w:val="Standard"/>
              <w:ind w:firstLine="0"/>
              <w:jc w:val="center"/>
              <w:rPr>
                <w:sz w:val="24"/>
                <w:szCs w:val="24"/>
              </w:rPr>
            </w:pPr>
            <w:r w:rsidRPr="00E12C1B">
              <w:rPr>
                <w:sz w:val="24"/>
                <w:szCs w:val="24"/>
              </w:rPr>
              <w:t>Flexibility-2-2</w:t>
            </w:r>
            <w:r w:rsidRPr="00E12C1B" w:rsidR="00021ECE">
              <w:rPr>
                <w:sz w:val="24"/>
                <w:szCs w:val="24"/>
              </w:rPr>
              <w:t xml:space="preserve"> (Flex-2-2)</w:t>
            </w:r>
          </w:p>
        </w:tc>
        <w:tc>
          <w:tcPr>
            <w:tcW w:w="6205" w:type="dxa"/>
          </w:tcPr>
          <w:p w:rsidRPr="00E12C1B" w:rsidR="000D2860" w:rsidP="00DB2107" w:rsidRDefault="001C6765" w14:paraId="645E7E67" w14:textId="77777777">
            <w:pPr>
              <w:pStyle w:val="Standard"/>
              <w:numPr>
                <w:ilvl w:val="0"/>
                <w:numId w:val="9"/>
              </w:numPr>
              <w:spacing w:after="60" w:line="240" w:lineRule="auto"/>
              <w:ind w:left="360"/>
              <w:rPr>
                <w:sz w:val="24"/>
                <w:szCs w:val="24"/>
              </w:rPr>
            </w:pPr>
            <w:r w:rsidRPr="00E12C1B">
              <w:rPr>
                <w:sz w:val="24"/>
                <w:szCs w:val="24"/>
              </w:rPr>
              <w:t>Loss of t</w:t>
            </w:r>
            <w:r w:rsidRPr="00E12C1B" w:rsidR="009C6FFC">
              <w:rPr>
                <w:sz w:val="24"/>
                <w:szCs w:val="24"/>
              </w:rPr>
              <w:t xml:space="preserve">wo load-serving </w:t>
            </w:r>
            <w:r w:rsidRPr="00E12C1B" w:rsidR="00BB1DDA">
              <w:rPr>
                <w:sz w:val="24"/>
                <w:szCs w:val="24"/>
              </w:rPr>
              <w:t xml:space="preserve">transformers at </w:t>
            </w:r>
            <w:r w:rsidRPr="00E12C1B" w:rsidR="000D2860">
              <w:rPr>
                <w:sz w:val="24"/>
                <w:szCs w:val="24"/>
              </w:rPr>
              <w:t>Valley South</w:t>
            </w:r>
            <w:r w:rsidR="00042C7F">
              <w:rPr>
                <w:sz w:val="24"/>
                <w:szCs w:val="24"/>
              </w:rPr>
              <w:t xml:space="preserve"> System</w:t>
            </w:r>
            <w:r w:rsidRPr="00E12C1B">
              <w:rPr>
                <w:sz w:val="24"/>
                <w:szCs w:val="24"/>
              </w:rPr>
              <w:t>,</w:t>
            </w:r>
            <w:r w:rsidRPr="00E12C1B" w:rsidR="000D2860">
              <w:rPr>
                <w:sz w:val="24"/>
                <w:szCs w:val="24"/>
              </w:rPr>
              <w:t xml:space="preserve"> unavailable due to a fire</w:t>
            </w:r>
            <w:r w:rsidRPr="00E12C1B" w:rsidR="005C7E45">
              <w:rPr>
                <w:sz w:val="24"/>
                <w:szCs w:val="24"/>
              </w:rPr>
              <w:t xml:space="preserve"> (where the spare transformer </w:t>
            </w:r>
            <w:r w:rsidR="00042C7F">
              <w:rPr>
                <w:sz w:val="24"/>
                <w:szCs w:val="24"/>
              </w:rPr>
              <w:t>and auxiliary equipment remain available</w:t>
            </w:r>
            <w:r w:rsidRPr="00E12C1B" w:rsidR="005C7E45">
              <w:rPr>
                <w:sz w:val="24"/>
                <w:szCs w:val="24"/>
              </w:rPr>
              <w:t>)</w:t>
            </w:r>
          </w:p>
          <w:p w:rsidRPr="00E12C1B" w:rsidR="000D2860" w:rsidP="00DB2107" w:rsidRDefault="000D2860" w14:paraId="1824219E" w14:textId="77777777">
            <w:pPr>
              <w:pStyle w:val="Standard"/>
              <w:numPr>
                <w:ilvl w:val="0"/>
                <w:numId w:val="9"/>
              </w:numPr>
              <w:spacing w:after="60" w:line="240" w:lineRule="auto"/>
              <w:ind w:left="360"/>
              <w:rPr>
                <w:sz w:val="24"/>
                <w:szCs w:val="24"/>
              </w:rPr>
            </w:pPr>
            <w:r w:rsidRPr="00E12C1B">
              <w:rPr>
                <w:sz w:val="24"/>
                <w:szCs w:val="24"/>
              </w:rPr>
              <w:t>Assumes a two-week period that randomly occurs throughout the year</w:t>
            </w:r>
          </w:p>
        </w:tc>
      </w:tr>
    </w:tbl>
    <w:p w:rsidRPr="00E12C1B" w:rsidR="00EA1A88" w:rsidP="00D070C1" w:rsidRDefault="00543F6B" w14:paraId="1F0998E9" w14:textId="77777777">
      <w:pPr>
        <w:pStyle w:val="Standard"/>
        <w:spacing w:before="240"/>
      </w:pPr>
      <w:r>
        <w:t xml:space="preserve">In Flex-2-1, SCE assumes </w:t>
      </w:r>
      <w:r w:rsidRPr="00543F6B">
        <w:t>a 1-in-100 year outage frequency for high impact low probability events.  Flex 2-1 events include complete loss of the Valley Substation</w:t>
      </w:r>
      <w:r w:rsidR="0092241D">
        <w:t xml:space="preserve"> due to </w:t>
      </w:r>
      <w:r w:rsidRPr="00543F6B">
        <w:t>earthquakes, fires and windstorms.</w:t>
      </w:r>
      <w:r>
        <w:rPr>
          <w:rStyle w:val="FootnoteReference"/>
        </w:rPr>
        <w:footnoteReference w:id="129"/>
      </w:r>
      <w:r>
        <w:t xml:space="preserve">  </w:t>
      </w:r>
      <w:r w:rsidRPr="006D3108" w:rsidR="006D3108">
        <w:t xml:space="preserve">Because of the lack of data on infrequent extremely damaging events, SCE </w:t>
      </w:r>
      <w:r w:rsidR="006D3108">
        <w:t xml:space="preserve">discusses an </w:t>
      </w:r>
      <w:r w:rsidRPr="006D3108" w:rsidR="006D3108">
        <w:t xml:space="preserve">industry article </w:t>
      </w:r>
      <w:r w:rsidR="006D3108">
        <w:t xml:space="preserve">that </w:t>
      </w:r>
      <w:r w:rsidRPr="006D3108" w:rsidR="006D3108">
        <w:t xml:space="preserve">states that the average rate of serious failures of 0.9 percent to 1.0 percent per </w:t>
      </w:r>
      <w:r w:rsidR="006D3108">
        <w:t xml:space="preserve">transformer </w:t>
      </w:r>
      <w:r w:rsidRPr="006D3108" w:rsidR="006D3108">
        <w:t>service</w:t>
      </w:r>
      <w:r w:rsidR="006D3108">
        <w:t xml:space="preserve"> year.</w:t>
      </w:r>
      <w:r w:rsidR="006D3108">
        <w:rPr>
          <w:rStyle w:val="FootnoteReference"/>
        </w:rPr>
        <w:footnoteReference w:id="130"/>
      </w:r>
      <w:r w:rsidR="006D3108">
        <w:t xml:space="preserve">  In Flex-2-2, SCE developed an event rate of 0.0015 event per year, which is the equivalent of 1-in-667 year frequency.</w:t>
      </w:r>
      <w:r w:rsidR="00121308">
        <w:t xml:space="preserve">  TURN argues that for both Flex-2-1 events and Flex-2-2 events, there is no resilience need.  However, TURN only disagrees with SCE’s Flex-2-1 outage frequency.</w:t>
      </w:r>
      <w:r w:rsidR="006D3108">
        <w:t xml:space="preserve">  </w:t>
      </w:r>
    </w:p>
    <w:p w:rsidRPr="001D29C4" w:rsidR="00021ECE" w:rsidP="00883DC4" w:rsidRDefault="00021ECE" w14:paraId="4E3BD991" w14:textId="77777777">
      <w:pPr>
        <w:pStyle w:val="Heading3"/>
      </w:pPr>
      <w:bookmarkStart w:name="_Toc225410172" w:id="72"/>
      <w:r w:rsidRPr="001D29C4">
        <w:lastRenderedPageBreak/>
        <w:t>Flexibility-2-1 (Flex-2-1)</w:t>
      </w:r>
      <w:r w:rsidR="00891BEA">
        <w:t xml:space="preserve"> </w:t>
      </w:r>
      <w:r w:rsidRPr="001D29C4" w:rsidR="007E4BA2">
        <w:t xml:space="preserve">(Complete </w:t>
      </w:r>
      <w:r w:rsidRPr="001D29C4" w:rsidR="006012EF">
        <w:t>L</w:t>
      </w:r>
      <w:r w:rsidRPr="001D29C4" w:rsidR="0015300C">
        <w:t xml:space="preserve">oss of </w:t>
      </w:r>
      <w:r w:rsidRPr="001D29C4" w:rsidR="006012EF">
        <w:t>Valley Substation)</w:t>
      </w:r>
      <w:bookmarkEnd w:id="72"/>
    </w:p>
    <w:p w:rsidR="00B866F3" w:rsidP="00B866F3" w:rsidRDefault="00BC5722" w14:paraId="69166EFB" w14:textId="77777777">
      <w:pPr>
        <w:pStyle w:val="Standard"/>
      </w:pPr>
      <w:r w:rsidRPr="00E12C1B">
        <w:t xml:space="preserve">TURN </w:t>
      </w:r>
      <w:r w:rsidR="00B866F3">
        <w:t xml:space="preserve">assumes a lower frequency of contingency events, which results in lower </w:t>
      </w:r>
      <w:r w:rsidR="000838E1">
        <w:t>amounts of energy not served</w:t>
      </w:r>
      <w:r w:rsidR="00B866F3">
        <w:t>.</w:t>
      </w:r>
      <w:r w:rsidR="009D2432">
        <w:rPr>
          <w:rStyle w:val="FootnoteReference"/>
        </w:rPr>
        <w:footnoteReference w:id="131"/>
      </w:r>
      <w:r w:rsidR="00B866F3">
        <w:t xml:space="preserve">  </w:t>
      </w:r>
      <w:r w:rsidRPr="00E12C1B" w:rsidR="00FC5C32">
        <w:t xml:space="preserve">TURN argues that </w:t>
      </w:r>
      <w:r w:rsidRPr="00E12C1B" w:rsidR="00E42088">
        <w:t xml:space="preserve">the Commission should reject </w:t>
      </w:r>
      <w:r w:rsidRPr="00E12C1B" w:rsidR="00FC5C32">
        <w:t>the 1-in-100 year frequenc</w:t>
      </w:r>
      <w:r w:rsidR="006D3108">
        <w:t>y.  First, TURN argues that complete loss of the Valley Substation exceeds the probability of events that have occurred or have been observed.</w:t>
      </w:r>
      <w:r w:rsidRPr="00DE110D" w:rsidR="00FC5C32">
        <w:rPr>
          <w:rStyle w:val="FootnoteReference"/>
          <w:sz w:val="22"/>
        </w:rPr>
        <w:footnoteReference w:id="132"/>
      </w:r>
      <w:r w:rsidRPr="00E12C1B" w:rsidR="00FC5C32">
        <w:t xml:space="preserve">  </w:t>
      </w:r>
      <w:r w:rsidRPr="00E12C1B" w:rsidR="00E97793">
        <w:t>Second</w:t>
      </w:r>
      <w:r w:rsidRPr="00E12C1B" w:rsidR="00757627">
        <w:t>,</w:t>
      </w:r>
      <w:r w:rsidRPr="00E12C1B" w:rsidR="00E97793">
        <w:t xml:space="preserve"> TURN argues that </w:t>
      </w:r>
      <w:r w:rsidRPr="00E12C1B" w:rsidR="0044275F">
        <w:t>materials selected by SCE to support the 1-in-100 year frequency do not support SCE’s assumption.</w:t>
      </w:r>
      <w:r w:rsidRPr="00DE110D" w:rsidR="0044275F">
        <w:rPr>
          <w:rStyle w:val="FootnoteReference"/>
          <w:sz w:val="22"/>
        </w:rPr>
        <w:footnoteReference w:id="133"/>
      </w:r>
      <w:r w:rsidRPr="00DE110D" w:rsidR="00D96930">
        <w:rPr>
          <w:sz w:val="22"/>
        </w:rPr>
        <w:t xml:space="preserve"> </w:t>
      </w:r>
      <w:r w:rsidRPr="00E12C1B" w:rsidR="00D96930">
        <w:t xml:space="preserve"> TURN criticizes SCE’s reliance on a trade article,</w:t>
      </w:r>
      <w:r w:rsidRPr="00DE110D" w:rsidR="00D96930">
        <w:rPr>
          <w:rStyle w:val="FootnoteReference"/>
          <w:sz w:val="22"/>
        </w:rPr>
        <w:footnoteReference w:id="134"/>
      </w:r>
      <w:r w:rsidRPr="00E12C1B" w:rsidR="00D96930">
        <w:t xml:space="preserve"> SCE substation transformer fire history,</w:t>
      </w:r>
      <w:r w:rsidRPr="00DE110D" w:rsidR="00D96930">
        <w:rPr>
          <w:rStyle w:val="FootnoteReference"/>
          <w:sz w:val="22"/>
        </w:rPr>
        <w:footnoteReference w:id="135"/>
      </w:r>
      <w:r w:rsidRPr="00E12C1B" w:rsidR="00D96930">
        <w:t xml:space="preserve"> substation outages in California since 2000,</w:t>
      </w:r>
      <w:r w:rsidRPr="00DE110D" w:rsidR="00D96930">
        <w:rPr>
          <w:rStyle w:val="FootnoteReference"/>
          <w:sz w:val="22"/>
        </w:rPr>
        <w:footnoteReference w:id="136"/>
      </w:r>
      <w:r w:rsidRPr="00E12C1B" w:rsidR="00D96930">
        <w:t xml:space="preserve"> </w:t>
      </w:r>
      <w:r w:rsidRPr="00E12C1B" w:rsidR="002A46FD">
        <w:t>power outages in California,</w:t>
      </w:r>
      <w:r w:rsidRPr="00DE110D" w:rsidR="002A46FD">
        <w:rPr>
          <w:rStyle w:val="FootnoteReference"/>
          <w:sz w:val="22"/>
        </w:rPr>
        <w:footnoteReference w:id="137"/>
      </w:r>
      <w:r w:rsidRPr="00E12C1B" w:rsidR="002A46FD">
        <w:t xml:space="preserve"> </w:t>
      </w:r>
      <w:r w:rsidRPr="00E12C1B" w:rsidR="00D96930">
        <w:t>industry studies and standards.</w:t>
      </w:r>
      <w:r w:rsidRPr="00DE110D" w:rsidR="00D96930">
        <w:rPr>
          <w:rStyle w:val="FootnoteReference"/>
          <w:sz w:val="22"/>
        </w:rPr>
        <w:footnoteReference w:id="138"/>
      </w:r>
      <w:r w:rsidRPr="00E12C1B" w:rsidR="00732F7A">
        <w:t xml:space="preserve">  </w:t>
      </w:r>
      <w:r w:rsidRPr="00E12C1B" w:rsidR="00100BDF">
        <w:t>TURN disagrees that the fires at the Vincent, Mira Loma, and El Dorado substations in the SCE territory justif</w:t>
      </w:r>
      <w:r w:rsidR="006B310E">
        <w:t>y</w:t>
      </w:r>
      <w:r w:rsidRPr="00E12C1B" w:rsidR="00100BDF">
        <w:t xml:space="preserve"> the 1-in-100 year frequency because the fires did not result in complete loss of these substations.</w:t>
      </w:r>
      <w:r w:rsidRPr="00DE110D" w:rsidR="002F2D8D">
        <w:rPr>
          <w:rStyle w:val="FootnoteReference"/>
          <w:sz w:val="22"/>
        </w:rPr>
        <w:footnoteReference w:id="139"/>
      </w:r>
      <w:r w:rsidRPr="00DE110D" w:rsidR="00100BDF">
        <w:rPr>
          <w:sz w:val="22"/>
        </w:rPr>
        <w:t xml:space="preserve"> </w:t>
      </w:r>
      <w:r w:rsidRPr="00E12C1B" w:rsidR="00100BDF">
        <w:t xml:space="preserve"> </w:t>
      </w:r>
      <w:r w:rsidRPr="00E12C1B" w:rsidR="00757627">
        <w:t xml:space="preserve">During the period </w:t>
      </w:r>
      <w:r w:rsidRPr="00E12C1B" w:rsidR="00282089">
        <w:t>when SCE repair</w:t>
      </w:r>
      <w:r w:rsidRPr="00E12C1B" w:rsidR="005A05BB">
        <w:t>e</w:t>
      </w:r>
      <w:r w:rsidRPr="00E12C1B" w:rsidR="00282089">
        <w:t>d the substations, TURN counted them as not being 100 percent out of service because they were partially available and in use.</w:t>
      </w:r>
      <w:r w:rsidR="001A30CE">
        <w:t xml:space="preserve"> </w:t>
      </w:r>
      <w:r w:rsidRPr="00E12C1B" w:rsidR="00282089">
        <w:t xml:space="preserve"> </w:t>
      </w:r>
    </w:p>
    <w:p w:rsidRPr="00E12C1B" w:rsidR="009C6FFC" w:rsidP="00B866F3" w:rsidRDefault="00FD2B6D" w14:paraId="1CAC9530" w14:textId="77777777">
      <w:pPr>
        <w:pStyle w:val="Standard"/>
      </w:pPr>
      <w:r w:rsidRPr="00E12C1B">
        <w:lastRenderedPageBreak/>
        <w:t>TURN calculated an alternative event frequency of 1-in-5,000</w:t>
      </w:r>
      <w:r w:rsidR="00611068">
        <w:t xml:space="preserve"> substation service</w:t>
      </w:r>
      <w:r w:rsidRPr="00E12C1B">
        <w:t xml:space="preserve"> years based on zero events in 5,000 substation service years because there were zero complete substation losses at California’s 100 major transmission substations in the last 50</w:t>
      </w:r>
      <w:r w:rsidRPr="00E12C1B" w:rsidR="00381964">
        <w:t> </w:t>
      </w:r>
      <w:r w:rsidRPr="00E12C1B">
        <w:t>years.</w:t>
      </w:r>
      <w:r w:rsidRPr="001A30CE">
        <w:rPr>
          <w:rStyle w:val="FootnoteReference"/>
          <w:sz w:val="22"/>
        </w:rPr>
        <w:footnoteReference w:id="140"/>
      </w:r>
      <w:r w:rsidRPr="00E12C1B">
        <w:t xml:space="preserve">  </w:t>
      </w:r>
    </w:p>
    <w:p w:rsidRPr="001D29C4" w:rsidR="00021ECE" w:rsidP="00883DC4" w:rsidRDefault="00021ECE" w14:paraId="23E40B89" w14:textId="77777777">
      <w:pPr>
        <w:pStyle w:val="Heading3"/>
      </w:pPr>
      <w:bookmarkStart w:name="_Toc225410173" w:id="73"/>
      <w:r w:rsidRPr="001D29C4">
        <w:t xml:space="preserve">Flexibility-2-2 (Flex-2-2) </w:t>
      </w:r>
      <w:r w:rsidRPr="001D29C4" w:rsidR="007E4BA2">
        <w:t>(</w:t>
      </w:r>
      <w:r w:rsidR="00891BEA">
        <w:t>L</w:t>
      </w:r>
      <w:r w:rsidRPr="001D29C4" w:rsidR="007E4BA2">
        <w:t xml:space="preserve">oss of </w:t>
      </w:r>
      <w:r w:rsidR="00891BEA">
        <w:t>T</w:t>
      </w:r>
      <w:r w:rsidRPr="001D29C4" w:rsidR="007E4BA2">
        <w:t xml:space="preserve">wo </w:t>
      </w:r>
      <w:r w:rsidR="00891BEA">
        <w:t>T</w:t>
      </w:r>
      <w:r w:rsidRPr="001D29C4" w:rsidR="007E4BA2">
        <w:t>ransformers)</w:t>
      </w:r>
      <w:bookmarkEnd w:id="73"/>
    </w:p>
    <w:p w:rsidR="00D83134" w:rsidP="00EA1A88" w:rsidRDefault="00821F18" w14:paraId="7E9B49FA" w14:textId="77777777">
      <w:pPr>
        <w:pStyle w:val="Standard"/>
      </w:pPr>
      <w:r>
        <w:t xml:space="preserve">Unlike </w:t>
      </w:r>
      <w:r w:rsidR="0092241D">
        <w:t>the total loss of the entire Valley Substation</w:t>
      </w:r>
      <w:r>
        <w:t>,</w:t>
      </w:r>
      <w:r w:rsidR="00B866F3">
        <w:t xml:space="preserve"> </w:t>
      </w:r>
      <w:r w:rsidR="00A22BC1">
        <w:t>TURN</w:t>
      </w:r>
      <w:r w:rsidR="005E427C">
        <w:t xml:space="preserve"> </w:t>
      </w:r>
      <w:r w:rsidR="00B866F3">
        <w:t xml:space="preserve">states </w:t>
      </w:r>
      <w:r w:rsidRPr="00E12C1B" w:rsidR="002149D1">
        <w:t>SCE reasonably supports</w:t>
      </w:r>
      <w:r w:rsidRPr="00E12C1B" w:rsidR="006975A7">
        <w:t xml:space="preserve"> the loss of two transformers with the </w:t>
      </w:r>
      <w:r w:rsidRPr="00E12C1B" w:rsidR="007E4BA2">
        <w:t>event frequency of 1 in 667</w:t>
      </w:r>
      <w:r w:rsidRPr="00E12C1B" w:rsidR="002149D1">
        <w:t xml:space="preserve"> years</w:t>
      </w:r>
      <w:r>
        <w:t>.</w:t>
      </w:r>
      <w:r w:rsidRPr="001A30CE" w:rsidR="00B321AF">
        <w:rPr>
          <w:rStyle w:val="FootnoteReference"/>
          <w:sz w:val="22"/>
        </w:rPr>
        <w:footnoteReference w:id="141"/>
      </w:r>
      <w:r w:rsidRPr="00E12C1B" w:rsidR="002149D1">
        <w:t xml:space="preserve"> </w:t>
      </w:r>
      <w:r>
        <w:t xml:space="preserve"> Nevertheless, TURN </w:t>
      </w:r>
      <w:r w:rsidRPr="00E12C1B" w:rsidR="002149D1">
        <w:t xml:space="preserve"> calculates </w:t>
      </w:r>
      <w:r>
        <w:t>a</w:t>
      </w:r>
      <w:r w:rsidRPr="00E12C1B" w:rsidR="002149D1">
        <w:t xml:space="preserve"> high resiliency for </w:t>
      </w:r>
      <w:r w:rsidRPr="00E12C1B" w:rsidR="00682E4B">
        <w:t>the Flex-2-2 scenario</w:t>
      </w:r>
      <w:r w:rsidRPr="00E12C1B" w:rsidR="002149D1">
        <w:t>.</w:t>
      </w:r>
      <w:r w:rsidRPr="001A30CE" w:rsidR="002149D1">
        <w:rPr>
          <w:rStyle w:val="FootnoteReference"/>
          <w:sz w:val="22"/>
        </w:rPr>
        <w:footnoteReference w:id="142"/>
      </w:r>
      <w:r w:rsidRPr="001A30CE" w:rsidR="000478EB">
        <w:rPr>
          <w:sz w:val="22"/>
        </w:rPr>
        <w:t xml:space="preserve"> </w:t>
      </w:r>
      <w:r w:rsidRPr="00E12C1B" w:rsidR="000478EB">
        <w:t xml:space="preserve"> TURN states that SCE can further reduce the likelihood of a Flex-2-2 scenario by installing fire walls between its Valley transformers.  The two Valley South transformers, known as 1AA and 2AA banks, are about one hundred feet apart from each</w:t>
      </w:r>
      <w:r w:rsidRPr="00E12C1B" w:rsidR="00682E4B">
        <w:t xml:space="preserve"> </w:t>
      </w:r>
      <w:r w:rsidRPr="00E12C1B" w:rsidR="000478EB">
        <w:t>other.</w:t>
      </w:r>
      <w:r w:rsidR="00891BEA">
        <w:rPr>
          <w:rStyle w:val="FootnoteReference"/>
        </w:rPr>
        <w:footnoteReference w:id="143"/>
      </w:r>
      <w:r w:rsidRPr="00E12C1B" w:rsidR="000478EB">
        <w:t xml:space="preserve">  The spare transformer, known as 5AA, </w:t>
      </w:r>
      <w:r w:rsidR="00B866F3">
        <w:t>is</w:t>
      </w:r>
      <w:r w:rsidRPr="00E12C1B" w:rsidR="000478EB">
        <w:t xml:space="preserve"> separate from 1AA and 2AA.  SCE determined there was no need to install fire wall barriers and/or oil/water containment systems because the spacing between these three transformers </w:t>
      </w:r>
      <w:r w:rsidR="00F27472">
        <w:t>are double</w:t>
      </w:r>
      <w:r w:rsidRPr="00E12C1B" w:rsidR="000478EB">
        <w:t xml:space="preserve"> SCE’s typical 50-foot spacing between its </w:t>
      </w:r>
      <w:r w:rsidRPr="00E12C1B" w:rsidR="000478EB">
        <w:lastRenderedPageBreak/>
        <w:t>transformers.</w:t>
      </w:r>
      <w:r w:rsidR="005563B9">
        <w:rPr>
          <w:rStyle w:val="FootnoteReference"/>
        </w:rPr>
        <w:footnoteReference w:id="144"/>
      </w:r>
      <w:r w:rsidRPr="00E12C1B" w:rsidR="000478EB">
        <w:t xml:space="preserve">  TURN argues installing fire wall barriers at Valley Substation as an additional and inexpensive safety measure</w:t>
      </w:r>
      <w:r w:rsidR="00B866F3">
        <w:t xml:space="preserve"> provides sufficient resiliency</w:t>
      </w:r>
      <w:r w:rsidRPr="00E12C1B" w:rsidR="000478EB">
        <w:t>.</w:t>
      </w:r>
      <w:r w:rsidRPr="001A30CE" w:rsidR="000478EB">
        <w:rPr>
          <w:rStyle w:val="FootnoteReference"/>
          <w:sz w:val="22"/>
        </w:rPr>
        <w:footnoteReference w:id="145"/>
      </w:r>
      <w:r w:rsidRPr="00E12C1B" w:rsidR="00381964">
        <w:t xml:space="preserve"> </w:t>
      </w:r>
      <w:r w:rsidRPr="00E12C1B" w:rsidR="000478EB">
        <w:t xml:space="preserve"> </w:t>
      </w:r>
    </w:p>
    <w:p w:rsidRPr="00E12C1B" w:rsidR="00A06665" w:rsidP="00EA1A88" w:rsidRDefault="00D83134" w14:paraId="2671F967" w14:textId="77777777">
      <w:pPr>
        <w:pStyle w:val="Standard"/>
      </w:pPr>
      <w:r>
        <w:t xml:space="preserve">In summary, TURN argues that </w:t>
      </w:r>
      <w:r w:rsidRPr="00E12C1B" w:rsidR="000478EB">
        <w:t xml:space="preserve">there is still an extremely low likelihood of </w:t>
      </w:r>
      <w:r>
        <w:t xml:space="preserve">the contingencies, the loss of electricity to customer is low or negligible, </w:t>
      </w:r>
      <w:r w:rsidRPr="00E12C1B" w:rsidR="000478EB">
        <w:t>and SCE’s system is well prepared.</w:t>
      </w:r>
      <w:r w:rsidRPr="001A30CE" w:rsidR="000478EB">
        <w:rPr>
          <w:rStyle w:val="FootnoteReference"/>
          <w:sz w:val="22"/>
        </w:rPr>
        <w:footnoteReference w:id="146"/>
      </w:r>
    </w:p>
    <w:p w:rsidRPr="001D29C4" w:rsidR="005276E4" w:rsidP="00883DC4" w:rsidRDefault="00B866F3" w14:paraId="7D79A860" w14:textId="77777777">
      <w:pPr>
        <w:pStyle w:val="Heading3"/>
      </w:pPr>
      <w:bookmarkStart w:name="_Toc225410174" w:id="74"/>
      <w:r>
        <w:t>Discussion</w:t>
      </w:r>
      <w:bookmarkEnd w:id="74"/>
    </w:p>
    <w:p w:rsidR="0092241D" w:rsidP="0092241D" w:rsidRDefault="00DD7FCB" w14:paraId="3F3D6169" w14:textId="77777777">
      <w:pPr>
        <w:pStyle w:val="Standard"/>
      </w:pPr>
      <w:r>
        <w:t xml:space="preserve">The Commission </w:t>
      </w:r>
      <w:r w:rsidR="00574486">
        <w:t>finds</w:t>
      </w:r>
      <w:r>
        <w:t xml:space="preserve"> that SCE’s </w:t>
      </w:r>
      <w:r w:rsidR="00574486">
        <w:t xml:space="preserve">Flex-2-1 </w:t>
      </w:r>
      <w:r>
        <w:t>event frequency is reasonable.  The Commission finds</w:t>
      </w:r>
      <w:r w:rsidR="00CE4A2D">
        <w:t xml:space="preserve"> compelling the examples of substation fires</w:t>
      </w:r>
      <w:r w:rsidRPr="00E12C1B" w:rsidR="00270296">
        <w:t xml:space="preserve"> that </w:t>
      </w:r>
      <w:r w:rsidR="00CE4A2D">
        <w:t xml:space="preserve">occurred in the SCE </w:t>
      </w:r>
      <w:r w:rsidR="00611068">
        <w:t>territory</w:t>
      </w:r>
      <w:r w:rsidRPr="00E12C1B" w:rsidR="00270296">
        <w:t xml:space="preserve"> (Vincent, Mi</w:t>
      </w:r>
      <w:r w:rsidR="008E4814">
        <w:t>r</w:t>
      </w:r>
      <w:r w:rsidRPr="00E12C1B" w:rsidR="00270296">
        <w:t>a Loma, and El Dorado)</w:t>
      </w:r>
      <w:r w:rsidRPr="00E12C1B" w:rsidR="00682E4B">
        <w:t>,</w:t>
      </w:r>
      <w:r w:rsidRPr="00E12C1B" w:rsidR="00270296">
        <w:t xml:space="preserve"> over the past twenty years.</w:t>
      </w:r>
      <w:r w:rsidRPr="001A30CE" w:rsidR="00270296">
        <w:rPr>
          <w:rStyle w:val="FootnoteReference"/>
          <w:sz w:val="22"/>
        </w:rPr>
        <w:footnoteReference w:id="147"/>
      </w:r>
      <w:r w:rsidRPr="00E12C1B" w:rsidR="00550367">
        <w:t xml:space="preserve"> </w:t>
      </w:r>
      <w:r w:rsidRPr="00E12C1B" w:rsidR="005D1200">
        <w:t xml:space="preserve"> </w:t>
      </w:r>
      <w:r w:rsidRPr="00E12C1B" w:rsidR="00550367">
        <w:t>SCE explains that although the</w:t>
      </w:r>
      <w:r w:rsidRPr="00E12C1B" w:rsidR="001654F2">
        <w:t>se three</w:t>
      </w:r>
      <w:r w:rsidRPr="00E12C1B" w:rsidR="00550367">
        <w:t xml:space="preserve"> substations experienced partial outages, repairs and replacement of equipment took more than two weeks.</w:t>
      </w:r>
      <w:r w:rsidRPr="001A30CE" w:rsidR="00550367">
        <w:rPr>
          <w:rStyle w:val="FootnoteReference"/>
          <w:sz w:val="22"/>
        </w:rPr>
        <w:footnoteReference w:id="148"/>
      </w:r>
      <w:r w:rsidRPr="00E12C1B" w:rsidR="00270296">
        <w:t xml:space="preserve">  </w:t>
      </w:r>
      <w:r w:rsidRPr="00E12C1B" w:rsidR="0092241D">
        <w:t>SCE states that during the September 2024 heat storm in the City of Ontario there was an unplanned outage of one transformer at the Mira Loma Substation when the system was at its peak.  The transformer failed on September 6</w:t>
      </w:r>
      <w:r w:rsidR="0092241D">
        <w:t xml:space="preserve">th </w:t>
      </w:r>
      <w:r w:rsidRPr="00E12C1B" w:rsidR="0092241D">
        <w:t>and the replacement transformer began service on October 6th.</w:t>
      </w:r>
      <w:r w:rsidRPr="001A30CE" w:rsidR="0092241D">
        <w:rPr>
          <w:rStyle w:val="FootnoteReference"/>
          <w:sz w:val="22"/>
        </w:rPr>
        <w:footnoteReference w:id="149"/>
      </w:r>
      <w:r w:rsidRPr="00E12C1B" w:rsidR="0092241D">
        <w:t xml:space="preserve">  During the one-month period</w:t>
      </w:r>
      <w:r w:rsidR="00726ECD">
        <w:t>,</w:t>
      </w:r>
      <w:r w:rsidRPr="00E12C1B" w:rsidR="0092241D">
        <w:t xml:space="preserve"> tie-lines were used to serve the area by importing electricity.</w:t>
      </w:r>
      <w:r w:rsidRPr="001A30CE" w:rsidR="0092241D">
        <w:rPr>
          <w:rStyle w:val="FootnoteReference"/>
          <w:sz w:val="22"/>
        </w:rPr>
        <w:footnoteReference w:id="150"/>
      </w:r>
    </w:p>
    <w:p w:rsidR="0048107C" w:rsidP="0048107C" w:rsidRDefault="00550367" w14:paraId="30CEE0C6" w14:textId="77777777">
      <w:pPr>
        <w:pStyle w:val="Standard"/>
      </w:pPr>
      <w:r w:rsidRPr="00E12C1B">
        <w:t>Furthermore, SCE explains that the</w:t>
      </w:r>
      <w:r w:rsidR="004A3D59">
        <w:t xml:space="preserve"> Vicent, Mira Loma and El Dorado </w:t>
      </w:r>
      <w:r w:rsidRPr="00E12C1B">
        <w:t xml:space="preserve">substations </w:t>
      </w:r>
      <w:r w:rsidR="00DD7FCB">
        <w:t xml:space="preserve">were network systems and </w:t>
      </w:r>
      <w:r w:rsidRPr="00E12C1B">
        <w:t>did not directly serve load</w:t>
      </w:r>
      <w:r w:rsidR="00DD7FCB">
        <w:t>.  This means customers</w:t>
      </w:r>
      <w:r w:rsidR="00CE4A2D">
        <w:t>’</w:t>
      </w:r>
      <w:r w:rsidR="00DD7FCB">
        <w:t xml:space="preserve"> interruptions were minimal as </w:t>
      </w:r>
      <w:r w:rsidRPr="00E12C1B">
        <w:t xml:space="preserve">power could be routed around them </w:t>
      </w:r>
      <w:r w:rsidRPr="00E12C1B">
        <w:lastRenderedPageBreak/>
        <w:t>during repairs.</w:t>
      </w:r>
      <w:r w:rsidRPr="001A30CE">
        <w:rPr>
          <w:rStyle w:val="FootnoteReference"/>
          <w:sz w:val="22"/>
        </w:rPr>
        <w:footnoteReference w:id="151"/>
      </w:r>
      <w:r w:rsidR="00DD7FCB">
        <w:t xml:space="preserve">  In contrast, </w:t>
      </w:r>
      <w:r w:rsidRPr="00E12C1B" w:rsidR="00DF6D46">
        <w:t xml:space="preserve">the Valley South System </w:t>
      </w:r>
      <w:r w:rsidR="00DD7FCB">
        <w:t xml:space="preserve">is more vulnerable </w:t>
      </w:r>
      <w:r w:rsidRPr="00E12C1B" w:rsidR="00DF6D46">
        <w:t xml:space="preserve">due to </w:t>
      </w:r>
      <w:r w:rsidR="00DD7FCB">
        <w:t>its</w:t>
      </w:r>
      <w:r w:rsidRPr="00E12C1B" w:rsidR="00DF6D46">
        <w:t xml:space="preserve"> radial configuration</w:t>
      </w:r>
      <w:r w:rsidR="00DD7FCB">
        <w:t>, the lack of tie-lines, and the large number of customers.</w:t>
      </w:r>
      <w:r w:rsidRPr="00E12C1B" w:rsidR="00DF6D46">
        <w:t xml:space="preserve"> </w:t>
      </w:r>
      <w:r w:rsidR="0092241D">
        <w:t xml:space="preserve"> </w:t>
      </w:r>
    </w:p>
    <w:p w:rsidR="0048107C" w:rsidP="0048107C" w:rsidRDefault="0048107C" w14:paraId="0B91C76D" w14:textId="77777777">
      <w:pPr>
        <w:pStyle w:val="Standard"/>
      </w:pPr>
      <w:r>
        <w:t xml:space="preserve">The Commission is convinced by SCE’s showing that in its experience, </w:t>
      </w:r>
      <w:r w:rsidR="00B90C33">
        <w:t>its assumptions and analysis are</w:t>
      </w:r>
      <w:r>
        <w:t xml:space="preserve"> reasonable.  TURN’s event probability of once in 5,000 substation service years is not comparable to SCE’s event frequency</w:t>
      </w:r>
      <w:r w:rsidR="00B90C33">
        <w:t xml:space="preserve"> of once in a hundred years</w:t>
      </w:r>
      <w:r>
        <w:t xml:space="preserve">.  The Commission agrees with </w:t>
      </w:r>
      <w:r w:rsidRPr="00E12C1B">
        <w:t xml:space="preserve">TURN </w:t>
      </w:r>
      <w:r>
        <w:t>that</w:t>
      </w:r>
      <w:r w:rsidRPr="00E12C1B">
        <w:t xml:space="preserve"> it is difficult to develop event probability with</w:t>
      </w:r>
      <w:r>
        <w:t xml:space="preserve"> little</w:t>
      </w:r>
      <w:r w:rsidRPr="00E12C1B">
        <w:t xml:space="preserve"> empirical data</w:t>
      </w:r>
      <w:r w:rsidR="00B90C33">
        <w:t xml:space="preserve"> and finds SCE’s efforts are adequate to satisfy the Commission’s directives in D.18-08-026.</w:t>
      </w:r>
      <w:r w:rsidRPr="001A30CE">
        <w:rPr>
          <w:rStyle w:val="FootnoteReference"/>
          <w:sz w:val="22"/>
        </w:rPr>
        <w:footnoteReference w:id="152"/>
      </w:r>
      <w:r>
        <w:t xml:space="preserve"> </w:t>
      </w:r>
    </w:p>
    <w:p w:rsidR="00574486" w:rsidP="00574486" w:rsidRDefault="00574486" w14:paraId="729C5C9D" w14:textId="77777777">
      <w:pPr>
        <w:pStyle w:val="Standard"/>
      </w:pPr>
      <w:r>
        <w:t xml:space="preserve">Because TURN does not contest SCE’s event frequency for Flex-2-2, </w:t>
      </w:r>
      <w:r w:rsidR="00251D7F">
        <w:t xml:space="preserve">loss of two transformers, </w:t>
      </w:r>
      <w:r>
        <w:t>the Commission finds SCE’s event frequency for Flex-2-2 to be reasonable.</w:t>
      </w:r>
      <w:r w:rsidR="00891BEA">
        <w:t xml:space="preserve">  </w:t>
      </w:r>
      <w:r w:rsidR="00F27472">
        <w:t>Furthermore, spacing between equipment can limit collateral damage from transformer fires, but may not offer mitigation for events such as outages caused by lightning, earthquake</w:t>
      </w:r>
      <w:r w:rsidR="0001712E">
        <w:t>s, and windstorms</w:t>
      </w:r>
      <w:r w:rsidR="00F27472">
        <w:t>.</w:t>
      </w:r>
      <w:r w:rsidR="00F27472">
        <w:rPr>
          <w:rStyle w:val="FootnoteReference"/>
        </w:rPr>
        <w:footnoteReference w:id="153"/>
      </w:r>
      <w:r w:rsidR="00F27472">
        <w:t xml:space="preserve">  </w:t>
      </w:r>
    </w:p>
    <w:p w:rsidRPr="00E12C1B" w:rsidR="00BC67B1" w:rsidP="00BC67B1" w:rsidRDefault="00BC67B1" w14:paraId="7399DFD4" w14:textId="77777777">
      <w:pPr>
        <w:pStyle w:val="Standard"/>
      </w:pPr>
      <w:r w:rsidRPr="00E12C1B">
        <w:t>The context</w:t>
      </w:r>
      <w:r w:rsidR="00727E91">
        <w:t xml:space="preserve"> and goal</w:t>
      </w:r>
      <w:r w:rsidRPr="00E12C1B">
        <w:t xml:space="preserve"> of SCE’s resilience analysis is important.  SCE developed reliability and resiliency metrics to assess the effectiveness of various alternatives to the Alberhill project to meet capacity, reliability, and resilience needs of the Valley South System.</w:t>
      </w:r>
      <w:r w:rsidRPr="001A30CE">
        <w:rPr>
          <w:rStyle w:val="FootnoteReference"/>
          <w:sz w:val="22"/>
        </w:rPr>
        <w:footnoteReference w:id="154"/>
      </w:r>
      <w:r w:rsidRPr="001A30CE">
        <w:rPr>
          <w:sz w:val="22"/>
        </w:rPr>
        <w:t xml:space="preserve">  </w:t>
      </w:r>
      <w:r w:rsidRPr="00E12C1B">
        <w:t>Energy Division used the metrics to evaluate how SCE ranked the different alternatives, noting that considering the total loss of Valley Substation is appropriate when weighing the resiliency needs of the Valley South System.</w:t>
      </w:r>
      <w:r w:rsidRPr="001A30CE">
        <w:rPr>
          <w:rStyle w:val="FootnoteReference"/>
          <w:sz w:val="22"/>
        </w:rPr>
        <w:footnoteReference w:id="155"/>
      </w:r>
      <w:r w:rsidRPr="001A30CE">
        <w:rPr>
          <w:sz w:val="22"/>
        </w:rPr>
        <w:t xml:space="preserve"> </w:t>
      </w:r>
      <w:r w:rsidRPr="00E12C1B">
        <w:t xml:space="preserve"> Energy Division concluded that the Flex scenarios are </w:t>
      </w:r>
      <w:r w:rsidRPr="00E12C1B">
        <w:lastRenderedPageBreak/>
        <w:t>reasonable.</w:t>
      </w:r>
      <w:r w:rsidRPr="001A30CE">
        <w:rPr>
          <w:rStyle w:val="FootnoteReference"/>
          <w:sz w:val="22"/>
        </w:rPr>
        <w:footnoteReference w:id="156"/>
      </w:r>
      <w:r w:rsidRPr="00E12C1B">
        <w:t xml:space="preserve">  The Commission finds that overall </w:t>
      </w:r>
      <w:r w:rsidR="00397989">
        <w:t xml:space="preserve">SCE’s </w:t>
      </w:r>
      <w:r w:rsidRPr="00E12C1B">
        <w:t>resilience metrics and assumptions reasonable and that they served their purpose</w:t>
      </w:r>
      <w:r w:rsidR="005B6030">
        <w:t xml:space="preserve"> as required by D.18-08-026</w:t>
      </w:r>
      <w:r w:rsidRPr="00E12C1B">
        <w:t>.</w:t>
      </w:r>
    </w:p>
    <w:p w:rsidRPr="00E12C1B" w:rsidR="006C20C3" w:rsidP="00124DC5" w:rsidRDefault="00DD7FCB" w14:paraId="712CBE53" w14:textId="77777777">
      <w:pPr>
        <w:pStyle w:val="Standard"/>
      </w:pPr>
      <w:r>
        <w:t xml:space="preserve"> </w:t>
      </w:r>
      <w:r w:rsidR="00CE4A2D">
        <w:t>T</w:t>
      </w:r>
      <w:r>
        <w:t xml:space="preserve">he Commission need not determine a particular event </w:t>
      </w:r>
      <w:r w:rsidR="00CE4A2D">
        <w:t>frequency</w:t>
      </w:r>
      <w:r>
        <w:t xml:space="preserve"> to conclude that </w:t>
      </w:r>
      <w:r w:rsidR="00CE4A2D">
        <w:t>the</w:t>
      </w:r>
      <w:r w:rsidR="00A06222">
        <w:t>re is a resilience need for</w:t>
      </w:r>
      <w:r w:rsidR="00CE4A2D">
        <w:t xml:space="preserve"> </w:t>
      </w:r>
      <w:r>
        <w:t xml:space="preserve">Alberhill </w:t>
      </w:r>
      <w:r w:rsidR="00CE4A2D">
        <w:t>project.</w:t>
      </w:r>
      <w:r w:rsidRPr="001A30CE" w:rsidR="00DF6D46">
        <w:rPr>
          <w:sz w:val="22"/>
        </w:rPr>
        <w:t xml:space="preserve"> </w:t>
      </w:r>
      <w:r w:rsidRPr="00E12C1B" w:rsidR="00DF6D46">
        <w:t xml:space="preserve"> </w:t>
      </w:r>
      <w:r w:rsidRPr="00E12C1B" w:rsidR="00BC67B1">
        <w:t>The Valley South System is at capacity.  The Valley South customers have been served by a system more vulnerable than any other part of SCE’s service area.  SCE states it needs approximately three years to construct the Alberhill project.  During that time, a high impact low probability event may occur, putting the customers at risk.  The Commission agrees with the Staff Report that resilience of the Valley South System is vulnerable to loss of its source of electricity</w:t>
      </w:r>
      <w:r w:rsidR="00036476">
        <w:t xml:space="preserve"> and that the total loss of the Valley Substation is “compelling when weighing the resiliency need” for the A</w:t>
      </w:r>
      <w:r w:rsidR="000B1D56">
        <w:t>l</w:t>
      </w:r>
      <w:r w:rsidR="00036476">
        <w:t>berhill project.</w:t>
      </w:r>
      <w:r w:rsidRPr="00036476" w:rsidR="00036476">
        <w:rPr>
          <w:rStyle w:val="FootnoteReference"/>
          <w:sz w:val="22"/>
        </w:rPr>
        <w:t xml:space="preserve"> </w:t>
      </w:r>
      <w:r w:rsidRPr="001A30CE" w:rsidR="00036476">
        <w:rPr>
          <w:rStyle w:val="FootnoteReference"/>
          <w:sz w:val="22"/>
        </w:rPr>
        <w:footnoteReference w:id="157"/>
      </w:r>
    </w:p>
    <w:p w:rsidRPr="001D29C4" w:rsidR="00433C02" w:rsidP="00883DC4" w:rsidRDefault="00433C02" w14:paraId="5C8E6F29" w14:textId="77777777">
      <w:pPr>
        <w:pStyle w:val="Heading2"/>
      </w:pPr>
      <w:bookmarkStart w:name="_Toc225410175" w:id="75"/>
      <w:r w:rsidRPr="001D29C4">
        <w:t>Cost/Benefit Analysis</w:t>
      </w:r>
      <w:bookmarkEnd w:id="75"/>
    </w:p>
    <w:p w:rsidR="00A06222" w:rsidP="00420020" w:rsidRDefault="00A06222" w14:paraId="5F4B5F38" w14:textId="77777777">
      <w:pPr>
        <w:pStyle w:val="Standard"/>
      </w:pPr>
      <w:r>
        <w:t xml:space="preserve">D.18-08-026, Ordering Paragraph 4, required </w:t>
      </w:r>
      <w:r w:rsidR="001B500C">
        <w:t xml:space="preserve">SCE </w:t>
      </w:r>
      <w:r>
        <w:t xml:space="preserve">to </w:t>
      </w:r>
      <w:r w:rsidR="001B500C">
        <w:t xml:space="preserve">perform a cost-benefit analysis </w:t>
      </w:r>
      <w:r>
        <w:t>a</w:t>
      </w:r>
      <w:r w:rsidR="00491C3C">
        <w:t>s a way</w:t>
      </w:r>
      <w:r w:rsidR="00E247EA">
        <w:t xml:space="preserve"> to</w:t>
      </w:r>
      <w:r w:rsidR="00491C3C">
        <w:t xml:space="preserve"> </w:t>
      </w:r>
      <w:r w:rsidR="001B500C">
        <w:t>review</w:t>
      </w:r>
      <w:r w:rsidR="00491C3C">
        <w:t xml:space="preserve"> and rank</w:t>
      </w:r>
      <w:r w:rsidR="001B500C">
        <w:t xml:space="preserve"> alternatives</w:t>
      </w:r>
      <w:r>
        <w:t xml:space="preserve"> to the Alberhill project</w:t>
      </w:r>
      <w:r w:rsidR="001B500C">
        <w:t xml:space="preserve">.  </w:t>
      </w:r>
      <w:r w:rsidRPr="00E12C1B" w:rsidR="006D6938">
        <w:t>The Commission noted in the Addendum that a cost benefit analysis is not usually performed as part of the review for a Certificate of Public Convenience and Necessity.</w:t>
      </w:r>
      <w:r w:rsidRPr="00A67CBD" w:rsidR="006D6938">
        <w:rPr>
          <w:rStyle w:val="FootnoteReference"/>
          <w:sz w:val="22"/>
        </w:rPr>
        <w:footnoteReference w:id="158"/>
      </w:r>
      <w:r w:rsidRPr="00E12C1B" w:rsidR="006D6938">
        <w:t xml:space="preserve">  </w:t>
      </w:r>
      <w:r w:rsidR="006D6938">
        <w:t>Energy Division’s</w:t>
      </w:r>
      <w:r w:rsidR="001B500C">
        <w:t xml:space="preserve"> Staff Report states that no method was prescribed.</w:t>
      </w:r>
      <w:r w:rsidR="001B500C">
        <w:rPr>
          <w:rStyle w:val="FootnoteReference"/>
        </w:rPr>
        <w:footnoteReference w:id="159"/>
      </w:r>
      <w:r>
        <w:t xml:space="preserve">  </w:t>
      </w:r>
      <w:r w:rsidR="006D6938">
        <w:t xml:space="preserve">Nevertheless, </w:t>
      </w:r>
      <w:r>
        <w:t>SCE complied with the Commission’s order</w:t>
      </w:r>
      <w:r w:rsidR="00E247EA">
        <w:t>,</w:t>
      </w:r>
      <w:r>
        <w:t xml:space="preserve"> created </w:t>
      </w:r>
      <w:r>
        <w:lastRenderedPageBreak/>
        <w:t>reasonable metrics that it applied consistently across the alternatives</w:t>
      </w:r>
      <w:r w:rsidR="00E247EA">
        <w:t>, and produced reasonable estimated values</w:t>
      </w:r>
      <w:r>
        <w:t>.  SCE’s analysis satisfies D.18-08-026.</w:t>
      </w:r>
      <w:r w:rsidR="001B500C">
        <w:t xml:space="preserve">  </w:t>
      </w:r>
    </w:p>
    <w:p w:rsidR="001B500C" w:rsidP="00A4431A" w:rsidRDefault="001B500C" w14:paraId="6990D3B0" w14:textId="77777777">
      <w:pPr>
        <w:pStyle w:val="Standard"/>
      </w:pPr>
      <w:r>
        <w:t>Table 2 below shows SCE’s estimates to be on the higher range of value, while TURN calculated</w:t>
      </w:r>
      <w:r w:rsidR="00A06222">
        <w:t xml:space="preserve"> </w:t>
      </w:r>
      <w:r>
        <w:t>lower value</w:t>
      </w:r>
      <w:r w:rsidR="00A06222">
        <w:t>s</w:t>
      </w:r>
      <w:r>
        <w:t xml:space="preserve">.  </w:t>
      </w:r>
    </w:p>
    <w:p w:rsidRPr="00CD2DF8" w:rsidR="001B500C" w:rsidP="00420020" w:rsidRDefault="001B500C" w14:paraId="7415F9CD" w14:textId="77777777">
      <w:pPr>
        <w:pStyle w:val="Standard"/>
        <w:rPr>
          <w:b/>
          <w:bCs/>
        </w:rPr>
      </w:pPr>
      <w:r w:rsidRPr="00CD2DF8">
        <w:rPr>
          <w:b/>
          <w:bCs/>
        </w:rPr>
        <w:t xml:space="preserve">Table 2. </w:t>
      </w:r>
      <w:r w:rsidR="006347BE">
        <w:rPr>
          <w:b/>
          <w:bCs/>
        </w:rPr>
        <w:t xml:space="preserve">Summary of the </w:t>
      </w:r>
      <w:r w:rsidRPr="00CD2DF8">
        <w:rPr>
          <w:b/>
          <w:bCs/>
        </w:rPr>
        <w:t>Net Present Value of Contingency Events</w:t>
      </w:r>
    </w:p>
    <w:tbl>
      <w:tblPr>
        <w:tblStyle w:val="TableGrid"/>
        <w:tblW w:w="9630" w:type="dxa"/>
        <w:tblInd w:w="-95" w:type="dxa"/>
        <w:tblLook w:val="04A0" w:firstRow="1" w:lastRow="0" w:firstColumn="1" w:lastColumn="0" w:noHBand="0" w:noVBand="1"/>
      </w:tblPr>
      <w:tblGrid>
        <w:gridCol w:w="3870"/>
        <w:gridCol w:w="1800"/>
        <w:gridCol w:w="2160"/>
        <w:gridCol w:w="1800"/>
      </w:tblGrid>
      <w:tr w:rsidRPr="006C7D9B" w:rsidR="001B500C" w:rsidTr="00CD2DF8" w14:paraId="2FD504A2" w14:textId="77777777">
        <w:tc>
          <w:tcPr>
            <w:tcW w:w="3870" w:type="dxa"/>
            <w:vAlign w:val="center"/>
          </w:tcPr>
          <w:p w:rsidRPr="006C7D9B" w:rsidR="001B500C" w:rsidP="007E68B2" w:rsidRDefault="001B500C" w14:paraId="0A1D18C6" w14:textId="77777777">
            <w:pPr>
              <w:pStyle w:val="Standard"/>
              <w:spacing w:line="240" w:lineRule="auto"/>
              <w:ind w:firstLine="0"/>
              <w:jc w:val="center"/>
              <w:rPr>
                <w:rFonts w:cs="Arial"/>
                <w:b/>
                <w:bCs/>
                <w:sz w:val="24"/>
                <w:szCs w:val="24"/>
              </w:rPr>
            </w:pPr>
            <w:r w:rsidRPr="006C7D9B">
              <w:rPr>
                <w:rFonts w:cs="Arial"/>
                <w:b/>
                <w:bCs/>
                <w:sz w:val="24"/>
                <w:szCs w:val="24"/>
              </w:rPr>
              <w:t>Metric for Event/Contingency Scenario</w:t>
            </w:r>
          </w:p>
        </w:tc>
        <w:tc>
          <w:tcPr>
            <w:tcW w:w="1800" w:type="dxa"/>
            <w:vAlign w:val="center"/>
          </w:tcPr>
          <w:p w:rsidRPr="006C7D9B" w:rsidR="001B500C" w:rsidP="007E68B2" w:rsidRDefault="001B500C" w14:paraId="194C1B9B" w14:textId="77777777">
            <w:pPr>
              <w:pStyle w:val="Standard"/>
              <w:spacing w:line="240" w:lineRule="auto"/>
              <w:ind w:left="-144" w:firstLine="0"/>
              <w:jc w:val="center"/>
              <w:rPr>
                <w:rFonts w:cs="Arial"/>
                <w:b/>
                <w:bCs/>
                <w:sz w:val="24"/>
                <w:szCs w:val="24"/>
              </w:rPr>
            </w:pPr>
            <w:r w:rsidRPr="006C7D9B">
              <w:rPr>
                <w:rFonts w:cs="Arial"/>
                <w:b/>
                <w:bCs/>
                <w:sz w:val="24"/>
                <w:szCs w:val="24"/>
              </w:rPr>
              <w:t>SCE</w:t>
            </w:r>
            <w:r w:rsidR="006347BE">
              <w:rPr>
                <w:rFonts w:cs="Arial"/>
                <w:b/>
                <w:bCs/>
                <w:sz w:val="24"/>
                <w:szCs w:val="24"/>
              </w:rPr>
              <w:t xml:space="preserve"> Estimated </w:t>
            </w:r>
            <w:r w:rsidRPr="006C7D9B">
              <w:rPr>
                <w:rFonts w:cs="Arial"/>
                <w:b/>
                <w:bCs/>
                <w:sz w:val="24"/>
                <w:szCs w:val="24"/>
              </w:rPr>
              <w:t>Net</w:t>
            </w:r>
          </w:p>
          <w:p w:rsidRPr="006C7D9B" w:rsidR="001B500C" w:rsidP="007E68B2" w:rsidRDefault="001B500C" w14:paraId="17CBBB37" w14:textId="77777777">
            <w:pPr>
              <w:pStyle w:val="Standard"/>
              <w:spacing w:line="240" w:lineRule="auto"/>
              <w:ind w:left="-144" w:firstLine="0"/>
              <w:jc w:val="center"/>
              <w:rPr>
                <w:rFonts w:cs="Arial"/>
                <w:b/>
                <w:bCs/>
                <w:sz w:val="24"/>
                <w:szCs w:val="24"/>
              </w:rPr>
            </w:pPr>
            <w:r>
              <w:rPr>
                <w:rFonts w:cs="Arial"/>
                <w:b/>
                <w:bCs/>
                <w:sz w:val="24"/>
                <w:szCs w:val="24"/>
              </w:rPr>
              <w:t xml:space="preserve"> </w:t>
            </w:r>
            <w:r w:rsidRPr="006C7D9B">
              <w:rPr>
                <w:rFonts w:cs="Arial"/>
                <w:b/>
                <w:bCs/>
                <w:sz w:val="24"/>
                <w:szCs w:val="24"/>
              </w:rPr>
              <w:t>Present Value</w:t>
            </w:r>
          </w:p>
        </w:tc>
        <w:tc>
          <w:tcPr>
            <w:tcW w:w="2160" w:type="dxa"/>
            <w:vAlign w:val="center"/>
          </w:tcPr>
          <w:p w:rsidRPr="006C7D9B" w:rsidR="001B500C" w:rsidP="00727E91" w:rsidRDefault="001B500C" w14:paraId="7DD9DF67" w14:textId="77777777">
            <w:pPr>
              <w:pStyle w:val="Standard"/>
              <w:spacing w:line="240" w:lineRule="auto"/>
              <w:ind w:left="-288" w:firstLine="0"/>
              <w:jc w:val="center"/>
              <w:rPr>
                <w:rFonts w:cs="Arial"/>
                <w:b/>
                <w:bCs/>
                <w:sz w:val="24"/>
                <w:szCs w:val="24"/>
              </w:rPr>
            </w:pPr>
            <w:r w:rsidRPr="006C7D9B">
              <w:rPr>
                <w:rFonts w:cs="Arial"/>
                <w:b/>
                <w:bCs/>
                <w:sz w:val="24"/>
                <w:szCs w:val="24"/>
              </w:rPr>
              <w:t>TURN</w:t>
            </w:r>
            <w:r w:rsidR="008D1578">
              <w:rPr>
                <w:rFonts w:cs="Arial"/>
                <w:b/>
                <w:bCs/>
                <w:sz w:val="24"/>
                <w:szCs w:val="24"/>
              </w:rPr>
              <w:t xml:space="preserve"> Estimated</w:t>
            </w:r>
            <w:r w:rsidRPr="006C7D9B">
              <w:rPr>
                <w:rFonts w:cs="Arial"/>
                <w:b/>
                <w:bCs/>
                <w:sz w:val="24"/>
                <w:szCs w:val="24"/>
              </w:rPr>
              <w:t xml:space="preserve"> Net</w:t>
            </w:r>
          </w:p>
          <w:p w:rsidRPr="006C7D9B" w:rsidR="001B500C" w:rsidP="00727E91" w:rsidRDefault="001B500C" w14:paraId="2A5C7BFD" w14:textId="77777777">
            <w:pPr>
              <w:pStyle w:val="Standard"/>
              <w:spacing w:line="240" w:lineRule="auto"/>
              <w:ind w:left="-288" w:firstLine="0"/>
              <w:jc w:val="center"/>
              <w:rPr>
                <w:rFonts w:cs="Arial"/>
                <w:b/>
                <w:bCs/>
                <w:sz w:val="24"/>
                <w:szCs w:val="24"/>
              </w:rPr>
            </w:pPr>
            <w:r w:rsidRPr="006C7D9B">
              <w:rPr>
                <w:rFonts w:cs="Arial"/>
                <w:b/>
                <w:bCs/>
                <w:sz w:val="24"/>
                <w:szCs w:val="24"/>
              </w:rPr>
              <w:t>Present Value</w:t>
            </w:r>
          </w:p>
        </w:tc>
        <w:tc>
          <w:tcPr>
            <w:tcW w:w="1800" w:type="dxa"/>
            <w:vAlign w:val="center"/>
          </w:tcPr>
          <w:p w:rsidR="001B500C" w:rsidP="007E68B2" w:rsidRDefault="001B500C" w14:paraId="390D5F45" w14:textId="77777777">
            <w:pPr>
              <w:pStyle w:val="Standard"/>
              <w:spacing w:line="240" w:lineRule="auto"/>
              <w:ind w:left="-432" w:firstLine="0"/>
              <w:jc w:val="center"/>
              <w:rPr>
                <w:rFonts w:cs="Arial"/>
                <w:b/>
                <w:bCs/>
                <w:sz w:val="24"/>
                <w:szCs w:val="24"/>
              </w:rPr>
            </w:pPr>
            <w:r>
              <w:rPr>
                <w:rFonts w:cs="Arial"/>
                <w:b/>
                <w:bCs/>
                <w:sz w:val="24"/>
                <w:szCs w:val="24"/>
              </w:rPr>
              <w:t xml:space="preserve">     </w:t>
            </w:r>
            <w:r w:rsidRPr="006C7D9B">
              <w:rPr>
                <w:rFonts w:cs="Arial"/>
                <w:b/>
                <w:bCs/>
                <w:sz w:val="24"/>
                <w:szCs w:val="24"/>
              </w:rPr>
              <w:t>Reasonable</w:t>
            </w:r>
          </w:p>
          <w:p w:rsidR="001B500C" w:rsidP="007E68B2" w:rsidRDefault="001B500C" w14:paraId="510CA30C" w14:textId="77777777">
            <w:pPr>
              <w:pStyle w:val="Standard"/>
              <w:spacing w:line="240" w:lineRule="auto"/>
              <w:ind w:left="-432" w:firstLine="0"/>
              <w:jc w:val="center"/>
              <w:rPr>
                <w:rFonts w:cs="Arial"/>
                <w:b/>
                <w:bCs/>
                <w:sz w:val="24"/>
                <w:szCs w:val="24"/>
              </w:rPr>
            </w:pPr>
            <w:r>
              <w:rPr>
                <w:rFonts w:cs="Arial"/>
                <w:b/>
                <w:bCs/>
                <w:sz w:val="24"/>
                <w:szCs w:val="24"/>
              </w:rPr>
              <w:t xml:space="preserve">  </w:t>
            </w:r>
            <w:r w:rsidRPr="006C7D9B">
              <w:rPr>
                <w:rFonts w:cs="Arial"/>
                <w:b/>
                <w:bCs/>
                <w:sz w:val="24"/>
                <w:szCs w:val="24"/>
              </w:rPr>
              <w:t xml:space="preserve"> </w:t>
            </w:r>
            <w:r>
              <w:rPr>
                <w:rFonts w:cs="Arial"/>
                <w:b/>
                <w:bCs/>
                <w:sz w:val="24"/>
                <w:szCs w:val="24"/>
              </w:rPr>
              <w:t xml:space="preserve">   </w:t>
            </w:r>
            <w:r w:rsidR="006347BE">
              <w:rPr>
                <w:rFonts w:cs="Arial"/>
                <w:b/>
                <w:bCs/>
                <w:sz w:val="24"/>
                <w:szCs w:val="24"/>
              </w:rPr>
              <w:t>Estimated</w:t>
            </w:r>
            <w:r w:rsidRPr="006C7D9B">
              <w:rPr>
                <w:rFonts w:cs="Arial"/>
                <w:b/>
                <w:bCs/>
                <w:sz w:val="24"/>
                <w:szCs w:val="24"/>
              </w:rPr>
              <w:t xml:space="preserve"> Net </w:t>
            </w:r>
            <w:r>
              <w:rPr>
                <w:rFonts w:cs="Arial"/>
                <w:b/>
                <w:bCs/>
                <w:sz w:val="24"/>
                <w:szCs w:val="24"/>
              </w:rPr>
              <w:t xml:space="preserve"> </w:t>
            </w:r>
          </w:p>
          <w:p w:rsidRPr="006C7D9B" w:rsidR="001B500C" w:rsidP="007E68B2" w:rsidRDefault="001B500C" w14:paraId="6CD7DA0D" w14:textId="77777777">
            <w:pPr>
              <w:pStyle w:val="Standard"/>
              <w:spacing w:line="240" w:lineRule="auto"/>
              <w:ind w:left="-432" w:firstLine="0"/>
              <w:jc w:val="center"/>
              <w:rPr>
                <w:rFonts w:cs="Arial"/>
                <w:b/>
                <w:bCs/>
                <w:sz w:val="24"/>
                <w:szCs w:val="24"/>
              </w:rPr>
            </w:pPr>
            <w:r>
              <w:rPr>
                <w:rFonts w:cs="Arial"/>
                <w:b/>
                <w:bCs/>
                <w:sz w:val="24"/>
                <w:szCs w:val="24"/>
              </w:rPr>
              <w:t xml:space="preserve">      </w:t>
            </w:r>
            <w:r w:rsidRPr="006C7D9B">
              <w:rPr>
                <w:rFonts w:cs="Arial"/>
                <w:b/>
                <w:bCs/>
                <w:sz w:val="24"/>
                <w:szCs w:val="24"/>
              </w:rPr>
              <w:t>Present Value</w:t>
            </w:r>
          </w:p>
        </w:tc>
      </w:tr>
      <w:tr w:rsidRPr="00E12C1B" w:rsidR="001B500C" w:rsidTr="00CD2DF8" w14:paraId="0EB88BBE" w14:textId="77777777">
        <w:tc>
          <w:tcPr>
            <w:tcW w:w="3870" w:type="dxa"/>
          </w:tcPr>
          <w:p w:rsidRPr="006C7D9B" w:rsidR="001B500C" w:rsidP="007E68B2" w:rsidRDefault="001B500C" w14:paraId="1A1F8183" w14:textId="77777777">
            <w:pPr>
              <w:pStyle w:val="Standard"/>
              <w:spacing w:line="240" w:lineRule="auto"/>
              <w:ind w:firstLine="0"/>
              <w:rPr>
                <w:sz w:val="23"/>
                <w:szCs w:val="23"/>
              </w:rPr>
            </w:pPr>
            <w:r w:rsidRPr="006C7D9B">
              <w:rPr>
                <w:sz w:val="23"/>
                <w:szCs w:val="23"/>
              </w:rPr>
              <w:t>N-0 (Normal)</w:t>
            </w:r>
          </w:p>
        </w:tc>
        <w:tc>
          <w:tcPr>
            <w:tcW w:w="1800" w:type="dxa"/>
            <w:vAlign w:val="center"/>
          </w:tcPr>
          <w:p w:rsidRPr="00E12C1B" w:rsidR="001B500C" w:rsidP="007E68B2" w:rsidRDefault="001B500C" w14:paraId="45B83D14" w14:textId="77777777">
            <w:pPr>
              <w:pStyle w:val="Standard"/>
              <w:spacing w:line="240" w:lineRule="auto"/>
              <w:ind w:firstLine="0"/>
              <w:jc w:val="center"/>
              <w:rPr>
                <w:sz w:val="24"/>
                <w:szCs w:val="24"/>
              </w:rPr>
            </w:pPr>
            <w:r w:rsidRPr="00E12C1B">
              <w:rPr>
                <w:sz w:val="24"/>
                <w:szCs w:val="24"/>
              </w:rPr>
              <w:t>$2.53 Billion</w:t>
            </w:r>
          </w:p>
        </w:tc>
        <w:tc>
          <w:tcPr>
            <w:tcW w:w="2160" w:type="dxa"/>
            <w:vAlign w:val="center"/>
          </w:tcPr>
          <w:p w:rsidRPr="00E12C1B" w:rsidR="001B500C" w:rsidP="007E68B2" w:rsidRDefault="001B500C" w14:paraId="480C14D6" w14:textId="77777777">
            <w:pPr>
              <w:pStyle w:val="Standard"/>
              <w:spacing w:line="240" w:lineRule="auto"/>
              <w:ind w:firstLine="0"/>
              <w:jc w:val="center"/>
              <w:rPr>
                <w:sz w:val="24"/>
                <w:szCs w:val="24"/>
              </w:rPr>
            </w:pPr>
            <w:r w:rsidRPr="00E12C1B">
              <w:rPr>
                <w:sz w:val="24"/>
                <w:szCs w:val="24"/>
              </w:rPr>
              <w:t>0.7 Million</w:t>
            </w:r>
          </w:p>
        </w:tc>
        <w:tc>
          <w:tcPr>
            <w:tcW w:w="1800" w:type="dxa"/>
            <w:vAlign w:val="center"/>
          </w:tcPr>
          <w:p w:rsidRPr="00E12C1B" w:rsidR="001B500C" w:rsidP="007E68B2" w:rsidRDefault="001B500C" w14:paraId="12883727" w14:textId="77777777">
            <w:pPr>
              <w:pStyle w:val="Standard"/>
              <w:spacing w:line="240" w:lineRule="auto"/>
              <w:ind w:firstLine="0"/>
              <w:jc w:val="center"/>
              <w:rPr>
                <w:sz w:val="24"/>
                <w:szCs w:val="24"/>
              </w:rPr>
            </w:pPr>
            <w:r w:rsidRPr="00E12C1B">
              <w:rPr>
                <w:sz w:val="24"/>
                <w:szCs w:val="24"/>
              </w:rPr>
              <w:t>$2.53 Billion</w:t>
            </w:r>
          </w:p>
        </w:tc>
      </w:tr>
      <w:tr w:rsidRPr="00E12C1B" w:rsidR="001B500C" w:rsidTr="00CD2DF8" w14:paraId="25618D66" w14:textId="77777777">
        <w:tc>
          <w:tcPr>
            <w:tcW w:w="3870" w:type="dxa"/>
          </w:tcPr>
          <w:p w:rsidRPr="006C7D9B" w:rsidR="001B500C" w:rsidP="007E68B2" w:rsidRDefault="001B500C" w14:paraId="58D5B0D1" w14:textId="77777777">
            <w:pPr>
              <w:pStyle w:val="Standard"/>
              <w:spacing w:line="240" w:lineRule="auto"/>
              <w:ind w:firstLine="0"/>
              <w:rPr>
                <w:sz w:val="23"/>
                <w:szCs w:val="23"/>
              </w:rPr>
            </w:pPr>
            <w:r w:rsidRPr="006C7D9B">
              <w:rPr>
                <w:sz w:val="23"/>
                <w:szCs w:val="23"/>
              </w:rPr>
              <w:t>N-1 (Includes loss of one element, such as a transformer)</w:t>
            </w:r>
          </w:p>
        </w:tc>
        <w:tc>
          <w:tcPr>
            <w:tcW w:w="1800" w:type="dxa"/>
            <w:vAlign w:val="center"/>
          </w:tcPr>
          <w:p w:rsidRPr="00E12C1B" w:rsidR="001B500C" w:rsidP="007E68B2" w:rsidRDefault="001B500C" w14:paraId="18ED35FE" w14:textId="77777777">
            <w:pPr>
              <w:pStyle w:val="Standard"/>
              <w:spacing w:line="240" w:lineRule="auto"/>
              <w:ind w:firstLine="0"/>
              <w:jc w:val="center"/>
              <w:rPr>
                <w:sz w:val="24"/>
                <w:szCs w:val="24"/>
              </w:rPr>
            </w:pPr>
            <w:r w:rsidRPr="00E12C1B">
              <w:rPr>
                <w:sz w:val="24"/>
                <w:szCs w:val="24"/>
              </w:rPr>
              <w:t>$0.1 Million</w:t>
            </w:r>
          </w:p>
        </w:tc>
        <w:tc>
          <w:tcPr>
            <w:tcW w:w="2160" w:type="dxa"/>
            <w:vAlign w:val="center"/>
          </w:tcPr>
          <w:p w:rsidRPr="00E12C1B" w:rsidR="001B500C" w:rsidP="007E68B2" w:rsidRDefault="001B500C" w14:paraId="5F3D129C" w14:textId="77777777">
            <w:pPr>
              <w:pStyle w:val="Standard"/>
              <w:spacing w:line="240" w:lineRule="auto"/>
              <w:ind w:firstLine="0"/>
              <w:jc w:val="center"/>
              <w:rPr>
                <w:sz w:val="24"/>
                <w:szCs w:val="24"/>
              </w:rPr>
            </w:pPr>
          </w:p>
        </w:tc>
        <w:tc>
          <w:tcPr>
            <w:tcW w:w="1800" w:type="dxa"/>
            <w:vAlign w:val="center"/>
          </w:tcPr>
          <w:p w:rsidRPr="00E12C1B" w:rsidR="001B500C" w:rsidP="007E68B2" w:rsidRDefault="001B500C" w14:paraId="44FFD37F" w14:textId="77777777">
            <w:pPr>
              <w:pStyle w:val="Standard"/>
              <w:spacing w:line="240" w:lineRule="auto"/>
              <w:ind w:firstLine="0"/>
              <w:jc w:val="center"/>
              <w:rPr>
                <w:sz w:val="24"/>
                <w:szCs w:val="24"/>
              </w:rPr>
            </w:pPr>
            <w:r w:rsidRPr="00E12C1B">
              <w:rPr>
                <w:sz w:val="24"/>
                <w:szCs w:val="24"/>
              </w:rPr>
              <w:t>$0.1 Million</w:t>
            </w:r>
          </w:p>
        </w:tc>
      </w:tr>
      <w:tr w:rsidRPr="00E12C1B" w:rsidR="001B500C" w:rsidTr="00CD2DF8" w14:paraId="57D54A3F" w14:textId="77777777">
        <w:tc>
          <w:tcPr>
            <w:tcW w:w="3870" w:type="dxa"/>
          </w:tcPr>
          <w:p w:rsidRPr="006C7D9B" w:rsidR="001B500C" w:rsidP="007E68B2" w:rsidRDefault="001B500C" w14:paraId="2A7A48DD" w14:textId="77777777">
            <w:pPr>
              <w:pStyle w:val="Standard"/>
              <w:spacing w:line="240" w:lineRule="auto"/>
              <w:ind w:firstLine="0"/>
              <w:rPr>
                <w:sz w:val="23"/>
                <w:szCs w:val="23"/>
              </w:rPr>
            </w:pPr>
            <w:r w:rsidRPr="006C7D9B">
              <w:rPr>
                <w:sz w:val="23"/>
                <w:szCs w:val="23"/>
              </w:rPr>
              <w:t>Flex-2-1 (Includes complete Valley Substation outage)</w:t>
            </w:r>
          </w:p>
        </w:tc>
        <w:tc>
          <w:tcPr>
            <w:tcW w:w="1800" w:type="dxa"/>
            <w:vAlign w:val="center"/>
          </w:tcPr>
          <w:p w:rsidRPr="00E12C1B" w:rsidR="001B500C" w:rsidP="007E68B2" w:rsidRDefault="001B500C" w14:paraId="304A12B7" w14:textId="77777777">
            <w:pPr>
              <w:pStyle w:val="Standard"/>
              <w:spacing w:line="240" w:lineRule="auto"/>
              <w:ind w:firstLine="0"/>
              <w:jc w:val="center"/>
              <w:rPr>
                <w:sz w:val="24"/>
                <w:szCs w:val="24"/>
              </w:rPr>
            </w:pPr>
            <w:r w:rsidRPr="00E12C1B">
              <w:rPr>
                <w:sz w:val="24"/>
                <w:szCs w:val="24"/>
              </w:rPr>
              <w:t>$1.73 Billion</w:t>
            </w:r>
          </w:p>
          <w:p w:rsidRPr="00E12C1B" w:rsidR="001B500C" w:rsidP="007E68B2" w:rsidRDefault="001B500C" w14:paraId="24BCB473" w14:textId="77777777">
            <w:pPr>
              <w:pStyle w:val="Standard"/>
              <w:spacing w:line="240" w:lineRule="auto"/>
              <w:ind w:firstLine="0"/>
              <w:jc w:val="center"/>
              <w:rPr>
                <w:sz w:val="24"/>
                <w:szCs w:val="24"/>
              </w:rPr>
            </w:pPr>
            <w:r w:rsidRPr="00E12C1B">
              <w:rPr>
                <w:sz w:val="24"/>
                <w:szCs w:val="24"/>
              </w:rPr>
              <w:t>(1-in-100 year frequency)</w:t>
            </w:r>
          </w:p>
        </w:tc>
        <w:tc>
          <w:tcPr>
            <w:tcW w:w="2160" w:type="dxa"/>
            <w:vAlign w:val="center"/>
          </w:tcPr>
          <w:p w:rsidRPr="00E12C1B" w:rsidR="001B500C" w:rsidP="007E68B2" w:rsidRDefault="001B500C" w14:paraId="76635B91" w14:textId="77777777">
            <w:pPr>
              <w:pStyle w:val="Standard"/>
              <w:spacing w:line="240" w:lineRule="auto"/>
              <w:ind w:left="-43" w:firstLine="0"/>
              <w:jc w:val="center"/>
              <w:rPr>
                <w:sz w:val="24"/>
                <w:szCs w:val="24"/>
              </w:rPr>
            </w:pPr>
            <w:r w:rsidRPr="00E12C1B">
              <w:rPr>
                <w:sz w:val="24"/>
                <w:szCs w:val="24"/>
              </w:rPr>
              <w:t>$35.1 Million</w:t>
            </w:r>
          </w:p>
          <w:p w:rsidRPr="00E12C1B" w:rsidR="001B500C" w:rsidP="007E68B2" w:rsidRDefault="001B500C" w14:paraId="5CBCC7EE" w14:textId="77777777">
            <w:pPr>
              <w:pStyle w:val="Standard"/>
              <w:spacing w:line="240" w:lineRule="auto"/>
              <w:ind w:left="-288" w:firstLine="0"/>
              <w:jc w:val="center"/>
              <w:rPr>
                <w:sz w:val="24"/>
                <w:szCs w:val="24"/>
              </w:rPr>
            </w:pPr>
            <w:r w:rsidRPr="00E12C1B">
              <w:rPr>
                <w:sz w:val="24"/>
                <w:szCs w:val="24"/>
              </w:rPr>
              <w:t>(1-in-5,000</w:t>
            </w:r>
            <w:r>
              <w:rPr>
                <w:sz w:val="24"/>
                <w:szCs w:val="24"/>
              </w:rPr>
              <w:t xml:space="preserve"> </w:t>
            </w:r>
            <w:r w:rsidR="00727E91">
              <w:rPr>
                <w:sz w:val="24"/>
                <w:szCs w:val="24"/>
              </w:rPr>
              <w:t xml:space="preserve">substation </w:t>
            </w:r>
            <w:r w:rsidRPr="00E12C1B">
              <w:rPr>
                <w:sz w:val="24"/>
                <w:szCs w:val="24"/>
              </w:rPr>
              <w:t>year frequency)</w:t>
            </w:r>
          </w:p>
        </w:tc>
        <w:tc>
          <w:tcPr>
            <w:tcW w:w="1800" w:type="dxa"/>
            <w:vAlign w:val="center"/>
          </w:tcPr>
          <w:p w:rsidRPr="00E12C1B" w:rsidR="001B500C" w:rsidP="007E68B2" w:rsidRDefault="001B500C" w14:paraId="514ED1D9" w14:textId="77777777">
            <w:pPr>
              <w:pStyle w:val="Standard"/>
              <w:spacing w:line="240" w:lineRule="auto"/>
              <w:ind w:left="-144" w:firstLine="0"/>
              <w:jc w:val="center"/>
              <w:rPr>
                <w:sz w:val="24"/>
                <w:szCs w:val="24"/>
              </w:rPr>
            </w:pPr>
            <w:r w:rsidRPr="00E12C1B">
              <w:rPr>
                <w:sz w:val="24"/>
                <w:szCs w:val="24"/>
              </w:rPr>
              <w:t>$1.73</w:t>
            </w:r>
            <w:r>
              <w:rPr>
                <w:sz w:val="24"/>
                <w:szCs w:val="24"/>
              </w:rPr>
              <w:t xml:space="preserve"> </w:t>
            </w:r>
            <w:r w:rsidRPr="00E12C1B">
              <w:rPr>
                <w:sz w:val="24"/>
                <w:szCs w:val="24"/>
              </w:rPr>
              <w:t>Billion</w:t>
            </w:r>
            <w:r w:rsidRPr="00A67CBD">
              <w:rPr>
                <w:rStyle w:val="FootnoteReference"/>
                <w:sz w:val="22"/>
              </w:rPr>
              <w:footnoteReference w:id="160"/>
            </w:r>
          </w:p>
        </w:tc>
      </w:tr>
      <w:tr w:rsidRPr="00E12C1B" w:rsidR="001B500C" w:rsidTr="00CD2DF8" w14:paraId="0CB65C05" w14:textId="77777777">
        <w:tc>
          <w:tcPr>
            <w:tcW w:w="3870" w:type="dxa"/>
          </w:tcPr>
          <w:p w:rsidRPr="006C7D9B" w:rsidR="001B500C" w:rsidP="007E68B2" w:rsidRDefault="001B500C" w14:paraId="2C8E399D" w14:textId="77777777">
            <w:pPr>
              <w:pStyle w:val="Standard"/>
              <w:spacing w:line="240" w:lineRule="auto"/>
              <w:ind w:firstLine="0"/>
              <w:rPr>
                <w:sz w:val="23"/>
                <w:szCs w:val="23"/>
              </w:rPr>
            </w:pPr>
            <w:r w:rsidRPr="006C7D9B">
              <w:rPr>
                <w:sz w:val="23"/>
                <w:szCs w:val="23"/>
              </w:rPr>
              <w:t>Flex-2-2 (Includes the loss of two normally load-serving Valley South System transformers due to a fire)</w:t>
            </w:r>
          </w:p>
        </w:tc>
        <w:tc>
          <w:tcPr>
            <w:tcW w:w="1800" w:type="dxa"/>
            <w:vAlign w:val="center"/>
          </w:tcPr>
          <w:p w:rsidRPr="006C7D9B" w:rsidR="001B500C" w:rsidP="007E68B2" w:rsidRDefault="001B500C" w14:paraId="674516FF" w14:textId="77777777">
            <w:pPr>
              <w:pStyle w:val="Standard"/>
              <w:spacing w:line="240" w:lineRule="auto"/>
              <w:ind w:firstLine="0"/>
              <w:jc w:val="center"/>
              <w:rPr>
                <w:sz w:val="24"/>
                <w:szCs w:val="24"/>
              </w:rPr>
            </w:pPr>
            <w:r w:rsidRPr="006C7D9B">
              <w:rPr>
                <w:sz w:val="24"/>
                <w:szCs w:val="24"/>
              </w:rPr>
              <w:t>$11.2 Million</w:t>
            </w:r>
          </w:p>
        </w:tc>
        <w:tc>
          <w:tcPr>
            <w:tcW w:w="2160" w:type="dxa"/>
            <w:vAlign w:val="center"/>
          </w:tcPr>
          <w:p w:rsidRPr="00E12C1B" w:rsidR="001B500C" w:rsidP="007E68B2" w:rsidRDefault="001B500C" w14:paraId="6090221B" w14:textId="77777777">
            <w:pPr>
              <w:pStyle w:val="Standard"/>
              <w:spacing w:line="240" w:lineRule="auto"/>
              <w:ind w:firstLine="0"/>
              <w:jc w:val="center"/>
              <w:rPr>
                <w:sz w:val="24"/>
                <w:szCs w:val="24"/>
              </w:rPr>
            </w:pPr>
          </w:p>
        </w:tc>
        <w:tc>
          <w:tcPr>
            <w:tcW w:w="1800" w:type="dxa"/>
            <w:vAlign w:val="center"/>
          </w:tcPr>
          <w:p w:rsidRPr="00E12C1B" w:rsidR="001B500C" w:rsidP="007E68B2" w:rsidRDefault="001B500C" w14:paraId="14794E1D" w14:textId="77777777">
            <w:pPr>
              <w:pStyle w:val="Standard"/>
              <w:spacing w:line="240" w:lineRule="auto"/>
              <w:ind w:firstLine="0"/>
              <w:jc w:val="center"/>
              <w:rPr>
                <w:sz w:val="24"/>
                <w:szCs w:val="24"/>
              </w:rPr>
            </w:pPr>
            <w:r w:rsidRPr="00E12C1B">
              <w:rPr>
                <w:sz w:val="24"/>
                <w:szCs w:val="24"/>
              </w:rPr>
              <w:t>$11.2 Million</w:t>
            </w:r>
          </w:p>
        </w:tc>
      </w:tr>
    </w:tbl>
    <w:p w:rsidR="001B500C" w:rsidP="00420020" w:rsidRDefault="001B500C" w14:paraId="4AF4E91B" w14:textId="77777777">
      <w:pPr>
        <w:pStyle w:val="Standard"/>
      </w:pPr>
    </w:p>
    <w:p w:rsidRPr="001A30CE" w:rsidR="008D5615" w:rsidP="008D5615" w:rsidRDefault="008D5615" w14:paraId="309FA0FA" w14:textId="77777777">
      <w:pPr>
        <w:pStyle w:val="Standard"/>
        <w:rPr>
          <w:sz w:val="22"/>
        </w:rPr>
      </w:pPr>
      <w:r w:rsidRPr="00E12C1B">
        <w:t xml:space="preserve">SCE monetized EENS using SCE’s Value of Service assumptions to arrive at the Net Present Value (NPV) for years 2022-2048 </w:t>
      </w:r>
      <w:r>
        <w:t>for</w:t>
      </w:r>
      <w:r w:rsidRPr="00E12C1B">
        <w:t xml:space="preserve"> different metrics/contingency scenarios.  </w:t>
      </w:r>
      <w:r>
        <w:t>Table 2 shows that during</w:t>
      </w:r>
      <w:r w:rsidRPr="00E12C1B">
        <w:t xml:space="preserve"> normal operations</w:t>
      </w:r>
      <w:r>
        <w:t xml:space="preserve"> (N-0 event)</w:t>
      </w:r>
      <w:r w:rsidRPr="00E12C1B">
        <w:t>, TURN again assumes that the fifth transformer is available to serve load in the Valley South System.  From TURN’s perspective, the fifth transformer is part of SCE’s normal operating conditions and SCE’s failure to include the fifth transformer inflates the calculations for N-0 benefits.</w:t>
      </w:r>
      <w:r w:rsidRPr="001A30CE">
        <w:rPr>
          <w:rStyle w:val="FootnoteReference"/>
          <w:sz w:val="22"/>
        </w:rPr>
        <w:footnoteReference w:id="161"/>
      </w:r>
    </w:p>
    <w:p w:rsidR="006D6938" w:rsidP="006D6938" w:rsidRDefault="006D6938" w14:paraId="76EF6D6F" w14:textId="77777777">
      <w:pPr>
        <w:pStyle w:val="Standard"/>
      </w:pPr>
      <w:r w:rsidRPr="00E12C1B">
        <w:lastRenderedPageBreak/>
        <w:t>Regarding</w:t>
      </w:r>
      <w:r>
        <w:t xml:space="preserve"> the value of the Alberhill project during the complete outage of </w:t>
      </w:r>
      <w:r w:rsidR="0046409F">
        <w:t xml:space="preserve">the </w:t>
      </w:r>
      <w:r>
        <w:t>Valley Substation</w:t>
      </w:r>
      <w:r w:rsidRPr="00E12C1B">
        <w:t xml:space="preserve"> </w:t>
      </w:r>
      <w:r>
        <w:t>(</w:t>
      </w:r>
      <w:r w:rsidRPr="00E12C1B">
        <w:t>Flex-2-1</w:t>
      </w:r>
      <w:r>
        <w:t>),</w:t>
      </w:r>
      <w:r w:rsidRPr="00E12C1B">
        <w:t xml:space="preserve"> </w:t>
      </w:r>
      <w:r w:rsidRPr="00E12C1B" w:rsidR="008D5615">
        <w:t xml:space="preserve">TURN does not oppose the Flex analyses </w:t>
      </w:r>
      <w:r w:rsidR="008D5615">
        <w:t>but</w:t>
      </w:r>
      <w:r w:rsidRPr="00E12C1B" w:rsidR="008D5615">
        <w:t xml:space="preserve"> concludes that SCE’s benefit calculations are unreasonable</w:t>
      </w:r>
      <w:r>
        <w:t xml:space="preserve">.  </w:t>
      </w:r>
      <w:r w:rsidRPr="00E12C1B" w:rsidR="00EA2118">
        <w:t>TURN</w:t>
      </w:r>
      <w:r w:rsidRPr="00E12C1B" w:rsidR="00554809">
        <w:t xml:space="preserve"> made two calculations</w:t>
      </w:r>
      <w:r w:rsidRPr="00E12C1B" w:rsidR="00AE12C7">
        <w:t xml:space="preserve"> </w:t>
      </w:r>
      <w:r w:rsidR="00CD7DB6">
        <w:t xml:space="preserve">by changing two inputs </w:t>
      </w:r>
      <w:r w:rsidRPr="00E12C1B" w:rsidR="00AE12C7">
        <w:t>to show a range of possible benefits</w:t>
      </w:r>
      <w:r>
        <w:t xml:space="preserve"> in the case of a complete substation outage</w:t>
      </w:r>
      <w:r w:rsidRPr="00E12C1B" w:rsidR="00AE12C7">
        <w:t xml:space="preserve">.  </w:t>
      </w:r>
    </w:p>
    <w:p w:rsidRPr="00E12C1B" w:rsidR="00EA2118" w:rsidP="00CD7DB6" w:rsidRDefault="00AE12C7" w14:paraId="5A463AA0" w14:textId="77777777">
      <w:pPr>
        <w:pStyle w:val="Standard"/>
      </w:pPr>
      <w:r w:rsidRPr="00E12C1B">
        <w:t xml:space="preserve">First, TURN </w:t>
      </w:r>
      <w:r w:rsidRPr="00E12C1B" w:rsidR="00EA2118">
        <w:t>applied a lower outage rate because</w:t>
      </w:r>
      <w:r w:rsidR="00727E91">
        <w:t xml:space="preserve"> it</w:t>
      </w:r>
      <w:r w:rsidRPr="00E12C1B" w:rsidR="00CB107B">
        <w:t xml:space="preserve"> argues that </w:t>
      </w:r>
      <w:r w:rsidRPr="00E12C1B" w:rsidR="00EA2118">
        <w:t xml:space="preserve">SCE’s 1-in-100 year rate is unreasonable.  </w:t>
      </w:r>
      <w:r w:rsidRPr="00E12C1B" w:rsidR="006D6938">
        <w:t xml:space="preserve">TURN </w:t>
      </w:r>
      <w:r w:rsidR="006D6938">
        <w:t>explains that</w:t>
      </w:r>
      <w:r w:rsidRPr="00E12C1B" w:rsidR="006D6938">
        <w:t xml:space="preserve"> SCE’s high MWh</w:t>
      </w:r>
      <w:r w:rsidR="006D6938">
        <w:t>s</w:t>
      </w:r>
      <w:r w:rsidRPr="00E12C1B" w:rsidR="006D6938">
        <w:t xml:space="preserve"> not served</w:t>
      </w:r>
      <w:r w:rsidR="006D6938">
        <w:t xml:space="preserve"> to customers</w:t>
      </w:r>
      <w:r w:rsidRPr="00E12C1B" w:rsidR="006D6938">
        <w:t xml:space="preserve"> </w:t>
      </w:r>
      <w:r w:rsidR="006D6938">
        <w:t>then in</w:t>
      </w:r>
      <w:r w:rsidRPr="00E12C1B" w:rsidR="006D6938">
        <w:t>flate the benefits of the Alberhill project.</w:t>
      </w:r>
      <w:r w:rsidRPr="001A30CE" w:rsidR="006D6938">
        <w:rPr>
          <w:rStyle w:val="FootnoteReference"/>
          <w:sz w:val="22"/>
        </w:rPr>
        <w:footnoteReference w:id="162"/>
      </w:r>
      <w:r w:rsidRPr="00E12C1B" w:rsidR="006D6938">
        <w:t xml:space="preserve">  </w:t>
      </w:r>
      <w:r w:rsidRPr="00E12C1B" w:rsidR="00EA2118">
        <w:t xml:space="preserve">TURN used an outage rate of 1-in-5,000 </w:t>
      </w:r>
      <w:r w:rsidR="00727E91">
        <w:t>substation service</w:t>
      </w:r>
      <w:r w:rsidRPr="00E12C1B" w:rsidR="009D0793">
        <w:t>.</w:t>
      </w:r>
      <w:r w:rsidRPr="00A67CBD" w:rsidR="009D0793">
        <w:rPr>
          <w:rStyle w:val="FootnoteReference"/>
          <w:sz w:val="22"/>
        </w:rPr>
        <w:footnoteReference w:id="163"/>
      </w:r>
      <w:r w:rsidRPr="00E12C1B" w:rsidR="00AD59BC">
        <w:t xml:space="preserve">  From TURN’s lower frequency, TURN </w:t>
      </w:r>
      <w:r w:rsidRPr="00E12C1B" w:rsidR="00CB107B">
        <w:t>calculated</w:t>
      </w:r>
      <w:r w:rsidRPr="00E12C1B" w:rsidR="00554809">
        <w:t xml:space="preserve"> $35.1</w:t>
      </w:r>
      <w:r w:rsidRPr="00E12C1B" w:rsidR="00381964">
        <w:t> </w:t>
      </w:r>
      <w:r w:rsidRPr="00E12C1B" w:rsidR="00554809">
        <w:t>million</w:t>
      </w:r>
      <w:r w:rsidRPr="00E12C1B" w:rsidR="00CB107B">
        <w:t xml:space="preserve"> </w:t>
      </w:r>
      <w:r w:rsidRPr="00E12C1B" w:rsidR="00554809">
        <w:t xml:space="preserve">in </w:t>
      </w:r>
      <w:r w:rsidRPr="00E12C1B" w:rsidR="00CB107B">
        <w:t>NPV of Albe</w:t>
      </w:r>
      <w:r w:rsidRPr="00E12C1B" w:rsidR="00554809">
        <w:t xml:space="preserve">rhill </w:t>
      </w:r>
      <w:r w:rsidRPr="00E12C1B" w:rsidR="00CB107B">
        <w:t>for a Flex-2-1 event.</w:t>
      </w:r>
    </w:p>
    <w:p w:rsidRPr="008D1578" w:rsidR="004A15E4" w:rsidP="009B0F4E" w:rsidRDefault="00CD7DB6" w14:paraId="5343FD57" w14:textId="77777777">
      <w:pPr>
        <w:pStyle w:val="Standard"/>
        <w:rPr>
          <w:rFonts w:ascii="Arial" w:hAnsi="Arial" w:cs="Arial"/>
          <w:b/>
          <w:bCs/>
        </w:rPr>
      </w:pPr>
      <w:r>
        <w:t xml:space="preserve">Second, </w:t>
      </w:r>
      <w:r w:rsidRPr="00E12C1B" w:rsidR="00CB107B">
        <w:t xml:space="preserve">TURN calculated </w:t>
      </w:r>
      <w:r w:rsidRPr="00E12C1B" w:rsidR="00AE12C7">
        <w:t>a</w:t>
      </w:r>
      <w:r>
        <w:t xml:space="preserve">nother value of </w:t>
      </w:r>
      <w:r w:rsidR="009B0F4E">
        <w:t>$415 million for</w:t>
      </w:r>
      <w:r w:rsidR="0046409F">
        <w:t xml:space="preserve"> the Alberhill project in the event</w:t>
      </w:r>
      <w:r w:rsidR="009B0F4E">
        <w:t xml:space="preserve"> </w:t>
      </w:r>
      <w:r w:rsidR="00547B89">
        <w:t>a substation outage</w:t>
      </w:r>
      <w:r w:rsidRPr="00E12C1B" w:rsidR="00AE12C7">
        <w:t xml:space="preserve"> </w:t>
      </w:r>
      <w:r w:rsidRPr="00E12C1B" w:rsidR="00475C45">
        <w:t>by</w:t>
      </w:r>
      <w:r w:rsidRPr="00E12C1B" w:rsidR="00AE12C7">
        <w:t xml:space="preserve"> changing SCE’s 24-hour Value of Service </w:t>
      </w:r>
      <w:r w:rsidR="0046409F">
        <w:t xml:space="preserve">(VoS) </w:t>
      </w:r>
      <w:r w:rsidRPr="00E12C1B" w:rsidR="00AE12C7">
        <w:t>monetization rate.</w:t>
      </w:r>
      <w:r w:rsidRPr="00A67CBD" w:rsidR="009B0F4E">
        <w:rPr>
          <w:rStyle w:val="FootnoteReference"/>
          <w:sz w:val="22"/>
        </w:rPr>
        <w:footnoteReference w:id="164"/>
      </w:r>
      <w:r w:rsidRPr="00E12C1B" w:rsidR="00AE12C7">
        <w:t xml:space="preserve">  SCE </w:t>
      </w:r>
      <w:r w:rsidRPr="00E12C1B" w:rsidR="00381964">
        <w:t>chose</w:t>
      </w:r>
      <w:r w:rsidRPr="00E12C1B" w:rsidR="00AE12C7">
        <w:t xml:space="preserve"> an average of its 1-hour and 24-hour </w:t>
      </w:r>
      <w:r w:rsidR="00283A84">
        <w:t xml:space="preserve">VoS </w:t>
      </w:r>
      <w:r w:rsidRPr="00E12C1B" w:rsidR="00AE12C7">
        <w:t>monetization rate</w:t>
      </w:r>
      <w:r w:rsidR="00397989">
        <w:t>, which was higher than the 24-hour monetization rate used by</w:t>
      </w:r>
      <w:r w:rsidRPr="00E12C1B" w:rsidR="00AE12C7">
        <w:t xml:space="preserve"> TURN.  </w:t>
      </w:r>
    </w:p>
    <w:p w:rsidRPr="00826F54" w:rsidR="008D1578" w:rsidP="00883DC4" w:rsidRDefault="00826F54" w14:paraId="725ADE0D" w14:textId="77777777">
      <w:pPr>
        <w:pStyle w:val="Heading3"/>
      </w:pPr>
      <w:bookmarkStart w:name="_Toc225410176" w:id="76"/>
      <w:r>
        <w:t>Discussion</w:t>
      </w:r>
      <w:bookmarkEnd w:id="76"/>
    </w:p>
    <w:p w:rsidR="00DA2F0B" w:rsidP="00883DC4" w:rsidRDefault="00CD7DB6" w14:paraId="230584B2" w14:textId="77777777">
      <w:pPr>
        <w:pStyle w:val="Standard"/>
        <w:spacing w:before="240"/>
      </w:pPr>
      <w:r>
        <w:t>At the outset, t</w:t>
      </w:r>
      <w:r w:rsidR="00DA2F0B">
        <w:t xml:space="preserve">he Commission finds SCE’s calculations to </w:t>
      </w:r>
      <w:r w:rsidR="00604557">
        <w:t xml:space="preserve">be reasonable </w:t>
      </w:r>
      <w:r w:rsidR="00472E72">
        <w:t xml:space="preserve">estimates </w:t>
      </w:r>
      <w:r>
        <w:t>as explained above</w:t>
      </w:r>
      <w:r w:rsidR="00DA2F0B">
        <w:t xml:space="preserve">.  </w:t>
      </w:r>
      <w:r w:rsidR="00604557">
        <w:t xml:space="preserve">Second, </w:t>
      </w:r>
      <w:r w:rsidRPr="00E12C1B" w:rsidR="008D1578">
        <w:t>the Commission</w:t>
      </w:r>
      <w:r w:rsidR="008D1578">
        <w:t xml:space="preserve"> </w:t>
      </w:r>
      <w:r>
        <w:t xml:space="preserve">again finds SCE’s analysis reasonably excludes </w:t>
      </w:r>
      <w:r w:rsidR="008D1578">
        <w:t>the fifth spare transformer</w:t>
      </w:r>
      <w:r>
        <w:t xml:space="preserve"> as a </w:t>
      </w:r>
      <w:r w:rsidR="008D1578">
        <w:t xml:space="preserve">permanent load serving asset </w:t>
      </w:r>
      <w:r>
        <w:t>as explained in Section 6.1</w:t>
      </w:r>
      <w:r w:rsidR="008D1578">
        <w:t>.</w:t>
      </w:r>
      <w:r w:rsidRPr="00A67CBD" w:rsidR="00DA2F0B">
        <w:rPr>
          <w:rStyle w:val="FootnoteReference"/>
          <w:sz w:val="22"/>
        </w:rPr>
        <w:footnoteReference w:id="165"/>
      </w:r>
      <w:r w:rsidR="008D1578">
        <w:t xml:space="preserve">  Therefore, </w:t>
      </w:r>
      <w:r>
        <w:t xml:space="preserve">the Commission rejects </w:t>
      </w:r>
      <w:r w:rsidRPr="00E12C1B" w:rsidR="008D1578">
        <w:lastRenderedPageBreak/>
        <w:t xml:space="preserve">TURN’s </w:t>
      </w:r>
      <w:r w:rsidR="00472E72">
        <w:t>estimated value</w:t>
      </w:r>
      <w:r w:rsidR="00DA2F0B">
        <w:t xml:space="preserve"> for </w:t>
      </w:r>
      <w:r w:rsidR="0046409F">
        <w:t>n</w:t>
      </w:r>
      <w:r w:rsidR="00397989">
        <w:t>ormal operations (</w:t>
      </w:r>
      <w:r w:rsidR="00DA2F0B">
        <w:t>N-0</w:t>
      </w:r>
      <w:r w:rsidR="00397989">
        <w:t>)</w:t>
      </w:r>
      <w:r w:rsidR="00DA2F0B">
        <w:t xml:space="preserve"> because it</w:t>
      </w:r>
      <w:r w:rsidRPr="00E12C1B" w:rsidR="008D1578">
        <w:t xml:space="preserve"> include</w:t>
      </w:r>
      <w:r w:rsidR="00DA2F0B">
        <w:t>s</w:t>
      </w:r>
      <w:r w:rsidRPr="00E12C1B" w:rsidR="008D1578">
        <w:t xml:space="preserve"> the fifth spare transformer as part of SCE’s </w:t>
      </w:r>
      <w:r w:rsidR="00397989">
        <w:t>“status quo”</w:t>
      </w:r>
      <w:r w:rsidRPr="00E12C1B" w:rsidR="008D1578">
        <w:t xml:space="preserve"> operations.</w:t>
      </w:r>
      <w:r w:rsidRPr="00E12C1B" w:rsidR="00F57B95">
        <w:t xml:space="preserve"> </w:t>
      </w:r>
      <w:r w:rsidR="00DA2F0B">
        <w:t xml:space="preserve"> </w:t>
      </w:r>
    </w:p>
    <w:p w:rsidR="00CD7DB6" w:rsidP="00DA2F0B" w:rsidRDefault="00547B89" w14:paraId="25C070C4" w14:textId="77777777">
      <w:pPr>
        <w:pStyle w:val="Standard"/>
      </w:pPr>
      <w:r>
        <w:t>F</w:t>
      </w:r>
      <w:r w:rsidRPr="00E12C1B" w:rsidR="00DA2F0B">
        <w:t xml:space="preserve">or the </w:t>
      </w:r>
      <w:r w:rsidR="00CD7DB6">
        <w:t>complete substation outage (</w:t>
      </w:r>
      <w:r w:rsidRPr="00E12C1B" w:rsidR="00DA2F0B">
        <w:t>Flex-2-1</w:t>
      </w:r>
      <w:r w:rsidR="00CD7DB6">
        <w:t>)</w:t>
      </w:r>
      <w:r w:rsidRPr="00E12C1B" w:rsidR="00DA2F0B">
        <w:t xml:space="preserve"> scenario,</w:t>
      </w:r>
      <w:r w:rsidR="00DA2F0B">
        <w:t xml:space="preserve"> </w:t>
      </w:r>
      <w:r w:rsidRPr="00E12C1B" w:rsidR="00DA2F0B">
        <w:t>TURN</w:t>
      </w:r>
      <w:r w:rsidR="00397989">
        <w:t>’s calculations</w:t>
      </w:r>
      <w:r w:rsidRPr="00E12C1B" w:rsidR="00DA2F0B">
        <w:t xml:space="preserve"> show there is a range of </w:t>
      </w:r>
      <w:r w:rsidR="00DA2F0B">
        <w:t xml:space="preserve">estimated </w:t>
      </w:r>
      <w:r w:rsidRPr="00E12C1B" w:rsidR="00DA2F0B">
        <w:t xml:space="preserve">values depending on the inputs.  </w:t>
      </w:r>
      <w:r w:rsidR="00CD7DB6">
        <w:t xml:space="preserve"> </w:t>
      </w:r>
      <w:r w:rsidRPr="00E12C1B" w:rsidR="00DA2F0B">
        <w:t xml:space="preserve">  It is unsurprising that TURN’s estimate is much lower than SCE’s estimate based on the change in event frequency</w:t>
      </w:r>
      <w:r w:rsidR="007E752E">
        <w:t xml:space="preserve"> or value of service assigned to outages</w:t>
      </w:r>
      <w:r w:rsidRPr="00E12C1B" w:rsidR="00DA2F0B">
        <w:t xml:space="preserve">.  </w:t>
      </w:r>
      <w:r w:rsidR="00CD7DB6">
        <w:t xml:space="preserve">The Commission </w:t>
      </w:r>
      <w:r>
        <w:t>gives</w:t>
      </w:r>
      <w:r w:rsidR="00CD7DB6">
        <w:t xml:space="preserve"> little weight to the 1 in 5,000 substation service years for the reasons stated above in </w:t>
      </w:r>
      <w:r>
        <w:t>Section 6.4</w:t>
      </w:r>
      <w:r w:rsidR="00CD7DB6">
        <w:t>.  The Commission finds SCE’s event probabilities reasonable.</w:t>
      </w:r>
    </w:p>
    <w:p w:rsidR="00547B89" w:rsidP="00DA2F0B" w:rsidRDefault="00547B89" w14:paraId="62B2C958" w14:textId="77777777">
      <w:pPr>
        <w:pStyle w:val="Standard"/>
      </w:pPr>
      <w:r>
        <w:t xml:space="preserve">Lastly, the Commission rejects TURN’s value calculated from the 24-hour </w:t>
      </w:r>
      <w:r w:rsidR="0046409F">
        <w:t xml:space="preserve">VoS </w:t>
      </w:r>
      <w:r>
        <w:t>monetization rate.  SCE states that it averaged the</w:t>
      </w:r>
      <w:r w:rsidRPr="00E12C1B">
        <w:t xml:space="preserve"> 1-hour and 24-hour V</w:t>
      </w:r>
      <w:r w:rsidR="00283A84">
        <w:t>oS</w:t>
      </w:r>
      <w:r w:rsidRPr="00E12C1B">
        <w:t xml:space="preserve"> monetization rate</w:t>
      </w:r>
      <w:r>
        <w:t>.  SCE based the values on a survey of SCE residential, commercial and industrial customers for SCE’s 2021 general rate case.</w:t>
      </w:r>
      <w:r w:rsidR="00283A84">
        <w:rPr>
          <w:rStyle w:val="FootnoteReference"/>
        </w:rPr>
        <w:footnoteReference w:id="166"/>
      </w:r>
      <w:r w:rsidR="00283A84">
        <w:t xml:space="preserve">  The results show a higher VoS for a 1-hour outage and a lower VoS for a 24-hour outage.  SCE chose to average the two to avoid </w:t>
      </w:r>
      <w:r w:rsidR="00DF52F5">
        <w:t xml:space="preserve">unintentionally </w:t>
      </w:r>
      <w:r w:rsidR="00283A84">
        <w:t>biasing the results</w:t>
      </w:r>
      <w:r w:rsidR="00DF52F5">
        <w:t xml:space="preserve"> by applying the higher 1-hour VoS</w:t>
      </w:r>
      <w:r w:rsidR="00283A84">
        <w:t>.</w:t>
      </w:r>
      <w:r w:rsidR="00283A84">
        <w:rPr>
          <w:rStyle w:val="FootnoteReference"/>
        </w:rPr>
        <w:footnoteReference w:id="167"/>
      </w:r>
      <w:r w:rsidR="00283A84">
        <w:t xml:space="preserve"> </w:t>
      </w:r>
      <w:r w:rsidR="00DF52F5">
        <w:t xml:space="preserve"> </w:t>
      </w:r>
      <w:r w:rsidR="00283A84">
        <w:t xml:space="preserve">TURN argues that SCE did not substantiate its choice.  TURN states that it </w:t>
      </w:r>
      <w:r w:rsidR="0046409F">
        <w:t>used</w:t>
      </w:r>
      <w:r w:rsidR="00283A84">
        <w:t xml:space="preserve"> the lower 24-hour VoS to “illustrate the impact of SCE’s choice.”</w:t>
      </w:r>
      <w:r w:rsidR="00283A84">
        <w:rPr>
          <w:rStyle w:val="FootnoteReference"/>
        </w:rPr>
        <w:footnoteReference w:id="168"/>
      </w:r>
      <w:r w:rsidR="003E6427">
        <w:t xml:space="preserve">  </w:t>
      </w:r>
      <w:r w:rsidR="0046409F">
        <w:t>TURN’s exercise shows how the value estimates change depending on the inputs</w:t>
      </w:r>
      <w:r w:rsidR="00D9250A">
        <w:t>, but</w:t>
      </w:r>
      <w:r w:rsidR="0046409F">
        <w:t xml:space="preserve"> the Commission finds SCE’s analysis reasonable </w:t>
      </w:r>
      <w:r w:rsidR="00D9250A">
        <w:t xml:space="preserve">as SCE’s goal was </w:t>
      </w:r>
      <w:r w:rsidR="0046409F">
        <w:t>to avoid</w:t>
      </w:r>
      <w:r w:rsidR="00DD6BE3">
        <w:t xml:space="preserve"> </w:t>
      </w:r>
      <w:r w:rsidR="0046409F">
        <w:t>bias of one type of outage versus another.</w:t>
      </w:r>
      <w:r w:rsidR="00DD6BE3">
        <w:t xml:space="preserve">    </w:t>
      </w:r>
      <w:r w:rsidR="0046409F">
        <w:t xml:space="preserve"> </w:t>
      </w:r>
      <w:r>
        <w:t xml:space="preserve"> </w:t>
      </w:r>
    </w:p>
    <w:p w:rsidRPr="00E12C1B" w:rsidR="007B3DB7" w:rsidP="00604557" w:rsidRDefault="00DD4098" w14:paraId="7FE3335F" w14:textId="77777777">
      <w:pPr>
        <w:pStyle w:val="Standard"/>
      </w:pPr>
      <w:r>
        <w:t>T</w:t>
      </w:r>
      <w:r w:rsidRPr="00E12C1B" w:rsidR="00DA2F0B">
        <w:t xml:space="preserve">he Commission </w:t>
      </w:r>
      <w:r w:rsidR="00604557">
        <w:t xml:space="preserve">finds SCE’s </w:t>
      </w:r>
      <w:r w:rsidR="00397989">
        <w:t xml:space="preserve">benefit </w:t>
      </w:r>
      <w:r w:rsidR="00604557">
        <w:t>value estimates reasonable</w:t>
      </w:r>
      <w:r w:rsidR="00DD6BE3">
        <w:t>.  Nevertheless, given the reasons detailed in Sections 6.1, 6.2, 6.3, and 6.4, i</w:t>
      </w:r>
      <w:r w:rsidR="00604557">
        <w:t xml:space="preserve">t is </w:t>
      </w:r>
      <w:r w:rsidR="00604557">
        <w:lastRenderedPageBreak/>
        <w:t xml:space="preserve">unnecessary to </w:t>
      </w:r>
      <w:r w:rsidRPr="00E12C1B" w:rsidR="00DA2F0B">
        <w:t xml:space="preserve">adopt any particular </w:t>
      </w:r>
      <w:r w:rsidR="00397989">
        <w:t>benefit dollar amount</w:t>
      </w:r>
      <w:r w:rsidR="00604557">
        <w:t xml:space="preserve"> to </w:t>
      </w:r>
      <w:r w:rsidR="00DD6BE3">
        <w:t>justify</w:t>
      </w:r>
      <w:r w:rsidR="000F26B1">
        <w:t xml:space="preserve"> that the Alberhill project is needed</w:t>
      </w:r>
      <w:r w:rsidR="006347BE">
        <w:t xml:space="preserve">. </w:t>
      </w:r>
      <w:r w:rsidRPr="00E12C1B" w:rsidDel="00DA2F0B" w:rsidR="00604557">
        <w:t xml:space="preserve"> </w:t>
      </w:r>
    </w:p>
    <w:p w:rsidRPr="00EF3898" w:rsidR="006076FA" w:rsidP="00883DC4" w:rsidRDefault="006076FA" w14:paraId="4A36ADC2" w14:textId="77777777">
      <w:pPr>
        <w:pStyle w:val="Heading2"/>
      </w:pPr>
      <w:bookmarkStart w:name="_Toc225410177" w:id="77"/>
      <w:r w:rsidRPr="00EF3898">
        <w:t>Overriding Considerations</w:t>
      </w:r>
      <w:bookmarkEnd w:id="77"/>
    </w:p>
    <w:p w:rsidRPr="00E12C1B" w:rsidR="004728CE" w:rsidP="004728CE" w:rsidRDefault="006076FA" w14:paraId="2EB4DB32" w14:textId="77777777">
      <w:pPr>
        <w:pStyle w:val="Standard"/>
      </w:pPr>
      <w:r w:rsidRPr="00E12C1B">
        <w:t>CEQA requires that a public agency may not approve a project that has significant and unavoidable (unmitigable) environmental impacts unless it determines that there are overriding considerations that merit project approval despite those unmitigable environmental impacts.</w:t>
      </w:r>
    </w:p>
    <w:p w:rsidRPr="00E12C1B" w:rsidR="002A3F7B" w:rsidP="00F368A1" w:rsidRDefault="007B3DB7" w14:paraId="6B49E055" w14:textId="77777777">
      <w:pPr>
        <w:pStyle w:val="Standard"/>
      </w:pPr>
      <w:r w:rsidRPr="00E12C1B">
        <w:t>SCE’s evidence convincingly show</w:t>
      </w:r>
      <w:r w:rsidR="006347BE">
        <w:t>s</w:t>
      </w:r>
      <w:r w:rsidRPr="00E12C1B">
        <w:t xml:space="preserve"> </w:t>
      </w:r>
      <w:r w:rsidRPr="00E12C1B" w:rsidR="002A3F7B">
        <w:t>that there is a capacity need, reliability need, and resilience need for the Alberhill project.  SCE’s evidence also show</w:t>
      </w:r>
      <w:r w:rsidR="00D16B5B">
        <w:t>s</w:t>
      </w:r>
      <w:r w:rsidRPr="00E12C1B" w:rsidR="002A3F7B">
        <w:t xml:space="preserve"> </w:t>
      </w:r>
      <w:r w:rsidRPr="00E12C1B">
        <w:t xml:space="preserve">that the </w:t>
      </w:r>
      <w:r w:rsidRPr="00E12C1B" w:rsidR="004728CE">
        <w:t xml:space="preserve">Valley South System has a unique combination of characteristics as compared to SCE’s other </w:t>
      </w:r>
      <w:r w:rsidRPr="00E12C1B" w:rsidR="0047207B">
        <w:t>sub-transmission</w:t>
      </w:r>
      <w:r w:rsidRPr="00E12C1B" w:rsidR="004728CE">
        <w:t xml:space="preserve"> systems that</w:t>
      </w:r>
      <w:r w:rsidR="006347BE">
        <w:t xml:space="preserve"> </w:t>
      </w:r>
      <w:r w:rsidRPr="00E12C1B" w:rsidR="004728CE">
        <w:t xml:space="preserve">contribute </w:t>
      </w:r>
      <w:r w:rsidR="00D57099">
        <w:t xml:space="preserve">to </w:t>
      </w:r>
      <w:r w:rsidR="000F26B1">
        <w:t>the increased likelihood</w:t>
      </w:r>
      <w:r w:rsidRPr="00E12C1B" w:rsidR="004728CE">
        <w:t xml:space="preserve"> </w:t>
      </w:r>
      <w:r w:rsidR="00D57099">
        <w:t xml:space="preserve">of </w:t>
      </w:r>
      <w:r w:rsidRPr="00E12C1B" w:rsidR="004728CE">
        <w:t>loss of service to</w:t>
      </w:r>
      <w:r w:rsidRPr="00E12C1B" w:rsidR="002A3F7B">
        <w:t xml:space="preserve"> a large number of</w:t>
      </w:r>
      <w:r w:rsidRPr="00E12C1B" w:rsidR="004728CE">
        <w:t xml:space="preserve"> customers.</w:t>
      </w:r>
      <w:r w:rsidRPr="00A67CBD" w:rsidR="004728CE">
        <w:rPr>
          <w:rStyle w:val="FootnoteReference"/>
          <w:sz w:val="22"/>
        </w:rPr>
        <w:footnoteReference w:id="169"/>
      </w:r>
      <w:r w:rsidRPr="00A67CBD" w:rsidR="004728CE">
        <w:rPr>
          <w:sz w:val="22"/>
        </w:rPr>
        <w:t xml:space="preserve"> </w:t>
      </w:r>
      <w:r w:rsidRPr="00E12C1B" w:rsidR="004728CE">
        <w:t xml:space="preserve"> Due to the lack of tie-lines, Valley South System is isolated because it cannot transfer load during system contingency events and unplanned outages, including high-impact, low-probability events.</w:t>
      </w:r>
      <w:r w:rsidRPr="00A67CBD" w:rsidR="004728CE">
        <w:rPr>
          <w:rStyle w:val="FootnoteReference"/>
          <w:sz w:val="22"/>
        </w:rPr>
        <w:footnoteReference w:id="170"/>
      </w:r>
    </w:p>
    <w:p w:rsidR="00FF0631" w:rsidP="00F368A1" w:rsidRDefault="002A3F7B" w14:paraId="0C300E8C" w14:textId="77777777">
      <w:pPr>
        <w:pStyle w:val="Standard"/>
      </w:pPr>
      <w:r w:rsidRPr="00E12C1B">
        <w:t>In conclusion,</w:t>
      </w:r>
      <w:r w:rsidR="00FF0631">
        <w:t xml:space="preserve"> SCE’s analysis of capacity need, reliability need and resilience need show that the following overriding considerations outweigh the Alberhill project’s unavoidable impacts on aesthetics, air quality and noise and vibration during construction, and cumulative impacts:</w:t>
      </w:r>
    </w:p>
    <w:p w:rsidR="00FF0631" w:rsidP="00DB2107" w:rsidRDefault="00FF0631" w14:paraId="2AAAD977" w14:textId="77777777">
      <w:pPr>
        <w:pStyle w:val="Standard"/>
        <w:numPr>
          <w:ilvl w:val="0"/>
          <w:numId w:val="24"/>
        </w:numPr>
        <w:spacing w:after="120" w:line="240" w:lineRule="auto"/>
        <w:ind w:left="1080" w:right="1440"/>
      </w:pPr>
      <w:r>
        <w:t>T</w:t>
      </w:r>
      <w:r w:rsidRPr="00E12C1B">
        <w:t xml:space="preserve">he need to relieve projected electrical demand that would exceed the operating limit of the two load-serving </w:t>
      </w:r>
      <w:r>
        <w:t>transformers for the Valley South System</w:t>
      </w:r>
      <w:r w:rsidRPr="00E12C1B">
        <w:t xml:space="preserve">, </w:t>
      </w:r>
    </w:p>
    <w:p w:rsidR="00FF0631" w:rsidP="00DB2107" w:rsidRDefault="00FF0631" w14:paraId="77658471" w14:textId="77777777">
      <w:pPr>
        <w:pStyle w:val="Standard"/>
        <w:numPr>
          <w:ilvl w:val="0"/>
          <w:numId w:val="24"/>
        </w:numPr>
        <w:spacing w:after="120" w:line="240" w:lineRule="auto"/>
        <w:ind w:left="1080" w:right="1440"/>
      </w:pPr>
      <w:r>
        <w:t>T</w:t>
      </w:r>
      <w:r w:rsidRPr="00E12C1B">
        <w:t xml:space="preserve">he need to provide electricity in place of the Valley South </w:t>
      </w:r>
      <w:r>
        <w:t>S</w:t>
      </w:r>
      <w:r w:rsidRPr="00E12C1B">
        <w:t xml:space="preserve">ystem during maintenance, </w:t>
      </w:r>
    </w:p>
    <w:p w:rsidR="00FF0631" w:rsidP="00DB2107" w:rsidRDefault="00FF0631" w14:paraId="0C96D791" w14:textId="77777777">
      <w:pPr>
        <w:pStyle w:val="Standard"/>
        <w:numPr>
          <w:ilvl w:val="0"/>
          <w:numId w:val="24"/>
        </w:numPr>
        <w:spacing w:after="120" w:line="240" w:lineRule="auto"/>
        <w:ind w:left="1080" w:right="1440"/>
      </w:pPr>
      <w:r>
        <w:lastRenderedPageBreak/>
        <w:t xml:space="preserve">The need to provide an alternative </w:t>
      </w:r>
      <w:r w:rsidRPr="00E12C1B">
        <w:t xml:space="preserve">during emergency events, or to relieve other operational issues on one of the systems.  </w:t>
      </w:r>
    </w:p>
    <w:p w:rsidRPr="00EF3898" w:rsidR="00E53934" w:rsidP="00883DC4" w:rsidRDefault="00E53934" w14:paraId="11D89A8A" w14:textId="77777777">
      <w:pPr>
        <w:pStyle w:val="Heading1"/>
      </w:pPr>
      <w:bookmarkStart w:name="_Toc221522701" w:id="78"/>
      <w:bookmarkStart w:name="_Toc225410178" w:id="79"/>
      <w:bookmarkEnd w:id="78"/>
      <w:r w:rsidRPr="00EF3898">
        <w:t>Issue 7</w:t>
      </w:r>
      <w:r w:rsidRPr="00EF3898" w:rsidR="00650417">
        <w:t>:</w:t>
      </w:r>
      <w:r w:rsidRPr="00EF3898" w:rsidR="00C37E43">
        <w:t xml:space="preserve"> EMF</w:t>
      </w:r>
      <w:bookmarkEnd w:id="79"/>
    </w:p>
    <w:p w:rsidRPr="00E12C1B" w:rsidR="003239C3" w:rsidP="003239C3" w:rsidRDefault="003239C3" w14:paraId="3DAD50D6" w14:textId="77777777">
      <w:pPr>
        <w:pStyle w:val="Standard"/>
      </w:pPr>
      <w:r w:rsidRPr="00E12C1B">
        <w:t>SCE provided a Field Management Plan in its 2009 application, which explained how the Alberhill project design complies with the Commission’s electric and magnetic field (EMF) policies by incorporating “no-cost and low-cost” field reduction measures.  In the Third Amended Application in 2023, SCE proposed to implement measures, including the following, to reduce EMF:</w:t>
      </w:r>
    </w:p>
    <w:p w:rsidRPr="00E12C1B" w:rsidR="003239C3" w:rsidP="00DB2107" w:rsidRDefault="003239C3" w14:paraId="3D02FE21" w14:textId="77777777">
      <w:pPr>
        <w:pStyle w:val="Standard"/>
        <w:numPr>
          <w:ilvl w:val="0"/>
          <w:numId w:val="15"/>
        </w:numPr>
        <w:spacing w:after="120" w:line="240" w:lineRule="auto"/>
        <w:ind w:left="1080" w:right="1440"/>
      </w:pPr>
      <w:r w:rsidRPr="00E12C1B">
        <w:t xml:space="preserve">Utilize </w:t>
      </w:r>
      <w:r w:rsidRPr="00E12C1B" w:rsidR="0047207B">
        <w:t>sub-transmission</w:t>
      </w:r>
      <w:r w:rsidRPr="00E12C1B">
        <w:t xml:space="preserve"> structure heights that meet or exceed SCE’s preferred EMF design criteria;</w:t>
      </w:r>
    </w:p>
    <w:p w:rsidRPr="00E12C1B" w:rsidR="003239C3" w:rsidP="00DB2107" w:rsidRDefault="003239C3" w14:paraId="36DC1068" w14:textId="77777777">
      <w:pPr>
        <w:pStyle w:val="Standard"/>
        <w:numPr>
          <w:ilvl w:val="0"/>
          <w:numId w:val="15"/>
        </w:numPr>
        <w:spacing w:after="120" w:line="240" w:lineRule="auto"/>
        <w:ind w:left="1080" w:right="1440"/>
      </w:pPr>
      <w:r w:rsidRPr="00E12C1B">
        <w:t>Utilize double-circuit construction that reduces spacing between circuits as compared with single-circuit construction for major portions of sub</w:t>
      </w:r>
      <w:r w:rsidRPr="00E12C1B" w:rsidR="00CA625C">
        <w:noBreakHyphen/>
      </w:r>
      <w:r w:rsidRPr="00E12C1B">
        <w:t>tran</w:t>
      </w:r>
      <w:r w:rsidRPr="00E12C1B" w:rsidR="00CA625C">
        <w:t>s</w:t>
      </w:r>
      <w:r w:rsidRPr="00E12C1B">
        <w:t>mission lines;</w:t>
      </w:r>
    </w:p>
    <w:p w:rsidRPr="00E12C1B" w:rsidR="003239C3" w:rsidP="00DB2107" w:rsidRDefault="003239C3" w14:paraId="336E2625" w14:textId="77777777">
      <w:pPr>
        <w:pStyle w:val="Standard"/>
        <w:numPr>
          <w:ilvl w:val="0"/>
          <w:numId w:val="15"/>
        </w:numPr>
        <w:spacing w:after="120" w:line="240" w:lineRule="auto"/>
        <w:ind w:left="1080" w:right="1440"/>
      </w:pPr>
      <w:r w:rsidRPr="00E12C1B">
        <w:t xml:space="preserve">Arrange the conductors of proposed transmission line segments and </w:t>
      </w:r>
      <w:r w:rsidRPr="00E12C1B" w:rsidR="0047207B">
        <w:t>sub-transmission</w:t>
      </w:r>
      <w:r w:rsidRPr="00E12C1B">
        <w:t xml:space="preserve"> lines for magnetic field reduction;</w:t>
      </w:r>
    </w:p>
    <w:p w:rsidRPr="00E12C1B" w:rsidR="003239C3" w:rsidP="00DB2107" w:rsidRDefault="003239C3" w14:paraId="23BA3468" w14:textId="77777777">
      <w:pPr>
        <w:pStyle w:val="Standard"/>
        <w:numPr>
          <w:ilvl w:val="0"/>
          <w:numId w:val="15"/>
        </w:numPr>
        <w:spacing w:after="120" w:line="240" w:lineRule="auto"/>
        <w:ind w:left="1080" w:right="1440"/>
      </w:pPr>
      <w:r w:rsidRPr="00E12C1B">
        <w:t xml:space="preserve">Utilize </w:t>
      </w:r>
      <w:r w:rsidRPr="00E12C1B" w:rsidR="0047207B">
        <w:t>sub-transmission</w:t>
      </w:r>
      <w:r w:rsidRPr="00E12C1B">
        <w:t xml:space="preserve"> line construction that reduces the space between conductors compared with other designs</w:t>
      </w:r>
      <w:r w:rsidR="00211D69">
        <w:t>;</w:t>
      </w:r>
    </w:p>
    <w:p w:rsidRPr="00E12C1B" w:rsidR="003239C3" w:rsidP="00DB2107" w:rsidRDefault="003239C3" w14:paraId="397940E4" w14:textId="77777777">
      <w:pPr>
        <w:pStyle w:val="Standard"/>
        <w:numPr>
          <w:ilvl w:val="0"/>
          <w:numId w:val="15"/>
        </w:numPr>
        <w:spacing w:after="120" w:line="240" w:lineRule="auto"/>
        <w:ind w:left="1080" w:right="1440"/>
      </w:pPr>
      <w:r w:rsidRPr="00E12C1B">
        <w:t>Utilize underground construction in existing conduits</w:t>
      </w:r>
      <w:r w:rsidR="00211D69">
        <w:t>;</w:t>
      </w:r>
    </w:p>
    <w:p w:rsidRPr="00E12C1B" w:rsidR="003239C3" w:rsidP="00DB2107" w:rsidRDefault="00C100EE" w14:paraId="7BBB2CC3" w14:textId="77777777">
      <w:pPr>
        <w:pStyle w:val="Standard"/>
        <w:numPr>
          <w:ilvl w:val="0"/>
          <w:numId w:val="15"/>
        </w:numPr>
        <w:spacing w:after="120" w:line="240" w:lineRule="auto"/>
        <w:ind w:left="1080" w:right="1440"/>
      </w:pPr>
      <w:r w:rsidRPr="00E12C1B">
        <w:t>Arrange</w:t>
      </w:r>
      <w:r w:rsidRPr="00E12C1B" w:rsidR="003239C3">
        <w:t xml:space="preserve"> underground </w:t>
      </w:r>
      <w:r w:rsidRPr="00E12C1B" w:rsidR="0047207B">
        <w:t>sub-transmission</w:t>
      </w:r>
      <w:r w:rsidRPr="00E12C1B" w:rsidR="003239C3">
        <w:t xml:space="preserve"> cables for magnetic field reduction</w:t>
      </w:r>
      <w:r w:rsidR="00211D69">
        <w:t>;</w:t>
      </w:r>
    </w:p>
    <w:p w:rsidRPr="00E12C1B" w:rsidR="003239C3" w:rsidP="00DB2107" w:rsidRDefault="006347BE" w14:paraId="56B12F0C" w14:textId="77777777">
      <w:pPr>
        <w:pStyle w:val="Standard"/>
        <w:numPr>
          <w:ilvl w:val="0"/>
          <w:numId w:val="15"/>
        </w:numPr>
        <w:spacing w:after="120" w:line="240" w:lineRule="auto"/>
        <w:ind w:left="1080" w:right="1440"/>
      </w:pPr>
      <w:r>
        <w:t>S</w:t>
      </w:r>
      <w:r w:rsidRPr="00E12C1B" w:rsidR="003239C3">
        <w:t>elect rout</w:t>
      </w:r>
      <w:r>
        <w:t>e</w:t>
      </w:r>
      <w:r w:rsidRPr="00E12C1B" w:rsidR="003239C3">
        <w:t xml:space="preserve"> alignments through mostly undeveloped areas;</w:t>
      </w:r>
      <w:r w:rsidR="00BC5F90">
        <w:t xml:space="preserve"> </w:t>
      </w:r>
      <w:r w:rsidRPr="00E12C1B" w:rsidR="003239C3">
        <w:t>and</w:t>
      </w:r>
    </w:p>
    <w:p w:rsidRPr="00E12C1B" w:rsidR="003239C3" w:rsidP="00DB2107" w:rsidRDefault="006347BE" w14:paraId="6666C316" w14:textId="77777777">
      <w:pPr>
        <w:pStyle w:val="Standard"/>
        <w:numPr>
          <w:ilvl w:val="0"/>
          <w:numId w:val="15"/>
        </w:numPr>
        <w:spacing w:after="120" w:line="240" w:lineRule="auto"/>
        <w:ind w:left="1080" w:right="1440"/>
      </w:pPr>
      <w:r>
        <w:t>P</w:t>
      </w:r>
      <w:r w:rsidRPr="00E12C1B" w:rsidR="003239C3">
        <w:t xml:space="preserve">lace major substation electrical equipment (such as transformers, </w:t>
      </w:r>
      <w:proofErr w:type="spellStart"/>
      <w:r w:rsidRPr="00E12C1B" w:rsidR="003239C3">
        <w:t>switchracks</w:t>
      </w:r>
      <w:proofErr w:type="spellEnd"/>
      <w:r w:rsidRPr="00E12C1B" w:rsidR="003239C3">
        <w:t xml:space="preserve">, buses and underground duct banks) away from the </w:t>
      </w:r>
      <w:r w:rsidRPr="00E12C1B" w:rsidR="00C100EE">
        <w:t>s</w:t>
      </w:r>
      <w:r w:rsidRPr="00E12C1B" w:rsidR="003239C3">
        <w:t>ubstation property lines.</w:t>
      </w:r>
      <w:r w:rsidRPr="00A67CBD" w:rsidR="003239C3">
        <w:rPr>
          <w:rStyle w:val="FootnoteReference"/>
          <w:sz w:val="22"/>
        </w:rPr>
        <w:footnoteReference w:id="171"/>
      </w:r>
    </w:p>
    <w:p w:rsidRPr="00E12C1B" w:rsidR="003239C3" w:rsidP="003239C3" w:rsidRDefault="003239C3" w14:paraId="0F571A22" w14:textId="77777777">
      <w:pPr>
        <w:pStyle w:val="Standard"/>
      </w:pPr>
      <w:r w:rsidRPr="00E12C1B">
        <w:t xml:space="preserve">No party contested SCE’s proposal.  No party provided contrary evidence as to the sufficiency of SCE’s measures.  Since the evidence in the record shows </w:t>
      </w:r>
      <w:r w:rsidRPr="00E12C1B">
        <w:lastRenderedPageBreak/>
        <w:t>SCE incorporated “no-cost and low-cost” measures into the Alberhill project to reduce EMF, the Commission finds the Alberhill project consistent with the EM</w:t>
      </w:r>
      <w:r w:rsidRPr="00E12C1B" w:rsidR="00A94952">
        <w:t>F</w:t>
      </w:r>
      <w:r w:rsidRPr="00E12C1B">
        <w:t xml:space="preserve"> policies.</w:t>
      </w:r>
    </w:p>
    <w:p w:rsidRPr="00EF3898" w:rsidR="00F86308" w:rsidP="00883DC4" w:rsidRDefault="00F86308" w14:paraId="1B92367D" w14:textId="77777777">
      <w:pPr>
        <w:pStyle w:val="Heading1"/>
      </w:pPr>
      <w:bookmarkStart w:name="_Toc225410179" w:id="80"/>
      <w:r w:rsidRPr="00EF3898">
        <w:t>Issue 8</w:t>
      </w:r>
      <w:r w:rsidRPr="00EF3898" w:rsidR="00650417">
        <w:t>:</w:t>
      </w:r>
      <w:r w:rsidRPr="00EF3898">
        <w:t xml:space="preserve"> Present or Future Public Convenience and Necessity</w:t>
      </w:r>
      <w:bookmarkEnd w:id="80"/>
    </w:p>
    <w:p w:rsidR="006375D5" w:rsidP="00A67CBD" w:rsidRDefault="00681BA2" w14:paraId="53410C5C" w14:textId="77777777">
      <w:pPr>
        <w:pStyle w:val="Standard"/>
      </w:pPr>
      <w:r w:rsidRPr="00E12C1B">
        <w:t>Since this proceeding is considering a request for a CPCN, pursuant to Pub. Util. Code Section 1002(a)(1), the Commission must consider, what, if any, are the community values affected by the Alberhill project.  The concept of community values is not strictly defined in statute and is somewhat fluid.</w:t>
      </w:r>
      <w:r w:rsidRPr="00A67CBD">
        <w:rPr>
          <w:rStyle w:val="FootnoteReference"/>
          <w:sz w:val="22"/>
        </w:rPr>
        <w:footnoteReference w:id="172"/>
      </w:r>
      <w:r w:rsidRPr="00E12C1B" w:rsidR="00C77E9C">
        <w:t xml:space="preserve">  In</w:t>
      </w:r>
      <w:r w:rsidR="00A67CBD">
        <w:t> </w:t>
      </w:r>
      <w:r w:rsidRPr="00E12C1B" w:rsidR="00C77E9C">
        <w:t>this proceeding, the Commission considers the benefits that would be experienced by the Valley South System’s customers.</w:t>
      </w:r>
      <w:r w:rsidRPr="00E12C1B" w:rsidR="003239C3">
        <w:t xml:space="preserve"> </w:t>
      </w:r>
      <w:r w:rsidRPr="00E12C1B" w:rsidR="00C77E9C">
        <w:t xml:space="preserve"> </w:t>
      </w:r>
      <w:r w:rsidRPr="00E12C1B" w:rsidR="005048B3">
        <w:t>In Section</w:t>
      </w:r>
      <w:r w:rsidR="00FF0631">
        <w:t xml:space="preserve"> </w:t>
      </w:r>
      <w:r w:rsidRPr="00E12C1B" w:rsidR="005048B3">
        <w:t>6, the Commission explain</w:t>
      </w:r>
      <w:r w:rsidRPr="00E12C1B" w:rsidR="00402366">
        <w:t>s</w:t>
      </w:r>
      <w:r w:rsidRPr="00E12C1B" w:rsidR="005048B3">
        <w:t xml:space="preserve"> why it finds that there is capacity need, reliability need, and resilience need for </w:t>
      </w:r>
      <w:r w:rsidRPr="00E12C1B" w:rsidR="00402366">
        <w:t xml:space="preserve">the </w:t>
      </w:r>
      <w:r w:rsidRPr="00E12C1B" w:rsidR="005048B3">
        <w:t>Alberhill project.  Th</w:t>
      </w:r>
      <w:r w:rsidR="00C71270">
        <w:t>is</w:t>
      </w:r>
      <w:r w:rsidRPr="00E12C1B" w:rsidR="005048B3">
        <w:t xml:space="preserve"> section detail</w:t>
      </w:r>
      <w:r w:rsidR="00C71270">
        <w:t>s</w:t>
      </w:r>
      <w:r w:rsidRPr="00E12C1B" w:rsidR="005048B3">
        <w:t xml:space="preserve"> why </w:t>
      </w:r>
      <w:r w:rsidRPr="00E12C1B" w:rsidR="007472E4">
        <w:t xml:space="preserve">as a matter of community values, the Commission should approve the Alberhill project.  Communities would not only experience </w:t>
      </w:r>
      <w:r w:rsidR="00C71270">
        <w:t>benefits from increased</w:t>
      </w:r>
      <w:r w:rsidRPr="00E12C1B" w:rsidR="007472E4">
        <w:t xml:space="preserve"> capacity, </w:t>
      </w:r>
      <w:r w:rsidR="00C71270">
        <w:t xml:space="preserve">and an updated Valley South System, </w:t>
      </w:r>
      <w:r w:rsidRPr="00E12C1B" w:rsidR="007472E4">
        <w:t xml:space="preserve">the Valley South System will have </w:t>
      </w:r>
      <w:r w:rsidR="00C71270">
        <w:t>a similar</w:t>
      </w:r>
      <w:r w:rsidRPr="00E12C1B" w:rsidR="007472E4">
        <w:t xml:space="preserve"> level of reliability </w:t>
      </w:r>
      <w:r w:rsidR="00C71270">
        <w:t xml:space="preserve">and resilience </w:t>
      </w:r>
      <w:r w:rsidRPr="00E12C1B" w:rsidR="007472E4">
        <w:t>as the rest of the SCE grid</w:t>
      </w:r>
      <w:r w:rsidR="00C71270">
        <w:t>.  The Valley South System will</w:t>
      </w:r>
      <w:r w:rsidRPr="00E12C1B" w:rsidR="007472E4">
        <w:t xml:space="preserve"> finally comply with SCE’s internal Transmission Planning Criteria and Guidelines.</w:t>
      </w:r>
      <w:r w:rsidRPr="00E12C1B" w:rsidR="00402366">
        <w:t xml:space="preserve">  </w:t>
      </w:r>
      <w:r w:rsidR="00C73243">
        <w:t>Therefore, t</w:t>
      </w:r>
      <w:r w:rsidRPr="00E12C1B" w:rsidR="00AE5D8C">
        <w:t xml:space="preserve">he Commission finds that the Alberhill project would have a positive effect on community values.  </w:t>
      </w:r>
    </w:p>
    <w:p w:rsidRPr="00E12C1B" w:rsidR="003239C3" w:rsidP="00A67CBD" w:rsidRDefault="00D60A55" w14:paraId="0184130C" w14:textId="77777777">
      <w:pPr>
        <w:pStyle w:val="Standard"/>
      </w:pPr>
      <w:bookmarkStart w:name="_Hlk221525855" w:id="81"/>
      <w:r>
        <w:t xml:space="preserve">Pursuant to Pub. Util. Code Section 1002(a), </w:t>
      </w:r>
      <w:r w:rsidR="006375D5">
        <w:t xml:space="preserve">the Commission has considered </w:t>
      </w:r>
      <w:r>
        <w:t xml:space="preserve">material in the CEQA Final EIR and Addendum to the Final EIR that relate to </w:t>
      </w:r>
      <w:r w:rsidR="006375D5">
        <w:t xml:space="preserve">recreational and park areas, historical and aesthetic values, and influence on the environment.  </w:t>
      </w:r>
      <w:bookmarkEnd w:id="81"/>
      <w:r w:rsidR="0093308B">
        <w:t>T</w:t>
      </w:r>
      <w:r w:rsidRPr="00E12C1B" w:rsidR="00402366">
        <w:t>he Commission</w:t>
      </w:r>
      <w:r w:rsidR="00C73243">
        <w:t xml:space="preserve"> </w:t>
      </w:r>
      <w:r w:rsidRPr="00E12C1B" w:rsidR="00402366">
        <w:t xml:space="preserve">finds that the record shows </w:t>
      </w:r>
      <w:r w:rsidRPr="00E12C1B" w:rsidR="003239C3">
        <w:lastRenderedPageBreak/>
        <w:t>there is a present and future public convenience and necessity for the Alberhill project.</w:t>
      </w:r>
    </w:p>
    <w:p w:rsidRPr="00EF3898" w:rsidR="00E53934" w:rsidP="00883DC4" w:rsidRDefault="00E53934" w14:paraId="42DB5CDF" w14:textId="77777777">
      <w:pPr>
        <w:pStyle w:val="Heading1"/>
      </w:pPr>
      <w:bookmarkStart w:name="_Toc225410180" w:id="82"/>
      <w:r w:rsidRPr="00EF3898">
        <w:t>Issue 9</w:t>
      </w:r>
      <w:r w:rsidR="005A615B">
        <w:t>:</w:t>
      </w:r>
      <w:r w:rsidRPr="00EF3898" w:rsidR="00C37E43">
        <w:t xml:space="preserve"> Maximum Prudent and Reasonable Cost</w:t>
      </w:r>
      <w:bookmarkEnd w:id="82"/>
    </w:p>
    <w:p w:rsidRPr="00E12C1B" w:rsidR="00402366" w:rsidP="00ED20A7" w:rsidRDefault="002D6BEB" w14:paraId="7486A29D" w14:textId="77777777">
      <w:pPr>
        <w:pStyle w:val="Standard"/>
      </w:pPr>
      <w:bookmarkStart w:name="_Toc8123721" w:id="83"/>
      <w:r w:rsidRPr="00E12C1B">
        <w:t>Pursuant to Pub</w:t>
      </w:r>
      <w:r w:rsidR="00C73243">
        <w:t>.</w:t>
      </w:r>
      <w:r w:rsidRPr="00E12C1B">
        <w:t xml:space="preserve"> Util</w:t>
      </w:r>
      <w:r w:rsidR="00C73243">
        <w:t>.</w:t>
      </w:r>
      <w:r w:rsidRPr="00E12C1B">
        <w:t xml:space="preserve"> Code Section 1005.5, when issuing a CPCN, the Commission must specify a maximum reasonable and prudent cost for projects with costs over $50 Million.</w:t>
      </w:r>
      <w:r w:rsidRPr="00E12C1B" w:rsidR="00ED20A7">
        <w:t xml:space="preserve">  The Commission will consider the design of the project, the expected duration of construction, and estimate of the effects of economic inflation, and any known engineering difficulties associated with the project.</w:t>
      </w:r>
      <w:r w:rsidRPr="00A67CBD" w:rsidR="00ED20A7">
        <w:rPr>
          <w:rStyle w:val="FootnoteReference"/>
          <w:sz w:val="22"/>
        </w:rPr>
        <w:footnoteReference w:id="173"/>
      </w:r>
      <w:r w:rsidRPr="00E12C1B" w:rsidR="00ED20A7">
        <w:t xml:space="preserve">  The Commission may adjust the estimate maximum reasonable cost if actual costs exceed the adopted estimated maximum reasonable cost finding.</w:t>
      </w:r>
      <w:r w:rsidRPr="00A67CBD" w:rsidR="00ED20A7">
        <w:rPr>
          <w:rStyle w:val="FootnoteReference"/>
          <w:sz w:val="22"/>
        </w:rPr>
        <w:footnoteReference w:id="174"/>
      </w:r>
    </w:p>
    <w:p w:rsidRPr="00E12C1B" w:rsidR="003239C3" w:rsidP="003239C3" w:rsidRDefault="003239C3" w14:paraId="6C1950E7" w14:textId="77777777">
      <w:pPr>
        <w:pStyle w:val="Standard"/>
      </w:pPr>
      <w:r w:rsidRPr="00E12C1B">
        <w:t>SCE provided cost estimates in 2010, 2017 and 2023.</w:t>
      </w:r>
      <w:r w:rsidRPr="00A67CBD">
        <w:rPr>
          <w:rStyle w:val="FootnoteReference"/>
          <w:sz w:val="22"/>
        </w:rPr>
        <w:footnoteReference w:id="175"/>
      </w:r>
      <w:r w:rsidRPr="00E12C1B">
        <w:t xml:space="preserve">  At the 2017 evidentiary hearing, SCE estimated the cost be $464 million in 2017 constant dollars</w:t>
      </w:r>
      <w:r w:rsidRPr="00E12C1B" w:rsidR="008E2925">
        <w:t xml:space="preserve"> ($618 million in 2023 constant dollars)</w:t>
      </w:r>
      <w:r w:rsidRPr="00E12C1B">
        <w:t>.</w:t>
      </w:r>
      <w:r w:rsidRPr="00A67CBD">
        <w:rPr>
          <w:rStyle w:val="FootnoteReference"/>
          <w:sz w:val="22"/>
        </w:rPr>
        <w:footnoteReference w:id="176"/>
      </w:r>
      <w:r w:rsidRPr="00A67CBD">
        <w:rPr>
          <w:sz w:val="22"/>
        </w:rPr>
        <w:t xml:space="preserve"> </w:t>
      </w:r>
      <w:r w:rsidRPr="00E12C1B">
        <w:t xml:space="preserve"> In 2023, </w:t>
      </w:r>
      <w:r w:rsidR="00805935">
        <w:t>the</w:t>
      </w:r>
      <w:r w:rsidRPr="00E12C1B">
        <w:t xml:space="preserve"> Third Amended Application included technical design and engineering changes to the Alberhill project to reduce greenhouse gas emissions and decrease costs.  </w:t>
      </w:r>
      <w:r w:rsidRPr="00E12C1B" w:rsidR="008E2925">
        <w:t>SCE states that t</w:t>
      </w:r>
      <w:r w:rsidRPr="00E12C1B">
        <w:t>he current total project cost estimated is $482 million</w:t>
      </w:r>
      <w:r w:rsidR="00805935">
        <w:t xml:space="preserve"> (</w:t>
      </w:r>
      <w:r w:rsidRPr="00E12C1B" w:rsidR="00805935">
        <w:t>2023 constant dollars</w:t>
      </w:r>
      <w:r w:rsidR="00805935">
        <w:t>)</w:t>
      </w:r>
      <w:r w:rsidRPr="00E12C1B">
        <w:t>.</w:t>
      </w:r>
      <w:r w:rsidRPr="00A67CBD">
        <w:rPr>
          <w:rStyle w:val="FootnoteReference"/>
          <w:sz w:val="22"/>
        </w:rPr>
        <w:footnoteReference w:id="177"/>
      </w:r>
      <w:r w:rsidRPr="00A67CBD" w:rsidR="00ED20A7">
        <w:rPr>
          <w:sz w:val="22"/>
        </w:rPr>
        <w:t xml:space="preserve"> </w:t>
      </w:r>
      <w:r w:rsidRPr="00E12C1B" w:rsidR="00ED20A7">
        <w:t xml:space="preserve"> The changes in the project cost were due to inflation, which were then partially offset by reductions in project scope.</w:t>
      </w:r>
    </w:p>
    <w:p w:rsidRPr="00E12C1B" w:rsidR="003239C3" w:rsidP="003239C3" w:rsidRDefault="003239C3" w14:paraId="22418F1A" w14:textId="77777777">
      <w:pPr>
        <w:pStyle w:val="Standard"/>
      </w:pPr>
      <w:r w:rsidRPr="00E12C1B">
        <w:t xml:space="preserve">SCE </w:t>
      </w:r>
      <w:r w:rsidRPr="00E12C1B" w:rsidR="008E2925">
        <w:t xml:space="preserve">requests that the Commission set the maximum reasonable and prudent capital cost of $482 million, which consists of $428 million </w:t>
      </w:r>
      <w:r w:rsidR="002842AC">
        <w:t xml:space="preserve">in project </w:t>
      </w:r>
      <w:r w:rsidR="002842AC">
        <w:lastRenderedPageBreak/>
        <w:t xml:space="preserve">costs </w:t>
      </w:r>
      <w:r w:rsidRPr="00E12C1B" w:rsidR="008E2925">
        <w:t>and a 15</w:t>
      </w:r>
      <w:r w:rsidRPr="00E12C1B" w:rsidR="00CA625C">
        <w:t> </w:t>
      </w:r>
      <w:r w:rsidRPr="00E12C1B" w:rsidR="008E2925">
        <w:t>percent contingency ($54 million).</w:t>
      </w:r>
      <w:r w:rsidRPr="00A67CBD" w:rsidR="008E2925">
        <w:rPr>
          <w:rStyle w:val="FootnoteReference"/>
          <w:sz w:val="22"/>
        </w:rPr>
        <w:footnoteReference w:id="178"/>
      </w:r>
      <w:r w:rsidRPr="00E12C1B" w:rsidR="008E2925">
        <w:t xml:space="preserve">  </w:t>
      </w:r>
      <w:r w:rsidRPr="00E12C1B" w:rsidR="00F81B42">
        <w:t>SCE states that the contingency amount of 15 percent will be for “unfore</w:t>
      </w:r>
      <w:r w:rsidRPr="00CD2DF8" w:rsidR="00A978EF">
        <w:rPr>
          <w:iCs/>
        </w:rPr>
        <w:t>see</w:t>
      </w:r>
      <w:r w:rsidRPr="002842AC" w:rsidR="00F81B42">
        <w:rPr>
          <w:iCs/>
        </w:rPr>
        <w:t>a</w:t>
      </w:r>
      <w:r w:rsidRPr="00E12C1B" w:rsidR="00F81B42">
        <w:t xml:space="preserve">ble elements,” which </w:t>
      </w:r>
      <w:r w:rsidRPr="00E12C1B">
        <w:t>is reasonable</w:t>
      </w:r>
      <w:r w:rsidRPr="00E12C1B" w:rsidR="000562EE">
        <w:t xml:space="preserve"> because it</w:t>
      </w:r>
      <w:r w:rsidRPr="00E12C1B">
        <w:t xml:space="preserve"> is based</w:t>
      </w:r>
      <w:r w:rsidR="002842AC">
        <w:t>, in part, on</w:t>
      </w:r>
      <w:r w:rsidRPr="00E12C1B">
        <w:t xml:space="preserve"> the expertise of SCE’s engineering and construction professionals and</w:t>
      </w:r>
      <w:r w:rsidR="002842AC">
        <w:t>,</w:t>
      </w:r>
      <w:r w:rsidRPr="00E12C1B">
        <w:t xml:space="preserve"> in part</w:t>
      </w:r>
      <w:r w:rsidR="002842AC">
        <w:t>,</w:t>
      </w:r>
      <w:r w:rsidRPr="00E12C1B">
        <w:t xml:space="preserve"> on industry standard cost estimating information</w:t>
      </w:r>
      <w:r w:rsidR="00FD7646">
        <w:t>.</w:t>
      </w:r>
      <w:r w:rsidRPr="00E12C1B">
        <w:t xml:space="preserve">  SCE states that while the total contingency amount decreased</w:t>
      </w:r>
      <w:r w:rsidRPr="00E12C1B" w:rsidR="008C02C8">
        <w:t xml:space="preserve"> by $12 million</w:t>
      </w:r>
      <w:r w:rsidRPr="00E12C1B">
        <w:t xml:space="preserve"> from 2017, the 15</w:t>
      </w:r>
      <w:r w:rsidRPr="00E12C1B" w:rsidR="008C02C8">
        <w:t xml:space="preserve"> percent</w:t>
      </w:r>
      <w:r w:rsidRPr="00E12C1B">
        <w:t xml:space="preserve"> is unchanged.</w:t>
      </w:r>
      <w:r w:rsidRPr="00A67CBD">
        <w:rPr>
          <w:rStyle w:val="FootnoteReference"/>
          <w:sz w:val="22"/>
        </w:rPr>
        <w:footnoteReference w:id="179"/>
      </w:r>
    </w:p>
    <w:p w:rsidRPr="00E12C1B" w:rsidR="003239C3" w:rsidP="003239C3" w:rsidRDefault="003239C3" w14:paraId="481BA28D" w14:textId="77777777">
      <w:pPr>
        <w:pStyle w:val="Standard"/>
      </w:pPr>
      <w:r w:rsidRPr="00E12C1B">
        <w:t>TURN is silent with regards to SCE’s cost estimates.</w:t>
      </w:r>
    </w:p>
    <w:p w:rsidR="003239C3" w:rsidP="003239C3" w:rsidRDefault="000562EE" w14:paraId="6737C759" w14:textId="77777777">
      <w:pPr>
        <w:pStyle w:val="Standard"/>
      </w:pPr>
      <w:r w:rsidRPr="00E12C1B">
        <w:t xml:space="preserve">The Commission finds that SCE’s request is reasonable and therefore </w:t>
      </w:r>
      <w:r w:rsidR="005A2543">
        <w:t xml:space="preserve">sets </w:t>
      </w:r>
      <w:r w:rsidRPr="00E12C1B">
        <w:t>the maximum cost cap of $48</w:t>
      </w:r>
      <w:r w:rsidR="00012029">
        <w:t xml:space="preserve">1,700,000 </w:t>
      </w:r>
      <w:r w:rsidR="005E7197">
        <w:t>(</w:t>
      </w:r>
      <w:r w:rsidRPr="00E12C1B" w:rsidR="005E7197">
        <w:t>2023 constant dollars</w:t>
      </w:r>
      <w:r w:rsidR="005E7197">
        <w:t>)</w:t>
      </w:r>
      <w:r w:rsidRPr="00E12C1B" w:rsidR="005E7197">
        <w:t xml:space="preserve"> </w:t>
      </w:r>
      <w:r w:rsidR="00012029">
        <w:t>based on SCE’s work papers.  This</w:t>
      </w:r>
      <w:r w:rsidRPr="00E12C1B">
        <w:t xml:space="preserve"> includes a 15</w:t>
      </w:r>
      <w:r w:rsidR="00BC5F90">
        <w:t> </w:t>
      </w:r>
      <w:r w:rsidRPr="00E12C1B">
        <w:t>percent contingency</w:t>
      </w:r>
      <w:r w:rsidR="00012029">
        <w:t xml:space="preserve"> of $53,800,000</w:t>
      </w:r>
      <w:r w:rsidR="005E7197">
        <w:t xml:space="preserve"> (</w:t>
      </w:r>
      <w:r w:rsidRPr="00E12C1B" w:rsidR="005E7197">
        <w:t>2023 constant dollars</w:t>
      </w:r>
      <w:r w:rsidR="005E7197">
        <w:t>)</w:t>
      </w:r>
      <w:r w:rsidR="00012029">
        <w:t>,</w:t>
      </w:r>
      <w:r w:rsidRPr="00E12C1B">
        <w:t xml:space="preserve"> to address factors beyond SCE’s control that may impact the final cost.</w:t>
      </w:r>
      <w:r w:rsidR="00012029">
        <w:rPr>
          <w:rStyle w:val="FootnoteReference"/>
        </w:rPr>
        <w:footnoteReference w:id="180"/>
      </w:r>
    </w:p>
    <w:p w:rsidRPr="00E12C1B" w:rsidR="00E24F35" w:rsidP="003239C3" w:rsidRDefault="00E24F35" w14:paraId="61E79026" w14:textId="77777777">
      <w:pPr>
        <w:pStyle w:val="Standard"/>
      </w:pPr>
      <w:r>
        <w:t>By specifying these maximum costs, the Commission does not waive our authority to review or challenge actual costs incurred for reasonableness and prudency</w:t>
      </w:r>
      <w:r w:rsidRPr="00E24F35">
        <w:t xml:space="preserve"> </w:t>
      </w:r>
      <w:r w:rsidR="00F609D4">
        <w:t xml:space="preserve">at </w:t>
      </w:r>
      <w:r w:rsidRPr="00E24F35">
        <w:t>the Federal Energy Regulatory Commission (FERC).  In furtherance of our interest in exercising this authority, we direct SCE to submit, pursuant to GO 96-B, quarterly information-only submittals to Energy Division reporting on the status of project development and spending.</w:t>
      </w:r>
    </w:p>
    <w:p w:rsidRPr="00E12C1B" w:rsidR="000562EE" w:rsidP="003239C3" w:rsidRDefault="000562EE" w14:paraId="0B91F473" w14:textId="77777777">
      <w:pPr>
        <w:pStyle w:val="Standard"/>
      </w:pPr>
      <w:r w:rsidRPr="00E12C1B">
        <w:t>The cost cap cannot be exceeded absent significant changes to the Alberhill project which cannot be anticipated at this time.  Pursuant to Pub</w:t>
      </w:r>
      <w:r w:rsidR="002A6E9B">
        <w:t>.</w:t>
      </w:r>
      <w:r w:rsidRPr="00E12C1B">
        <w:t xml:space="preserve"> Util</w:t>
      </w:r>
      <w:r w:rsidR="002A6E9B">
        <w:t>.</w:t>
      </w:r>
      <w:r w:rsidRPr="00E12C1B">
        <w:t xml:space="preserve"> Code Section 1005.5(b), at any point during the construction of the Alberhill project, but prior to any expenditures in excess of the cost cap, SCE may file a formal Petition for Modification with the Commission for an increase in the reasonable </w:t>
      </w:r>
      <w:r w:rsidRPr="00E12C1B">
        <w:lastRenderedPageBreak/>
        <w:t xml:space="preserve">and prudent maximum cost specified in this Decision.  The Commission may authorize an increase in the cost cap if it finds and determines that the cost has in fact increased and that the present or future public convenience and necessity require construction of the project at the increased cost.  Further, it is expected that SCE shall not </w:t>
      </w:r>
      <w:r w:rsidRPr="00A978EF" w:rsidR="00A978EF">
        <w:rPr>
          <w:i/>
        </w:rPr>
        <w:t>s</w:t>
      </w:r>
      <w:r w:rsidRPr="00CD2DF8" w:rsidR="00A978EF">
        <w:rPr>
          <w:iCs/>
        </w:rPr>
        <w:t>ee</w:t>
      </w:r>
      <w:r w:rsidRPr="00E12C1B">
        <w:t>k recovery of costs in rates that are in excess of the cost cap prior to the Commission’s approval of the Petition for Modification.</w:t>
      </w:r>
    </w:p>
    <w:p w:rsidRPr="00EF3898" w:rsidR="00720D03" w:rsidP="00883DC4" w:rsidRDefault="00720D03" w14:paraId="795B8FCE" w14:textId="77777777">
      <w:pPr>
        <w:pStyle w:val="Heading1"/>
      </w:pPr>
      <w:bookmarkStart w:name="_Toc225410181" w:id="84"/>
      <w:r w:rsidRPr="00EF3898">
        <w:t>Minor Project Refinements</w:t>
      </w:r>
      <w:bookmarkEnd w:id="84"/>
    </w:p>
    <w:p w:rsidRPr="00E12C1B" w:rsidR="00CA625C" w:rsidP="00720D03" w:rsidRDefault="00720D03" w14:paraId="48A8BC3C" w14:textId="77777777">
      <w:pPr>
        <w:pStyle w:val="Standard"/>
      </w:pPr>
      <w:r w:rsidRPr="00E12C1B">
        <w:t>The Commission’s Energy Division may approve requests by SCE for minor project refinements that may be necessary, so long as such minor project refinements are located within the geographic boundary of the study area of the Final EIR and do not:</w:t>
      </w:r>
    </w:p>
    <w:p w:rsidRPr="00E12C1B" w:rsidR="00CA625C" w:rsidP="00DB2107" w:rsidRDefault="00CA625C" w14:paraId="0C4A20F1" w14:textId="77777777">
      <w:pPr>
        <w:pStyle w:val="Standard"/>
        <w:numPr>
          <w:ilvl w:val="0"/>
          <w:numId w:val="16"/>
        </w:numPr>
        <w:spacing w:after="120" w:line="240" w:lineRule="auto"/>
        <w:ind w:left="1080" w:right="1440"/>
      </w:pPr>
      <w:r w:rsidRPr="00E12C1B">
        <w:t>R</w:t>
      </w:r>
      <w:r w:rsidRPr="00E12C1B" w:rsidR="00720D03">
        <w:t>esult, without mitigation, in a new significant impact based on the criteria used in the Final EIR;</w:t>
      </w:r>
    </w:p>
    <w:p w:rsidRPr="00E12C1B" w:rsidR="00CA625C" w:rsidP="00DB2107" w:rsidRDefault="00CA625C" w14:paraId="12DE7A8C" w14:textId="77777777">
      <w:pPr>
        <w:pStyle w:val="Standard"/>
        <w:numPr>
          <w:ilvl w:val="0"/>
          <w:numId w:val="16"/>
        </w:numPr>
        <w:spacing w:after="120" w:line="240" w:lineRule="auto"/>
        <w:ind w:left="1080" w:right="1440"/>
      </w:pPr>
      <w:r w:rsidRPr="00E12C1B">
        <w:t>S</w:t>
      </w:r>
      <w:r w:rsidRPr="00E12C1B" w:rsidR="00720D03">
        <w:t xml:space="preserve">ubstantively conflict with any mitigation measure or applicable law or policy; </w:t>
      </w:r>
      <w:r w:rsidR="00D05CC9">
        <w:t>and/</w:t>
      </w:r>
      <w:r w:rsidRPr="00E12C1B" w:rsidR="00720D03">
        <w:t>or</w:t>
      </w:r>
    </w:p>
    <w:p w:rsidRPr="00E12C1B" w:rsidR="00720D03" w:rsidP="00DB2107" w:rsidRDefault="00CA625C" w14:paraId="7C0FFAC9" w14:textId="77777777">
      <w:pPr>
        <w:pStyle w:val="Standard"/>
        <w:numPr>
          <w:ilvl w:val="0"/>
          <w:numId w:val="16"/>
        </w:numPr>
        <w:spacing w:after="120" w:line="240" w:lineRule="auto"/>
        <w:ind w:left="1080" w:right="1440"/>
      </w:pPr>
      <w:r w:rsidRPr="00E12C1B">
        <w:t>T</w:t>
      </w:r>
      <w:r w:rsidRPr="00E12C1B" w:rsidR="00720D03">
        <w:t>rigger an additional discretionary permit requirement.</w:t>
      </w:r>
    </w:p>
    <w:p w:rsidRPr="00E12C1B" w:rsidR="00720D03" w:rsidP="00720D03" w:rsidRDefault="00720D03" w14:paraId="0C14FE7D" w14:textId="77777777">
      <w:pPr>
        <w:pStyle w:val="Standard"/>
      </w:pPr>
      <w:r w:rsidRPr="00E12C1B">
        <w:t xml:space="preserve">A minor project refinement should be strictly limited to a minor project change that will not trigger other discretionary permit requirements, that does not increase the severity of an impact or create a new impact, and that clearly and strictly complies with the intent of the mitigation measure.  SCE shall </w:t>
      </w:r>
      <w:r w:rsidRPr="00CD2DF8" w:rsidR="00A978EF">
        <w:rPr>
          <w:iCs/>
        </w:rPr>
        <w:t>see</w:t>
      </w:r>
      <w:r w:rsidRPr="00AF15F3">
        <w:rPr>
          <w:iCs/>
        </w:rPr>
        <w:t>k</w:t>
      </w:r>
      <w:r w:rsidRPr="00E12C1B">
        <w:t xml:space="preserve"> any project changes that do not fit within these criteria by a petition to modify today’s decision.  A change to the Alberhill project that has the potential for creating significant environmental effects will be evaluated to determine whether supplemental CEQA review is required.</w:t>
      </w:r>
    </w:p>
    <w:p w:rsidRPr="00E12C1B" w:rsidR="003463BE" w:rsidP="00720D03" w:rsidRDefault="00985D2F" w14:paraId="1C73B27E" w14:textId="77777777">
      <w:pPr>
        <w:pStyle w:val="Standard"/>
      </w:pPr>
      <w:r>
        <w:t>SCE shall report a</w:t>
      </w:r>
      <w:r w:rsidRPr="00E12C1B" w:rsidR="003463BE">
        <w:t>ny proposed deviation from the Alberhill project and adopted mitigation measures in A</w:t>
      </w:r>
      <w:r w:rsidRPr="00E12C1B" w:rsidR="00FE64CC">
        <w:t xml:space="preserve">ppendix A </w:t>
      </w:r>
      <w:r w:rsidRPr="00E12C1B" w:rsidR="00E3091E">
        <w:t xml:space="preserve">to the Commission and the </w:t>
      </w:r>
      <w:r w:rsidRPr="00E12C1B" w:rsidR="00E3091E">
        <w:lastRenderedPageBreak/>
        <w:t>mitigation monitor assigned to the construction for their review and Commission approval.</w:t>
      </w:r>
    </w:p>
    <w:p w:rsidRPr="00EF3898" w:rsidR="007637A7" w:rsidP="00FA0A67" w:rsidRDefault="007637A7" w14:paraId="1D933E47" w14:textId="77777777">
      <w:pPr>
        <w:pStyle w:val="Heading1"/>
        <w:rPr>
          <w:rFonts w:cs="Arial"/>
        </w:rPr>
      </w:pPr>
      <w:bookmarkStart w:name="_Toc220673119" w:id="85"/>
      <w:bookmarkStart w:name="_Toc220673251" w:id="86"/>
      <w:bookmarkStart w:name="_Toc221206297" w:id="87"/>
      <w:bookmarkStart w:name="_Toc221206818" w:id="88"/>
      <w:bookmarkStart w:name="_Toc221206863" w:id="89"/>
      <w:bookmarkStart w:name="_Toc225410182" w:id="90"/>
      <w:bookmarkEnd w:id="85"/>
      <w:bookmarkEnd w:id="86"/>
      <w:bookmarkEnd w:id="87"/>
      <w:bookmarkEnd w:id="88"/>
      <w:bookmarkEnd w:id="89"/>
      <w:r w:rsidRPr="00EF3898">
        <w:rPr>
          <w:rFonts w:cs="Arial"/>
        </w:rPr>
        <w:t>Conclusion</w:t>
      </w:r>
      <w:bookmarkEnd w:id="90"/>
    </w:p>
    <w:p w:rsidRPr="00E12C1B" w:rsidR="00C35721" w:rsidP="00D417A6" w:rsidRDefault="009038C6" w14:paraId="34C8ED9B" w14:textId="77777777">
      <w:pPr>
        <w:pStyle w:val="Standard"/>
      </w:pPr>
      <w:r w:rsidRPr="00E12C1B">
        <w:t xml:space="preserve">SCE has provided the supplemental material required by D.18-08-026.  The Commission’s Energy Division has independently reviewed and analyzed the </w:t>
      </w:r>
      <w:r w:rsidRPr="00E12C1B" w:rsidR="000562EE">
        <w:t xml:space="preserve">supplemental </w:t>
      </w:r>
      <w:r w:rsidRPr="00E12C1B">
        <w:t>material</w:t>
      </w:r>
      <w:r w:rsidRPr="00E12C1B" w:rsidR="00C35721">
        <w:t xml:space="preserve"> in the record since 2018</w:t>
      </w:r>
      <w:r w:rsidRPr="00E12C1B">
        <w:t>.  Based on the supplemental information, under CEQA, the conclusion that Alberhill is the superior alternative has not changed.</w:t>
      </w:r>
    </w:p>
    <w:p w:rsidRPr="00E12C1B" w:rsidR="00C821E3" w:rsidP="00D417A6" w:rsidRDefault="009038C6" w14:paraId="1B50158C" w14:textId="77777777">
      <w:pPr>
        <w:pStyle w:val="Standard"/>
      </w:pPr>
      <w:r w:rsidRPr="00E12C1B">
        <w:t xml:space="preserve">The Commission has reviewed the record as a whole, including the </w:t>
      </w:r>
      <w:r w:rsidR="00B05B61">
        <w:t xml:space="preserve">Final EIR and the </w:t>
      </w:r>
      <w:r w:rsidRPr="00E12C1B">
        <w:t>Addendum</w:t>
      </w:r>
      <w:r w:rsidR="00B05B61">
        <w:t xml:space="preserve"> to the Final EIR</w:t>
      </w:r>
      <w:r w:rsidRPr="00E12C1B" w:rsidR="00C35721">
        <w:t>.</w:t>
      </w:r>
      <w:r w:rsidRPr="00E12C1B">
        <w:t xml:space="preserve"> </w:t>
      </w:r>
      <w:r w:rsidRPr="00E12C1B" w:rsidR="00C35721">
        <w:t xml:space="preserve"> </w:t>
      </w:r>
      <w:r w:rsidRPr="00E12C1B" w:rsidR="00402366">
        <w:t>Although</w:t>
      </w:r>
      <w:r w:rsidRPr="00E12C1B" w:rsidR="004A15E4">
        <w:t xml:space="preserve"> TURN </w:t>
      </w:r>
      <w:r w:rsidRPr="00E12C1B" w:rsidR="00402366">
        <w:t xml:space="preserve">criticizes SCE’s assumptions and metrics, </w:t>
      </w:r>
      <w:r w:rsidRPr="00E12C1B" w:rsidR="004A15E4">
        <w:t xml:space="preserve">argues </w:t>
      </w:r>
      <w:r w:rsidRPr="00E12C1B" w:rsidR="00402366">
        <w:t xml:space="preserve">that </w:t>
      </w:r>
      <w:r w:rsidRPr="00E12C1B" w:rsidR="004A15E4">
        <w:t>SCE’s results inflate the need</w:t>
      </w:r>
      <w:r w:rsidRPr="00E12C1B" w:rsidR="00402366">
        <w:t xml:space="preserve"> for</w:t>
      </w:r>
      <w:r w:rsidRPr="00E12C1B" w:rsidR="004A15E4">
        <w:t xml:space="preserve"> and the benefits</w:t>
      </w:r>
      <w:r w:rsidRPr="00E12C1B" w:rsidR="00402366">
        <w:t xml:space="preserve"> of the Alberhill project</w:t>
      </w:r>
      <w:r w:rsidRPr="00E12C1B" w:rsidR="004A15E4">
        <w:t xml:space="preserve">, the reality is the Valley South System does not have the same level of reliability </w:t>
      </w:r>
      <w:r w:rsidR="00C96E5B">
        <w:t xml:space="preserve">and resilience </w:t>
      </w:r>
      <w:r w:rsidRPr="00E12C1B" w:rsidR="00A1327C">
        <w:t xml:space="preserve">as the rest of SCE’s service territory.  </w:t>
      </w:r>
      <w:r w:rsidR="00C96E5B">
        <w:t xml:space="preserve">The Commission finds that </w:t>
      </w:r>
      <w:r w:rsidRPr="00E12C1B" w:rsidR="003A2518">
        <w:t xml:space="preserve">it is in the interest of </w:t>
      </w:r>
      <w:r w:rsidRPr="00E12C1B" w:rsidR="00616B72">
        <w:t>SCE to</w:t>
      </w:r>
      <w:r w:rsidRPr="00E12C1B" w:rsidR="003A2518">
        <w:t xml:space="preserve"> prevent </w:t>
      </w:r>
      <w:r w:rsidR="00B05B61">
        <w:t xml:space="preserve">and remediate </w:t>
      </w:r>
      <w:r w:rsidRPr="00E12C1B" w:rsidR="003A2518">
        <w:t>contingency events</w:t>
      </w:r>
      <w:r w:rsidR="00C96E5B">
        <w:t xml:space="preserve"> by preemptively authorizing projects before the contingency events occur.</w:t>
      </w:r>
      <w:r w:rsidRPr="00A67CBD" w:rsidR="00EC0BDD">
        <w:rPr>
          <w:sz w:val="22"/>
        </w:rPr>
        <w:t xml:space="preserve"> </w:t>
      </w:r>
      <w:r w:rsidRPr="00E12C1B" w:rsidR="003A2518">
        <w:t xml:space="preserve"> </w:t>
      </w:r>
      <w:r w:rsidRPr="00E12C1B" w:rsidR="0052671B">
        <w:t xml:space="preserve">Today, the Valley South System is at 99 percent capacity.  </w:t>
      </w:r>
      <w:r w:rsidRPr="00E12C1B">
        <w:t xml:space="preserve">Furthermore, Valley </w:t>
      </w:r>
      <w:r w:rsidRPr="00E12C1B" w:rsidR="0052671B">
        <w:t>Substation</w:t>
      </w:r>
      <w:r w:rsidR="00B05B61">
        <w:t>, of which the Valley South System is a part,</w:t>
      </w:r>
      <w:r w:rsidRPr="00E12C1B">
        <w:t xml:space="preserve"> serves </w:t>
      </w:r>
      <w:r w:rsidRPr="00E12C1B" w:rsidR="0052671B">
        <w:t>approximately a million people</w:t>
      </w:r>
      <w:r w:rsidR="00362F9F">
        <w:t>.  T</w:t>
      </w:r>
      <w:r w:rsidRPr="00E12C1B" w:rsidR="00D417A6">
        <w:t xml:space="preserve">he failure to </w:t>
      </w:r>
      <w:r w:rsidR="00362F9F">
        <w:t xml:space="preserve">relieve the Valley Substation and </w:t>
      </w:r>
      <w:r w:rsidRPr="00E12C1B" w:rsidR="00D417A6">
        <w:t>update the Valley South System puts more customers at risk</w:t>
      </w:r>
      <w:r w:rsidRPr="00E12C1B">
        <w:t xml:space="preserve">.  </w:t>
      </w:r>
      <w:r w:rsidRPr="00E12C1B" w:rsidR="0052671B">
        <w:t xml:space="preserve">  </w:t>
      </w:r>
      <w:r w:rsidRPr="00E12C1B" w:rsidR="00C35721">
        <w:t>In conclusion, t</w:t>
      </w:r>
      <w:r w:rsidRPr="00E12C1B" w:rsidR="00AD59BC">
        <w:t xml:space="preserve">he Commission </w:t>
      </w:r>
      <w:r w:rsidRPr="00E12C1B" w:rsidR="00616B72">
        <w:t>finds</w:t>
      </w:r>
      <w:r w:rsidRPr="00E12C1B" w:rsidR="00402366">
        <w:t xml:space="preserve"> </w:t>
      </w:r>
      <w:r w:rsidRPr="00E12C1B" w:rsidR="00AD59BC">
        <w:t xml:space="preserve">that </w:t>
      </w:r>
      <w:r w:rsidRPr="00E12C1B" w:rsidR="00616B72">
        <w:t xml:space="preserve">SCE has met its burden of showing that the </w:t>
      </w:r>
      <w:r w:rsidRPr="00E12C1B" w:rsidR="00AD59BC">
        <w:t xml:space="preserve">Alberhill </w:t>
      </w:r>
      <w:r w:rsidRPr="00E12C1B" w:rsidR="00616B72">
        <w:t xml:space="preserve">project </w:t>
      </w:r>
      <w:r w:rsidRPr="00E12C1B" w:rsidR="00AD59BC">
        <w:t>serves public convenience and necessity</w:t>
      </w:r>
      <w:r w:rsidRPr="00E12C1B" w:rsidR="00C821E3">
        <w:t xml:space="preserve"> and that the Commission should grant </w:t>
      </w:r>
      <w:r w:rsidR="00C96E5B">
        <w:t>a</w:t>
      </w:r>
      <w:r w:rsidRPr="00E12C1B" w:rsidR="00C96E5B">
        <w:t xml:space="preserve"> </w:t>
      </w:r>
      <w:r w:rsidRPr="00E12C1B" w:rsidR="00C821E3">
        <w:t>CPCN</w:t>
      </w:r>
      <w:r w:rsidR="00C96E5B">
        <w:t xml:space="preserve"> for the Alberhill project</w:t>
      </w:r>
      <w:r w:rsidRPr="00E12C1B" w:rsidR="00C821E3">
        <w:t>.</w:t>
      </w:r>
    </w:p>
    <w:p w:rsidRPr="00EF3898" w:rsidR="008C3CB7" w:rsidP="004F57AC" w:rsidRDefault="00603238" w14:paraId="6A576536" w14:textId="77777777">
      <w:pPr>
        <w:pStyle w:val="Heading1"/>
      </w:pPr>
      <w:bookmarkStart w:name="_Toc225410183" w:id="91"/>
      <w:r w:rsidRPr="00EF3898">
        <w:t>Summary of Public Comment</w:t>
      </w:r>
      <w:bookmarkEnd w:id="91"/>
    </w:p>
    <w:p w:rsidRPr="00E12C1B" w:rsidR="00603238" w:rsidP="00284D8D" w:rsidRDefault="00603238" w14:paraId="35D2C227" w14:textId="77777777">
      <w:pPr>
        <w:rPr>
          <w:sz w:val="22"/>
        </w:rPr>
      </w:pPr>
      <w:r w:rsidRPr="00E12C1B">
        <w:t>Rule 1.18 allows any member of the public to submit written comment in any Commission proceeding using the “Public Comment” tab of the online Docket Card for that proceeding on the Commission’s website.</w:t>
      </w:r>
      <w:r w:rsidRPr="00E12C1B" w:rsidR="00CA625C">
        <w:t xml:space="preserve">  </w:t>
      </w:r>
      <w:r w:rsidRPr="00E12C1B">
        <w:t>Rule</w:t>
      </w:r>
      <w:r w:rsidRPr="00E12C1B" w:rsidR="00CA625C">
        <w:t> </w:t>
      </w:r>
      <w:r w:rsidRPr="00E12C1B">
        <w:t xml:space="preserve">1.18(b) </w:t>
      </w:r>
      <w:r w:rsidRPr="00E12C1B">
        <w:lastRenderedPageBreak/>
        <w:t>requires that relevant written comment submitted in a proceeding be summarized in the final decision issued in that proceeding.</w:t>
      </w:r>
    </w:p>
    <w:p w:rsidRPr="00E12C1B" w:rsidR="00E85E2F" w:rsidP="00603238" w:rsidRDefault="00C96E5B" w14:paraId="716F1D78" w14:textId="77777777">
      <w:pPr>
        <w:pStyle w:val="Standard"/>
      </w:pPr>
      <w:r>
        <w:t>By the submission date, three</w:t>
      </w:r>
      <w:r w:rsidRPr="00E12C1B" w:rsidR="00C35721">
        <w:t xml:space="preserve"> comments have been posted under the “Public Comment” tab of the online Docket Card</w:t>
      </w:r>
      <w:r w:rsidRPr="00E12C1B" w:rsidR="00603238">
        <w:t>.</w:t>
      </w:r>
      <w:r>
        <w:t xml:space="preserve">  Two in support of the Alberhill project and on</w:t>
      </w:r>
      <w:r w:rsidR="00D57099">
        <w:t>e</w:t>
      </w:r>
      <w:r>
        <w:t xml:space="preserve"> against.</w:t>
      </w:r>
    </w:p>
    <w:p w:rsidRPr="00EF3898" w:rsidR="004A1EAD" w:rsidP="004F57AC" w:rsidRDefault="004A1EAD" w14:paraId="4ECA737D" w14:textId="77777777">
      <w:pPr>
        <w:pStyle w:val="Heading1"/>
      </w:pPr>
      <w:bookmarkStart w:name="_Toc225410184" w:id="92"/>
      <w:bookmarkStart w:name="_Toc8123723" w:id="93"/>
      <w:bookmarkEnd w:id="83"/>
      <w:r w:rsidRPr="00EF3898">
        <w:t>Procedural Matters</w:t>
      </w:r>
      <w:bookmarkEnd w:id="92"/>
    </w:p>
    <w:p w:rsidR="007803D4" w:rsidP="007803D4" w:rsidRDefault="007803D4" w14:paraId="47BD55A8" w14:textId="77777777">
      <w:pPr>
        <w:pStyle w:val="Standard"/>
      </w:pPr>
      <w:r>
        <w:t>All motions not ruled on are deemed denied.</w:t>
      </w:r>
    </w:p>
    <w:p w:rsidRPr="00E12C1B" w:rsidR="000005F2" w:rsidP="007803D4" w:rsidRDefault="007803D4" w14:paraId="458BE04D" w14:textId="77777777">
      <w:pPr>
        <w:pStyle w:val="Standard"/>
      </w:pPr>
      <w:r>
        <w:t>This decision affirms all rulings made by the ALJ and assigned Commissioner in this proceeding.</w:t>
      </w:r>
    </w:p>
    <w:p w:rsidRPr="00EF3898" w:rsidR="005939A5" w:rsidP="00FA0A67" w:rsidRDefault="005939A5" w14:paraId="2228D4BF" w14:textId="77777777">
      <w:pPr>
        <w:pStyle w:val="Heading1"/>
        <w:rPr>
          <w:rFonts w:cs="Arial"/>
        </w:rPr>
      </w:pPr>
      <w:bookmarkStart w:name="_Toc225410185" w:id="94"/>
      <w:r w:rsidRPr="00EF3898">
        <w:rPr>
          <w:rFonts w:cs="Arial"/>
        </w:rPr>
        <w:t>Comments on Proposed Decision</w:t>
      </w:r>
      <w:bookmarkEnd w:id="93"/>
      <w:bookmarkEnd w:id="94"/>
    </w:p>
    <w:p w:rsidR="005939A5" w:rsidP="005C58FA" w:rsidRDefault="007637A7" w14:paraId="13767702" w14:textId="77777777">
      <w:pPr>
        <w:pStyle w:val="Standard"/>
      </w:pPr>
      <w:r w:rsidRPr="00E12C1B">
        <w:t>The proposed decision of ALJ Zhen Zhang</w:t>
      </w:r>
      <w:r w:rsidRPr="00E12C1B" w:rsidR="005C58FA">
        <w:t xml:space="preserve"> was mailed to the parties in accordance with Section 311 of the Public Utilities Code and comments were allowed under Rule 14.3 of the Commission’s Rules of Practice and Procedure.  </w:t>
      </w:r>
      <w:r w:rsidR="0029257F">
        <w:t>On March 5, 2026, SCE and TURN filed opening comments.</w:t>
      </w:r>
      <w:r w:rsidR="005F4332">
        <w:rPr>
          <w:rStyle w:val="FootnoteReference"/>
        </w:rPr>
        <w:footnoteReference w:id="181"/>
      </w:r>
      <w:r w:rsidR="0029257F">
        <w:t xml:space="preserve">  On March 10, 2026, SCE and TURN filed reply comments.</w:t>
      </w:r>
      <w:r w:rsidR="005F4332">
        <w:rPr>
          <w:rStyle w:val="FootnoteReference"/>
        </w:rPr>
        <w:footnoteReference w:id="182"/>
      </w:r>
    </w:p>
    <w:p w:rsidR="0029257F" w:rsidP="005C58FA" w:rsidRDefault="00E344A6" w14:paraId="42C0567A" w14:textId="77777777">
      <w:pPr>
        <w:pStyle w:val="Standard"/>
      </w:pPr>
      <w:r>
        <w:t xml:space="preserve">In general, </w:t>
      </w:r>
      <w:r w:rsidR="0029257F">
        <w:t>SCE supports the decision</w:t>
      </w:r>
      <w:r>
        <w:t>.  However, i</w:t>
      </w:r>
      <w:r w:rsidR="00D33E90">
        <w:t>n the event that</w:t>
      </w:r>
      <w:r>
        <w:t xml:space="preserve"> SCE files a petition to modify the cost cap set by this decision, SCE</w:t>
      </w:r>
      <w:r w:rsidR="0029257F">
        <w:t xml:space="preserve"> </w:t>
      </w:r>
      <w:r w:rsidR="00FC28D0">
        <w:t>states that it is burdensome to require SCE to wait to seek cost recovery of amounts in excess of the cost cap until after the Commission reviews</w:t>
      </w:r>
      <w:r>
        <w:t xml:space="preserve"> and decides on</w:t>
      </w:r>
      <w:r w:rsidR="00FC28D0">
        <w:t xml:space="preserve"> SCE’s petition.</w:t>
      </w:r>
      <w:r w:rsidR="00FC28D0">
        <w:rPr>
          <w:rStyle w:val="FootnoteReference"/>
        </w:rPr>
        <w:footnoteReference w:id="183"/>
      </w:r>
      <w:r w:rsidR="00952CEC">
        <w:t xml:space="preserve">  </w:t>
      </w:r>
      <w:r w:rsidR="007F0AB5">
        <w:lastRenderedPageBreak/>
        <w:t xml:space="preserve">SCE argues that review </w:t>
      </w:r>
      <w:r w:rsidR="00A31805">
        <w:t xml:space="preserve">of all project costs </w:t>
      </w:r>
      <w:r w:rsidR="007F0AB5">
        <w:t>in the General Rate Case</w:t>
      </w:r>
      <w:r w:rsidR="00A31805">
        <w:t xml:space="preserve"> is adequate.  </w:t>
      </w:r>
      <w:r w:rsidR="00952CEC">
        <w:t>TURN responds that</w:t>
      </w:r>
      <w:r w:rsidR="007F0AB5">
        <w:t xml:space="preserve"> when reviewing an increase to the cost cap, the Commission considers “whether the project cost ‘in fact increased’ and that ‘the present or future public convenience and necessity require construction of the project at increased cost.’”</w:t>
      </w:r>
      <w:r w:rsidR="007F0AB5">
        <w:rPr>
          <w:rStyle w:val="FootnoteReference"/>
        </w:rPr>
        <w:footnoteReference w:id="184"/>
      </w:r>
      <w:r w:rsidR="00A31805">
        <w:t xml:space="preserve">  The Commission agrees with TURN that deciding whether the project at a higher cost continues to serve the public is a distinct and important question to resolve before allowing cost recovery from ratepayers.  Therefore, the Commission rejects SCE’s argument and proposed changes to the decision.</w:t>
      </w:r>
    </w:p>
    <w:p w:rsidR="00A31805" w:rsidP="005C58FA" w:rsidRDefault="00A31805" w14:paraId="67C25C7C" w14:textId="77777777">
      <w:pPr>
        <w:pStyle w:val="Standard"/>
      </w:pPr>
      <w:r>
        <w:t xml:space="preserve">TURN </w:t>
      </w:r>
      <w:r w:rsidR="00123826">
        <w:t>points out alleged</w:t>
      </w:r>
      <w:r w:rsidR="009D2504">
        <w:t xml:space="preserve"> factual errors and </w:t>
      </w:r>
      <w:r w:rsidR="00123826">
        <w:t xml:space="preserve">recommends that the Commission </w:t>
      </w:r>
      <w:r w:rsidR="009D2504">
        <w:t xml:space="preserve">adopt additional reporting requirements.  TURN states there are factual errors in the decision’s discussions </w:t>
      </w:r>
      <w:r w:rsidR="00A12E39">
        <w:t xml:space="preserve">of benefits to customers, </w:t>
      </w:r>
      <w:r w:rsidR="009D2504">
        <w:t>tie-lines, rolling blackouts, the spare transformer,</w:t>
      </w:r>
      <w:r w:rsidR="00A12E39">
        <w:t xml:space="preserve"> a network design versus a radial design, reliability performance versus reliability risk, Load at Risk, Expected Energy Not Served,</w:t>
      </w:r>
      <w:r w:rsidR="00167AB1">
        <w:t xml:space="preserve"> and possible event frequencies.</w:t>
      </w:r>
      <w:r w:rsidR="00167AB1">
        <w:rPr>
          <w:rStyle w:val="FootnoteReference"/>
        </w:rPr>
        <w:footnoteReference w:id="185"/>
      </w:r>
      <w:r w:rsidR="00167AB1">
        <w:t xml:space="preserve">  TURN proposes </w:t>
      </w:r>
      <w:r w:rsidR="00123826">
        <w:t xml:space="preserve">changes to the status reports such </w:t>
      </w:r>
      <w:r w:rsidR="00D04FD1">
        <w:t xml:space="preserve">as </w:t>
      </w:r>
      <w:r w:rsidR="00123826">
        <w:t>requiring SCE to identify costs based on FERC jurisdiction or Commission jurisdiction and drivers of the differences between actual spending and total estimated project costs.</w:t>
      </w:r>
      <w:r w:rsidR="00123826">
        <w:rPr>
          <w:rStyle w:val="FootnoteReference"/>
        </w:rPr>
        <w:footnoteReference w:id="186"/>
      </w:r>
      <w:r w:rsidR="00123826">
        <w:t xml:space="preserve">  Except </w:t>
      </w:r>
      <w:r w:rsidR="00D04FD1">
        <w:t xml:space="preserve">for </w:t>
      </w:r>
      <w:r w:rsidR="00123826">
        <w:t>two minor proposed changes by TURN,</w:t>
      </w:r>
      <w:r w:rsidR="00123826">
        <w:rPr>
          <w:rStyle w:val="FootnoteReference"/>
        </w:rPr>
        <w:footnoteReference w:id="187"/>
      </w:r>
      <w:r w:rsidR="00123826">
        <w:t xml:space="preserve"> SCE disagrees with TURN’s alleged factual errors and additional reporting requirements.</w:t>
      </w:r>
      <w:r w:rsidR="009438DE">
        <w:rPr>
          <w:rStyle w:val="FootnoteReference"/>
        </w:rPr>
        <w:footnoteReference w:id="188"/>
      </w:r>
      <w:r w:rsidR="005F4038">
        <w:t xml:space="preserve">  </w:t>
      </w:r>
    </w:p>
    <w:p w:rsidRPr="00E12C1B" w:rsidR="0029257F" w:rsidP="005C58FA" w:rsidRDefault="005F4038" w14:paraId="2662FCE8" w14:textId="77777777">
      <w:pPr>
        <w:pStyle w:val="Standard"/>
      </w:pPr>
      <w:r>
        <w:lastRenderedPageBreak/>
        <w:t>The Commission has</w:t>
      </w:r>
      <w:r w:rsidR="0029257F">
        <w:t xml:space="preserve"> carefully reviewed and considered the parties’ comments and made appropriate changes to the proposed decision where warranted.  </w:t>
      </w:r>
      <w:r>
        <w:t xml:space="preserve">The Commission </w:t>
      </w:r>
      <w:r w:rsidR="0029257F">
        <w:t>find</w:t>
      </w:r>
      <w:r>
        <w:t>s</w:t>
      </w:r>
      <w:r w:rsidR="0029257F">
        <w:t xml:space="preserve"> all other comments not specifically addressed by revisions to the proposed decision do not raise any factual, legal or technical errors </w:t>
      </w:r>
      <w:r w:rsidR="0071320D">
        <w:t>and are accorded no weight</w:t>
      </w:r>
      <w:r w:rsidR="0029257F">
        <w:t>.</w:t>
      </w:r>
    </w:p>
    <w:p w:rsidRPr="00EF3898" w:rsidR="005939A5" w:rsidP="00FA0A67" w:rsidRDefault="005939A5" w14:paraId="3E8D0D6C" w14:textId="77777777">
      <w:pPr>
        <w:pStyle w:val="Heading1"/>
        <w:rPr>
          <w:rFonts w:cs="Arial"/>
        </w:rPr>
      </w:pPr>
      <w:bookmarkStart w:name="_Toc8123724" w:id="95"/>
      <w:bookmarkStart w:name="_Toc225410186" w:id="96"/>
      <w:r w:rsidRPr="00EF3898">
        <w:rPr>
          <w:rFonts w:cs="Arial"/>
        </w:rPr>
        <w:t>Assignment of Proceeding</w:t>
      </w:r>
      <w:bookmarkEnd w:id="95"/>
      <w:bookmarkEnd w:id="96"/>
    </w:p>
    <w:p w:rsidRPr="00E12C1B" w:rsidR="005939A5" w:rsidP="006E6574" w:rsidRDefault="007637A7" w14:paraId="4448CA77" w14:textId="77777777">
      <w:pPr>
        <w:pStyle w:val="Standard"/>
      </w:pPr>
      <w:r w:rsidRPr="00E12C1B">
        <w:t xml:space="preserve">John Reynolds </w:t>
      </w:r>
      <w:r w:rsidRPr="00E12C1B" w:rsidR="005939A5">
        <w:t xml:space="preserve">is the assigned Commissioner and </w:t>
      </w:r>
      <w:r w:rsidRPr="00E12C1B">
        <w:t>Zhen Zhang</w:t>
      </w:r>
      <w:r w:rsidRPr="00E12C1B" w:rsidR="005939A5">
        <w:t xml:space="preserve"> is the assigned Administrative Law Judge in this proceeding.</w:t>
      </w:r>
    </w:p>
    <w:p w:rsidRPr="00EF3898" w:rsidR="005939A5" w:rsidP="005939A5" w:rsidRDefault="005939A5" w14:paraId="378C1617" w14:textId="77777777">
      <w:pPr>
        <w:pStyle w:val="Dummy"/>
      </w:pPr>
      <w:bookmarkStart w:name="_Toc8123725" w:id="97"/>
      <w:bookmarkStart w:name="_Toc225410187" w:id="98"/>
      <w:r w:rsidRPr="00EF3898">
        <w:t>Findings of Fact</w:t>
      </w:r>
      <w:bookmarkEnd w:id="97"/>
      <w:bookmarkEnd w:id="98"/>
    </w:p>
    <w:p w:rsidRPr="00E12C1B" w:rsidR="00F80595" w:rsidP="00696A1D" w:rsidRDefault="00F80595" w14:paraId="1438488D" w14:textId="77777777">
      <w:pPr>
        <w:pStyle w:val="ListNum"/>
        <w:tabs>
          <w:tab w:val="clear" w:pos="1080"/>
          <w:tab w:val="num" w:pos="720"/>
        </w:tabs>
        <w:spacing w:line="360" w:lineRule="auto"/>
        <w:ind w:left="0" w:firstLine="360"/>
      </w:pPr>
      <w:r w:rsidRPr="00696A1D">
        <w:t>The</w:t>
      </w:r>
      <w:r w:rsidRPr="00E12C1B">
        <w:t xml:space="preserve"> Addendum to the Final EIR confirms the finding that the Alberhill project is the environmentally superior alternative, as determined in D.18-08-026 Findings of Fact 15.</w:t>
      </w:r>
    </w:p>
    <w:p w:rsidRPr="00E12C1B" w:rsidR="00F80595" w:rsidP="00696A1D" w:rsidRDefault="00F80595" w14:paraId="4E43F4AE" w14:textId="77777777">
      <w:pPr>
        <w:pStyle w:val="ListNum"/>
        <w:tabs>
          <w:tab w:val="clear" w:pos="1080"/>
          <w:tab w:val="num" w:pos="720"/>
        </w:tabs>
        <w:spacing w:line="360" w:lineRule="auto"/>
        <w:ind w:left="0" w:firstLine="360"/>
      </w:pPr>
      <w:r w:rsidRPr="00E12C1B">
        <w:t>Prior to deciding on SCE’s application, the Commission has reviewed and considered the information contained in the Final EIR and Addendum to the Final EIR.</w:t>
      </w:r>
    </w:p>
    <w:p w:rsidRPr="00E12C1B" w:rsidR="00F80595" w:rsidP="00696A1D" w:rsidRDefault="00F80595" w14:paraId="200E9E8A" w14:textId="77777777">
      <w:pPr>
        <w:pStyle w:val="ListNum"/>
        <w:tabs>
          <w:tab w:val="clear" w:pos="1080"/>
          <w:tab w:val="num" w:pos="720"/>
        </w:tabs>
        <w:spacing w:line="360" w:lineRule="auto"/>
        <w:ind w:left="0" w:firstLine="360"/>
      </w:pPr>
      <w:r w:rsidRPr="00E12C1B">
        <w:t>The Electrical Needs Area is the service area of the Valley South 115 kV System, also called the Valley South System.</w:t>
      </w:r>
    </w:p>
    <w:p w:rsidRPr="00E12C1B" w:rsidR="00F80595" w:rsidP="00696A1D" w:rsidRDefault="00F80595" w14:paraId="6BE4DA1D" w14:textId="77777777">
      <w:pPr>
        <w:pStyle w:val="ListNum"/>
        <w:tabs>
          <w:tab w:val="clear" w:pos="1080"/>
          <w:tab w:val="num" w:pos="720"/>
        </w:tabs>
        <w:spacing w:line="360" w:lineRule="auto"/>
        <w:ind w:left="0" w:firstLine="360"/>
      </w:pPr>
      <w:r w:rsidRPr="00E12C1B">
        <w:t>Currently, the load at the Valley South System is managed by the Valley Substation.</w:t>
      </w:r>
    </w:p>
    <w:p w:rsidRPr="00E12C1B" w:rsidR="00F80595" w:rsidP="00696A1D" w:rsidRDefault="00F80595" w14:paraId="45907D66" w14:textId="77777777">
      <w:pPr>
        <w:pStyle w:val="ListNum"/>
        <w:tabs>
          <w:tab w:val="clear" w:pos="1080"/>
          <w:tab w:val="num" w:pos="720"/>
        </w:tabs>
        <w:spacing w:line="360" w:lineRule="auto"/>
        <w:ind w:left="0" w:firstLine="360"/>
      </w:pPr>
      <w:r w:rsidRPr="00E12C1B">
        <w:t>The Valley Substation is SCE’s largest load-serving substation in total transformer capacity installed, total load served, and total population served.</w:t>
      </w:r>
    </w:p>
    <w:p w:rsidRPr="00E12C1B" w:rsidR="00F80595" w:rsidP="00696A1D" w:rsidRDefault="00F80595" w14:paraId="53279D6D" w14:textId="77777777">
      <w:pPr>
        <w:pStyle w:val="ListNum"/>
        <w:tabs>
          <w:tab w:val="clear" w:pos="1080"/>
          <w:tab w:val="num" w:pos="720"/>
        </w:tabs>
        <w:spacing w:line="360" w:lineRule="auto"/>
        <w:ind w:left="0" w:firstLine="360"/>
      </w:pPr>
      <w:r w:rsidRPr="00E12C1B">
        <w:t xml:space="preserve">The Valley Substation provides electricity to approximately 1,000,000 </w:t>
      </w:r>
      <w:r w:rsidR="00C658BD">
        <w:t>people</w:t>
      </w:r>
      <w:r w:rsidRPr="00E12C1B">
        <w:t>.</w:t>
      </w:r>
    </w:p>
    <w:p w:rsidRPr="00E12C1B" w:rsidR="00F80595" w:rsidP="00696A1D" w:rsidRDefault="00F80595" w14:paraId="31CF439A" w14:textId="77777777">
      <w:pPr>
        <w:pStyle w:val="ListNum"/>
        <w:tabs>
          <w:tab w:val="clear" w:pos="1080"/>
          <w:tab w:val="num" w:pos="720"/>
        </w:tabs>
        <w:spacing w:line="360" w:lineRule="auto"/>
        <w:ind w:left="0" w:firstLine="360"/>
      </w:pPr>
      <w:r w:rsidRPr="00E12C1B">
        <w:lastRenderedPageBreak/>
        <w:t>Out of SCE’s 43 A-bank substations, the Valley Substation is the only A</w:t>
      </w:r>
      <w:r w:rsidR="00A978EF">
        <w:noBreakHyphen/>
      </w:r>
      <w:r w:rsidRPr="00E12C1B">
        <w:t>bank substation that has transformer</w:t>
      </w:r>
      <w:r w:rsidR="00F37519">
        <w:t>s</w:t>
      </w:r>
      <w:r w:rsidRPr="00E12C1B">
        <w:t xml:space="preserve"> rated at 560 MVA, twice the capacity of the typical 280 MVA transformer used at all</w:t>
      </w:r>
      <w:r w:rsidR="00F37519">
        <w:t xml:space="preserve"> of</w:t>
      </w:r>
      <w:r w:rsidRPr="00E12C1B">
        <w:t xml:space="preserve"> the other A-bank substations.</w:t>
      </w:r>
    </w:p>
    <w:p w:rsidRPr="00E12C1B" w:rsidR="00F80595" w:rsidP="00696A1D" w:rsidRDefault="00F80595" w14:paraId="77613F16" w14:textId="77777777">
      <w:pPr>
        <w:pStyle w:val="ListNum"/>
        <w:tabs>
          <w:tab w:val="clear" w:pos="1080"/>
          <w:tab w:val="num" w:pos="720"/>
        </w:tabs>
        <w:spacing w:line="360" w:lineRule="auto"/>
        <w:ind w:left="0" w:firstLine="360"/>
      </w:pPr>
      <w:r w:rsidRPr="00E12C1B">
        <w:t>560 MVA transformers differ from typical 280 MVA transformers in procurement time, cost, logistics, and storage.</w:t>
      </w:r>
    </w:p>
    <w:p w:rsidRPr="00E12C1B" w:rsidR="00F80595" w:rsidP="00696A1D" w:rsidRDefault="00F80595" w14:paraId="68BE2E85" w14:textId="77777777">
      <w:pPr>
        <w:pStyle w:val="ListNum"/>
        <w:tabs>
          <w:tab w:val="clear" w:pos="1080"/>
          <w:tab w:val="num" w:pos="720"/>
        </w:tabs>
        <w:spacing w:line="360" w:lineRule="auto"/>
        <w:ind w:left="0" w:firstLine="360"/>
      </w:pPr>
      <w:r w:rsidRPr="00E12C1B">
        <w:t>The Valley Substa</w:t>
      </w:r>
      <w:r w:rsidR="00AB4D84">
        <w:t>tion serves</w:t>
      </w:r>
      <w:r w:rsidRPr="00E12C1B">
        <w:t xml:space="preserve"> the Valley South System and the Valley North System.  The Valley North System has tie-lines to </w:t>
      </w:r>
      <w:r w:rsidR="00F37519">
        <w:t>adjacent</w:t>
      </w:r>
      <w:r w:rsidRPr="00E12C1B">
        <w:t xml:space="preserve"> transmission system</w:t>
      </w:r>
      <w:r w:rsidR="00F37519">
        <w:t>s</w:t>
      </w:r>
      <w:r w:rsidRPr="00E12C1B">
        <w:t xml:space="preserve">.  The Valley South System does not have tie-lines to </w:t>
      </w:r>
      <w:r w:rsidR="00F37519">
        <w:t>adjacent</w:t>
      </w:r>
      <w:r w:rsidRPr="00E12C1B">
        <w:t xml:space="preserve"> transmission system</w:t>
      </w:r>
      <w:r w:rsidR="00F37519">
        <w:t>s</w:t>
      </w:r>
      <w:r w:rsidRPr="00E12C1B">
        <w:t>.</w:t>
      </w:r>
    </w:p>
    <w:p w:rsidRPr="00E12C1B" w:rsidR="00F80595" w:rsidP="00696A1D" w:rsidRDefault="00F80595" w14:paraId="630B8426" w14:textId="77777777">
      <w:pPr>
        <w:pStyle w:val="ListNum"/>
        <w:tabs>
          <w:tab w:val="clear" w:pos="1080"/>
          <w:tab w:val="num" w:pos="720"/>
        </w:tabs>
        <w:spacing w:line="360" w:lineRule="auto"/>
        <w:ind w:left="0" w:firstLine="360"/>
      </w:pPr>
      <w:r w:rsidRPr="00E12C1B">
        <w:t xml:space="preserve">The Valley South System is the only one of SCE’s 56 </w:t>
      </w:r>
      <w:proofErr w:type="spellStart"/>
      <w:r w:rsidR="00154A8F">
        <w:t>subtransmission</w:t>
      </w:r>
      <w:proofErr w:type="spellEnd"/>
      <w:r w:rsidR="00154A8F">
        <w:t xml:space="preserve"> </w:t>
      </w:r>
      <w:r w:rsidRPr="00E12C1B">
        <w:t xml:space="preserve">electrical systems without system tie-lines to another 115 kV </w:t>
      </w:r>
      <w:r w:rsidRPr="00E12C1B" w:rsidR="0047207B">
        <w:t>sub-transmission</w:t>
      </w:r>
      <w:r w:rsidRPr="00E12C1B">
        <w:t xml:space="preserve"> system within SCE’s entire</w:t>
      </w:r>
      <w:r w:rsidR="00AB4D84">
        <w:t xml:space="preserve"> service</w:t>
      </w:r>
      <w:r w:rsidRPr="00E12C1B">
        <w:t xml:space="preserve"> territory.</w:t>
      </w:r>
    </w:p>
    <w:p w:rsidRPr="00E12C1B" w:rsidR="00F80595" w:rsidP="00696A1D" w:rsidRDefault="00F80595" w14:paraId="4BD98BDB" w14:textId="77777777">
      <w:pPr>
        <w:pStyle w:val="ListNum"/>
        <w:tabs>
          <w:tab w:val="clear" w:pos="1080"/>
          <w:tab w:val="num" w:pos="720"/>
        </w:tabs>
        <w:spacing w:line="360" w:lineRule="auto"/>
        <w:ind w:left="0" w:firstLine="360"/>
      </w:pPr>
      <w:r w:rsidRPr="00E12C1B">
        <w:t xml:space="preserve">The Valley South System is a radial system, which means it is an individual system that serves a pocket of customer demand through a single point of connection rather than multiple points of connection.  If there is an outage at </w:t>
      </w:r>
      <w:r w:rsidR="00AB4D84">
        <w:t xml:space="preserve">the </w:t>
      </w:r>
      <w:r w:rsidRPr="00E12C1B">
        <w:t>Valley South</w:t>
      </w:r>
      <w:r w:rsidR="00AB4D84">
        <w:t xml:space="preserve"> System</w:t>
      </w:r>
      <w:r w:rsidRPr="00E12C1B">
        <w:t>, power only has one single point of interface with the transmission system at Valley Substation and power cannot be imported to the Valley South System from other systems via tie-lines.</w:t>
      </w:r>
    </w:p>
    <w:p w:rsidRPr="00E12C1B" w:rsidR="00C666EF" w:rsidP="00696A1D" w:rsidRDefault="00F80595" w14:paraId="73D73988" w14:textId="77777777">
      <w:pPr>
        <w:pStyle w:val="ListNum"/>
        <w:tabs>
          <w:tab w:val="clear" w:pos="1080"/>
          <w:tab w:val="num" w:pos="720"/>
        </w:tabs>
        <w:spacing w:line="360" w:lineRule="auto"/>
        <w:ind w:left="0" w:firstLine="360"/>
      </w:pPr>
      <w:r w:rsidRPr="00E12C1B">
        <w:t>The fifth spare transformer was installed to comply with SCE’s internal Transmission Planning Criteria and Guidelines in case one of the two transformers serving the Valley South System becomes unavailable.</w:t>
      </w:r>
    </w:p>
    <w:p w:rsidR="00AB4D84" w:rsidP="00696A1D" w:rsidRDefault="00F80595" w14:paraId="22C7029B" w14:textId="77777777">
      <w:pPr>
        <w:pStyle w:val="ListNum"/>
        <w:tabs>
          <w:tab w:val="clear" w:pos="1080"/>
          <w:tab w:val="num" w:pos="720"/>
        </w:tabs>
        <w:spacing w:line="360" w:lineRule="auto"/>
        <w:ind w:left="0" w:firstLine="360"/>
      </w:pPr>
      <w:r w:rsidRPr="00E12C1B">
        <w:t>The fifth spare transformer is more important for the Valley South System because it does not have tie</w:t>
      </w:r>
      <w:r w:rsidR="00F37519">
        <w:t>-</w:t>
      </w:r>
      <w:r w:rsidRPr="00E12C1B">
        <w:t xml:space="preserve">lines.  </w:t>
      </w:r>
    </w:p>
    <w:p w:rsidRPr="00E12C1B" w:rsidR="00F80595" w:rsidP="00696A1D" w:rsidRDefault="00AB4D84" w14:paraId="47BBB2E0" w14:textId="77777777">
      <w:pPr>
        <w:pStyle w:val="ListNum"/>
        <w:tabs>
          <w:tab w:val="clear" w:pos="1080"/>
          <w:tab w:val="num" w:pos="720"/>
        </w:tabs>
        <w:spacing w:line="360" w:lineRule="auto"/>
        <w:ind w:left="0" w:firstLine="360"/>
      </w:pPr>
      <w:r>
        <w:lastRenderedPageBreak/>
        <w:t>I</w:t>
      </w:r>
      <w:r w:rsidRPr="00E12C1B" w:rsidR="00F80595">
        <w:t>f one of the two transformers serving the Valley South S</w:t>
      </w:r>
      <w:r w:rsidR="00B4193E">
        <w:t>ystem</w:t>
      </w:r>
      <w:r w:rsidRPr="00E12C1B" w:rsidR="00F80595">
        <w:t xml:space="preserve"> becomes unavailable, operators cannot use tie-lines to bring electricity back into the area.  In such a situation, if the fifth spare transformer is unavailable then SCE would have to implement rolling blackouts.</w:t>
      </w:r>
    </w:p>
    <w:p w:rsidRPr="00E12C1B" w:rsidR="00F80595" w:rsidP="00696A1D" w:rsidRDefault="00F80595" w14:paraId="06CA088E" w14:textId="77777777">
      <w:pPr>
        <w:pStyle w:val="ListNum"/>
        <w:tabs>
          <w:tab w:val="clear" w:pos="1080"/>
          <w:tab w:val="num" w:pos="720"/>
        </w:tabs>
        <w:spacing w:line="360" w:lineRule="auto"/>
        <w:ind w:left="0" w:firstLine="360"/>
      </w:pPr>
      <w:r w:rsidRPr="00E12C1B">
        <w:t>To rely on the fifth spare transformer as a long-term solution for additional capacity is not prudent</w:t>
      </w:r>
      <w:r w:rsidR="00F37519">
        <w:t xml:space="preserve"> </w:t>
      </w:r>
      <w:r w:rsidRPr="00E12C1B">
        <w:t>and places SCE</w:t>
      </w:r>
      <w:r w:rsidR="007E471B">
        <w:t>’</w:t>
      </w:r>
      <w:r w:rsidRPr="00E12C1B">
        <w:t>s customers at unreasonable risk.</w:t>
      </w:r>
    </w:p>
    <w:p w:rsidR="000E4ADE" w:rsidP="00696A1D" w:rsidRDefault="000E4ADE" w14:paraId="0FB6E683" w14:textId="77777777">
      <w:pPr>
        <w:pStyle w:val="ListNum"/>
        <w:tabs>
          <w:tab w:val="clear" w:pos="1080"/>
          <w:tab w:val="num" w:pos="720"/>
        </w:tabs>
        <w:spacing w:line="360" w:lineRule="auto"/>
        <w:ind w:left="0" w:firstLine="360"/>
      </w:pPr>
      <w:r>
        <w:t>T</w:t>
      </w:r>
      <w:r w:rsidRPr="00E12C1B" w:rsidR="00F80595">
        <w:t>he fifth spare transformer</w:t>
      </w:r>
      <w:r>
        <w:t xml:space="preserve"> is not a permanent load</w:t>
      </w:r>
      <w:r w:rsidR="00DE61D9">
        <w:t>-</w:t>
      </w:r>
      <w:r>
        <w:t>serving asset.</w:t>
      </w:r>
    </w:p>
    <w:p w:rsidRPr="00E12C1B" w:rsidR="00F80595" w:rsidP="00696A1D" w:rsidRDefault="000E4ADE" w14:paraId="76B5E888" w14:textId="77777777">
      <w:pPr>
        <w:pStyle w:val="ListNum"/>
        <w:tabs>
          <w:tab w:val="clear" w:pos="1080"/>
          <w:tab w:val="num" w:pos="720"/>
        </w:tabs>
        <w:spacing w:line="360" w:lineRule="auto"/>
        <w:ind w:left="0" w:firstLine="360"/>
      </w:pPr>
      <w:r>
        <w:t>The fifth spare transformer is not part of</w:t>
      </w:r>
      <w:r w:rsidRPr="00E12C1B" w:rsidR="00F80595">
        <w:t xml:space="preserve"> the status quo from which to assess the capacity limit calculations, reliability metrics, </w:t>
      </w:r>
      <w:r>
        <w:t xml:space="preserve">resilience metrics, </w:t>
      </w:r>
      <w:r w:rsidRPr="00E12C1B" w:rsidR="00F80595">
        <w:t>and cost/benefit</w:t>
      </w:r>
      <w:r w:rsidR="006F6207">
        <w:t xml:space="preserve"> </w:t>
      </w:r>
      <w:r w:rsidR="00824528">
        <w:t>calculations</w:t>
      </w:r>
      <w:r w:rsidR="006F6207">
        <w:t>.</w:t>
      </w:r>
    </w:p>
    <w:p w:rsidRPr="00E12C1B" w:rsidR="00F80595" w:rsidP="00696A1D" w:rsidRDefault="00F80595" w14:paraId="3BA6AB68" w14:textId="77777777">
      <w:pPr>
        <w:pStyle w:val="ListNum"/>
        <w:tabs>
          <w:tab w:val="clear" w:pos="1080"/>
          <w:tab w:val="num" w:pos="720"/>
        </w:tabs>
        <w:spacing w:line="360" w:lineRule="auto"/>
        <w:ind w:left="0" w:firstLine="360"/>
      </w:pPr>
      <w:r w:rsidRPr="00E12C1B">
        <w:t>The Valley South System’s two transformers have 1,119 MW of name plate rating capacity.</w:t>
      </w:r>
    </w:p>
    <w:p w:rsidRPr="00E12C1B" w:rsidR="00F80595" w:rsidP="00696A1D" w:rsidRDefault="00F80595" w14:paraId="040A9452" w14:textId="77777777">
      <w:pPr>
        <w:pStyle w:val="ListNum"/>
        <w:tabs>
          <w:tab w:val="clear" w:pos="1080"/>
          <w:tab w:val="num" w:pos="720"/>
        </w:tabs>
        <w:spacing w:line="360" w:lineRule="auto"/>
        <w:ind w:left="0" w:firstLine="360"/>
      </w:pPr>
      <w:r w:rsidRPr="00E12C1B">
        <w:t>Without tie-lines, the Valley South System total load should be maintained at or less than 896 MW 1-hour emergency rating of a single transformer.</w:t>
      </w:r>
    </w:p>
    <w:p w:rsidRPr="00E12C1B" w:rsidR="00F80595" w:rsidP="00696A1D" w:rsidRDefault="00F80595" w14:paraId="24E8B19B" w14:textId="77777777">
      <w:pPr>
        <w:pStyle w:val="ListNum"/>
        <w:tabs>
          <w:tab w:val="clear" w:pos="1080"/>
          <w:tab w:val="num" w:pos="720"/>
        </w:tabs>
        <w:spacing w:line="360" w:lineRule="auto"/>
        <w:ind w:left="0" w:firstLine="360"/>
      </w:pPr>
      <w:r w:rsidRPr="00E12C1B">
        <w:t>The Valley South System is the only electrical system in SCE’s territory that must use the spare transformer to mitigate overloads when demand goes over 896 MW.</w:t>
      </w:r>
    </w:p>
    <w:p w:rsidRPr="00E12C1B" w:rsidR="00F80595" w:rsidP="00696A1D" w:rsidRDefault="00F80595" w14:paraId="0DF25A68" w14:textId="77777777">
      <w:pPr>
        <w:pStyle w:val="ListNum"/>
        <w:tabs>
          <w:tab w:val="clear" w:pos="1080"/>
          <w:tab w:val="num" w:pos="720"/>
        </w:tabs>
        <w:spacing w:line="360" w:lineRule="auto"/>
        <w:ind w:left="0" w:firstLine="360"/>
      </w:pPr>
      <w:r w:rsidRPr="00E12C1B">
        <w:t xml:space="preserve">The Valley South System reached an all-time high peak of 1,103 MW </w:t>
      </w:r>
      <w:r w:rsidR="00F37519">
        <w:t xml:space="preserve">by Summer </w:t>
      </w:r>
      <w:r w:rsidRPr="00E12C1B">
        <w:t>2024, which is 99</w:t>
      </w:r>
      <w:r w:rsidR="00AB4D84">
        <w:t xml:space="preserve"> percent</w:t>
      </w:r>
      <w:r w:rsidRPr="00E12C1B">
        <w:t xml:space="preserve"> of the Valley South System’s </w:t>
      </w:r>
      <w:r w:rsidR="009D3892">
        <w:t xml:space="preserve">normal </w:t>
      </w:r>
      <w:r w:rsidRPr="00E12C1B">
        <w:t>capacity rating of 1,119 MW</w:t>
      </w:r>
      <w:r w:rsidR="00F37519">
        <w:t>, if the Valley South System had tie-lines</w:t>
      </w:r>
      <w:r w:rsidRPr="00E12C1B">
        <w:t>.</w:t>
      </w:r>
    </w:p>
    <w:p w:rsidRPr="00E12C1B" w:rsidR="00F80595" w:rsidP="00696A1D" w:rsidRDefault="00F80595" w14:paraId="25830C1E" w14:textId="77777777">
      <w:pPr>
        <w:pStyle w:val="ListNum"/>
        <w:tabs>
          <w:tab w:val="clear" w:pos="1080"/>
          <w:tab w:val="num" w:pos="720"/>
        </w:tabs>
        <w:spacing w:line="360" w:lineRule="auto"/>
        <w:ind w:left="0" w:firstLine="360"/>
      </w:pPr>
      <w:r w:rsidRPr="00E12C1B">
        <w:t>Without tie-lines, the Valley South System all-time high peak of 1,103 MW is 23</w:t>
      </w:r>
      <w:r w:rsidR="00AB4D84">
        <w:t xml:space="preserve"> percent</w:t>
      </w:r>
      <w:r w:rsidRPr="00E12C1B">
        <w:t xml:space="preserve"> over the 896 MW 1-hour emergency rating of a single transformer.</w:t>
      </w:r>
    </w:p>
    <w:p w:rsidRPr="00E12C1B" w:rsidR="00F80595" w:rsidP="00696A1D" w:rsidRDefault="00F80595" w14:paraId="2F74A78D" w14:textId="77777777">
      <w:pPr>
        <w:pStyle w:val="ListNum"/>
        <w:tabs>
          <w:tab w:val="clear" w:pos="1080"/>
          <w:tab w:val="num" w:pos="720"/>
        </w:tabs>
        <w:spacing w:line="360" w:lineRule="auto"/>
        <w:ind w:left="0" w:firstLine="360"/>
      </w:pPr>
      <w:r w:rsidRPr="00E12C1B">
        <w:t>SCE forecasts 1,104 MW in peak electrical demand in the Valley South System during normal operations by 2028.</w:t>
      </w:r>
    </w:p>
    <w:p w:rsidRPr="00E12C1B" w:rsidR="00F80595" w:rsidP="00696A1D" w:rsidRDefault="00F80595" w14:paraId="294C9F18" w14:textId="77777777">
      <w:pPr>
        <w:pStyle w:val="ListNum"/>
        <w:tabs>
          <w:tab w:val="clear" w:pos="1080"/>
          <w:tab w:val="num" w:pos="720"/>
        </w:tabs>
        <w:spacing w:line="360" w:lineRule="auto"/>
        <w:ind w:left="0" w:firstLine="360"/>
      </w:pPr>
      <w:r w:rsidRPr="00E12C1B">
        <w:lastRenderedPageBreak/>
        <w:t>SCE forecast</w:t>
      </w:r>
      <w:r w:rsidR="00F40DF9">
        <w:t>s the</w:t>
      </w:r>
      <w:r w:rsidRPr="00E12C1B">
        <w:t xml:space="preserve"> peak electrical demand under 1-in-5 year heat storm conditions will increase to 1,187 MW by 2028.</w:t>
      </w:r>
    </w:p>
    <w:p w:rsidRPr="00E12C1B" w:rsidR="00F80595" w:rsidP="00696A1D" w:rsidRDefault="00F80595" w14:paraId="7B803182" w14:textId="77777777">
      <w:pPr>
        <w:pStyle w:val="ListNum"/>
        <w:tabs>
          <w:tab w:val="clear" w:pos="1080"/>
          <w:tab w:val="num" w:pos="720"/>
        </w:tabs>
        <w:spacing w:line="360" w:lineRule="auto"/>
        <w:ind w:left="0" w:firstLine="360"/>
      </w:pPr>
      <w:r w:rsidRPr="00E12C1B">
        <w:t xml:space="preserve">There is a need to relieve the projected electrical demand that would exceed the operating limit of the two load-serving Valley South 115 kV system 500/115 kV transformers within the </w:t>
      </w:r>
      <w:r w:rsidR="00456576">
        <w:t>Valley South System.</w:t>
      </w:r>
      <w:r w:rsidRPr="00E12C1B">
        <w:t xml:space="preserve"> </w:t>
      </w:r>
    </w:p>
    <w:p w:rsidRPr="00E12C1B" w:rsidR="00F80595" w:rsidP="00696A1D" w:rsidRDefault="00F80595" w14:paraId="7FF8479A" w14:textId="77777777">
      <w:pPr>
        <w:pStyle w:val="ListNum"/>
        <w:tabs>
          <w:tab w:val="clear" w:pos="1080"/>
          <w:tab w:val="num" w:pos="720"/>
        </w:tabs>
        <w:spacing w:line="360" w:lineRule="auto"/>
        <w:ind w:left="0" w:firstLine="360"/>
      </w:pPr>
      <w:r w:rsidRPr="00E12C1B">
        <w:t>The Alberhill project would increase the capacity of the Valley South System to accommodate the forecasted increase in local peak demand.</w:t>
      </w:r>
    </w:p>
    <w:p w:rsidRPr="00E12C1B" w:rsidR="00F80595" w:rsidP="00696A1D" w:rsidRDefault="00F80595" w14:paraId="72DFD70D" w14:textId="77777777">
      <w:pPr>
        <w:pStyle w:val="ListNum"/>
        <w:tabs>
          <w:tab w:val="clear" w:pos="1080"/>
          <w:tab w:val="num" w:pos="720"/>
        </w:tabs>
        <w:spacing w:line="360" w:lineRule="auto"/>
        <w:ind w:left="0" w:firstLine="360"/>
      </w:pPr>
      <w:r w:rsidRPr="00E12C1B">
        <w:t>Unserved customer demand from a lack of capacity at the Valley South System adversely impacts reliability.</w:t>
      </w:r>
    </w:p>
    <w:p w:rsidRPr="00E12C1B" w:rsidR="00F62B7A" w:rsidP="00696A1D" w:rsidRDefault="00F80595" w14:paraId="104A1486" w14:textId="77777777">
      <w:pPr>
        <w:pStyle w:val="ListNum"/>
        <w:tabs>
          <w:tab w:val="clear" w:pos="1080"/>
          <w:tab w:val="num" w:pos="720"/>
        </w:tabs>
        <w:spacing w:line="360" w:lineRule="auto"/>
        <w:ind w:left="0" w:firstLine="360"/>
      </w:pPr>
      <w:r w:rsidRPr="00E12C1B">
        <w:t>When the system is at capacity, without tie-lines to the rest of the grid, operators have no options to transfer customer load to neighboring systems during maintenance, emergencies, or other operational issues and unplanned outages.</w:t>
      </w:r>
    </w:p>
    <w:p w:rsidRPr="00E12C1B" w:rsidR="00BA0A07" w:rsidP="00696A1D" w:rsidRDefault="00BA0A07" w14:paraId="05020378" w14:textId="77777777">
      <w:pPr>
        <w:pStyle w:val="ListNum"/>
        <w:tabs>
          <w:tab w:val="clear" w:pos="1080"/>
          <w:tab w:val="num" w:pos="720"/>
        </w:tabs>
        <w:spacing w:line="360" w:lineRule="auto"/>
        <w:ind w:left="0" w:firstLine="360"/>
      </w:pPr>
      <w:r w:rsidRPr="00E12C1B">
        <w:t>When compared with the rest of SCE’s service territory, the Valley South System has unique challenges, making it more susceptible to reliability risks.</w:t>
      </w:r>
    </w:p>
    <w:p w:rsidRPr="00E12C1B" w:rsidR="00BA0A07" w:rsidP="00696A1D" w:rsidRDefault="00BA0A07" w14:paraId="394BBB35" w14:textId="77777777">
      <w:pPr>
        <w:pStyle w:val="ListNum"/>
        <w:tabs>
          <w:tab w:val="clear" w:pos="1080"/>
          <w:tab w:val="num" w:pos="720"/>
        </w:tabs>
        <w:spacing w:line="360" w:lineRule="auto"/>
        <w:ind w:left="0" w:firstLine="360"/>
      </w:pPr>
      <w:r w:rsidRPr="00E12C1B">
        <w:t xml:space="preserve">SCE’s use of </w:t>
      </w:r>
      <w:r w:rsidR="00AE5C43">
        <w:t>Load at Risk (</w:t>
      </w:r>
      <w:r w:rsidRPr="00E12C1B">
        <w:t>LAR</w:t>
      </w:r>
      <w:r w:rsidR="00AE5C43">
        <w:t>)</w:t>
      </w:r>
      <w:r w:rsidRPr="00E12C1B">
        <w:t>, its reliability forecast, and calculations are reasonable</w:t>
      </w:r>
      <w:r w:rsidR="00120EA9">
        <w:t xml:space="preserve"> and comply with D.18-08-026</w:t>
      </w:r>
      <w:r w:rsidRPr="00E12C1B">
        <w:t>.</w:t>
      </w:r>
    </w:p>
    <w:p w:rsidRPr="00E12C1B" w:rsidR="00BA0A07" w:rsidP="00696A1D" w:rsidRDefault="00A9326E" w14:paraId="2959A4F7" w14:textId="77777777">
      <w:pPr>
        <w:pStyle w:val="ListNum"/>
        <w:tabs>
          <w:tab w:val="clear" w:pos="1080"/>
          <w:tab w:val="num" w:pos="720"/>
        </w:tabs>
        <w:spacing w:line="360" w:lineRule="auto"/>
        <w:ind w:left="0" w:firstLine="360"/>
      </w:pPr>
      <w:r>
        <w:t>Th</w:t>
      </w:r>
      <w:r w:rsidRPr="00E12C1B" w:rsidR="00BA0A07">
        <w:t xml:space="preserve">ere is a need to improve reliability at the Valley South System </w:t>
      </w:r>
      <w:r w:rsidR="00AB4D84">
        <w:t>because of</w:t>
      </w:r>
      <w:r w:rsidRPr="00E12C1B" w:rsidR="00BA0A07">
        <w:t xml:space="preserve"> its unique challenges </w:t>
      </w:r>
      <w:r w:rsidR="00145D44">
        <w:t>resulting from</w:t>
      </w:r>
      <w:r w:rsidRPr="00E12C1B" w:rsidR="00BA0A07">
        <w:t xml:space="preserve"> a combination of a large customer base, lack of excess capacity, isolation from the rest of the transmission grid, and lack operational flexibility compared to SCE’s other systems.</w:t>
      </w:r>
    </w:p>
    <w:p w:rsidR="00AB4D84" w:rsidP="00696A1D" w:rsidRDefault="00BA0A07" w14:paraId="6F1A60DC" w14:textId="77777777">
      <w:pPr>
        <w:pStyle w:val="ListNum"/>
        <w:tabs>
          <w:tab w:val="clear" w:pos="1080"/>
          <w:tab w:val="num" w:pos="720"/>
        </w:tabs>
        <w:spacing w:line="360" w:lineRule="auto"/>
        <w:ind w:left="0" w:firstLine="360"/>
      </w:pPr>
      <w:r w:rsidRPr="00E12C1B">
        <w:t xml:space="preserve">Resilience refers to a utility’s ability to serve customers under high impact low probability events, such as fires and earthquakes.  </w:t>
      </w:r>
    </w:p>
    <w:p w:rsidRPr="00E12C1B" w:rsidR="00BA0A07" w:rsidP="00696A1D" w:rsidRDefault="00BA0A07" w14:paraId="6202BC8C" w14:textId="77777777">
      <w:pPr>
        <w:pStyle w:val="ListNum"/>
        <w:tabs>
          <w:tab w:val="clear" w:pos="1080"/>
          <w:tab w:val="num" w:pos="720"/>
        </w:tabs>
        <w:spacing w:line="360" w:lineRule="auto"/>
        <w:ind w:left="0" w:firstLine="360"/>
      </w:pPr>
      <w:r w:rsidRPr="00E12C1B">
        <w:lastRenderedPageBreak/>
        <w:t>Resilience refers to the effectiveness of containing the impact of extraordinary events and how efficiently and quickly a system and/</w:t>
      </w:r>
      <w:r w:rsidR="00145D44">
        <w:t>o</w:t>
      </w:r>
      <w:r w:rsidRPr="00E12C1B">
        <w:t>r service is restored. Resilience focuses on comprehensive consideration of risk and mitigation.</w:t>
      </w:r>
    </w:p>
    <w:p w:rsidRPr="00E12C1B" w:rsidR="00BA0A07" w:rsidP="00696A1D" w:rsidRDefault="00BA0A07" w14:paraId="1E0844F7" w14:textId="77777777">
      <w:pPr>
        <w:pStyle w:val="ListNum"/>
        <w:tabs>
          <w:tab w:val="clear" w:pos="1080"/>
          <w:tab w:val="num" w:pos="720"/>
        </w:tabs>
        <w:spacing w:line="360" w:lineRule="auto"/>
        <w:ind w:left="0" w:firstLine="360"/>
      </w:pPr>
      <w:r w:rsidRPr="00E12C1B">
        <w:t>SCE’s resilience metrics (Flex-2-1: includes complete Valley Substation outage, Flex-2-2: includes the loss of two normally load-serving Valley South System transformers), the assumptions, and load at risk calculations are reasonable</w:t>
      </w:r>
      <w:r w:rsidR="00120EA9">
        <w:t xml:space="preserve"> and comply with D.18-08-026</w:t>
      </w:r>
      <w:r w:rsidRPr="00E12C1B">
        <w:t>.</w:t>
      </w:r>
    </w:p>
    <w:p w:rsidRPr="00E12C1B" w:rsidR="00BA0A07" w:rsidP="00696A1D" w:rsidRDefault="00BA0A07" w14:paraId="3E4A861B" w14:textId="77777777">
      <w:pPr>
        <w:pStyle w:val="ListNum"/>
        <w:tabs>
          <w:tab w:val="clear" w:pos="1080"/>
          <w:tab w:val="num" w:pos="720"/>
        </w:tabs>
        <w:spacing w:line="360" w:lineRule="auto"/>
        <w:ind w:left="0" w:firstLine="360"/>
      </w:pPr>
      <w:r w:rsidRPr="00E12C1B">
        <w:t>For the resilience analysis, it is reasonable for SCE to consider events that have happened in the SCE territory, including fires at SCE’s substations.</w:t>
      </w:r>
    </w:p>
    <w:p w:rsidRPr="00E12C1B" w:rsidR="00BA0A07" w:rsidP="00696A1D" w:rsidRDefault="00BA0A07" w14:paraId="4C07937F" w14:textId="77777777">
      <w:pPr>
        <w:pStyle w:val="ListNum"/>
        <w:tabs>
          <w:tab w:val="clear" w:pos="1080"/>
          <w:tab w:val="num" w:pos="720"/>
        </w:tabs>
        <w:spacing w:line="360" w:lineRule="auto"/>
        <w:ind w:left="0" w:firstLine="360"/>
      </w:pPr>
      <w:r w:rsidRPr="00E12C1B">
        <w:t>When analyzing resilience, due to the lack of industry studies and analysis of high impact low probability events, it is difficult to develop event probability numbers.</w:t>
      </w:r>
    </w:p>
    <w:p w:rsidRPr="00E12C1B" w:rsidR="00BA0A07" w:rsidP="00696A1D" w:rsidRDefault="00BA0A07" w14:paraId="59B2593C" w14:textId="77777777">
      <w:pPr>
        <w:pStyle w:val="ListNum"/>
        <w:tabs>
          <w:tab w:val="clear" w:pos="1080"/>
          <w:tab w:val="num" w:pos="720"/>
        </w:tabs>
        <w:spacing w:line="360" w:lineRule="auto"/>
        <w:ind w:left="0" w:firstLine="360"/>
      </w:pPr>
      <w:r w:rsidRPr="00E12C1B">
        <w:t>The Valley South System is more vulnerable to high impact and low probability events as compared to the rest of SCE’s systems due to the combination of the radial configuration, the lack of tie-lines, its reliance on the Valley Substation, and the large customer base.</w:t>
      </w:r>
    </w:p>
    <w:p w:rsidRPr="00E12C1B" w:rsidR="00BA0A07" w:rsidP="00696A1D" w:rsidRDefault="00BA0A07" w14:paraId="2A16346E" w14:textId="77777777">
      <w:pPr>
        <w:pStyle w:val="ListNum"/>
        <w:tabs>
          <w:tab w:val="clear" w:pos="1080"/>
          <w:tab w:val="num" w:pos="720"/>
        </w:tabs>
        <w:spacing w:line="360" w:lineRule="auto"/>
        <w:ind w:left="0" w:firstLine="360"/>
      </w:pPr>
      <w:r w:rsidRPr="00E12C1B">
        <w:t>The Valley South System is vulnerable to</w:t>
      </w:r>
      <w:r w:rsidR="00AA6388">
        <w:t xml:space="preserve"> the</w:t>
      </w:r>
      <w:r w:rsidRPr="00E12C1B">
        <w:t xml:space="preserve"> loss of its source of electricity supply during a high impact</w:t>
      </w:r>
      <w:r w:rsidR="003C4B9B">
        <w:t xml:space="preserve">, </w:t>
      </w:r>
      <w:r w:rsidRPr="00E12C1B">
        <w:t>low probability event, which is undesirable.</w:t>
      </w:r>
    </w:p>
    <w:p w:rsidRPr="00E12C1B" w:rsidR="00BA0A07" w:rsidP="00696A1D" w:rsidRDefault="00F37519" w14:paraId="30E62D70" w14:textId="77777777">
      <w:pPr>
        <w:pStyle w:val="ListNum"/>
        <w:tabs>
          <w:tab w:val="clear" w:pos="1080"/>
          <w:tab w:val="num" w:pos="720"/>
        </w:tabs>
        <w:spacing w:line="360" w:lineRule="auto"/>
        <w:ind w:left="0" w:firstLine="360"/>
      </w:pPr>
      <w:r>
        <w:t>T</w:t>
      </w:r>
      <w:r w:rsidRPr="00E12C1B" w:rsidR="00BA0A07">
        <w:t>here is a resilience need for the Alberhill project.</w:t>
      </w:r>
    </w:p>
    <w:p w:rsidRPr="00E12C1B" w:rsidR="00BA0A07" w:rsidP="00696A1D" w:rsidRDefault="00BA0A07" w14:paraId="0969F47D" w14:textId="77777777">
      <w:pPr>
        <w:pStyle w:val="ListNum"/>
        <w:tabs>
          <w:tab w:val="clear" w:pos="1080"/>
          <w:tab w:val="num" w:pos="720"/>
        </w:tabs>
        <w:spacing w:line="360" w:lineRule="auto"/>
        <w:ind w:left="0" w:firstLine="360"/>
      </w:pPr>
      <w:r w:rsidRPr="00E12C1B">
        <w:t xml:space="preserve">SCE’s net present value assumptions, analysis, and conclusions of the Alberhill project for operations and contingency events </w:t>
      </w:r>
      <w:r w:rsidR="00DC5D15">
        <w:t>comply</w:t>
      </w:r>
      <w:r w:rsidR="008A7A2D">
        <w:t xml:space="preserve"> </w:t>
      </w:r>
      <w:r w:rsidR="00120EA9">
        <w:t>with</w:t>
      </w:r>
      <w:r w:rsidR="008A7A2D">
        <w:t xml:space="preserve"> D.18-08-026</w:t>
      </w:r>
      <w:r w:rsidRPr="00E12C1B">
        <w:t>.</w:t>
      </w:r>
    </w:p>
    <w:p w:rsidRPr="00E12C1B" w:rsidR="00BA0A07" w:rsidP="00696A1D" w:rsidRDefault="00BA0A07" w14:paraId="40D507DF" w14:textId="77777777">
      <w:pPr>
        <w:pStyle w:val="ListNum"/>
        <w:tabs>
          <w:tab w:val="clear" w:pos="1080"/>
          <w:tab w:val="num" w:pos="720"/>
        </w:tabs>
        <w:spacing w:line="360" w:lineRule="auto"/>
        <w:ind w:left="0" w:firstLine="360"/>
      </w:pPr>
      <w:r w:rsidRPr="00E12C1B">
        <w:t xml:space="preserve">There is a need to provide electricity in place of the </w:t>
      </w:r>
      <w:r w:rsidR="00AE5C43">
        <w:t>Valley South</w:t>
      </w:r>
      <w:r w:rsidRPr="00E12C1B">
        <w:t xml:space="preserve"> System during maintenance, emergency events, or to relieve other operational issues.</w:t>
      </w:r>
    </w:p>
    <w:p w:rsidRPr="00E12C1B" w:rsidR="00BA0A07" w:rsidP="00696A1D" w:rsidRDefault="00BA0A07" w14:paraId="479BD326" w14:textId="77777777">
      <w:pPr>
        <w:pStyle w:val="ListNum"/>
        <w:tabs>
          <w:tab w:val="clear" w:pos="1080"/>
          <w:tab w:val="num" w:pos="720"/>
        </w:tabs>
        <w:spacing w:line="360" w:lineRule="auto"/>
        <w:ind w:left="0" w:firstLine="360"/>
      </w:pPr>
      <w:r w:rsidRPr="00E12C1B">
        <w:lastRenderedPageBreak/>
        <w:t>There is a comprehensive need to increase system operational flexibility in the Valley South System.</w:t>
      </w:r>
    </w:p>
    <w:p w:rsidRPr="00E12C1B" w:rsidR="00BA0A07" w:rsidP="00696A1D" w:rsidRDefault="00BA0A07" w14:paraId="40002A2D" w14:textId="77777777">
      <w:pPr>
        <w:pStyle w:val="ListNum"/>
        <w:tabs>
          <w:tab w:val="clear" w:pos="1080"/>
          <w:tab w:val="num" w:pos="720"/>
        </w:tabs>
        <w:spacing w:line="360" w:lineRule="auto"/>
        <w:ind w:left="0" w:firstLine="360"/>
      </w:pPr>
      <w:r w:rsidRPr="00E12C1B">
        <w:t>The Alberhill project is needed in the near and fore</w:t>
      </w:r>
      <w:r w:rsidRPr="00696A1D" w:rsidR="00A978EF">
        <w:t>see</w:t>
      </w:r>
      <w:r w:rsidRPr="00E12C1B">
        <w:t>able future.</w:t>
      </w:r>
    </w:p>
    <w:p w:rsidRPr="00E12C1B" w:rsidR="00BA0A07" w:rsidP="00696A1D" w:rsidRDefault="00BA0A07" w14:paraId="615EE43A" w14:textId="77777777">
      <w:pPr>
        <w:pStyle w:val="ListNum"/>
        <w:tabs>
          <w:tab w:val="clear" w:pos="1080"/>
          <w:tab w:val="num" w:pos="720"/>
        </w:tabs>
        <w:spacing w:line="360" w:lineRule="auto"/>
        <w:ind w:left="0" w:firstLine="360"/>
      </w:pPr>
      <w:r w:rsidRPr="00E12C1B">
        <w:t xml:space="preserve">The </w:t>
      </w:r>
      <w:r w:rsidR="00AE5C43">
        <w:t xml:space="preserve">capacity </w:t>
      </w:r>
      <w:r w:rsidRPr="00E12C1B">
        <w:t>need</w:t>
      </w:r>
      <w:r w:rsidR="00AE5C43">
        <w:t>, reliability need, and resilience need</w:t>
      </w:r>
      <w:r w:rsidRPr="00E12C1B">
        <w:t xml:space="preserve"> for Alberhill project a</w:t>
      </w:r>
      <w:r w:rsidR="00AE5C43">
        <w:t>re</w:t>
      </w:r>
      <w:r w:rsidRPr="00E12C1B">
        <w:t xml:space="preserve"> overriding consideration</w:t>
      </w:r>
      <w:r w:rsidR="00AE5C43">
        <w:t>s</w:t>
      </w:r>
      <w:r w:rsidRPr="00E12C1B">
        <w:t xml:space="preserve"> meriting project approval.</w:t>
      </w:r>
    </w:p>
    <w:p w:rsidRPr="00E12C1B" w:rsidR="00BA0A07" w:rsidP="00696A1D" w:rsidRDefault="00BA0A07" w14:paraId="106663C8" w14:textId="77777777">
      <w:pPr>
        <w:pStyle w:val="ListNum"/>
        <w:tabs>
          <w:tab w:val="clear" w:pos="1080"/>
          <w:tab w:val="num" w:pos="720"/>
        </w:tabs>
        <w:spacing w:line="360" w:lineRule="auto"/>
        <w:ind w:left="0" w:firstLine="360"/>
      </w:pPr>
      <w:r w:rsidRPr="00E12C1B">
        <w:t>The Alberhill project’s reliability</w:t>
      </w:r>
      <w:r w:rsidR="00084465">
        <w:t xml:space="preserve">, resilience, and </w:t>
      </w:r>
      <w:r w:rsidRPr="00E12C1B">
        <w:t>operational flexibility benefits are overriding considerations meriting project approval.</w:t>
      </w:r>
    </w:p>
    <w:p w:rsidR="00120EA9" w:rsidP="00696A1D" w:rsidRDefault="00120EA9" w14:paraId="430EB9E9" w14:textId="77777777">
      <w:pPr>
        <w:pStyle w:val="ListNum"/>
        <w:tabs>
          <w:tab w:val="clear" w:pos="1080"/>
          <w:tab w:val="num" w:pos="720"/>
        </w:tabs>
        <w:spacing w:line="360" w:lineRule="auto"/>
        <w:ind w:left="0" w:firstLine="360"/>
      </w:pPr>
      <w:bookmarkStart w:name="_Hlk221525973" w:id="99"/>
      <w:r>
        <w:t xml:space="preserve">SCE’s cost/benefit </w:t>
      </w:r>
      <w:proofErr w:type="spellStart"/>
      <w:r>
        <w:t>metics</w:t>
      </w:r>
      <w:proofErr w:type="spellEnd"/>
      <w:r>
        <w:t>, analysis, and conclusions are reasonable and comply with D.18-08-026.</w:t>
      </w:r>
    </w:p>
    <w:p w:rsidRPr="00E12C1B" w:rsidR="00BA0A07" w:rsidP="00696A1D" w:rsidRDefault="00BA0A07" w14:paraId="26FEF9B6" w14:textId="77777777">
      <w:pPr>
        <w:pStyle w:val="ListNum"/>
        <w:tabs>
          <w:tab w:val="clear" w:pos="1080"/>
          <w:tab w:val="num" w:pos="720"/>
        </w:tabs>
        <w:spacing w:line="360" w:lineRule="auto"/>
        <w:ind w:left="0" w:firstLine="360"/>
      </w:pPr>
      <w:r w:rsidRPr="00E12C1B">
        <w:t>In accordance with Pub</w:t>
      </w:r>
      <w:r w:rsidR="00AE58C8">
        <w:t>.</w:t>
      </w:r>
      <w:r w:rsidRPr="00E12C1B">
        <w:t xml:space="preserve"> Util</w:t>
      </w:r>
      <w:r w:rsidR="00AE58C8">
        <w:t>.</w:t>
      </w:r>
      <w:r w:rsidRPr="00E12C1B">
        <w:t xml:space="preserve"> Code Section 1002(a), the Commission has considered, as a basis for granting the CPCN, community values, recreational and park areas, historical and aesthetic values, and influence on the environment.</w:t>
      </w:r>
    </w:p>
    <w:bookmarkEnd w:id="99"/>
    <w:p w:rsidRPr="00E12C1B" w:rsidR="00BA0A07" w:rsidP="00696A1D" w:rsidRDefault="00BA0A07" w14:paraId="1EBE7B55" w14:textId="77777777">
      <w:pPr>
        <w:pStyle w:val="ListNum"/>
        <w:tabs>
          <w:tab w:val="clear" w:pos="1080"/>
          <w:tab w:val="num" w:pos="720"/>
        </w:tabs>
        <w:spacing w:line="360" w:lineRule="auto"/>
        <w:ind w:left="0" w:firstLine="360"/>
      </w:pPr>
      <w:r w:rsidRPr="00E12C1B">
        <w:t>The Alberhill project would have a positive effect on community values.</w:t>
      </w:r>
    </w:p>
    <w:p w:rsidRPr="00E12C1B" w:rsidR="00BA0A07" w:rsidP="00696A1D" w:rsidRDefault="00BA0A07" w14:paraId="0C8E38E9" w14:textId="77777777">
      <w:pPr>
        <w:pStyle w:val="ListNum"/>
        <w:tabs>
          <w:tab w:val="clear" w:pos="1080"/>
          <w:tab w:val="num" w:pos="720"/>
        </w:tabs>
        <w:spacing w:line="360" w:lineRule="auto"/>
        <w:ind w:left="0" w:firstLine="360"/>
      </w:pPr>
      <w:r w:rsidRPr="00E12C1B">
        <w:t xml:space="preserve">SCE agrees to undertake the EMF measures in </w:t>
      </w:r>
      <w:r w:rsidR="00AE58C8">
        <w:t>i</w:t>
      </w:r>
      <w:r w:rsidRPr="00E12C1B">
        <w:t>t</w:t>
      </w:r>
      <w:r w:rsidR="00AE58C8">
        <w:t>s</w:t>
      </w:r>
      <w:r w:rsidRPr="00E12C1B">
        <w:t xml:space="preserve"> construction of the Alberhill project.</w:t>
      </w:r>
    </w:p>
    <w:p w:rsidRPr="00E12C1B" w:rsidR="00BA0A07" w:rsidP="00696A1D" w:rsidRDefault="00BA0A07" w14:paraId="4729EBA1" w14:textId="77777777">
      <w:pPr>
        <w:pStyle w:val="ListNum"/>
        <w:tabs>
          <w:tab w:val="clear" w:pos="1080"/>
          <w:tab w:val="num" w:pos="720"/>
        </w:tabs>
        <w:spacing w:line="360" w:lineRule="auto"/>
        <w:ind w:left="0" w:firstLine="360"/>
      </w:pPr>
      <w:r w:rsidRPr="00E12C1B">
        <w:t>The Commission is the lead agency for compliance with the provisions of CEQA.  As the lead agency under CEQA, the Commission is required to monitor the implementation of mitigation measures adopted for the Alberhill project to ensure full compliance.</w:t>
      </w:r>
    </w:p>
    <w:p w:rsidRPr="00E12C1B" w:rsidR="00BA0A07" w:rsidP="00696A1D" w:rsidRDefault="00BA0A07" w14:paraId="2E41670A" w14:textId="77777777">
      <w:pPr>
        <w:pStyle w:val="ListNum"/>
        <w:tabs>
          <w:tab w:val="clear" w:pos="1080"/>
          <w:tab w:val="num" w:pos="720"/>
        </w:tabs>
        <w:spacing w:line="360" w:lineRule="auto"/>
        <w:ind w:left="0" w:firstLine="360"/>
      </w:pPr>
      <w:r w:rsidRPr="00E12C1B">
        <w:t>SCE agrees to undertake the actions in the Mitigation, Monitoring, Compliance, and Reporting Plan, affixed as Appendix A to this decision.</w:t>
      </w:r>
    </w:p>
    <w:p w:rsidR="00693EAF" w:rsidP="00696A1D" w:rsidRDefault="00BA0A07" w14:paraId="1E1AC586" w14:textId="77777777">
      <w:pPr>
        <w:pStyle w:val="ListNum"/>
        <w:tabs>
          <w:tab w:val="clear" w:pos="1080"/>
          <w:tab w:val="num" w:pos="720"/>
        </w:tabs>
        <w:spacing w:line="360" w:lineRule="auto"/>
        <w:ind w:left="0" w:firstLine="360"/>
        <w:rPr>
          <w:rFonts w:cs="Arial"/>
        </w:rPr>
      </w:pPr>
      <w:r w:rsidRPr="00E12C1B">
        <w:t xml:space="preserve">SCE has presented its estimate for the cost of the Alberhill project as </w:t>
      </w:r>
      <w:r w:rsidRPr="00696A1D">
        <w:t>$48</w:t>
      </w:r>
      <w:r w:rsidRPr="00696A1D" w:rsidR="00FD4FED">
        <w:t>1</w:t>
      </w:r>
      <w:r w:rsidRPr="00696A1D">
        <w:t>,</w:t>
      </w:r>
      <w:r w:rsidRPr="00696A1D" w:rsidR="00FD4FED">
        <w:t>700</w:t>
      </w:r>
      <w:r w:rsidRPr="00696A1D">
        <w:t>,</w:t>
      </w:r>
      <w:r w:rsidRPr="00696A1D" w:rsidR="00FD4FED">
        <w:t>000</w:t>
      </w:r>
      <w:r w:rsidRPr="00696A1D">
        <w:t xml:space="preserve"> (2023 dollars) including $5</w:t>
      </w:r>
      <w:r w:rsidRPr="00696A1D" w:rsidR="00FD4FED">
        <w:t>3</w:t>
      </w:r>
      <w:r w:rsidRPr="00696A1D">
        <w:t>,</w:t>
      </w:r>
      <w:r w:rsidRPr="00696A1D" w:rsidR="00FD4FED">
        <w:t>800</w:t>
      </w:r>
      <w:r w:rsidRPr="00696A1D">
        <w:t>,</w:t>
      </w:r>
      <w:r w:rsidRPr="00696A1D" w:rsidR="00FD4FED">
        <w:t>000</w:t>
      </w:r>
      <w:r w:rsidRPr="00696A1D">
        <w:t xml:space="preserve"> contingency</w:t>
      </w:r>
      <w:r w:rsidR="00FD4FED">
        <w:rPr>
          <w:rFonts w:cs="Arial"/>
        </w:rPr>
        <w:t>.</w:t>
      </w:r>
    </w:p>
    <w:p w:rsidRPr="00EF3898" w:rsidR="005939A5" w:rsidP="005939A5" w:rsidRDefault="005939A5" w14:paraId="041865D3" w14:textId="77777777">
      <w:pPr>
        <w:pStyle w:val="Dummy"/>
      </w:pPr>
      <w:bookmarkStart w:name="_Toc8123726" w:id="100"/>
      <w:bookmarkStart w:name="_Toc225410188" w:id="101"/>
      <w:r w:rsidRPr="00EF3898">
        <w:lastRenderedPageBreak/>
        <w:t>Conclusions of Law</w:t>
      </w:r>
      <w:bookmarkEnd w:id="100"/>
      <w:bookmarkEnd w:id="101"/>
    </w:p>
    <w:p w:rsidRPr="00E12C1B" w:rsidR="00D141A2" w:rsidP="00883DC4" w:rsidRDefault="00D141A2" w14:paraId="3706EF59" w14:textId="77777777">
      <w:pPr>
        <w:pStyle w:val="CoL"/>
        <w:ind w:firstLine="547"/>
      </w:pPr>
      <w:r w:rsidRPr="00E12C1B">
        <w:t xml:space="preserve">The Addendum to the certified Final EIR is the appropriate document to prepare for the </w:t>
      </w:r>
      <w:r w:rsidR="00811486">
        <w:t>Alberhill</w:t>
      </w:r>
      <w:r w:rsidRPr="00E12C1B">
        <w:t xml:space="preserve"> </w:t>
      </w:r>
      <w:r w:rsidR="00811486">
        <w:t>p</w:t>
      </w:r>
      <w:r w:rsidRPr="00E12C1B">
        <w:t xml:space="preserve">roject changes pursuant to CEQA Guidelines </w:t>
      </w:r>
      <w:r w:rsidR="00AD2FA2">
        <w:t>Section</w:t>
      </w:r>
      <w:r w:rsidRPr="00E12C1B">
        <w:t xml:space="preserve"> 15164(b)</w:t>
      </w:r>
      <w:r w:rsidR="00014739">
        <w:t>.</w:t>
      </w:r>
    </w:p>
    <w:p w:rsidRPr="00014739" w:rsidR="00D141A2" w:rsidP="00883DC4" w:rsidRDefault="00D141A2" w14:paraId="2018FCCE" w14:textId="77777777">
      <w:pPr>
        <w:pStyle w:val="CoL"/>
      </w:pPr>
      <w:r w:rsidRPr="00014739">
        <w:t>The Addendum to the Final EIR was completed in compliance with CEQA, and it reflects the Commission’s independent judgment and analysis on all material matters.</w:t>
      </w:r>
    </w:p>
    <w:p w:rsidRPr="00014739" w:rsidR="00D141A2" w:rsidP="00883DC4" w:rsidRDefault="00D141A2" w14:paraId="79A72BA5" w14:textId="77777777">
      <w:pPr>
        <w:pStyle w:val="CoL"/>
      </w:pPr>
      <w:r w:rsidRPr="00014739">
        <w:t>The Commission’s preparation of the Addendum to the Final EIR was supported by substantial record evidence.</w:t>
      </w:r>
    </w:p>
    <w:p w:rsidRPr="00014739" w:rsidR="00D141A2" w:rsidP="00883DC4" w:rsidRDefault="00D141A2" w14:paraId="1D425DB7" w14:textId="77777777">
      <w:pPr>
        <w:pStyle w:val="CoL"/>
      </w:pPr>
      <w:r w:rsidRPr="00014739">
        <w:t>The capacity benefits, reliability benefits, and resilience benefits are overriding considerations that outweigh the Alberhill project’s significant and unavoidable adverse environmental impacts.</w:t>
      </w:r>
    </w:p>
    <w:p w:rsidRPr="00014739" w:rsidR="00D141A2" w:rsidP="00883DC4" w:rsidRDefault="00D141A2" w14:paraId="16120A3A" w14:textId="77777777">
      <w:pPr>
        <w:pStyle w:val="CoL"/>
      </w:pPr>
      <w:r w:rsidRPr="00014739">
        <w:t>The Alberhill project serves present and public convenience and necessity.</w:t>
      </w:r>
    </w:p>
    <w:p w:rsidRPr="00014739" w:rsidR="00D141A2" w:rsidP="00883DC4" w:rsidRDefault="00D141A2" w14:paraId="4D1F1741" w14:textId="77777777">
      <w:pPr>
        <w:pStyle w:val="CoL"/>
      </w:pPr>
      <w:r w:rsidRPr="00014739">
        <w:t>Approval of the Alberhill project, subject to the direction set forth in this decision, is in the public interest.</w:t>
      </w:r>
    </w:p>
    <w:p w:rsidRPr="00014739" w:rsidR="00D141A2" w:rsidP="00883DC4" w:rsidRDefault="00D141A2" w14:paraId="3CCBFDB1" w14:textId="77777777">
      <w:pPr>
        <w:pStyle w:val="CoL"/>
      </w:pPr>
      <w:r w:rsidRPr="00014739">
        <w:t>The parties did not present sufficient evidence contrary to SCE’s presentation of need for the Alberhill project.</w:t>
      </w:r>
    </w:p>
    <w:p w:rsidRPr="00014739" w:rsidR="00D141A2" w:rsidP="00883DC4" w:rsidRDefault="00D141A2" w14:paraId="78D04A69" w14:textId="77777777">
      <w:pPr>
        <w:pStyle w:val="CoL"/>
      </w:pPr>
      <w:r w:rsidRPr="00014739">
        <w:t>The no-cost and low-cost measures to reduce EMF exposure SCE agrees to undertake in the Alberhill project are reasonable.</w:t>
      </w:r>
    </w:p>
    <w:p w:rsidRPr="00014739" w:rsidR="00D141A2" w:rsidP="00883DC4" w:rsidRDefault="00D141A2" w14:paraId="69C3998D" w14:textId="77777777">
      <w:pPr>
        <w:pStyle w:val="CoL"/>
      </w:pPr>
      <w:r w:rsidRPr="00014739">
        <w:t>SCE should be granted a certificate of public convenience and necessity to construct the Alberhill project, in conformance with the Mitigation, Monitoring, Compliance, and Reporting Plan in Appendix A affixed to this decision.</w:t>
      </w:r>
    </w:p>
    <w:p w:rsidRPr="00014739" w:rsidR="00D141A2" w:rsidP="00883DC4" w:rsidRDefault="00D141A2" w14:paraId="0FE6965C" w14:textId="77777777">
      <w:pPr>
        <w:pStyle w:val="CoL"/>
      </w:pPr>
      <w:r w:rsidRPr="00014739">
        <w:t xml:space="preserve">The Commission’s Energy Division should be authorized to approve requests by SCE for minor project refinements that may be necessary, so long as the minor project refinements are located within the geographic boundary of the area and do not 1) result, without mitigation, in a new significant impact based </w:t>
      </w:r>
      <w:r w:rsidRPr="00014739">
        <w:lastRenderedPageBreak/>
        <w:t xml:space="preserve">on the criterial used in the Final EIR; 2) substantively conflict with any mitigation measures or applicable law or policy; and/or 3) trigger an additional </w:t>
      </w:r>
      <w:r w:rsidRPr="00014739" w:rsidR="00D05CC9">
        <w:t xml:space="preserve">discretionary </w:t>
      </w:r>
      <w:r w:rsidRPr="00014739">
        <w:t>permit requirement.</w:t>
      </w:r>
    </w:p>
    <w:p w:rsidRPr="00014739" w:rsidR="00D141A2" w:rsidP="00883DC4" w:rsidRDefault="00D141A2" w14:paraId="1C22FCA0" w14:textId="77777777">
      <w:pPr>
        <w:pStyle w:val="CoL"/>
      </w:pPr>
      <w:r w:rsidRPr="00014739">
        <w:t>Pursuant to Public Utilities Code Section 1005, Commission should approve a maximum reasonable and prudent cost cap of $48</w:t>
      </w:r>
      <w:r w:rsidRPr="00014739" w:rsidR="00012029">
        <w:t>1,700</w:t>
      </w:r>
      <w:r w:rsidRPr="00014739">
        <w:t>,</w:t>
      </w:r>
      <w:r w:rsidRPr="00014739" w:rsidR="00012029">
        <w:t>000</w:t>
      </w:r>
      <w:r w:rsidRPr="00014739">
        <w:t xml:space="preserve"> (2023</w:t>
      </w:r>
      <w:r w:rsidRPr="00014739" w:rsidR="00366BD0">
        <w:t> </w:t>
      </w:r>
      <w:r w:rsidRPr="00014739">
        <w:t>dollars), including $5</w:t>
      </w:r>
      <w:r w:rsidRPr="00014739" w:rsidR="00012029">
        <w:t>3</w:t>
      </w:r>
      <w:r w:rsidRPr="00014739">
        <w:t>,</w:t>
      </w:r>
      <w:r w:rsidRPr="00014739" w:rsidR="00012029">
        <w:t>800</w:t>
      </w:r>
      <w:r w:rsidRPr="00014739">
        <w:t>,</w:t>
      </w:r>
      <w:r w:rsidRPr="00014739" w:rsidR="00012029">
        <w:t>000</w:t>
      </w:r>
      <w:r w:rsidRPr="00014739">
        <w:t xml:space="preserve"> contingency, for the Alberhill project.</w:t>
      </w:r>
    </w:p>
    <w:p w:rsidRPr="00014739" w:rsidR="00D141A2" w:rsidP="00883DC4" w:rsidRDefault="00D141A2" w14:paraId="05423842" w14:textId="77777777">
      <w:pPr>
        <w:pStyle w:val="CoL"/>
      </w:pPr>
      <w:r w:rsidRPr="00014739">
        <w:t>The cost cap should not be exceeded absent significant changes to the Alberhill project.</w:t>
      </w:r>
    </w:p>
    <w:p w:rsidRPr="00014739" w:rsidR="00366BD0" w:rsidP="00883DC4" w:rsidRDefault="00D141A2" w14:paraId="5874DCF2" w14:textId="77777777">
      <w:pPr>
        <w:pStyle w:val="CoL"/>
      </w:pPr>
      <w:r w:rsidRPr="00014739">
        <w:t>Pursuant to Pub</w:t>
      </w:r>
      <w:r w:rsidRPr="00014739" w:rsidR="003C4700">
        <w:t>.</w:t>
      </w:r>
      <w:r w:rsidRPr="00014739">
        <w:t xml:space="preserve"> Util</w:t>
      </w:r>
      <w:r w:rsidRPr="00014739" w:rsidR="003C4700">
        <w:t>.</w:t>
      </w:r>
      <w:r w:rsidRPr="00014739">
        <w:t xml:space="preserve"> Code Section 1005.5(b), at any point during the construction of the Alberhill project, but prior to any expenditures in excess of the cost cap, SCE should be authorized to file a formal Petition for Modification with the Commission for an increase in the reasonable and prudent maximum cost specified in this decision and show that</w:t>
      </w:r>
      <w:r w:rsidRPr="00014739" w:rsidR="00366BD0">
        <w:t>:</w:t>
      </w:r>
    </w:p>
    <w:p w:rsidR="00366BD0" w:rsidP="00DB2107" w:rsidRDefault="00366BD0" w14:paraId="164D06C2" w14:textId="77777777">
      <w:pPr>
        <w:pStyle w:val="CoL"/>
        <w:numPr>
          <w:ilvl w:val="0"/>
          <w:numId w:val="17"/>
        </w:numPr>
        <w:spacing w:after="120" w:line="240" w:lineRule="auto"/>
        <w:ind w:left="1080" w:right="1440"/>
      </w:pPr>
      <w:r>
        <w:t>T</w:t>
      </w:r>
      <w:r w:rsidRPr="00E12C1B" w:rsidR="00D141A2">
        <w:t>he cost has in fact increased; and</w:t>
      </w:r>
    </w:p>
    <w:p w:rsidR="00366BD0" w:rsidP="00DB2107" w:rsidRDefault="00366BD0" w14:paraId="240907F6" w14:textId="77777777">
      <w:pPr>
        <w:pStyle w:val="CoL"/>
        <w:numPr>
          <w:ilvl w:val="0"/>
          <w:numId w:val="17"/>
        </w:numPr>
        <w:spacing w:after="120" w:line="240" w:lineRule="auto"/>
        <w:ind w:left="1080" w:right="1440"/>
      </w:pPr>
      <w:r>
        <w:t>T</w:t>
      </w:r>
      <w:r w:rsidRPr="00E12C1B" w:rsidR="00D141A2">
        <w:t>he present or future public convenience and necessity require construction of the project at increased cost.</w:t>
      </w:r>
    </w:p>
    <w:p w:rsidRPr="00E12C1B" w:rsidR="008553DE" w:rsidP="00366BD0" w:rsidRDefault="00D141A2" w14:paraId="098326C9" w14:textId="77777777">
      <w:pPr>
        <w:pStyle w:val="CoL"/>
        <w:numPr>
          <w:ilvl w:val="0"/>
          <w:numId w:val="0"/>
        </w:numPr>
        <w:ind w:firstLine="547"/>
      </w:pPr>
      <w:r w:rsidRPr="00E12C1B">
        <w:t xml:space="preserve">In the event of such a petition being filed, SCE should be authorized to </w:t>
      </w:r>
      <w:r w:rsidRPr="00CD2DF8" w:rsidR="00A978EF">
        <w:rPr>
          <w:iCs/>
        </w:rPr>
        <w:t>see</w:t>
      </w:r>
      <w:r w:rsidRPr="00AF15F3">
        <w:rPr>
          <w:iCs/>
        </w:rPr>
        <w:t>k</w:t>
      </w:r>
      <w:r w:rsidRPr="00E12C1B">
        <w:t xml:space="preserve"> recovery of costs in rates that are in excess of the cost cap only after the Commission’s approval of such petition for project cost increases.</w:t>
      </w:r>
    </w:p>
    <w:p w:rsidR="00711104" w:rsidRDefault="00711104" w14:paraId="0773AC43" w14:textId="77777777">
      <w:pPr>
        <w:pStyle w:val="CoL"/>
      </w:pPr>
      <w:r>
        <w:t>SCE should file quarterly reports with Energy Division on the status of Alberhill project development and spending.</w:t>
      </w:r>
    </w:p>
    <w:p w:rsidRPr="00014739" w:rsidR="008553DE" w:rsidP="00883DC4" w:rsidRDefault="008553DE" w14:paraId="7BA44580" w14:textId="77777777">
      <w:pPr>
        <w:pStyle w:val="CoL"/>
      </w:pPr>
      <w:r w:rsidRPr="00014739">
        <w:t>Any pending motions that are not addressed in this decision should be deemed denied.</w:t>
      </w:r>
    </w:p>
    <w:p w:rsidRPr="00014739" w:rsidR="00176944" w:rsidP="00883DC4" w:rsidRDefault="00176944" w14:paraId="680B446C" w14:textId="77777777">
      <w:pPr>
        <w:pStyle w:val="CoL"/>
      </w:pPr>
      <w:r w:rsidRPr="00014739">
        <w:t xml:space="preserve">All rulings of this proceeding </w:t>
      </w:r>
      <w:r w:rsidRPr="00014739" w:rsidR="00D74379">
        <w:t>should be</w:t>
      </w:r>
      <w:r w:rsidRPr="00014739">
        <w:t xml:space="preserve"> affirmed.</w:t>
      </w:r>
    </w:p>
    <w:p w:rsidRPr="00014739" w:rsidR="008553DE" w:rsidP="00883DC4" w:rsidRDefault="008553DE" w14:paraId="134CC611" w14:textId="77777777">
      <w:pPr>
        <w:pStyle w:val="CoL"/>
      </w:pPr>
      <w:r w:rsidRPr="00014739">
        <w:t>This proceeding should be closed.</w:t>
      </w:r>
    </w:p>
    <w:p w:rsidRPr="00014739" w:rsidR="008F143D" w:rsidP="00883DC4" w:rsidRDefault="008553DE" w14:paraId="0357440F" w14:textId="77777777">
      <w:pPr>
        <w:pStyle w:val="CoL"/>
      </w:pPr>
      <w:r w:rsidRPr="00014739">
        <w:t>This decision should be effective immediately.</w:t>
      </w:r>
    </w:p>
    <w:p w:rsidRPr="00781307" w:rsidR="00BB0243" w:rsidP="000A6E05" w:rsidRDefault="005939A5" w14:paraId="45DAAAAC" w14:textId="77777777">
      <w:pPr>
        <w:pStyle w:val="Mainex"/>
        <w:rPr>
          <w:rFonts w:cs="Arial"/>
        </w:rPr>
      </w:pPr>
      <w:bookmarkStart w:name="_Toc225410189" w:id="102"/>
      <w:r w:rsidRPr="00781307">
        <w:rPr>
          <w:rFonts w:cs="Arial"/>
        </w:rPr>
        <w:lastRenderedPageBreak/>
        <w:t>O</w:t>
      </w:r>
      <w:r w:rsidRPr="00781307" w:rsidR="00722850">
        <w:rPr>
          <w:rFonts w:cs="Arial"/>
        </w:rPr>
        <w:t>RDER</w:t>
      </w:r>
      <w:bookmarkEnd w:id="102"/>
    </w:p>
    <w:p w:rsidRPr="00E12C1B" w:rsidR="00BB0243" w:rsidP="000A6E05" w:rsidRDefault="00BB0243" w14:paraId="70D25D4D" w14:textId="77777777">
      <w:pPr>
        <w:keepNext/>
      </w:pPr>
      <w:r w:rsidRPr="00E12C1B">
        <w:rPr>
          <w:b/>
        </w:rPr>
        <w:t>IT IS ORDERED</w:t>
      </w:r>
      <w:r w:rsidRPr="00E12C1B">
        <w:t xml:space="preserve"> that:</w:t>
      </w:r>
    </w:p>
    <w:p w:rsidRPr="00014739" w:rsidR="00D74379" w:rsidP="00883DC4" w:rsidRDefault="00D74379" w14:paraId="5152447D" w14:textId="77777777">
      <w:pPr>
        <w:pStyle w:val="OP"/>
      </w:pPr>
      <w:r w:rsidRPr="00014739">
        <w:t>The Addendum to the final EIR for the Alberhill project is adopted as having been completed in compliance with the California Environmental Quality Act, reviewed and considered by the California Public Utilities Commission (Commission) prior to approving the Alberhill project, and reflective of the Commission’s independent judgment.</w:t>
      </w:r>
    </w:p>
    <w:p w:rsidRPr="00014739" w:rsidR="00D74379" w:rsidP="00883DC4" w:rsidRDefault="00D74379" w14:paraId="5C1A5071" w14:textId="77777777">
      <w:pPr>
        <w:pStyle w:val="OP"/>
      </w:pPr>
      <w:r w:rsidRPr="00014739">
        <w:t xml:space="preserve">The mitigation measures, </w:t>
      </w:r>
      <w:r w:rsidRPr="00014739" w:rsidR="00ED53F2">
        <w:t xml:space="preserve">Southern California Edison Company </w:t>
      </w:r>
      <w:r w:rsidRPr="00014739">
        <w:t>proposed measures, and construction measures included in the Mitigation, Monitoring, Compliance, and Reporting Plan in Appendix A affixed to this decision are adopted.</w:t>
      </w:r>
    </w:p>
    <w:p w:rsidRPr="00014739" w:rsidR="00D74379" w:rsidP="00883DC4" w:rsidRDefault="00D74379" w14:paraId="788CE181" w14:textId="77777777">
      <w:pPr>
        <w:pStyle w:val="OP"/>
      </w:pPr>
      <w:r w:rsidRPr="00014739">
        <w:t>The application of Southern California Edison Company for a certificate of Public Convenience and Necessity to construct the proposed Alberhill System Project (Alberhill project) is granted, conditioned upon compliance with Mitigation, Monitoring, Compliance, and Reporting Plan in Appendix A affixed to this decision.</w:t>
      </w:r>
    </w:p>
    <w:p w:rsidRPr="00014739" w:rsidR="00D74379" w:rsidP="00883DC4" w:rsidRDefault="00D74379" w14:paraId="4FB405A0" w14:textId="77777777">
      <w:pPr>
        <w:pStyle w:val="OP"/>
      </w:pPr>
      <w:r w:rsidRPr="00014739">
        <w:t xml:space="preserve">The Commission’s Energy Division may approve requests by </w:t>
      </w:r>
      <w:r w:rsidRPr="00ED53F2" w:rsidR="00ED53F2">
        <w:t xml:space="preserve">Southern California Edison Company </w:t>
      </w:r>
      <w:r w:rsidR="00ED53F2">
        <w:t>(</w:t>
      </w:r>
      <w:r w:rsidRPr="00014739">
        <w:t>SCE</w:t>
      </w:r>
      <w:r w:rsidR="00ED53F2">
        <w:t>)</w:t>
      </w:r>
      <w:r w:rsidRPr="00014739">
        <w:t xml:space="preserve"> for minor project refinements that may be necessary, so long as such minor project refinements are located within the geographic boundary of the study area, and do not result</w:t>
      </w:r>
      <w:r w:rsidRPr="00014739" w:rsidR="00D05CC9">
        <w:t>, with mitigation, in a new significant impact based on the criteria used in the Final EIR,</w:t>
      </w:r>
      <w:r w:rsidRPr="00014739">
        <w:t xml:space="preserve"> conflict with any mitigation or applicable law or policy</w:t>
      </w:r>
      <w:r w:rsidRPr="00014739" w:rsidR="00D05CC9">
        <w:t>; and/or trigger additional discretionary permit requirement</w:t>
      </w:r>
      <w:r w:rsidRPr="00014739">
        <w:t xml:space="preserve">.  SCE shall </w:t>
      </w:r>
      <w:r w:rsidRPr="00014739" w:rsidR="00A978EF">
        <w:t>see</w:t>
      </w:r>
      <w:r w:rsidRPr="00014739">
        <w:t>k any other project refinements by filing a petition for modification of today’s decision.</w:t>
      </w:r>
    </w:p>
    <w:p w:rsidRPr="00014739" w:rsidR="00D74379" w:rsidP="00883DC4" w:rsidRDefault="00D74379" w14:paraId="4848BD64" w14:textId="77777777">
      <w:pPr>
        <w:pStyle w:val="OP"/>
      </w:pPr>
      <w:r w:rsidRPr="00014739">
        <w:t>Pursuant to Public Utilities Code Section 1005.5, the maximum reasonable and prudent cost for the Alberhill project is $48</w:t>
      </w:r>
      <w:r w:rsidRPr="00014739" w:rsidR="00012029">
        <w:t>1</w:t>
      </w:r>
      <w:r w:rsidRPr="00014739">
        <w:t>,</w:t>
      </w:r>
      <w:r w:rsidRPr="00014739" w:rsidR="00012029">
        <w:t>700</w:t>
      </w:r>
      <w:r w:rsidRPr="00014739">
        <w:t>,</w:t>
      </w:r>
      <w:r w:rsidRPr="00014739" w:rsidR="00012029">
        <w:t>000</w:t>
      </w:r>
      <w:r w:rsidR="008D0C92">
        <w:t xml:space="preserve"> </w:t>
      </w:r>
      <w:r w:rsidRPr="00014739" w:rsidR="008D0C92">
        <w:t>(2023 dollars)</w:t>
      </w:r>
      <w:r w:rsidRPr="00014739">
        <w:t xml:space="preserve">, which </w:t>
      </w:r>
      <w:r w:rsidRPr="00014739">
        <w:lastRenderedPageBreak/>
        <w:t>includes a 15</w:t>
      </w:r>
      <w:r w:rsidRPr="00014739" w:rsidR="00781307">
        <w:t> </w:t>
      </w:r>
      <w:r w:rsidRPr="00014739">
        <w:t>percent contingency.  The cost cap should not be exceeded absent significant changes to the Alberhill project which cannot be anticipated at this time.</w:t>
      </w:r>
    </w:p>
    <w:p w:rsidRPr="00014739" w:rsidR="008553DE" w:rsidP="00883DC4" w:rsidRDefault="00D74379" w14:paraId="29967F3E" w14:textId="77777777">
      <w:pPr>
        <w:pStyle w:val="OP"/>
      </w:pPr>
      <w:r w:rsidRPr="00014739">
        <w:t>At any point during the construction of the Alberhill project, but prior to any expenditures in excess of the maximum reasonable and prudent cost of $48</w:t>
      </w:r>
      <w:r w:rsidRPr="00014739" w:rsidR="00012029">
        <w:t>1,700,000</w:t>
      </w:r>
      <w:r w:rsidR="008D0C92">
        <w:t xml:space="preserve"> </w:t>
      </w:r>
      <w:r w:rsidRPr="00014739" w:rsidR="008D0C92">
        <w:t>(2023 dollars)</w:t>
      </w:r>
      <w:r w:rsidRPr="00014739">
        <w:t xml:space="preserve">, </w:t>
      </w:r>
      <w:r w:rsidRPr="00ED53F2" w:rsidR="00ED53F2">
        <w:t xml:space="preserve">Southern California Edison Company </w:t>
      </w:r>
      <w:r w:rsidR="00ED53F2">
        <w:t>(</w:t>
      </w:r>
      <w:r w:rsidRPr="00014739">
        <w:t>SCE</w:t>
      </w:r>
      <w:r w:rsidR="00ED53F2">
        <w:t>)</w:t>
      </w:r>
      <w:r w:rsidRPr="00014739">
        <w:t xml:space="preserve"> must file a formal Petition for Modification with the Commission for consideration of an increase of the reasonable and prudent maximum cost of the Alberhill project and show that: a) the cost has in fact increased; and b) the present or future public convenience and necessity require construction of the project at increased cost.  In the event of such a petition being filed, SCE may be authorized to </w:t>
      </w:r>
      <w:r w:rsidRPr="00014739" w:rsidR="00A978EF">
        <w:t>see</w:t>
      </w:r>
      <w:r w:rsidRPr="00014739">
        <w:t>k recovery of costs in rates that are in excess of the cost cap only after the Commission’s approval of such petition for project cost increases.</w:t>
      </w:r>
    </w:p>
    <w:p w:rsidRPr="00014739" w:rsidR="00D74379" w:rsidP="00883DC4" w:rsidRDefault="00ED53F2" w14:paraId="0D9C462B" w14:textId="77777777">
      <w:pPr>
        <w:pStyle w:val="OP"/>
      </w:pPr>
      <w:r w:rsidRPr="00ED53F2">
        <w:t xml:space="preserve">Southern California Edison Company </w:t>
      </w:r>
      <w:r>
        <w:t>(</w:t>
      </w:r>
      <w:r w:rsidRPr="00014739" w:rsidR="00D74379">
        <w:t>SCE</w:t>
      </w:r>
      <w:r>
        <w:t>)</w:t>
      </w:r>
      <w:r w:rsidRPr="00014739" w:rsidR="00D74379">
        <w:t xml:space="preserve"> shall </w:t>
      </w:r>
      <w:r w:rsidRPr="00014739" w:rsidR="00563E98">
        <w:t>make quarterly information-only submittals to the Commission’s Energy Division</w:t>
      </w:r>
      <w:r w:rsidR="00095314">
        <w:t xml:space="preserve">, </w:t>
      </w:r>
      <w:r w:rsidRPr="00E24F35" w:rsidR="00095314">
        <w:t>pursuant to G</w:t>
      </w:r>
      <w:r w:rsidR="00095314">
        <w:t xml:space="preserve">eneral </w:t>
      </w:r>
      <w:r w:rsidRPr="00E24F35" w:rsidR="00095314">
        <w:t>O</w:t>
      </w:r>
      <w:r w:rsidR="00095314">
        <w:t>rder</w:t>
      </w:r>
      <w:r w:rsidRPr="00E24F35" w:rsidR="00095314">
        <w:t xml:space="preserve"> 96-B</w:t>
      </w:r>
      <w:r w:rsidR="00095314">
        <w:t>,</w:t>
      </w:r>
      <w:r w:rsidRPr="00014739" w:rsidR="00563E98">
        <w:t xml:space="preserve"> providing status updates on the Alberhill project.  These status updates shall include, at minimum:</w:t>
      </w:r>
    </w:p>
    <w:p w:rsidR="00563E98" w:rsidP="00DB2107" w:rsidRDefault="00563E98" w14:paraId="3F3C8E87" w14:textId="77777777">
      <w:pPr>
        <w:pStyle w:val="OP"/>
        <w:numPr>
          <w:ilvl w:val="1"/>
          <w:numId w:val="23"/>
        </w:numPr>
      </w:pPr>
      <w:r>
        <w:t>Comprehensive project development schedule (with data organized by month), including estimated project in service date;</w:t>
      </w:r>
    </w:p>
    <w:p w:rsidR="00563E98" w:rsidP="00DB2107" w:rsidRDefault="00563E98" w14:paraId="11349FA5" w14:textId="77777777">
      <w:pPr>
        <w:pStyle w:val="OP"/>
        <w:numPr>
          <w:ilvl w:val="1"/>
          <w:numId w:val="23"/>
        </w:numPr>
      </w:pPr>
      <w:r>
        <w:t>Any changes in project scope and schedule, including the reasons for such changes;</w:t>
      </w:r>
    </w:p>
    <w:p w:rsidR="00563E98" w:rsidP="00DB2107" w:rsidRDefault="00563E98" w14:paraId="2ADD452D" w14:textId="77777777">
      <w:pPr>
        <w:pStyle w:val="OP"/>
        <w:numPr>
          <w:ilvl w:val="1"/>
          <w:numId w:val="23"/>
        </w:numPr>
      </w:pPr>
      <w:r>
        <w:t>Any engineering difficulties encountered in constructing the project;</w:t>
      </w:r>
    </w:p>
    <w:p w:rsidR="00563E98" w:rsidP="00DB2107" w:rsidRDefault="00563E98" w14:paraId="05B386B9" w14:textId="77777777">
      <w:pPr>
        <w:pStyle w:val="OP"/>
        <w:numPr>
          <w:ilvl w:val="1"/>
          <w:numId w:val="23"/>
        </w:numPr>
      </w:pPr>
      <w:r>
        <w:t>Total estimated project costs;</w:t>
      </w:r>
    </w:p>
    <w:p w:rsidR="00563E98" w:rsidP="00DB2107" w:rsidRDefault="00563E98" w14:paraId="53442399" w14:textId="77777777">
      <w:pPr>
        <w:pStyle w:val="OP"/>
        <w:numPr>
          <w:ilvl w:val="1"/>
          <w:numId w:val="23"/>
        </w:numPr>
      </w:pPr>
      <w:r>
        <w:t>Actual spending to date;</w:t>
      </w:r>
    </w:p>
    <w:p w:rsidR="00563E98" w:rsidP="00DB2107" w:rsidRDefault="00563E98" w14:paraId="78168DDA" w14:textId="77777777">
      <w:pPr>
        <w:pStyle w:val="OP"/>
        <w:numPr>
          <w:ilvl w:val="1"/>
          <w:numId w:val="23"/>
        </w:numPr>
      </w:pPr>
      <w:r>
        <w:lastRenderedPageBreak/>
        <w:t xml:space="preserve">Any and all filings submitted to the Federal Energy Regulatory Commission for ultimate cost recovery through transmission rates; and </w:t>
      </w:r>
    </w:p>
    <w:p w:rsidR="00563E98" w:rsidP="00DB2107" w:rsidRDefault="00563E98" w14:paraId="144CEC45" w14:textId="77777777">
      <w:pPr>
        <w:pStyle w:val="OP"/>
        <w:numPr>
          <w:ilvl w:val="1"/>
          <w:numId w:val="23"/>
        </w:numPr>
      </w:pPr>
      <w:r>
        <w:t xml:space="preserve">Any additional information SCE believes relevant and necessary to </w:t>
      </w:r>
      <w:r w:rsidR="00E24F35">
        <w:t>accurately</w:t>
      </w:r>
      <w:r>
        <w:t xml:space="preserve"> convey the status of the Alberhill project.</w:t>
      </w:r>
    </w:p>
    <w:p w:rsidRPr="00014739" w:rsidR="00744A50" w:rsidP="00883DC4" w:rsidRDefault="00744A50" w14:paraId="6610C125" w14:textId="77777777">
      <w:pPr>
        <w:pStyle w:val="OP"/>
      </w:pPr>
      <w:r w:rsidRPr="00014739">
        <w:t xml:space="preserve">All </w:t>
      </w:r>
      <w:r w:rsidRPr="00014739" w:rsidR="00E959F7">
        <w:t xml:space="preserve">outstanding motions filed in this proceeding </w:t>
      </w:r>
      <w:r w:rsidRPr="00014739">
        <w:t xml:space="preserve">that are not </w:t>
      </w:r>
      <w:r w:rsidRPr="00014739" w:rsidR="00E959F7">
        <w:t>ruled on</w:t>
      </w:r>
      <w:r w:rsidRPr="00014739">
        <w:t xml:space="preserve"> are denied.</w:t>
      </w:r>
    </w:p>
    <w:p w:rsidRPr="00014739" w:rsidR="00D74379" w:rsidP="00883DC4" w:rsidRDefault="00D74379" w14:paraId="2BCE9D7B" w14:textId="77777777">
      <w:pPr>
        <w:pStyle w:val="OP"/>
      </w:pPr>
      <w:r w:rsidRPr="00014739">
        <w:t>All rulings of this proceeding are affirmed.</w:t>
      </w:r>
    </w:p>
    <w:p w:rsidRPr="00014739" w:rsidR="00F6397D" w:rsidP="00883DC4" w:rsidRDefault="00E23CBB" w14:paraId="307C46E2" w14:textId="77777777">
      <w:pPr>
        <w:pStyle w:val="OP"/>
      </w:pPr>
      <w:r w:rsidRPr="00014739">
        <w:t>Application</w:t>
      </w:r>
      <w:r w:rsidRPr="00014739" w:rsidR="00A978EF">
        <w:t> </w:t>
      </w:r>
      <w:r w:rsidRPr="00014739" w:rsidR="00744A50">
        <w:t>09-09-022</w:t>
      </w:r>
      <w:r w:rsidRPr="00014739">
        <w:t xml:space="preserve"> is closed.</w:t>
      </w:r>
    </w:p>
    <w:p w:rsidRPr="00E12C1B" w:rsidR="008F0116" w:rsidP="008F0116" w:rsidRDefault="008F0116" w14:paraId="2AB825B8" w14:textId="77777777">
      <w:r w:rsidRPr="00E12C1B">
        <w:t>This order is effective today.</w:t>
      </w:r>
    </w:p>
    <w:p w:rsidR="00714CF2" w:rsidP="00781307" w:rsidRDefault="008F0116" w14:paraId="758BC09C" w14:textId="04C5FAE0">
      <w:r w:rsidRPr="00E12C1B">
        <w:t>Dated</w:t>
      </w:r>
      <w:r w:rsidRPr="00E12C1B" w:rsidR="00956A8C">
        <w:t> </w:t>
      </w:r>
      <w:r w:rsidR="00ED1E0E">
        <w:t>March</w:t>
      </w:r>
      <w:r w:rsidRPr="00E12C1B" w:rsidR="00956A8C">
        <w:t> </w:t>
      </w:r>
      <w:r w:rsidR="00ED1E0E">
        <w:t>19</w:t>
      </w:r>
      <w:r w:rsidRPr="00E12C1B">
        <w:t>,</w:t>
      </w:r>
      <w:r w:rsidRPr="00E12C1B" w:rsidR="00956A8C">
        <w:t> 2026, </w:t>
      </w:r>
      <w:r w:rsidRPr="00E12C1B">
        <w:t>a</w:t>
      </w:r>
      <w:r w:rsidRPr="00E12C1B" w:rsidR="00956A8C">
        <w:t>t </w:t>
      </w:r>
      <w:r w:rsidR="00781307">
        <w:t>Sa</w:t>
      </w:r>
      <w:r w:rsidR="00ED53F2">
        <w:t>crame</w:t>
      </w:r>
      <w:r w:rsidR="00781307">
        <w:t>nt</w:t>
      </w:r>
      <w:r w:rsidR="00ED53F2">
        <w:t>o</w:t>
      </w:r>
      <w:r w:rsidRPr="00E12C1B">
        <w:t>,</w:t>
      </w:r>
      <w:r w:rsidR="00781307">
        <w:t> </w:t>
      </w:r>
      <w:r w:rsidRPr="00E12C1B">
        <w:t>California</w:t>
      </w:r>
      <w:r w:rsidR="00883DC4">
        <w:t>.</w:t>
      </w:r>
    </w:p>
    <w:p w:rsidR="00883DC4" w:rsidP="00781307" w:rsidRDefault="00883DC4" w14:paraId="0D69066E" w14:textId="77777777"/>
    <w:p w:rsidR="00883DC4" w:rsidP="00781307" w:rsidRDefault="00883DC4" w14:paraId="112850DA" w14:textId="77777777"/>
    <w:p w:rsidRPr="00DE4C51" w:rsidR="00DE4C51" w:rsidP="00DE4C51" w:rsidRDefault="00DE4C51" w14:paraId="021B2840" w14:textId="77777777">
      <w:pPr>
        <w:autoSpaceDE w:val="0"/>
        <w:autoSpaceDN w:val="0"/>
        <w:adjustRightInd w:val="0"/>
        <w:spacing w:line="240" w:lineRule="auto"/>
        <w:ind w:left="4680" w:firstLine="0"/>
        <w:rPr>
          <w:rFonts w:eastAsia="Calibri" w:cs="Arial"/>
          <w:szCs w:val="20"/>
        </w:rPr>
      </w:pPr>
      <w:r w:rsidRPr="00DE4C51">
        <w:rPr>
          <w:rFonts w:eastAsia="Calibri" w:cs="Arial"/>
          <w:szCs w:val="20"/>
        </w:rPr>
        <w:t>JOHN REYNOLDS</w:t>
      </w:r>
    </w:p>
    <w:p w:rsidRPr="00DE4C51" w:rsidR="00DE4C51" w:rsidP="00DE4C51" w:rsidRDefault="00DE4C51" w14:paraId="66E3E070" w14:textId="77777777">
      <w:pPr>
        <w:autoSpaceDE w:val="0"/>
        <w:autoSpaceDN w:val="0"/>
        <w:adjustRightInd w:val="0"/>
        <w:spacing w:line="240" w:lineRule="auto"/>
        <w:ind w:left="4680" w:firstLine="0"/>
        <w:rPr>
          <w:rFonts w:eastAsia="Calibri" w:cs="Arial"/>
          <w:szCs w:val="20"/>
        </w:rPr>
      </w:pPr>
      <w:r w:rsidRPr="00DE4C51">
        <w:rPr>
          <w:rFonts w:eastAsia="Calibri" w:cs="Arial"/>
          <w:szCs w:val="20"/>
        </w:rPr>
        <w:t xml:space="preserve">                      President</w:t>
      </w:r>
    </w:p>
    <w:p w:rsidRPr="00DE4C51" w:rsidR="00DE4C51" w:rsidP="00DE4C51" w:rsidRDefault="00DE4C51" w14:paraId="4F260394" w14:textId="77777777">
      <w:pPr>
        <w:autoSpaceDE w:val="0"/>
        <w:autoSpaceDN w:val="0"/>
        <w:adjustRightInd w:val="0"/>
        <w:spacing w:line="240" w:lineRule="auto"/>
        <w:ind w:left="4680" w:firstLine="0"/>
        <w:rPr>
          <w:rFonts w:eastAsia="Calibri" w:cs="Arial"/>
          <w:szCs w:val="20"/>
        </w:rPr>
      </w:pPr>
      <w:r w:rsidRPr="00DE4C51">
        <w:rPr>
          <w:rFonts w:eastAsia="Calibri" w:cs="Arial"/>
          <w:szCs w:val="20"/>
        </w:rPr>
        <w:t>DARCIE L. HOUCK</w:t>
      </w:r>
    </w:p>
    <w:p w:rsidRPr="00DE4C51" w:rsidR="00DE4C51" w:rsidP="00DE4C51" w:rsidRDefault="00DE4C51" w14:paraId="00641BE9" w14:textId="77777777">
      <w:pPr>
        <w:autoSpaceDE w:val="0"/>
        <w:autoSpaceDN w:val="0"/>
        <w:adjustRightInd w:val="0"/>
        <w:spacing w:line="240" w:lineRule="auto"/>
        <w:ind w:left="4680" w:firstLine="0"/>
        <w:rPr>
          <w:rFonts w:eastAsia="Times New Roman" w:cs="Calibri"/>
          <w:color w:val="000000"/>
          <w:szCs w:val="26"/>
        </w:rPr>
      </w:pPr>
      <w:r w:rsidRPr="00DE4C51">
        <w:rPr>
          <w:rFonts w:eastAsia="Times New Roman" w:cs="Calibri"/>
          <w:color w:val="000000"/>
          <w:szCs w:val="26"/>
        </w:rPr>
        <w:t>KAREN DOUGLAS</w:t>
      </w:r>
    </w:p>
    <w:p w:rsidRPr="00DE4C51" w:rsidR="00DE4C51" w:rsidP="00DE4C51" w:rsidRDefault="00DE4C51" w14:paraId="1B8F76A4" w14:textId="77777777">
      <w:pPr>
        <w:autoSpaceDE w:val="0"/>
        <w:autoSpaceDN w:val="0"/>
        <w:adjustRightInd w:val="0"/>
        <w:spacing w:line="240" w:lineRule="auto"/>
        <w:ind w:left="4680" w:firstLine="0"/>
        <w:rPr>
          <w:rFonts w:eastAsia="Times New Roman" w:cs="Calibri"/>
          <w:color w:val="000000"/>
          <w:szCs w:val="26"/>
        </w:rPr>
      </w:pPr>
      <w:r w:rsidRPr="00DE4C51">
        <w:rPr>
          <w:rFonts w:eastAsia="Times New Roman" w:cs="Calibri"/>
          <w:color w:val="000000"/>
          <w:szCs w:val="26"/>
        </w:rPr>
        <w:t>CHRISTINE HARADA</w:t>
      </w:r>
    </w:p>
    <w:p w:rsidRPr="00DE4C51" w:rsidR="00DE4C51" w:rsidP="00DE4C51" w:rsidRDefault="00DE4C51" w14:paraId="69C71F82" w14:textId="77777777">
      <w:pPr>
        <w:keepNext/>
        <w:keepLines/>
        <w:autoSpaceDE w:val="0"/>
        <w:autoSpaceDN w:val="0"/>
        <w:adjustRightInd w:val="0"/>
        <w:spacing w:line="240" w:lineRule="auto"/>
        <w:ind w:left="4680" w:firstLine="0"/>
        <w:rPr>
          <w:rFonts w:eastAsia="Calibri" w:cs="Arial"/>
          <w:szCs w:val="20"/>
        </w:rPr>
      </w:pPr>
      <w:r w:rsidRPr="00DE4C51">
        <w:rPr>
          <w:rFonts w:eastAsia="Calibri" w:cs="Arial"/>
          <w:szCs w:val="20"/>
        </w:rPr>
        <w:tab/>
      </w:r>
      <w:r w:rsidRPr="00DE4C51">
        <w:rPr>
          <w:rFonts w:eastAsia="Calibri" w:cs="Arial"/>
          <w:szCs w:val="20"/>
        </w:rPr>
        <w:tab/>
        <w:t>Commissioners</w:t>
      </w:r>
    </w:p>
    <w:p w:rsidRPr="00DE4C51" w:rsidR="00DE4C51" w:rsidP="00DE4C51" w:rsidRDefault="00DE4C51" w14:paraId="1710B3B8" w14:textId="77777777">
      <w:pPr>
        <w:keepNext/>
        <w:keepLines/>
        <w:autoSpaceDE w:val="0"/>
        <w:autoSpaceDN w:val="0"/>
        <w:adjustRightInd w:val="0"/>
        <w:spacing w:line="240" w:lineRule="auto"/>
        <w:ind w:left="4680" w:firstLine="0"/>
        <w:rPr>
          <w:rFonts w:eastAsia="Calibri" w:cs="Arial"/>
          <w:szCs w:val="20"/>
        </w:rPr>
      </w:pPr>
    </w:p>
    <w:p w:rsidRPr="00DE4C51" w:rsidR="00DE4C51" w:rsidP="00DE4C51" w:rsidRDefault="00DE4C51" w14:paraId="76CB4620" w14:textId="77777777">
      <w:pPr>
        <w:keepNext/>
        <w:keepLines/>
        <w:autoSpaceDE w:val="0"/>
        <w:autoSpaceDN w:val="0"/>
        <w:adjustRightInd w:val="0"/>
        <w:spacing w:line="240" w:lineRule="auto"/>
        <w:ind w:left="4680" w:firstLine="0"/>
        <w:rPr>
          <w:rFonts w:eastAsia="Calibri" w:cs="Arial"/>
          <w:szCs w:val="20"/>
        </w:rPr>
      </w:pPr>
      <w:r w:rsidRPr="00DE4C51">
        <w:rPr>
          <w:rFonts w:eastAsia="Calibri" w:cs="Arial"/>
          <w:szCs w:val="20"/>
        </w:rPr>
        <w:t>Commissioner Matthew Baker recused</w:t>
      </w:r>
    </w:p>
    <w:p w:rsidRPr="00DE4C51" w:rsidR="00DE4C51" w:rsidP="00DE4C51" w:rsidRDefault="00DE4C51" w14:paraId="6F4E20E0" w14:textId="77777777">
      <w:pPr>
        <w:keepNext/>
        <w:keepLines/>
        <w:autoSpaceDE w:val="0"/>
        <w:autoSpaceDN w:val="0"/>
        <w:adjustRightInd w:val="0"/>
        <w:spacing w:line="240" w:lineRule="auto"/>
        <w:ind w:left="4680" w:firstLine="0"/>
        <w:rPr>
          <w:rFonts w:eastAsia="Calibri" w:cs="Arial"/>
          <w:szCs w:val="20"/>
        </w:rPr>
      </w:pPr>
      <w:r w:rsidRPr="00DE4C51">
        <w:rPr>
          <w:rFonts w:eastAsia="Calibri" w:cs="Arial"/>
          <w:szCs w:val="20"/>
        </w:rPr>
        <w:t>himself from this agenda item and was</w:t>
      </w:r>
    </w:p>
    <w:p w:rsidR="00DE4C51" w:rsidP="00DE4C51" w:rsidRDefault="00DE4C51" w14:paraId="45A6ED30" w14:textId="77777777">
      <w:pPr>
        <w:spacing w:line="240" w:lineRule="auto"/>
        <w:ind w:left="4680" w:firstLine="0"/>
        <w:rPr>
          <w:rFonts w:eastAsia="Calibri" w:cs="Arial"/>
          <w:szCs w:val="20"/>
        </w:rPr>
      </w:pPr>
      <w:r w:rsidRPr="00DE4C51">
        <w:rPr>
          <w:rFonts w:eastAsia="Calibri" w:cs="Arial"/>
          <w:szCs w:val="20"/>
        </w:rPr>
        <w:t>not part of the quorum in its</w:t>
      </w:r>
    </w:p>
    <w:p w:rsidRPr="00DE4C51" w:rsidR="00ED1E0E" w:rsidP="00DE4C51" w:rsidRDefault="00DE4C51" w14:paraId="479340D1" w14:textId="1317F54E">
      <w:pPr>
        <w:spacing w:after="160" w:line="240" w:lineRule="auto"/>
        <w:ind w:left="4680" w:firstLine="0"/>
        <w:rPr>
          <w:rFonts w:ascii="Arial Narrow" w:hAnsi="Arial Narrow" w:eastAsia="Aptos" w:cs="Times New Roman"/>
          <w:kern w:val="2"/>
          <w:sz w:val="24"/>
          <w:szCs w:val="24"/>
          <w14:ligatures w14:val="standardContextual"/>
        </w:rPr>
      </w:pPr>
      <w:r w:rsidRPr="00DE4C51">
        <w:rPr>
          <w:rFonts w:eastAsia="Calibri" w:cs="Arial"/>
          <w:szCs w:val="20"/>
        </w:rPr>
        <w:t>consideration.</w:t>
      </w:r>
    </w:p>
    <w:p w:rsidR="00781307" w:rsidP="00956A8C" w:rsidRDefault="00781307" w14:paraId="52B27916" w14:textId="77777777">
      <w:pPr>
        <w:ind w:firstLine="0"/>
      </w:pPr>
    </w:p>
    <w:p w:rsidR="00781307" w:rsidP="00956A8C" w:rsidRDefault="00781307" w14:paraId="23DC1C2F" w14:textId="77777777">
      <w:pPr>
        <w:ind w:firstLine="0"/>
        <w:sectPr w:rsidR="00781307" w:rsidSect="00C3753D">
          <w:footerReference w:type="default" r:id="rId15"/>
          <w:pgSz w:w="12240" w:h="15840"/>
          <w:pgMar w:top="1728" w:right="1440" w:bottom="1440" w:left="1440" w:header="720" w:footer="720" w:gutter="0"/>
          <w:pgNumType w:start="2"/>
          <w:cols w:space="720"/>
          <w:docGrid w:linePitch="360"/>
        </w:sectPr>
      </w:pPr>
    </w:p>
    <w:p w:rsidRPr="00781307" w:rsidR="003463BE" w:rsidP="00956A8C" w:rsidRDefault="003463BE" w14:paraId="4E31ECB9" w14:textId="77777777">
      <w:pPr>
        <w:jc w:val="center"/>
        <w:rPr>
          <w:rFonts w:ascii="Arial" w:hAnsi="Arial" w:cs="Arial"/>
          <w:b/>
          <w:bCs/>
        </w:rPr>
      </w:pPr>
      <w:r w:rsidRPr="00781307">
        <w:rPr>
          <w:rFonts w:ascii="Arial" w:hAnsi="Arial" w:cs="Arial"/>
          <w:b/>
          <w:bCs/>
        </w:rPr>
        <w:lastRenderedPageBreak/>
        <w:t>A</w:t>
      </w:r>
      <w:r w:rsidRPr="00781307" w:rsidR="00FE64CC">
        <w:rPr>
          <w:rFonts w:ascii="Arial" w:hAnsi="Arial" w:cs="Arial"/>
          <w:b/>
          <w:bCs/>
        </w:rPr>
        <w:t>PPENDIX A</w:t>
      </w:r>
    </w:p>
    <w:p w:rsidRPr="00E12C1B" w:rsidR="003463BE" w:rsidP="003463BE" w:rsidRDefault="003463BE" w14:paraId="6C535124" w14:textId="77777777">
      <w:pPr>
        <w:jc w:val="center"/>
      </w:pPr>
      <w:r w:rsidRPr="00E12C1B">
        <w:t>MITIGATION</w:t>
      </w:r>
      <w:r w:rsidR="00EF42E6">
        <w:t>, MONITORING, COMPLIANCE, AND REPORTING PLAN</w:t>
      </w:r>
      <w:r w:rsidRPr="00E12C1B">
        <w:t xml:space="preserve"> FOR </w:t>
      </w:r>
      <w:r w:rsidR="00EF42E6">
        <w:t xml:space="preserve">THE </w:t>
      </w:r>
      <w:r w:rsidRPr="00E12C1B">
        <w:t xml:space="preserve">ALBERHILL </w:t>
      </w:r>
      <w:r w:rsidR="00EF42E6">
        <w:t xml:space="preserve">SYSTEM </w:t>
      </w:r>
      <w:r w:rsidRPr="00E12C1B">
        <w:t>PROJECT</w:t>
      </w:r>
    </w:p>
    <w:p w:rsidR="003463BE" w:rsidP="00770005" w:rsidRDefault="003463BE" w14:paraId="535CCD69" w14:textId="77777777">
      <w:pPr>
        <w:jc w:val="center"/>
      </w:pPr>
      <w:r w:rsidRPr="00E12C1B">
        <w:t>(REDLINE</w:t>
      </w:r>
      <w:r w:rsidRPr="00E12C1B" w:rsidR="00792B10">
        <w:t xml:space="preserve"> </w:t>
      </w:r>
      <w:r w:rsidR="00770005">
        <w:t>and CLEAN</w:t>
      </w:r>
      <w:r w:rsidRPr="00E12C1B">
        <w:t>)</w:t>
      </w:r>
    </w:p>
    <w:p w:rsidR="00883DC4" w:rsidRDefault="00883DC4" w14:paraId="2A410E63" w14:textId="77777777">
      <w:pPr>
        <w:spacing w:after="160" w:line="259" w:lineRule="auto"/>
        <w:ind w:firstLine="0"/>
        <w:sectPr w:rsidR="00883DC4" w:rsidSect="0002015A">
          <w:headerReference w:type="default" r:id="rId16"/>
          <w:footerReference w:type="default" r:id="rId17"/>
          <w:pgSz w:w="12240" w:h="15840" w:code="1"/>
          <w:pgMar w:top="1728" w:right="1440" w:bottom="1440" w:left="1440" w:header="720" w:footer="720" w:gutter="0"/>
          <w:pgNumType w:start="2"/>
          <w:cols w:space="720"/>
          <w:vAlign w:val="center"/>
          <w:docGrid w:linePitch="360"/>
        </w:sectPr>
      </w:pPr>
    </w:p>
    <w:p w:rsidR="008F2F1E" w:rsidRDefault="008F2F1E" w14:paraId="1CD1AC41" w14:textId="77777777">
      <w:pPr>
        <w:spacing w:after="160" w:line="259" w:lineRule="auto"/>
        <w:ind w:firstLine="0"/>
      </w:pPr>
    </w:p>
    <w:p w:rsidRPr="00781307" w:rsidR="008F2F1E" w:rsidP="008F2F1E" w:rsidRDefault="008F2F1E" w14:paraId="32CA0D9C" w14:textId="77777777">
      <w:pPr>
        <w:jc w:val="center"/>
        <w:rPr>
          <w:rFonts w:ascii="Arial" w:hAnsi="Arial" w:cs="Arial"/>
          <w:b/>
          <w:bCs/>
        </w:rPr>
      </w:pPr>
      <w:r w:rsidRPr="00781307">
        <w:rPr>
          <w:rFonts w:ascii="Arial" w:hAnsi="Arial" w:cs="Arial"/>
          <w:b/>
          <w:bCs/>
        </w:rPr>
        <w:t xml:space="preserve">APPENDIX </w:t>
      </w:r>
      <w:r>
        <w:rPr>
          <w:rFonts w:ascii="Arial" w:hAnsi="Arial" w:cs="Arial"/>
          <w:b/>
          <w:bCs/>
        </w:rPr>
        <w:t>B</w:t>
      </w:r>
    </w:p>
    <w:p w:rsidR="008F2F1E" w:rsidP="008F2F1E" w:rsidRDefault="008F2F1E" w14:paraId="0C78E4E7" w14:textId="77777777">
      <w:pPr>
        <w:jc w:val="center"/>
      </w:pPr>
      <w:r>
        <w:t xml:space="preserve">MAP OF </w:t>
      </w:r>
      <w:r w:rsidR="008F2434">
        <w:t>VALLEY SOUTH SYSTEM (</w:t>
      </w:r>
      <w:r>
        <w:t>ELECTRICAL NEEDS A</w:t>
      </w:r>
      <w:r w:rsidR="00786315">
        <w:t>REA</w:t>
      </w:r>
      <w:r w:rsidR="008F2434">
        <w:t>)</w:t>
      </w:r>
    </w:p>
    <w:p w:rsidR="00883DC4" w:rsidRDefault="00883DC4" w14:paraId="14F2337C" w14:textId="77777777">
      <w:pPr>
        <w:spacing w:after="160" w:line="259" w:lineRule="auto"/>
        <w:ind w:firstLine="0"/>
        <w:sectPr w:rsidR="00883DC4" w:rsidSect="00883DC4">
          <w:footerReference w:type="default" r:id="rId18"/>
          <w:headerReference w:type="first" r:id="rId19"/>
          <w:footerReference w:type="first" r:id="rId20"/>
          <w:pgSz w:w="12240" w:h="15840" w:code="1"/>
          <w:pgMar w:top="1728" w:right="1440" w:bottom="1440" w:left="1440" w:header="720" w:footer="720" w:gutter="0"/>
          <w:pgNumType w:start="2"/>
          <w:cols w:space="720"/>
          <w:vAlign w:val="center"/>
          <w:titlePg/>
          <w:docGrid w:linePitch="360"/>
        </w:sectPr>
      </w:pPr>
    </w:p>
    <w:p w:rsidR="00786315" w:rsidRDefault="00786315" w14:paraId="2AADCD0D" w14:textId="77777777">
      <w:pPr>
        <w:spacing w:after="160" w:line="259" w:lineRule="auto"/>
        <w:ind w:firstLine="0"/>
      </w:pPr>
    </w:p>
    <w:p w:rsidRPr="00781307" w:rsidR="00786315" w:rsidP="00786315" w:rsidRDefault="00786315" w14:paraId="68A03D9E" w14:textId="77777777">
      <w:pPr>
        <w:jc w:val="center"/>
        <w:rPr>
          <w:rFonts w:ascii="Arial" w:hAnsi="Arial" w:cs="Arial"/>
          <w:b/>
          <w:bCs/>
        </w:rPr>
      </w:pPr>
      <w:r w:rsidRPr="00781307">
        <w:rPr>
          <w:rFonts w:ascii="Arial" w:hAnsi="Arial" w:cs="Arial"/>
          <w:b/>
          <w:bCs/>
        </w:rPr>
        <w:t xml:space="preserve">APPENDIX </w:t>
      </w:r>
      <w:r>
        <w:rPr>
          <w:rFonts w:ascii="Arial" w:hAnsi="Arial" w:cs="Arial"/>
          <w:b/>
          <w:bCs/>
        </w:rPr>
        <w:t>C</w:t>
      </w:r>
    </w:p>
    <w:p w:rsidR="00786315" w:rsidP="00786315" w:rsidRDefault="00786315" w14:paraId="6668C4B1" w14:textId="77777777">
      <w:pPr>
        <w:jc w:val="center"/>
      </w:pPr>
      <w:r>
        <w:t>ALBERHILL SYSTEM PROJECT DESCRIPTION</w:t>
      </w:r>
    </w:p>
    <w:p w:rsidR="00786315" w:rsidP="008F2F1E" w:rsidRDefault="00786315" w14:paraId="5C4EA286" w14:textId="77777777">
      <w:pPr>
        <w:jc w:val="center"/>
      </w:pPr>
    </w:p>
    <w:p w:rsidR="00883DC4" w:rsidRDefault="00883DC4" w14:paraId="4FBDE1EB" w14:textId="77777777">
      <w:pPr>
        <w:spacing w:after="160" w:line="259" w:lineRule="auto"/>
        <w:ind w:firstLine="0"/>
        <w:sectPr w:rsidR="00883DC4" w:rsidSect="00883DC4">
          <w:footerReference w:type="default" r:id="rId21"/>
          <w:headerReference w:type="first" r:id="rId22"/>
          <w:footerReference w:type="first" r:id="rId23"/>
          <w:pgSz w:w="12240" w:h="15840" w:code="1"/>
          <w:pgMar w:top="1728" w:right="1440" w:bottom="1440" w:left="1440" w:header="720" w:footer="720" w:gutter="0"/>
          <w:pgNumType w:start="2"/>
          <w:cols w:space="720"/>
          <w:vAlign w:val="center"/>
          <w:titlePg/>
          <w:docGrid w:linePitch="360"/>
        </w:sectPr>
      </w:pPr>
    </w:p>
    <w:p w:rsidR="00786315" w:rsidRDefault="00786315" w14:paraId="4290DC26" w14:textId="77777777">
      <w:pPr>
        <w:spacing w:after="160" w:line="259" w:lineRule="auto"/>
        <w:ind w:firstLine="0"/>
      </w:pPr>
    </w:p>
    <w:p w:rsidRPr="00E12C1B" w:rsidR="00786315" w:rsidP="00DB2107" w:rsidRDefault="00786315" w14:paraId="4A5A673C" w14:textId="77777777">
      <w:pPr>
        <w:pStyle w:val="Standard"/>
        <w:numPr>
          <w:ilvl w:val="0"/>
          <w:numId w:val="25"/>
        </w:numPr>
        <w:spacing w:after="120" w:line="240" w:lineRule="auto"/>
        <w:ind w:right="1440"/>
      </w:pPr>
      <w:r w:rsidRPr="00E12C1B">
        <w:t>Construction of a new 1,120 megavolt ampere (MVA) 500/115 kV substation (Alberhill Substation);</w:t>
      </w:r>
    </w:p>
    <w:p w:rsidRPr="00E12C1B" w:rsidR="00786315" w:rsidP="00DB2107" w:rsidRDefault="00786315" w14:paraId="093742F0" w14:textId="77777777">
      <w:pPr>
        <w:pStyle w:val="Standard"/>
        <w:numPr>
          <w:ilvl w:val="0"/>
          <w:numId w:val="25"/>
        </w:numPr>
        <w:spacing w:after="120" w:line="240" w:lineRule="auto"/>
        <w:ind w:right="1440"/>
      </w:pPr>
      <w:r w:rsidRPr="00E12C1B">
        <w:t>Construction of two new 500 kV transmission lines (approximately 3.3 miles, combined) within a new right</w:t>
      </w:r>
      <w:r w:rsidRPr="00E12C1B">
        <w:noBreakHyphen/>
        <w:t>of</w:t>
      </w:r>
      <w:r w:rsidRPr="00E12C1B">
        <w:noBreakHyphen/>
        <w:t>way to connect the proposed Alberhill Substation to the existing Serrano-Valley 500 kV Transmission Line;</w:t>
      </w:r>
    </w:p>
    <w:p w:rsidRPr="00E12C1B" w:rsidR="00786315" w:rsidP="00DB2107" w:rsidRDefault="00786315" w14:paraId="280FB85F" w14:textId="77777777">
      <w:pPr>
        <w:pStyle w:val="Standard"/>
        <w:numPr>
          <w:ilvl w:val="0"/>
          <w:numId w:val="25"/>
        </w:numPr>
        <w:spacing w:after="120" w:line="240" w:lineRule="auto"/>
        <w:ind w:right="1440"/>
      </w:pPr>
      <w:r w:rsidRPr="00E12C1B">
        <w:t>Double-circuit approximately 10.6 miles of existing single</w:t>
      </w:r>
      <w:r w:rsidRPr="00E12C1B">
        <w:noBreakHyphen/>
        <w:t>circuit 115 kV sub-transmission lines with structure replacement primarily in the existing right of way;</w:t>
      </w:r>
    </w:p>
    <w:p w:rsidRPr="00E12C1B" w:rsidR="00786315" w:rsidP="00DB2107" w:rsidRDefault="00786315" w14:paraId="7E20DD6A" w14:textId="77777777">
      <w:pPr>
        <w:pStyle w:val="Standard"/>
        <w:numPr>
          <w:ilvl w:val="0"/>
          <w:numId w:val="25"/>
        </w:numPr>
        <w:spacing w:after="120" w:line="240" w:lineRule="auto"/>
        <w:ind w:right="1440"/>
      </w:pPr>
      <w:r w:rsidRPr="00E12C1B">
        <w:t>Construction of approximately three miles of single-circuit 115 kV sub-transmission lines with distribution lines underbuilt on the sub-transmission line structures, and removal of about three miles of electrical distribution lines within the existing right of way;</w:t>
      </w:r>
    </w:p>
    <w:p w:rsidRPr="00E12C1B" w:rsidR="00786315" w:rsidP="00DB2107" w:rsidRDefault="00786315" w14:paraId="4DDB2198" w14:textId="77777777">
      <w:pPr>
        <w:pStyle w:val="Standard"/>
        <w:numPr>
          <w:ilvl w:val="0"/>
          <w:numId w:val="25"/>
        </w:numPr>
        <w:spacing w:after="120" w:line="240" w:lineRule="auto"/>
        <w:ind w:right="1440"/>
      </w:pPr>
      <w:r w:rsidRPr="00E12C1B">
        <w:t>Installation of a second 115 kV circuit on approximately 6.2 miles of existing 11</w:t>
      </w:r>
      <w:r>
        <w:t>5</w:t>
      </w:r>
      <w:r w:rsidRPr="00E12C1B">
        <w:t xml:space="preserve"> kV sub-transmission lines constructed as part of the Valley-Ivyglen </w:t>
      </w:r>
      <w:r>
        <w:t>p</w:t>
      </w:r>
      <w:r w:rsidRPr="00E12C1B">
        <w:t>roject;</w:t>
      </w:r>
    </w:p>
    <w:p w:rsidRPr="00E12C1B" w:rsidR="00786315" w:rsidP="00DB2107" w:rsidRDefault="00786315" w14:paraId="6AA4A83F" w14:textId="77777777">
      <w:pPr>
        <w:pStyle w:val="Standard"/>
        <w:numPr>
          <w:ilvl w:val="0"/>
          <w:numId w:val="25"/>
        </w:numPr>
        <w:spacing w:after="120" w:line="240" w:lineRule="auto"/>
        <w:ind w:right="1440"/>
      </w:pPr>
      <w:r w:rsidRPr="00E12C1B">
        <w:t>Installation of approximately 550 feet of new 115 kV underground sub-transmission circuit within new duct banks, and installation of approximately 4,000 feet of new 115 kV sub-transmission circuit within existing duct banks;</w:t>
      </w:r>
    </w:p>
    <w:p w:rsidRPr="00E12C1B" w:rsidR="00786315" w:rsidP="00DB2107" w:rsidRDefault="00786315" w14:paraId="49D76588" w14:textId="77777777">
      <w:pPr>
        <w:pStyle w:val="Standard"/>
        <w:numPr>
          <w:ilvl w:val="0"/>
          <w:numId w:val="25"/>
        </w:numPr>
        <w:spacing w:after="120" w:line="240" w:lineRule="auto"/>
        <w:ind w:right="1440"/>
      </w:pPr>
      <w:r w:rsidRPr="00E12C1B">
        <w:t>Installation of fiber optic lines overhead (approximately nine miles) on sections of new or modified sub-transmission lines and underground (approximately one mile) in proximity to the proposed Alberhill Substation and several of the existing 115/12 kV substations;</w:t>
      </w:r>
    </w:p>
    <w:p w:rsidRPr="00E12C1B" w:rsidR="00786315" w:rsidP="00DB2107" w:rsidRDefault="00786315" w14:paraId="675EFAC7" w14:textId="77777777">
      <w:pPr>
        <w:pStyle w:val="Standard"/>
        <w:numPr>
          <w:ilvl w:val="0"/>
          <w:numId w:val="25"/>
        </w:numPr>
        <w:spacing w:after="120" w:line="240" w:lineRule="auto"/>
        <w:ind w:right="1440"/>
      </w:pPr>
      <w:r w:rsidRPr="00E12C1B">
        <w:t>Construction of an approximately 120-foot microwave antenna tower at the proposed Alberhill Substation site; installation of microwave telecommunications dish antennas at the proposed Alberhill Substation, the existing Santiago Peak Communications Site, and Serrano Substation; and other telecommunications equipment installations at existing and proposed substations;</w:t>
      </w:r>
    </w:p>
    <w:p w:rsidR="009D5F18" w:rsidP="00DB2107" w:rsidRDefault="00786315" w14:paraId="41C7A578" w14:textId="77777777">
      <w:pPr>
        <w:pStyle w:val="Standard"/>
        <w:numPr>
          <w:ilvl w:val="0"/>
          <w:numId w:val="25"/>
        </w:numPr>
        <w:spacing w:after="120" w:line="240" w:lineRule="auto"/>
        <w:ind w:right="1440"/>
      </w:pPr>
      <w:r w:rsidRPr="00E12C1B">
        <w:lastRenderedPageBreak/>
        <w:t>Installation of a new 115 kV line position inside Newcomb Substation to accommodate the new Newcomb-Skylark 115 kV line, and modifications to an existing position at Valley Substation to isolate the existing Valley-Newcomb 115 kV line which will be taken out of service as part of the Alberhill project; and</w:t>
      </w:r>
    </w:p>
    <w:p w:rsidR="000A1CAC" w:rsidP="00DB2107" w:rsidRDefault="00786315" w14:paraId="4AADD502" w14:textId="6681F977">
      <w:pPr>
        <w:pStyle w:val="Standard"/>
        <w:numPr>
          <w:ilvl w:val="0"/>
          <w:numId w:val="25"/>
        </w:numPr>
        <w:spacing w:after="120" w:line="240" w:lineRule="auto"/>
        <w:ind w:right="1440"/>
      </w:pPr>
      <w:r w:rsidRPr="00E12C1B">
        <w:t>Transfer five of the 14 Valley South 115 kV System substations to the Alberhill 115 kV System: Ivyglen, Fogarty, Elsinore, Skylark, and Newcomb 115/12 kV Substations.</w:t>
      </w:r>
    </w:p>
    <w:sectPr w:rsidR="000A1CAC" w:rsidSect="00883DC4">
      <w:headerReference w:type="default" r:id="rId24"/>
      <w:footerReference w:type="default" r:id="rId25"/>
      <w:headerReference w:type="first" r:id="rId26"/>
      <w:footerReference w:type="first" r:id="rId27"/>
      <w:pgSz w:w="12240" w:h="15840" w:code="1"/>
      <w:pgMar w:top="1728" w:right="1440" w:bottom="1440" w:left="1440" w:header="720" w:footer="720" w:gutter="0"/>
      <w:pgNumType w:start="2"/>
      <w:cols w:space="720"/>
      <w:titlePg/>
      <w:docGrid w:linePitch="360"/>
    </w:sectPr>
    <w:p>
      <w:r>
        <w:t xml:space="preserve"/>
      </w:r>
    </w:p>
    <w:p>
      <w:r>
        <w:t xml:space="preserve">Attachment 1: </w:t>
      </w:r>
    </w:p>
    <w:p>
      <w:hyperlink w:history="true" r:id="R585c8590c27f4a4a">
        <w:r w:rsidRPr="00CB1292">
          <w:rPr>
            <w:rStyle w:val="Hyperlink"/>
            <w:color w:val="2E74B5" w:themeColor="accent1" w:themeShade="BF"/>
            <w:u w:val="single"/>
          </w:rPr>
          <w:t>APPENDIX-A  A.09-09-022 PD ZZ1 Agenda 3-19-2026.pdf</w:t>
        </w:r>
      </w:hyperlink>
    </w:p>
    <w:p>
      <w:r>
        <w:t xml:space="preserve"/>
      </w:r>
    </w:p>
    <w:p>
      <w:r>
        <w:t xml:space="preserve">Attachment 2: </w:t>
      </w:r>
    </w:p>
    <w:p>
      <w:hyperlink w:history="true" r:id="R3514209669694fdd">
        <w:r w:rsidRPr="00CB1292">
          <w:rPr>
            <w:rStyle w:val="Hyperlink"/>
            <w:color w:val="2E74B5" w:themeColor="accent1" w:themeShade="BF"/>
            <w:u w:val="single"/>
          </w:rPr>
          <w:t>APPENDIX-B  Valley South Sys.pdf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9E5F" w14:textId="77777777" w:rsidR="008B5722" w:rsidRDefault="008B5722" w:rsidP="0098138E">
      <w:pPr>
        <w:spacing w:line="240" w:lineRule="auto"/>
      </w:pPr>
      <w:r>
        <w:separator/>
      </w:r>
    </w:p>
  </w:endnote>
  <w:endnote w:type="continuationSeparator" w:id="0">
    <w:p w14:paraId="43FBCD6F" w14:textId="77777777" w:rsidR="008B5722" w:rsidRDefault="008B572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20000A87" w:usb1="08000000" w:usb2="00000008" w:usb3="00000000" w:csb0="00000105"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7233" w14:textId="52F761E5" w:rsidR="00CA1641" w:rsidRDefault="00000000" w:rsidP="007E0FEE">
    <w:pPr>
      <w:tabs>
        <w:tab w:val="center" w:pos="4680"/>
      </w:tabs>
      <w:ind w:firstLine="0"/>
      <w:rPr>
        <w:noProof/>
      </w:rPr>
    </w:pPr>
    <w:sdt>
      <w:sdtPr>
        <w:id w:val="-1922012466"/>
        <w:docPartObj>
          <w:docPartGallery w:val="Page Numbers (Bottom of Page)"/>
          <w:docPartUnique/>
        </w:docPartObj>
      </w:sdtPr>
      <w:sdtEndPr>
        <w:rPr>
          <w:noProof/>
        </w:rPr>
      </w:sdtEndPr>
      <w:sdtContent>
        <w:r w:rsidR="003328E0" w:rsidRPr="003328E0">
          <w:rPr>
            <w:sz w:val="16"/>
            <w:szCs w:val="16"/>
          </w:rPr>
          <w:t>603476069</w:t>
        </w:r>
        <w:r w:rsidR="00CA1641">
          <w:rPr>
            <w:rFonts w:ascii="Arial" w:hAnsi="Arial" w:cs="Arial"/>
            <w:sz w:val="16"/>
            <w:szCs w:val="16"/>
          </w:rPr>
          <w:tab/>
        </w:r>
        <w:r w:rsidR="00CA1641">
          <w:t xml:space="preserve">- </w:t>
        </w:r>
        <w:r w:rsidR="00CA1641">
          <w:fldChar w:fldCharType="begin"/>
        </w:r>
        <w:r w:rsidR="00CA1641">
          <w:instrText xml:space="preserve"> PAGE   \* MERGEFORMAT </w:instrText>
        </w:r>
        <w:r w:rsidR="00CA1641">
          <w:fldChar w:fldCharType="separate"/>
        </w:r>
        <w:r w:rsidR="00CA1641">
          <w:rPr>
            <w:noProof/>
          </w:rPr>
          <w:t>2</w:t>
        </w:r>
        <w:r w:rsidR="00CA1641">
          <w:rPr>
            <w:noProof/>
          </w:rPr>
          <w:fldChar w:fldCharType="end"/>
        </w:r>
      </w:sdtContent>
    </w:sdt>
    <w:r w:rsidR="00CA1641">
      <w:rPr>
        <w:noProof/>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337" w14:textId="77777777" w:rsidR="00883DC4" w:rsidRPr="00883DC4" w:rsidRDefault="00883DC4" w:rsidP="00883DC4">
    <w:pPr>
      <w:pStyle w:val="Footer"/>
    </w:pPr>
    <w:r>
      <w:rPr>
        <w:noProof/>
      </w:rPr>
      <w:tab/>
      <w:t xml:space="preserve">- </w:t>
    </w:r>
    <w:r w:rsidR="0022654A">
      <w:rPr>
        <w:noProof/>
      </w:rPr>
      <w:t>C</w:t>
    </w:r>
    <w:r>
      <w:rPr>
        <w:noProof/>
      </w:rPr>
      <w:t>-</w:t>
    </w:r>
    <w:r w:rsidR="0022654A">
      <w:rPr>
        <w:noProof/>
      </w:rPr>
      <w:t>2</w: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7D31"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74067"/>
      <w:docPartObj>
        <w:docPartGallery w:val="Page Numbers (Bottom of Page)"/>
        <w:docPartUnique/>
      </w:docPartObj>
    </w:sdtPr>
    <w:sdtEndPr>
      <w:rPr>
        <w:noProof/>
      </w:rPr>
    </w:sdtEndPr>
    <w:sdtContent>
      <w:p w14:paraId="58B54687" w14:textId="77777777" w:rsidR="00693EAF" w:rsidRDefault="00ED3E2B" w:rsidP="00ED3E2B">
        <w:pPr>
          <w:pStyle w:val="Footer"/>
          <w:jc w:val="center"/>
        </w:pPr>
        <w:r>
          <w:t xml:space="preserve">- </w:t>
        </w:r>
        <w:r w:rsidR="008E6C9A">
          <w:fldChar w:fldCharType="begin"/>
        </w:r>
        <w:r w:rsidR="008E6C9A">
          <w:instrText xml:space="preserve"> PAGE   \* MERGEFORMAT </w:instrText>
        </w:r>
        <w:r w:rsidR="008E6C9A">
          <w:fldChar w:fldCharType="separate"/>
        </w:r>
        <w:r w:rsidR="008E6C9A">
          <w:rPr>
            <w:noProof/>
          </w:rPr>
          <w:t>2</w:t>
        </w:r>
        <w:r w:rsidR="008E6C9A">
          <w:rPr>
            <w:noProof/>
          </w:rPr>
          <w:fldChar w:fldCharType="end"/>
        </w:r>
        <w:r>
          <w:rPr>
            <w:noProof/>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237F" w14:textId="77777777" w:rsidR="00781307" w:rsidRDefault="00883DC4" w:rsidP="00883DC4">
    <w:pPr>
      <w:ind w:firstLine="0"/>
      <w:jc w:val="center"/>
      <w:rPr>
        <w:noProof/>
      </w:rPr>
    </w:pPr>
    <w:r>
      <w:rPr>
        <w:noProof/>
      </w:rPr>
      <w:t>- A-1 -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6BE1" w14:textId="77777777" w:rsidR="00883DC4" w:rsidRDefault="00883DC4" w:rsidP="00883DC4">
    <w:pPr>
      <w:ind w:firstLine="0"/>
      <w:jc w:val="center"/>
      <w:rPr>
        <w:noProof/>
      </w:rPr>
    </w:pPr>
    <w:r>
      <w:rPr>
        <w:noProof/>
      </w:rPr>
      <w:t>- A-1 -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363B" w14:textId="77777777" w:rsidR="00883DC4" w:rsidRPr="00883DC4" w:rsidRDefault="00883DC4" w:rsidP="00883DC4">
    <w:pPr>
      <w:pStyle w:val="Footer"/>
    </w:pPr>
    <w:r>
      <w:rPr>
        <w:noProof/>
      </w:rPr>
      <w:tab/>
      <w:t>- B-1 -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C4D5" w14:textId="77777777" w:rsidR="00883DC4" w:rsidRDefault="00883DC4" w:rsidP="00883DC4">
    <w:pPr>
      <w:ind w:firstLine="0"/>
      <w:jc w:val="center"/>
      <w:rPr>
        <w:noProof/>
      </w:rPr>
    </w:pPr>
    <w:r>
      <w:rPr>
        <w:noProof/>
      </w:rPr>
      <w:t>- A-1 -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42FC" w14:textId="77777777" w:rsidR="00883DC4" w:rsidRPr="00883DC4" w:rsidRDefault="00883DC4" w:rsidP="00883DC4">
    <w:pPr>
      <w:pStyle w:val="Footer"/>
    </w:pPr>
    <w:r>
      <w:rPr>
        <w:noProof/>
      </w:rPr>
      <w:tab/>
      <w:t>- C-1 -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AEB1" w14:textId="77777777" w:rsidR="00883DC4" w:rsidRDefault="00883DC4" w:rsidP="00883DC4">
    <w:pPr>
      <w:ind w:firstLine="0"/>
      <w:jc w:val="center"/>
      <w:rPr>
        <w:noProof/>
      </w:rPr>
    </w:pPr>
    <w:r>
      <w:rPr>
        <w:noProof/>
      </w:rPr>
      <w:t xml:space="preserve">- </w:t>
    </w:r>
    <w:r w:rsidR="0022654A">
      <w:rPr>
        <w:noProof/>
      </w:rPr>
      <w:t>C</w:t>
    </w:r>
    <w:r>
      <w:rPr>
        <w:noProof/>
      </w:rPr>
      <w:t>-</w:t>
    </w:r>
    <w:r w:rsidR="0022654A">
      <w:rPr>
        <w:noProof/>
      </w:rPr>
      <w:t>3</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9FF0" w14:textId="77777777" w:rsidR="008B5722" w:rsidRDefault="008B5722" w:rsidP="00DF58E7">
      <w:pPr>
        <w:spacing w:line="240" w:lineRule="auto"/>
        <w:ind w:firstLine="0"/>
      </w:pPr>
      <w:r>
        <w:separator/>
      </w:r>
    </w:p>
  </w:footnote>
  <w:footnote w:type="continuationSeparator" w:id="0">
    <w:p w14:paraId="4E92049D" w14:textId="77777777" w:rsidR="008B5722" w:rsidRDefault="008B5722" w:rsidP="00DF58E7">
      <w:pPr>
        <w:spacing w:line="240" w:lineRule="auto"/>
        <w:ind w:firstLine="0"/>
      </w:pPr>
      <w:r>
        <w:continuationSeparator/>
      </w:r>
    </w:p>
  </w:footnote>
  <w:footnote w:type="continuationNotice" w:id="1">
    <w:p w14:paraId="5A7A41CD" w14:textId="77777777" w:rsidR="008B5722" w:rsidRPr="00DF58E7" w:rsidRDefault="008B5722" w:rsidP="00DF58E7">
      <w:pPr>
        <w:spacing w:line="240" w:lineRule="auto"/>
        <w:ind w:firstLine="0"/>
        <w:jc w:val="right"/>
        <w:rPr>
          <w:i/>
          <w:sz w:val="22"/>
        </w:rPr>
      </w:pPr>
      <w:r w:rsidRPr="00DF58E7">
        <w:rPr>
          <w:i/>
          <w:sz w:val="22"/>
        </w:rPr>
        <w:t>Footnote continued on next page.</w:t>
      </w:r>
    </w:p>
  </w:footnote>
  <w:footnote w:id="2">
    <w:p w14:paraId="5E656F49" w14:textId="77777777" w:rsidR="00E03B25" w:rsidRPr="00D30D57" w:rsidRDefault="00E03B25">
      <w:pPr>
        <w:pStyle w:val="FootnoteText"/>
        <w:rPr>
          <w:szCs w:val="22"/>
        </w:rPr>
      </w:pPr>
      <w:r>
        <w:rPr>
          <w:rStyle w:val="FootnoteReference"/>
        </w:rPr>
        <w:footnoteRef/>
      </w:r>
      <w:r>
        <w:t xml:space="preserve"> </w:t>
      </w:r>
      <w:r w:rsidRPr="00D30D57">
        <w:rPr>
          <w:szCs w:val="22"/>
        </w:rPr>
        <w:t xml:space="preserve">Decision (D.) 10-08-009 granted the permit to construct </w:t>
      </w:r>
      <w:r w:rsidR="00D93425" w:rsidRPr="00D30D57">
        <w:rPr>
          <w:szCs w:val="22"/>
        </w:rPr>
        <w:t xml:space="preserve">Valley-Ivyglen project </w:t>
      </w:r>
      <w:r w:rsidRPr="00D30D57">
        <w:rPr>
          <w:szCs w:val="22"/>
        </w:rPr>
        <w:t xml:space="preserve">and the </w:t>
      </w:r>
      <w:r w:rsidR="00D93425" w:rsidRPr="00D30D57">
        <w:rPr>
          <w:szCs w:val="22"/>
        </w:rPr>
        <w:t>F</w:t>
      </w:r>
      <w:r w:rsidRPr="00D30D57">
        <w:rPr>
          <w:szCs w:val="22"/>
        </w:rPr>
        <w:t xml:space="preserve">ogarty </w:t>
      </w:r>
      <w:r w:rsidR="00D93425" w:rsidRPr="00D30D57">
        <w:rPr>
          <w:szCs w:val="22"/>
        </w:rPr>
        <w:t>p</w:t>
      </w:r>
      <w:r w:rsidRPr="00D30D57">
        <w:rPr>
          <w:szCs w:val="22"/>
        </w:rPr>
        <w:t>roject. D.14-08-047 modified D.10-08-009 with regard to the Fogarty project.</w:t>
      </w:r>
    </w:p>
  </w:footnote>
  <w:footnote w:id="3">
    <w:p w14:paraId="746B32DC" w14:textId="77777777" w:rsidR="00922036" w:rsidRPr="00D30D57" w:rsidRDefault="00922036" w:rsidP="00922036">
      <w:pPr>
        <w:pStyle w:val="FootnoteText"/>
        <w:rPr>
          <w:szCs w:val="22"/>
        </w:rPr>
      </w:pPr>
      <w:r w:rsidRPr="00D30D57">
        <w:rPr>
          <w:rStyle w:val="FootnoteReference"/>
          <w:szCs w:val="22"/>
        </w:rPr>
        <w:footnoteRef/>
      </w:r>
      <w:r w:rsidRPr="00D30D57">
        <w:rPr>
          <w:szCs w:val="22"/>
        </w:rPr>
        <w:t xml:space="preserve"> The proposed modification is to the V</w:t>
      </w:r>
      <w:r w:rsidR="007704FB" w:rsidRPr="00D30D57">
        <w:rPr>
          <w:szCs w:val="22"/>
        </w:rPr>
        <w:t>alley-Ivyglen</w:t>
      </w:r>
      <w:r w:rsidRPr="00D30D57">
        <w:rPr>
          <w:szCs w:val="22"/>
        </w:rPr>
        <w:t xml:space="preserve"> </w:t>
      </w:r>
      <w:r w:rsidR="007704FB" w:rsidRPr="00D30D57">
        <w:rPr>
          <w:szCs w:val="22"/>
        </w:rPr>
        <w:t>p</w:t>
      </w:r>
      <w:r w:rsidRPr="00D30D57">
        <w:rPr>
          <w:szCs w:val="22"/>
        </w:rPr>
        <w:t>roject for the purpose of relieving loads on the existing V</w:t>
      </w:r>
      <w:r w:rsidR="007704FB" w:rsidRPr="00D30D57">
        <w:rPr>
          <w:szCs w:val="22"/>
        </w:rPr>
        <w:t xml:space="preserve">alley-Ivyglen – </w:t>
      </w:r>
      <w:r w:rsidRPr="00D30D57">
        <w:rPr>
          <w:szCs w:val="22"/>
        </w:rPr>
        <w:t>Fogarty</w:t>
      </w:r>
      <w:r w:rsidR="007704FB" w:rsidRPr="00D30D57">
        <w:rPr>
          <w:szCs w:val="22"/>
        </w:rPr>
        <w:t xml:space="preserve"> </w:t>
      </w:r>
      <w:r w:rsidRPr="00D30D57">
        <w:rPr>
          <w:szCs w:val="22"/>
        </w:rPr>
        <w:t xml:space="preserve">sub-transmission line and </w:t>
      </w:r>
      <w:r w:rsidR="006540AF" w:rsidRPr="00D30D57">
        <w:rPr>
          <w:szCs w:val="22"/>
        </w:rPr>
        <w:t xml:space="preserve">to provide </w:t>
      </w:r>
      <w:r w:rsidRPr="00D30D57">
        <w:rPr>
          <w:szCs w:val="22"/>
        </w:rPr>
        <w:t xml:space="preserve">a second source of power for the Ivyglen </w:t>
      </w:r>
      <w:r w:rsidR="007704FB" w:rsidRPr="00D30D57">
        <w:rPr>
          <w:szCs w:val="22"/>
        </w:rPr>
        <w:t>s</w:t>
      </w:r>
      <w:r w:rsidRPr="00D30D57">
        <w:rPr>
          <w:szCs w:val="22"/>
        </w:rPr>
        <w:t>ubstation.  June 19, 2017 Assigned Commissioner’s Scoping Memo and Ruling in A.07-01-031 (V</w:t>
      </w:r>
      <w:r w:rsidR="00204497" w:rsidRPr="00D30D57">
        <w:rPr>
          <w:szCs w:val="22"/>
        </w:rPr>
        <w:t>alley-Ivyglen</w:t>
      </w:r>
      <w:r w:rsidR="00D93425" w:rsidRPr="00D30D57">
        <w:rPr>
          <w:szCs w:val="22"/>
        </w:rPr>
        <w:t xml:space="preserve"> project</w:t>
      </w:r>
      <w:r w:rsidRPr="00D30D57">
        <w:rPr>
          <w:szCs w:val="22"/>
        </w:rPr>
        <w:t>), A-07-04-028 (Fogarty</w:t>
      </w:r>
      <w:r w:rsidR="00D93425" w:rsidRPr="00D30D57">
        <w:rPr>
          <w:szCs w:val="22"/>
        </w:rPr>
        <w:t xml:space="preserve"> project</w:t>
      </w:r>
      <w:r w:rsidRPr="00D30D57">
        <w:rPr>
          <w:szCs w:val="22"/>
        </w:rPr>
        <w:t>), and A</w:t>
      </w:r>
      <w:r w:rsidR="00E03B25" w:rsidRPr="00D30D57">
        <w:rPr>
          <w:szCs w:val="22"/>
        </w:rPr>
        <w:t>.</w:t>
      </w:r>
      <w:r w:rsidRPr="00D30D57">
        <w:rPr>
          <w:szCs w:val="22"/>
        </w:rPr>
        <w:t>09-09-022 (Alberhill</w:t>
      </w:r>
      <w:r w:rsidR="00D93425" w:rsidRPr="00D30D57">
        <w:rPr>
          <w:szCs w:val="22"/>
        </w:rPr>
        <w:t xml:space="preserve"> project</w:t>
      </w:r>
      <w:r w:rsidRPr="00D30D57">
        <w:rPr>
          <w:szCs w:val="22"/>
        </w:rPr>
        <w:t>) at 1</w:t>
      </w:r>
      <w:r w:rsidR="006221E1" w:rsidRPr="00D30D57">
        <w:rPr>
          <w:szCs w:val="22"/>
        </w:rPr>
        <w:t xml:space="preserve"> – </w:t>
      </w:r>
      <w:r w:rsidRPr="00D30D57">
        <w:rPr>
          <w:szCs w:val="22"/>
        </w:rPr>
        <w:t>2.</w:t>
      </w:r>
    </w:p>
  </w:footnote>
  <w:footnote w:id="4">
    <w:p w14:paraId="4F8B1EFA" w14:textId="77777777" w:rsidR="007704FB" w:rsidRPr="00D30D57" w:rsidRDefault="007704FB" w:rsidP="007704FB">
      <w:pPr>
        <w:pStyle w:val="FootnoteText"/>
        <w:rPr>
          <w:szCs w:val="22"/>
        </w:rPr>
      </w:pPr>
      <w:r>
        <w:rPr>
          <w:rStyle w:val="FootnoteReference"/>
        </w:rPr>
        <w:footnoteRef/>
      </w:r>
      <w:r>
        <w:t xml:space="preserve"> </w:t>
      </w:r>
      <w:r w:rsidRPr="00D30D57">
        <w:rPr>
          <w:szCs w:val="22"/>
        </w:rPr>
        <w:t>A Notice of Determination (NOD) was filed by the Commission with the State Clearinghouse for the Final EIR (State Clearinghouse No. 2008011082) on August 28, 2018.</w:t>
      </w:r>
    </w:p>
  </w:footnote>
  <w:footnote w:id="5">
    <w:p w14:paraId="27303CCE" w14:textId="77777777" w:rsidR="00864F13" w:rsidRPr="00D30D57" w:rsidRDefault="00864F13" w:rsidP="00864F13">
      <w:pPr>
        <w:pStyle w:val="FootnoteText"/>
        <w:rPr>
          <w:szCs w:val="22"/>
        </w:rPr>
      </w:pPr>
      <w:r w:rsidRPr="00D30D57">
        <w:rPr>
          <w:rStyle w:val="FootnoteReference"/>
          <w:szCs w:val="22"/>
        </w:rPr>
        <w:footnoteRef/>
      </w:r>
      <w:r w:rsidRPr="00D30D57">
        <w:rPr>
          <w:szCs w:val="22"/>
        </w:rPr>
        <w:t xml:space="preserve"> The Commission may consolidate proceedings that involve related questions of law or fact.  (Rule 7.4 of the Commission’s Rules of Practice and Procedure.)  The deconsolidation means that going forward the Alberhill project may be considered independently without further addressing the other two projects.</w:t>
      </w:r>
    </w:p>
  </w:footnote>
  <w:footnote w:id="6">
    <w:p w14:paraId="00997877" w14:textId="77777777" w:rsidR="00BA4BC2" w:rsidRPr="00D30D57" w:rsidRDefault="00BA4BC2">
      <w:pPr>
        <w:pStyle w:val="FootnoteText"/>
        <w:rPr>
          <w:szCs w:val="22"/>
        </w:rPr>
      </w:pPr>
      <w:r w:rsidRPr="00D30D57">
        <w:rPr>
          <w:rStyle w:val="FootnoteReference"/>
          <w:szCs w:val="22"/>
        </w:rPr>
        <w:footnoteRef/>
      </w:r>
      <w:r w:rsidRPr="00D30D57">
        <w:rPr>
          <w:szCs w:val="22"/>
        </w:rPr>
        <w:t xml:space="preserve"> D.18-08-026, Ordering Paragraph (OP) 4.</w:t>
      </w:r>
    </w:p>
  </w:footnote>
  <w:footnote w:id="7">
    <w:p w14:paraId="1AAF279A" w14:textId="77777777" w:rsidR="00F030EA" w:rsidRDefault="00F030EA" w:rsidP="00F27380">
      <w:pPr>
        <w:pStyle w:val="FootnoteText"/>
      </w:pPr>
      <w:r>
        <w:rPr>
          <w:rStyle w:val="FootnoteReference"/>
        </w:rPr>
        <w:footnoteRef/>
      </w:r>
      <w:r>
        <w:t xml:space="preserve"> </w:t>
      </w:r>
      <w:r w:rsidR="00F27380">
        <w:t>Southern California Edison Company’s Motion to Supplement the Record in Compliance with E-mail Ruling Directing Amendment or Showing Cause, May 11, 2020; Amended Motion to Supplement the Record in Compliance with E-mail Ruling Directing Amendment or Showing Cause, February 1, 2021; Second Amended Motion to Correct Clerical Error in Amended Motion to Supplement the Record, June 22, 2021.  Th</w:t>
      </w:r>
      <w:r w:rsidR="002612A8">
        <w:t xml:space="preserve">e motions were granted via Administrative Law Judge’s Ruling Granting Motions to Supplement the Record, </w:t>
      </w:r>
      <w:r>
        <w:t>January 27, 2026</w:t>
      </w:r>
      <w:r w:rsidR="00F27380">
        <w:t>.</w:t>
      </w:r>
    </w:p>
  </w:footnote>
  <w:footnote w:id="8">
    <w:p w14:paraId="4C8F0587" w14:textId="77777777" w:rsidR="00206646" w:rsidRDefault="00206646">
      <w:pPr>
        <w:pStyle w:val="FootnoteText"/>
      </w:pPr>
      <w:r>
        <w:rPr>
          <w:rStyle w:val="FootnoteReference"/>
        </w:rPr>
        <w:footnoteRef/>
      </w:r>
      <w:r>
        <w:t xml:space="preserve"> </w:t>
      </w:r>
      <w:bookmarkStart w:id="8" w:name="_Hlk220945852"/>
      <w:r w:rsidR="003F5E3A">
        <w:t>Exhibit (</w:t>
      </w:r>
      <w:r w:rsidRPr="00206646">
        <w:t>Ex.</w:t>
      </w:r>
      <w:r w:rsidR="003F5E3A">
        <w:t>)</w:t>
      </w:r>
      <w:r w:rsidRPr="00206646">
        <w:t xml:space="preserve"> Commission-2, Attachment C</w:t>
      </w:r>
      <w:r>
        <w:t xml:space="preserve"> </w:t>
      </w:r>
      <w:r w:rsidRPr="00206646">
        <w:t>at Appendix A: Final Alberhill System Project Energy Division Staff Report</w:t>
      </w:r>
      <w:bookmarkEnd w:id="8"/>
      <w:r>
        <w:t>.</w:t>
      </w:r>
    </w:p>
  </w:footnote>
  <w:footnote w:id="9">
    <w:p w14:paraId="25D3F56E" w14:textId="77777777" w:rsidR="004F744D" w:rsidRDefault="004F744D">
      <w:pPr>
        <w:pStyle w:val="FootnoteText"/>
      </w:pPr>
      <w:r>
        <w:rPr>
          <w:rStyle w:val="FootnoteReference"/>
        </w:rPr>
        <w:footnoteRef/>
      </w:r>
      <w:r>
        <w:t xml:space="preserve"> Ex. Commission-2.</w:t>
      </w:r>
    </w:p>
  </w:footnote>
  <w:footnote w:id="10">
    <w:p w14:paraId="4F7B55FA" w14:textId="77777777" w:rsidR="00052DE6" w:rsidRPr="00D30D57" w:rsidRDefault="00052DE6">
      <w:pPr>
        <w:pStyle w:val="FootnoteText"/>
        <w:rPr>
          <w:szCs w:val="22"/>
        </w:rPr>
      </w:pPr>
      <w:r>
        <w:rPr>
          <w:rStyle w:val="FootnoteReference"/>
        </w:rPr>
        <w:footnoteRef/>
      </w:r>
      <w:r>
        <w:t xml:space="preserve"> </w:t>
      </w:r>
      <w:r w:rsidRPr="00D30D57">
        <w:rPr>
          <w:szCs w:val="22"/>
        </w:rPr>
        <w:t>In addition to the exhibits moved into evidence during the 2025 evidentiary hearing, pursuant to the assigned ALJ’s August 1, 2025 ruling, SCE and TURN identified a focused set of exhibits from the 2017/2018 phase that are relevant to this last phase of the proceeding.  On September 2, 2025, TURN and SCE served the service list the stipulated relevant 2017/2018 exhibits.</w:t>
      </w:r>
    </w:p>
  </w:footnote>
  <w:footnote w:id="11">
    <w:p w14:paraId="499E2991" w14:textId="77777777" w:rsidR="00554B5B" w:rsidRPr="00D30D57" w:rsidRDefault="00554B5B" w:rsidP="00554B5B">
      <w:pPr>
        <w:pStyle w:val="FootnoteText"/>
        <w:rPr>
          <w:szCs w:val="22"/>
        </w:rPr>
      </w:pPr>
      <w:r w:rsidRPr="00D30D57">
        <w:rPr>
          <w:rStyle w:val="FootnoteReference"/>
          <w:szCs w:val="22"/>
        </w:rPr>
        <w:footnoteRef/>
      </w:r>
      <w:r w:rsidRPr="00D30D57">
        <w:rPr>
          <w:szCs w:val="22"/>
        </w:rPr>
        <w:t xml:space="preserve"> Status Conference Transcript</w:t>
      </w:r>
      <w:r w:rsidR="00EB17F6" w:rsidRPr="00D30D57">
        <w:rPr>
          <w:szCs w:val="22"/>
        </w:rPr>
        <w:t>, August 28, 2025,</w:t>
      </w:r>
      <w:r w:rsidRPr="00D30D57">
        <w:rPr>
          <w:szCs w:val="22"/>
        </w:rPr>
        <w:t xml:space="preserve"> at 3:16 – 3:18.</w:t>
      </w:r>
    </w:p>
  </w:footnote>
  <w:footnote w:id="12">
    <w:p w14:paraId="53AD8008" w14:textId="77777777" w:rsidR="004C04EC" w:rsidRPr="00D30D57" w:rsidRDefault="004C04EC">
      <w:pPr>
        <w:pStyle w:val="FootnoteText"/>
        <w:rPr>
          <w:szCs w:val="22"/>
        </w:rPr>
      </w:pPr>
      <w:r w:rsidRPr="00D30D57">
        <w:rPr>
          <w:rStyle w:val="FootnoteReference"/>
          <w:szCs w:val="22"/>
        </w:rPr>
        <w:footnoteRef/>
      </w:r>
      <w:r w:rsidRPr="00D30D57">
        <w:rPr>
          <w:szCs w:val="22"/>
        </w:rPr>
        <w:t xml:space="preserve"> </w:t>
      </w:r>
      <w:r w:rsidR="00814CF6" w:rsidRPr="00D30D57">
        <w:rPr>
          <w:szCs w:val="22"/>
        </w:rPr>
        <w:t xml:space="preserve">Ex. Commission-1 at 1-4.  </w:t>
      </w:r>
      <w:r w:rsidR="00814CF6" w:rsidRPr="00CD2DF8">
        <w:rPr>
          <w:i/>
          <w:iCs/>
          <w:szCs w:val="22"/>
        </w:rPr>
        <w:t>See also</w:t>
      </w:r>
      <w:r w:rsidR="00814CF6" w:rsidRPr="00D30D57">
        <w:rPr>
          <w:szCs w:val="22"/>
        </w:rPr>
        <w:t xml:space="preserve"> </w:t>
      </w:r>
      <w:bookmarkStart w:id="10" w:name="_Hlk220947745"/>
      <w:r w:rsidRPr="00D30D57">
        <w:rPr>
          <w:szCs w:val="22"/>
        </w:rPr>
        <w:t>Ex</w:t>
      </w:r>
      <w:r w:rsidR="003F5E3A" w:rsidRPr="00D30D57">
        <w:rPr>
          <w:szCs w:val="22"/>
        </w:rPr>
        <w:t>. Commission-</w:t>
      </w:r>
      <w:r w:rsidRPr="00D30D57">
        <w:rPr>
          <w:szCs w:val="22"/>
        </w:rPr>
        <w:t xml:space="preserve">2, Attachment C </w:t>
      </w:r>
      <w:r w:rsidR="00A96FBE" w:rsidRPr="00D30D57">
        <w:rPr>
          <w:szCs w:val="22"/>
        </w:rPr>
        <w:t xml:space="preserve">“The Alberhill System Project Supplement to the Alternatives Screening Report” </w:t>
      </w:r>
      <w:r w:rsidRPr="00D30D57">
        <w:rPr>
          <w:szCs w:val="22"/>
        </w:rPr>
        <w:t xml:space="preserve">at </w:t>
      </w:r>
      <w:r w:rsidR="00480D1C" w:rsidRPr="00D30D57">
        <w:rPr>
          <w:szCs w:val="22"/>
        </w:rPr>
        <w:t xml:space="preserve">5 (Figure 1), </w:t>
      </w:r>
      <w:r w:rsidR="00A96FBE" w:rsidRPr="00D30D57">
        <w:rPr>
          <w:szCs w:val="22"/>
        </w:rPr>
        <w:t>10</w:t>
      </w:r>
      <w:r w:rsidR="00185537" w:rsidRPr="00D30D57">
        <w:rPr>
          <w:szCs w:val="22"/>
        </w:rPr>
        <w:t>–</w:t>
      </w:r>
      <w:r w:rsidRPr="00D30D57">
        <w:rPr>
          <w:szCs w:val="22"/>
        </w:rPr>
        <w:t>11</w:t>
      </w:r>
      <w:bookmarkEnd w:id="10"/>
      <w:r w:rsidR="00930FC7" w:rsidRPr="00D30D57">
        <w:rPr>
          <w:szCs w:val="22"/>
        </w:rPr>
        <w:t>.</w:t>
      </w:r>
    </w:p>
  </w:footnote>
  <w:footnote w:id="13">
    <w:p w14:paraId="4215A360" w14:textId="77777777" w:rsidR="00B262A6" w:rsidRDefault="00B262A6">
      <w:pPr>
        <w:pStyle w:val="FootnoteText"/>
      </w:pPr>
      <w:r>
        <w:rPr>
          <w:rStyle w:val="FootnoteReference"/>
        </w:rPr>
        <w:footnoteRef/>
      </w:r>
      <w:r>
        <w:t xml:space="preserve"> </w:t>
      </w:r>
      <w:r w:rsidR="00E825D1">
        <w:t>A Southern portion of the City of Perris is located within the Valley South System.</w:t>
      </w:r>
    </w:p>
  </w:footnote>
  <w:footnote w:id="14">
    <w:p w14:paraId="53296600" w14:textId="77777777" w:rsidR="00B87512" w:rsidRPr="00D30D57" w:rsidRDefault="00B87512">
      <w:pPr>
        <w:pStyle w:val="FootnoteText"/>
        <w:rPr>
          <w:szCs w:val="22"/>
        </w:rPr>
      </w:pPr>
      <w:r w:rsidRPr="00D30D57">
        <w:rPr>
          <w:rStyle w:val="FootnoteReference"/>
          <w:szCs w:val="22"/>
        </w:rPr>
        <w:footnoteRef/>
      </w:r>
      <w:r w:rsidRPr="00D30D57">
        <w:rPr>
          <w:szCs w:val="22"/>
        </w:rPr>
        <w:t xml:space="preserve"> </w:t>
      </w:r>
      <w:r w:rsidR="00C03B5E" w:rsidRPr="00D30D57">
        <w:rPr>
          <w:szCs w:val="22"/>
        </w:rPr>
        <w:t>Ex. Commission-</w:t>
      </w:r>
      <w:r w:rsidRPr="00D30D57">
        <w:rPr>
          <w:szCs w:val="22"/>
        </w:rPr>
        <w:t xml:space="preserve">2, Attachment C </w:t>
      </w:r>
      <w:r w:rsidR="00BD3260" w:rsidRPr="00D30D57">
        <w:rPr>
          <w:szCs w:val="22"/>
        </w:rPr>
        <w:t xml:space="preserve">“The Alberhill System Project Supplement to the Alternatives Screening Report” </w:t>
      </w:r>
      <w:r w:rsidRPr="00D30D57">
        <w:rPr>
          <w:szCs w:val="22"/>
        </w:rPr>
        <w:t>at 11</w:t>
      </w:r>
      <w:r w:rsidR="00C34A6A" w:rsidRPr="00D30D57">
        <w:rPr>
          <w:szCs w:val="22"/>
        </w:rPr>
        <w:t>, fn 3 and associated text</w:t>
      </w:r>
      <w:r w:rsidRPr="00D30D57">
        <w:rPr>
          <w:szCs w:val="22"/>
        </w:rPr>
        <w:t>.</w:t>
      </w:r>
    </w:p>
  </w:footnote>
  <w:footnote w:id="15">
    <w:p w14:paraId="763AFCD1" w14:textId="77777777" w:rsidR="009F3CF2" w:rsidRPr="00D30D57" w:rsidRDefault="009F3CF2" w:rsidP="009F3CF2">
      <w:pPr>
        <w:pStyle w:val="FootnoteText"/>
        <w:rPr>
          <w:szCs w:val="22"/>
        </w:rPr>
      </w:pPr>
      <w:r>
        <w:rPr>
          <w:rStyle w:val="FootnoteReference"/>
        </w:rPr>
        <w:footnoteRef/>
      </w:r>
      <w:r>
        <w:t xml:space="preserve"> </w:t>
      </w:r>
      <w:r w:rsidRPr="00D30D57">
        <w:rPr>
          <w:szCs w:val="22"/>
        </w:rPr>
        <w:t xml:space="preserve">SCE Second Amended Motion to Correct Clerical Error in Amended Motion to Supplement the Record, June 22, 2021, Exhibit C-2 at 26; </w:t>
      </w:r>
      <w:r w:rsidR="00EB17F6" w:rsidRPr="00D30D57">
        <w:rPr>
          <w:szCs w:val="22"/>
        </w:rPr>
        <w:t xml:space="preserve">Ex. </w:t>
      </w:r>
      <w:r w:rsidRPr="00D30D57">
        <w:rPr>
          <w:szCs w:val="22"/>
        </w:rPr>
        <w:t>Commission</w:t>
      </w:r>
      <w:r w:rsidR="00EB17F6" w:rsidRPr="00D30D57">
        <w:rPr>
          <w:szCs w:val="22"/>
        </w:rPr>
        <w:t>–</w:t>
      </w:r>
      <w:r w:rsidRPr="00D30D57">
        <w:rPr>
          <w:szCs w:val="22"/>
        </w:rPr>
        <w:t xml:space="preserve">2, Attachment C “The Alberhill System Project Supplement to the Alternatives Screening Report” at 6.  Critical care customers are customers that qualify for SCE’s Medical Baseline Program, defined as “customers that qualify and rely on the regular use of electrically powered medical equipment or devices, and/or require air conditioning, and/or have a life-threatening illness or compromised immune system that requires heating and/or cooling.”  </w:t>
      </w:r>
      <w:r w:rsidR="00EB17F6" w:rsidRPr="00D30D57">
        <w:rPr>
          <w:szCs w:val="22"/>
        </w:rPr>
        <w:t xml:space="preserve">Ex. </w:t>
      </w:r>
      <w:r w:rsidRPr="00D30D57">
        <w:rPr>
          <w:szCs w:val="22"/>
        </w:rPr>
        <w:t xml:space="preserve">SCE-8 at </w:t>
      </w:r>
      <w:r w:rsidR="006221E1" w:rsidRPr="00D30D57">
        <w:rPr>
          <w:szCs w:val="22"/>
        </w:rPr>
        <w:t xml:space="preserve">8, </w:t>
      </w:r>
      <w:r w:rsidRPr="00D30D57">
        <w:rPr>
          <w:szCs w:val="22"/>
        </w:rPr>
        <w:t>fn 4.</w:t>
      </w:r>
    </w:p>
  </w:footnote>
  <w:footnote w:id="16">
    <w:p w14:paraId="5001D091" w14:textId="77777777" w:rsidR="002312F5" w:rsidRPr="00D30D57" w:rsidRDefault="002312F5">
      <w:pPr>
        <w:pStyle w:val="FootnoteText"/>
        <w:rPr>
          <w:szCs w:val="22"/>
        </w:rPr>
      </w:pPr>
      <w:r w:rsidRPr="00D30D57">
        <w:rPr>
          <w:rStyle w:val="FootnoteReference"/>
          <w:szCs w:val="22"/>
        </w:rPr>
        <w:footnoteRef/>
      </w:r>
      <w:r w:rsidRPr="00D30D57">
        <w:rPr>
          <w:szCs w:val="22"/>
        </w:rPr>
        <w:t xml:space="preserve"> SCE Second Amended Motion to Correct Clerical Error in Amended Motion to Supplement the Record, June 22, 2021, Exhibit C-2 at </w:t>
      </w:r>
      <w:r w:rsidR="00CC4AAF" w:rsidRPr="00D30D57">
        <w:rPr>
          <w:szCs w:val="22"/>
        </w:rPr>
        <w:t>8</w:t>
      </w:r>
      <w:r w:rsidRPr="00D30D57">
        <w:rPr>
          <w:szCs w:val="22"/>
        </w:rPr>
        <w:t>.</w:t>
      </w:r>
    </w:p>
  </w:footnote>
  <w:footnote w:id="17">
    <w:p w14:paraId="70AB2137" w14:textId="77777777" w:rsidR="00BD3260" w:rsidRPr="00D30D57" w:rsidRDefault="00BD3260" w:rsidP="00BD3260">
      <w:pPr>
        <w:pStyle w:val="FootnoteText"/>
        <w:rPr>
          <w:szCs w:val="22"/>
        </w:rPr>
      </w:pPr>
      <w:r w:rsidRPr="00D30D57">
        <w:rPr>
          <w:rStyle w:val="FootnoteReference"/>
          <w:szCs w:val="22"/>
        </w:rPr>
        <w:footnoteRef/>
      </w:r>
      <w:r w:rsidR="00CE60C0" w:rsidRPr="00D30D57">
        <w:rPr>
          <w:szCs w:val="22"/>
        </w:rPr>
        <w:t xml:space="preserve"> </w:t>
      </w:r>
      <w:r w:rsidR="00CE60C0" w:rsidRPr="00CD2DF8">
        <w:rPr>
          <w:i/>
          <w:iCs/>
          <w:szCs w:val="22"/>
        </w:rPr>
        <w:t>Id</w:t>
      </w:r>
      <w:r w:rsidR="00CC4AAF" w:rsidRPr="00CD2DF8">
        <w:rPr>
          <w:i/>
          <w:iCs/>
          <w:szCs w:val="22"/>
        </w:rPr>
        <w:t>.</w:t>
      </w:r>
      <w:r w:rsidR="00347101" w:rsidRPr="00D30D57">
        <w:rPr>
          <w:szCs w:val="22"/>
        </w:rPr>
        <w:t xml:space="preserve"> at </w:t>
      </w:r>
      <w:r w:rsidR="00CC4AAF" w:rsidRPr="00D30D57">
        <w:rPr>
          <w:szCs w:val="22"/>
        </w:rPr>
        <w:t>28.</w:t>
      </w:r>
    </w:p>
  </w:footnote>
  <w:footnote w:id="18">
    <w:p w14:paraId="70263350" w14:textId="77777777" w:rsidR="00BD3260" w:rsidRPr="00D30D57" w:rsidRDefault="00BD3260">
      <w:pPr>
        <w:pStyle w:val="FootnoteText"/>
        <w:rPr>
          <w:szCs w:val="22"/>
        </w:rPr>
      </w:pPr>
      <w:r w:rsidRPr="00D30D57">
        <w:rPr>
          <w:rStyle w:val="FootnoteReference"/>
          <w:szCs w:val="22"/>
        </w:rPr>
        <w:footnoteRef/>
      </w:r>
      <w:r w:rsidR="00CC4AAF" w:rsidRPr="00D30D57">
        <w:rPr>
          <w:szCs w:val="22"/>
        </w:rPr>
        <w:t xml:space="preserve"> </w:t>
      </w:r>
      <w:r w:rsidR="00CC4AAF" w:rsidRPr="00CD2DF8">
        <w:rPr>
          <w:i/>
          <w:iCs/>
          <w:szCs w:val="22"/>
        </w:rPr>
        <w:t>Id.</w:t>
      </w:r>
      <w:r w:rsidR="00347101" w:rsidRPr="00D30D57">
        <w:rPr>
          <w:szCs w:val="22"/>
        </w:rPr>
        <w:t xml:space="preserve"> at </w:t>
      </w:r>
      <w:r w:rsidR="007B19C8" w:rsidRPr="00D30D57">
        <w:rPr>
          <w:szCs w:val="22"/>
        </w:rPr>
        <w:t>27</w:t>
      </w:r>
      <w:r w:rsidRPr="00D30D57">
        <w:rPr>
          <w:szCs w:val="22"/>
        </w:rPr>
        <w:t>.</w:t>
      </w:r>
    </w:p>
  </w:footnote>
  <w:footnote w:id="19">
    <w:p w14:paraId="048B797B" w14:textId="77777777" w:rsidR="004A0473" w:rsidRPr="00D30D57" w:rsidRDefault="004A0473">
      <w:pPr>
        <w:pStyle w:val="FootnoteText"/>
        <w:rPr>
          <w:szCs w:val="22"/>
        </w:rPr>
      </w:pPr>
      <w:r w:rsidRPr="00D30D57">
        <w:rPr>
          <w:rStyle w:val="FootnoteReference"/>
          <w:szCs w:val="22"/>
        </w:rPr>
        <w:footnoteRef/>
      </w:r>
      <w:r w:rsidRPr="00D30D57">
        <w:rPr>
          <w:szCs w:val="22"/>
        </w:rPr>
        <w:t xml:space="preserve"> SCE </w:t>
      </w:r>
      <w:r w:rsidR="00CC4AAF" w:rsidRPr="00D30D57">
        <w:rPr>
          <w:szCs w:val="22"/>
        </w:rPr>
        <w:t>Opening Brief (</w:t>
      </w:r>
      <w:r w:rsidRPr="00D30D57">
        <w:rPr>
          <w:szCs w:val="22"/>
        </w:rPr>
        <w:t>OB</w:t>
      </w:r>
      <w:r w:rsidR="00CC4AAF" w:rsidRPr="00D30D57">
        <w:rPr>
          <w:szCs w:val="22"/>
        </w:rPr>
        <w:t>)</w:t>
      </w:r>
      <w:r w:rsidRPr="00D30D57">
        <w:rPr>
          <w:szCs w:val="22"/>
        </w:rPr>
        <w:t xml:space="preserve"> at 2</w:t>
      </w:r>
      <w:r w:rsidR="002E2794" w:rsidRPr="00D30D57">
        <w:rPr>
          <w:szCs w:val="22"/>
        </w:rPr>
        <w:t>; Ex. SCE-8 at 8.</w:t>
      </w:r>
    </w:p>
  </w:footnote>
  <w:footnote w:id="20">
    <w:p w14:paraId="75C00912" w14:textId="77777777" w:rsidR="00BD3260" w:rsidRPr="00D30D57" w:rsidRDefault="00BD3260">
      <w:pPr>
        <w:pStyle w:val="FootnoteText"/>
        <w:rPr>
          <w:szCs w:val="22"/>
        </w:rPr>
      </w:pPr>
      <w:r w:rsidRPr="00D30D57">
        <w:rPr>
          <w:rStyle w:val="FootnoteReference"/>
          <w:szCs w:val="22"/>
        </w:rPr>
        <w:footnoteRef/>
      </w:r>
      <w:r w:rsidRPr="00D30D57">
        <w:rPr>
          <w:szCs w:val="22"/>
        </w:rPr>
        <w:t xml:space="preserve"> Ex. Commission-5 at </w:t>
      </w:r>
      <w:r w:rsidR="005D2485" w:rsidRPr="00D30D57">
        <w:rPr>
          <w:szCs w:val="22"/>
        </w:rPr>
        <w:t>2</w:t>
      </w:r>
      <w:r w:rsidRPr="00D30D57">
        <w:rPr>
          <w:szCs w:val="22"/>
        </w:rPr>
        <w:t>.</w:t>
      </w:r>
    </w:p>
  </w:footnote>
  <w:footnote w:id="21">
    <w:p w14:paraId="6328E9E1" w14:textId="77777777" w:rsidR="00671FD1" w:rsidRPr="00D30D57" w:rsidRDefault="00671FD1">
      <w:pPr>
        <w:pStyle w:val="FootnoteText"/>
        <w:rPr>
          <w:szCs w:val="22"/>
        </w:rPr>
      </w:pPr>
      <w:r>
        <w:rPr>
          <w:rStyle w:val="FootnoteReference"/>
        </w:rPr>
        <w:footnoteRef/>
      </w:r>
      <w:r>
        <w:t xml:space="preserve"> </w:t>
      </w:r>
      <w:r w:rsidRPr="00D30D57">
        <w:rPr>
          <w:szCs w:val="22"/>
        </w:rPr>
        <w:t>Ex. Commission-2, Attachment C at Appendix A</w:t>
      </w:r>
      <w:r w:rsidR="00DA4D58" w:rsidRPr="00D30D57">
        <w:rPr>
          <w:szCs w:val="22"/>
        </w:rPr>
        <w:t xml:space="preserve">: Final Alberhill System Project Energy Division Staff Report, p. 14, </w:t>
      </w:r>
      <w:r w:rsidR="008578D8" w:rsidRPr="00D30D57">
        <w:rPr>
          <w:szCs w:val="22"/>
        </w:rPr>
        <w:t>Note</w:t>
      </w:r>
      <w:r w:rsidR="00DA4D58" w:rsidRPr="00D30D57">
        <w:rPr>
          <w:szCs w:val="22"/>
        </w:rPr>
        <w:t xml:space="preserve"> (a) and associated text.</w:t>
      </w:r>
    </w:p>
  </w:footnote>
  <w:footnote w:id="22">
    <w:p w14:paraId="33A13DC6" w14:textId="77777777" w:rsidR="00221C11" w:rsidRPr="00D30D57" w:rsidRDefault="00221C11" w:rsidP="00221C11">
      <w:pPr>
        <w:pStyle w:val="FootnoteText"/>
        <w:rPr>
          <w:szCs w:val="22"/>
        </w:rPr>
      </w:pPr>
      <w:r w:rsidRPr="00D30D57">
        <w:rPr>
          <w:rStyle w:val="FootnoteReference"/>
          <w:szCs w:val="22"/>
        </w:rPr>
        <w:footnoteRef/>
      </w:r>
      <w:r w:rsidRPr="00D30D57">
        <w:rPr>
          <w:szCs w:val="22"/>
        </w:rPr>
        <w:t xml:space="preserve"> S</w:t>
      </w:r>
      <w:r w:rsidR="00127E6E" w:rsidRPr="00D30D57">
        <w:rPr>
          <w:szCs w:val="22"/>
        </w:rPr>
        <w:t xml:space="preserve">CE </w:t>
      </w:r>
      <w:r w:rsidR="005667C1" w:rsidRPr="00D30D57">
        <w:rPr>
          <w:szCs w:val="22"/>
        </w:rPr>
        <w:t>OB</w:t>
      </w:r>
      <w:r w:rsidRPr="00D30D57">
        <w:rPr>
          <w:szCs w:val="22"/>
        </w:rPr>
        <w:t xml:space="preserve"> at 2</w:t>
      </w:r>
      <w:r w:rsidR="00FA69A8" w:rsidRPr="00D30D57">
        <w:rPr>
          <w:szCs w:val="22"/>
        </w:rPr>
        <w:t xml:space="preserve">; </w:t>
      </w:r>
      <w:r w:rsidR="00347101" w:rsidRPr="00D30D57">
        <w:rPr>
          <w:szCs w:val="22"/>
        </w:rPr>
        <w:t xml:space="preserve">Ex. </w:t>
      </w:r>
      <w:r w:rsidR="00FA69A8" w:rsidRPr="00D30D57">
        <w:rPr>
          <w:szCs w:val="22"/>
        </w:rPr>
        <w:t>SCE-08 at 4, 7.</w:t>
      </w:r>
    </w:p>
  </w:footnote>
  <w:footnote w:id="23">
    <w:p w14:paraId="4BCB9106" w14:textId="77777777" w:rsidR="00AC2907" w:rsidRPr="00D30D57" w:rsidRDefault="00AC2907">
      <w:pPr>
        <w:pStyle w:val="FootnoteText"/>
        <w:rPr>
          <w:szCs w:val="22"/>
        </w:rPr>
      </w:pPr>
      <w:r w:rsidRPr="00D30D57">
        <w:rPr>
          <w:rStyle w:val="FootnoteReference"/>
          <w:szCs w:val="22"/>
        </w:rPr>
        <w:footnoteRef/>
      </w:r>
      <w:r w:rsidRPr="00D30D57">
        <w:rPr>
          <w:szCs w:val="22"/>
        </w:rPr>
        <w:t xml:space="preserve"> Ex. SCE-8 at 7:8 – 7:</w:t>
      </w:r>
      <w:r w:rsidR="00DB3B84" w:rsidRPr="00D30D57">
        <w:rPr>
          <w:szCs w:val="22"/>
        </w:rPr>
        <w:t>11</w:t>
      </w:r>
      <w:r w:rsidRPr="00D30D57">
        <w:rPr>
          <w:szCs w:val="22"/>
        </w:rPr>
        <w:t xml:space="preserve">. </w:t>
      </w:r>
    </w:p>
  </w:footnote>
  <w:footnote w:id="24">
    <w:p w14:paraId="5B876094" w14:textId="77777777" w:rsidR="0020109C" w:rsidRPr="00D30D57" w:rsidRDefault="0020109C">
      <w:pPr>
        <w:pStyle w:val="FootnoteText"/>
        <w:rPr>
          <w:szCs w:val="22"/>
        </w:rPr>
      </w:pPr>
      <w:r w:rsidRPr="00D30D57">
        <w:rPr>
          <w:rStyle w:val="FootnoteReference"/>
          <w:szCs w:val="22"/>
        </w:rPr>
        <w:footnoteRef/>
      </w:r>
      <w:r w:rsidRPr="00D30D57">
        <w:rPr>
          <w:szCs w:val="22"/>
        </w:rPr>
        <w:t xml:space="preserve"> </w:t>
      </w:r>
      <w:r w:rsidR="002121DF" w:rsidRPr="00D30D57">
        <w:rPr>
          <w:szCs w:val="22"/>
        </w:rPr>
        <w:t xml:space="preserve">Evidentiary Hearing Transcript, </w:t>
      </w:r>
      <w:r w:rsidR="006210D9" w:rsidRPr="00D30D57">
        <w:rPr>
          <w:szCs w:val="22"/>
        </w:rPr>
        <w:t>August 29, 2025,</w:t>
      </w:r>
      <w:r w:rsidR="008A175A" w:rsidRPr="00D30D57">
        <w:rPr>
          <w:szCs w:val="22"/>
        </w:rPr>
        <w:t xml:space="preserve"> at</w:t>
      </w:r>
      <w:r w:rsidR="006210D9" w:rsidRPr="00D30D57">
        <w:rPr>
          <w:szCs w:val="22"/>
        </w:rPr>
        <w:t xml:space="preserve"> </w:t>
      </w:r>
      <w:r w:rsidR="002121DF" w:rsidRPr="00D30D57">
        <w:rPr>
          <w:szCs w:val="22"/>
        </w:rPr>
        <w:t>5</w:t>
      </w:r>
      <w:r w:rsidR="008A175A" w:rsidRPr="00D30D57">
        <w:rPr>
          <w:szCs w:val="22"/>
        </w:rPr>
        <w:t>09</w:t>
      </w:r>
      <w:r w:rsidR="002121DF" w:rsidRPr="00D30D57">
        <w:rPr>
          <w:szCs w:val="22"/>
        </w:rPr>
        <w:t>:24 – 51</w:t>
      </w:r>
      <w:r w:rsidR="008A175A" w:rsidRPr="00D30D57">
        <w:rPr>
          <w:szCs w:val="22"/>
        </w:rPr>
        <w:t>0</w:t>
      </w:r>
      <w:r w:rsidR="002121DF" w:rsidRPr="00D30D57">
        <w:rPr>
          <w:szCs w:val="22"/>
        </w:rPr>
        <w:t>:1</w:t>
      </w:r>
      <w:r w:rsidRPr="00D30D57">
        <w:rPr>
          <w:szCs w:val="22"/>
        </w:rPr>
        <w:t>.</w:t>
      </w:r>
    </w:p>
  </w:footnote>
  <w:footnote w:id="25">
    <w:p w14:paraId="7390FFF4" w14:textId="77777777" w:rsidR="008A175A" w:rsidRPr="00D30D57" w:rsidRDefault="008A175A">
      <w:pPr>
        <w:pStyle w:val="FootnoteText"/>
        <w:rPr>
          <w:szCs w:val="22"/>
        </w:rPr>
      </w:pPr>
      <w:r w:rsidRPr="00D30D57">
        <w:rPr>
          <w:rStyle w:val="FootnoteReference"/>
          <w:szCs w:val="22"/>
        </w:rPr>
        <w:footnoteRef/>
      </w:r>
      <w:r w:rsidRPr="00D30D57">
        <w:rPr>
          <w:szCs w:val="22"/>
        </w:rPr>
        <w:t xml:space="preserve"> </w:t>
      </w:r>
      <w:r w:rsidRPr="00CD2DF8">
        <w:rPr>
          <w:i/>
          <w:iCs/>
          <w:szCs w:val="22"/>
        </w:rPr>
        <w:t>Id.</w:t>
      </w:r>
      <w:r w:rsidRPr="00D30D57">
        <w:rPr>
          <w:szCs w:val="22"/>
        </w:rPr>
        <w:t xml:space="preserve"> at 510:12 – 510:16. </w:t>
      </w:r>
    </w:p>
  </w:footnote>
  <w:footnote w:id="26">
    <w:p w14:paraId="1CB82CF4" w14:textId="77777777" w:rsidR="00C85D01" w:rsidRPr="00D30D57" w:rsidRDefault="00C85D01">
      <w:pPr>
        <w:pStyle w:val="FootnoteText"/>
        <w:rPr>
          <w:szCs w:val="22"/>
        </w:rPr>
      </w:pPr>
      <w:r w:rsidRPr="00D30D57">
        <w:rPr>
          <w:rStyle w:val="FootnoteReference"/>
          <w:szCs w:val="22"/>
        </w:rPr>
        <w:footnoteRef/>
      </w:r>
      <w:r w:rsidRPr="00D30D57">
        <w:rPr>
          <w:szCs w:val="22"/>
        </w:rPr>
        <w:t xml:space="preserve"> </w:t>
      </w:r>
      <w:r w:rsidR="005D7FE4" w:rsidRPr="00D30D57">
        <w:rPr>
          <w:szCs w:val="22"/>
        </w:rPr>
        <w:t>Third Amended Application of Southern California Edison Company (U 338-E) for a Certification of Public Convenience and Necessity for the Alberhill System Project, June 2, 2023</w:t>
      </w:r>
      <w:r w:rsidR="008C3782" w:rsidRPr="00D30D57">
        <w:rPr>
          <w:szCs w:val="22"/>
        </w:rPr>
        <w:t>,</w:t>
      </w:r>
      <w:r w:rsidR="005D7FE4" w:rsidRPr="00D30D57">
        <w:rPr>
          <w:szCs w:val="22"/>
        </w:rPr>
        <w:t xml:space="preserve"> (hereinafter Third Amended Application) </w:t>
      </w:r>
      <w:r w:rsidRPr="00D30D57">
        <w:rPr>
          <w:szCs w:val="22"/>
        </w:rPr>
        <w:t>at 6.</w:t>
      </w:r>
      <w:r w:rsidR="008E4814">
        <w:rPr>
          <w:szCs w:val="22"/>
        </w:rPr>
        <w:t xml:space="preserve">  See Appendix C for details of the project.</w:t>
      </w:r>
    </w:p>
  </w:footnote>
  <w:footnote w:id="27">
    <w:p w14:paraId="60A1431D" w14:textId="77777777" w:rsidR="00562BCF" w:rsidRPr="00D30D57" w:rsidRDefault="00562BCF">
      <w:pPr>
        <w:pStyle w:val="FootnoteText"/>
        <w:rPr>
          <w:szCs w:val="22"/>
        </w:rPr>
      </w:pPr>
      <w:r>
        <w:rPr>
          <w:rStyle w:val="FootnoteReference"/>
        </w:rPr>
        <w:footnoteRef/>
      </w:r>
      <w:r>
        <w:t xml:space="preserve"> </w:t>
      </w:r>
      <w:r w:rsidRPr="00D30D57">
        <w:rPr>
          <w:szCs w:val="22"/>
        </w:rPr>
        <w:t>Third Amended Application at 4.</w:t>
      </w:r>
    </w:p>
  </w:footnote>
  <w:footnote w:id="28">
    <w:p w14:paraId="25988B66" w14:textId="77777777" w:rsidR="00562BCF" w:rsidRPr="00D30D57" w:rsidRDefault="00562BCF">
      <w:pPr>
        <w:pStyle w:val="FootnoteText"/>
        <w:rPr>
          <w:szCs w:val="22"/>
        </w:rPr>
      </w:pPr>
      <w:r w:rsidRPr="00D30D57">
        <w:rPr>
          <w:rStyle w:val="FootnoteReference"/>
          <w:szCs w:val="22"/>
        </w:rPr>
        <w:footnoteRef/>
      </w:r>
      <w:r w:rsidRPr="00D30D57">
        <w:rPr>
          <w:szCs w:val="22"/>
        </w:rPr>
        <w:t xml:space="preserve"> </w:t>
      </w:r>
      <w:r w:rsidR="00834270" w:rsidRPr="00CD2DF8">
        <w:rPr>
          <w:i/>
          <w:iCs/>
          <w:szCs w:val="22"/>
        </w:rPr>
        <w:t>Id.</w:t>
      </w:r>
      <w:r w:rsidRPr="00D30D57">
        <w:rPr>
          <w:szCs w:val="22"/>
        </w:rPr>
        <w:t xml:space="preserve"> at 1 – 2, 4 – 5.</w:t>
      </w:r>
    </w:p>
  </w:footnote>
  <w:footnote w:id="29">
    <w:p w14:paraId="6828960E" w14:textId="77777777" w:rsidR="00696281" w:rsidRPr="00D30D57" w:rsidRDefault="00696281">
      <w:pPr>
        <w:pStyle w:val="FootnoteText"/>
        <w:rPr>
          <w:szCs w:val="22"/>
        </w:rPr>
      </w:pPr>
      <w:r w:rsidRPr="00D30D57">
        <w:rPr>
          <w:rStyle w:val="FootnoteReference"/>
          <w:szCs w:val="22"/>
        </w:rPr>
        <w:footnoteRef/>
      </w:r>
      <w:r w:rsidRPr="00D30D57">
        <w:rPr>
          <w:szCs w:val="22"/>
        </w:rPr>
        <w:t xml:space="preserve"> </w:t>
      </w:r>
      <w:r w:rsidR="00834270" w:rsidRPr="00CD2DF8">
        <w:rPr>
          <w:i/>
          <w:iCs/>
          <w:szCs w:val="22"/>
        </w:rPr>
        <w:t>Id.</w:t>
      </w:r>
      <w:r w:rsidR="00834270" w:rsidRPr="00D30D57">
        <w:rPr>
          <w:szCs w:val="22"/>
        </w:rPr>
        <w:t xml:space="preserve"> </w:t>
      </w:r>
      <w:r w:rsidR="00F37581" w:rsidRPr="00D30D57">
        <w:rPr>
          <w:szCs w:val="22"/>
        </w:rPr>
        <w:t>at</w:t>
      </w:r>
      <w:r w:rsidR="005328A9" w:rsidRPr="00D30D57">
        <w:rPr>
          <w:szCs w:val="22"/>
        </w:rPr>
        <w:t xml:space="preserve"> 8</w:t>
      </w:r>
      <w:r w:rsidR="00F37581" w:rsidRPr="00D30D57">
        <w:rPr>
          <w:szCs w:val="22"/>
        </w:rPr>
        <w:t>.</w:t>
      </w:r>
    </w:p>
  </w:footnote>
  <w:footnote w:id="30">
    <w:p w14:paraId="7811744B" w14:textId="77777777" w:rsidR="000F606F" w:rsidRPr="00D30D57" w:rsidRDefault="000F606F">
      <w:pPr>
        <w:pStyle w:val="FootnoteText"/>
        <w:rPr>
          <w:szCs w:val="22"/>
        </w:rPr>
      </w:pPr>
      <w:r w:rsidRPr="00D30D57">
        <w:rPr>
          <w:rStyle w:val="FootnoteReference"/>
          <w:szCs w:val="22"/>
        </w:rPr>
        <w:footnoteRef/>
      </w:r>
      <w:r w:rsidRPr="00D30D57">
        <w:rPr>
          <w:szCs w:val="22"/>
        </w:rPr>
        <w:t xml:space="preserve"> Administrative Law Judge’s Ruling Granting Motions to Supplement the Record, January 27, 2026.</w:t>
      </w:r>
    </w:p>
  </w:footnote>
  <w:footnote w:id="31">
    <w:p w14:paraId="50A75FF3" w14:textId="77777777" w:rsidR="00712A89" w:rsidRPr="00D30D57" w:rsidRDefault="00712A89">
      <w:pPr>
        <w:pStyle w:val="FootnoteText"/>
        <w:rPr>
          <w:szCs w:val="22"/>
        </w:rPr>
      </w:pPr>
      <w:r>
        <w:rPr>
          <w:rStyle w:val="FootnoteReference"/>
        </w:rPr>
        <w:footnoteRef/>
      </w:r>
      <w:r>
        <w:t xml:space="preserve"> </w:t>
      </w:r>
      <w:r w:rsidRPr="00D30D57">
        <w:rPr>
          <w:szCs w:val="22"/>
        </w:rPr>
        <w:t>Pub. Util. Code Sections 1001 and 1002.</w:t>
      </w:r>
      <w:r w:rsidR="0055700F" w:rsidRPr="00D30D57">
        <w:rPr>
          <w:szCs w:val="22"/>
        </w:rPr>
        <w:t xml:space="preserve">  </w:t>
      </w:r>
    </w:p>
  </w:footnote>
  <w:footnote w:id="32">
    <w:p w14:paraId="4018CD1C" w14:textId="77777777" w:rsidR="00DA0C69" w:rsidRPr="00D30D57" w:rsidRDefault="00DA0C69" w:rsidP="00DA0C69">
      <w:pPr>
        <w:pStyle w:val="FootnoteText"/>
        <w:rPr>
          <w:szCs w:val="22"/>
        </w:rPr>
      </w:pPr>
      <w:r w:rsidRPr="00D30D57">
        <w:rPr>
          <w:rStyle w:val="FootnoteReference"/>
          <w:szCs w:val="22"/>
        </w:rPr>
        <w:footnoteRef/>
      </w:r>
      <w:r w:rsidRPr="00D30D57">
        <w:rPr>
          <w:szCs w:val="22"/>
        </w:rPr>
        <w:t xml:space="preserve"> California Code of Regulations Section 15126.6, CEQA Guidelines</w:t>
      </w:r>
      <w:r w:rsidR="00D30D57">
        <w:rPr>
          <w:szCs w:val="22"/>
        </w:rPr>
        <w:t>.</w:t>
      </w:r>
    </w:p>
  </w:footnote>
  <w:footnote w:id="33">
    <w:p w14:paraId="1281913A" w14:textId="77777777" w:rsidR="00393071" w:rsidRPr="00D30D57" w:rsidRDefault="00393071">
      <w:pPr>
        <w:pStyle w:val="FootnoteText"/>
        <w:rPr>
          <w:szCs w:val="22"/>
        </w:rPr>
      </w:pPr>
      <w:r w:rsidRPr="00D30D57">
        <w:rPr>
          <w:rStyle w:val="FootnoteReference"/>
          <w:szCs w:val="22"/>
        </w:rPr>
        <w:footnoteRef/>
      </w:r>
      <w:r w:rsidRPr="00D30D57">
        <w:rPr>
          <w:szCs w:val="22"/>
        </w:rPr>
        <w:t xml:space="preserve"> </w:t>
      </w:r>
      <w:r w:rsidR="00495919" w:rsidRPr="00CD2DF8">
        <w:rPr>
          <w:i/>
          <w:iCs/>
          <w:szCs w:val="22"/>
        </w:rPr>
        <w:t>Id.</w:t>
      </w:r>
      <w:r w:rsidR="00347101" w:rsidRPr="00D30D57">
        <w:rPr>
          <w:szCs w:val="22"/>
        </w:rPr>
        <w:t xml:space="preserve"> at</w:t>
      </w:r>
      <w:r w:rsidR="00697171" w:rsidRPr="00D30D57">
        <w:rPr>
          <w:szCs w:val="22"/>
        </w:rPr>
        <w:t xml:space="preserve"> Section 1509</w:t>
      </w:r>
      <w:r w:rsidR="002B32A3" w:rsidRPr="00D30D57">
        <w:rPr>
          <w:szCs w:val="22"/>
        </w:rPr>
        <w:t xml:space="preserve">0, </w:t>
      </w:r>
      <w:r w:rsidR="00697171" w:rsidRPr="00D30D57">
        <w:rPr>
          <w:szCs w:val="22"/>
        </w:rPr>
        <w:t>CEQA Guidelines (</w:t>
      </w:r>
      <w:r w:rsidR="002B32A3" w:rsidRPr="00D30D57">
        <w:rPr>
          <w:szCs w:val="22"/>
        </w:rPr>
        <w:t>Certification of the Final</w:t>
      </w:r>
      <w:r w:rsidR="003C148E" w:rsidRPr="00D30D57">
        <w:rPr>
          <w:szCs w:val="22"/>
        </w:rPr>
        <w:t> </w:t>
      </w:r>
      <w:r w:rsidR="002B32A3" w:rsidRPr="00D30D57">
        <w:rPr>
          <w:szCs w:val="22"/>
        </w:rPr>
        <w:t>EIR)</w:t>
      </w:r>
      <w:r w:rsidR="00D30D57">
        <w:rPr>
          <w:szCs w:val="22"/>
        </w:rPr>
        <w:t>.</w:t>
      </w:r>
    </w:p>
  </w:footnote>
  <w:footnote w:id="34">
    <w:p w14:paraId="0FAD20AF" w14:textId="77777777" w:rsidR="001725D9" w:rsidRDefault="001725D9">
      <w:pPr>
        <w:pStyle w:val="FootnoteText"/>
      </w:pPr>
      <w:r>
        <w:rPr>
          <w:rStyle w:val="FootnoteReference"/>
        </w:rPr>
        <w:footnoteRef/>
      </w:r>
      <w:r>
        <w:t xml:space="preserve"> California Code of Regulations Section 15090, CEQA Guidelines (Statement of Overriding Considerations)</w:t>
      </w:r>
      <w:r w:rsidR="00D30D57">
        <w:t>.</w:t>
      </w:r>
    </w:p>
  </w:footnote>
  <w:footnote w:id="35">
    <w:p w14:paraId="7FCB9F67" w14:textId="77777777" w:rsidR="00912BF3" w:rsidRDefault="00912BF3" w:rsidP="00912BF3">
      <w:pPr>
        <w:pStyle w:val="FootnoteText"/>
      </w:pPr>
      <w:r>
        <w:rPr>
          <w:rStyle w:val="FootnoteReference"/>
        </w:rPr>
        <w:footnoteRef/>
      </w:r>
      <w:r>
        <w:t xml:space="preserve"> SCE’s</w:t>
      </w:r>
      <w:r w:rsidR="00E67C78">
        <w:t xml:space="preserve"> initial</w:t>
      </w:r>
      <w:r>
        <w:t xml:space="preserve"> application is governed by GO</w:t>
      </w:r>
      <w:r w:rsidR="00E67C78">
        <w:t xml:space="preserve"> </w:t>
      </w:r>
      <w:r>
        <w:t>131</w:t>
      </w:r>
      <w:r w:rsidR="00E67C78">
        <w:t>-</w:t>
      </w:r>
      <w:r>
        <w:t>D, the General Order in effect when the first application was filed in 2009.</w:t>
      </w:r>
      <w:r w:rsidR="00E67C78">
        <w:t xml:space="preserve">  GO 131-E supersedes GO 131-</w:t>
      </w:r>
      <w:r w:rsidR="003F0A09">
        <w:t>D but</w:t>
      </w:r>
      <w:r w:rsidR="00E67C78">
        <w:t xml:space="preserve"> continues the requirement to comply with Commission EMF policies.</w:t>
      </w:r>
    </w:p>
  </w:footnote>
  <w:footnote w:id="36">
    <w:p w14:paraId="41AF3DB6" w14:textId="77777777" w:rsidR="00DA0C69" w:rsidRDefault="00DA0C69" w:rsidP="00DA0C69">
      <w:pPr>
        <w:pStyle w:val="FootnoteText"/>
      </w:pPr>
      <w:r>
        <w:rPr>
          <w:rStyle w:val="FootnoteReference"/>
        </w:rPr>
        <w:footnoteRef/>
      </w:r>
      <w:r>
        <w:t xml:space="preserve"> Public Resources Code </w:t>
      </w:r>
      <w:r w:rsidR="003F0A09">
        <w:t>Section</w:t>
      </w:r>
      <w:r w:rsidRPr="006E5748">
        <w:t xml:space="preserve"> 21061, Environmental Impact Report</w:t>
      </w:r>
      <w:r w:rsidR="00C90D71">
        <w:t>.</w:t>
      </w:r>
    </w:p>
  </w:footnote>
  <w:footnote w:id="37">
    <w:p w14:paraId="7ADF3C5D" w14:textId="77777777" w:rsidR="008A3D7B" w:rsidRDefault="008A3D7B">
      <w:pPr>
        <w:pStyle w:val="FootnoteText"/>
      </w:pPr>
      <w:r>
        <w:rPr>
          <w:rStyle w:val="FootnoteReference"/>
        </w:rPr>
        <w:footnoteRef/>
      </w:r>
      <w:r>
        <w:t xml:space="preserve"> Ex. Commission-1 at </w:t>
      </w:r>
      <w:r w:rsidR="00F46484">
        <w:t>1-11</w:t>
      </w:r>
      <w:r>
        <w:t xml:space="preserve">; Ex. Commission-2, Attachment C </w:t>
      </w:r>
      <w:r w:rsidR="004C37CA">
        <w:t>“</w:t>
      </w:r>
      <w:r w:rsidR="004C37CA" w:rsidRPr="004C37CA">
        <w:t xml:space="preserve">The Alberhill System Project Supplement to the Alternatives Screening Report” </w:t>
      </w:r>
      <w:r>
        <w:t>at 18.</w:t>
      </w:r>
    </w:p>
  </w:footnote>
  <w:footnote w:id="38">
    <w:p w14:paraId="611BC667" w14:textId="77777777" w:rsidR="00204497" w:rsidRDefault="00204497">
      <w:pPr>
        <w:pStyle w:val="FootnoteText"/>
      </w:pPr>
      <w:r>
        <w:rPr>
          <w:rStyle w:val="FootnoteReference"/>
        </w:rPr>
        <w:footnoteRef/>
      </w:r>
      <w:r>
        <w:t xml:space="preserve"> D.18-08-026 at 13, Finding of Fact (FOF) 14 and 15.</w:t>
      </w:r>
    </w:p>
  </w:footnote>
  <w:footnote w:id="39">
    <w:p w14:paraId="019738C2" w14:textId="77777777" w:rsidR="00337C5F" w:rsidRDefault="00337C5F">
      <w:pPr>
        <w:pStyle w:val="FootnoteText"/>
      </w:pPr>
      <w:r>
        <w:rPr>
          <w:rStyle w:val="FootnoteReference"/>
        </w:rPr>
        <w:footnoteRef/>
      </w:r>
      <w:r>
        <w:t xml:space="preserve"> </w:t>
      </w:r>
      <w:r w:rsidR="00347101" w:rsidRPr="00CD2DF8">
        <w:rPr>
          <w:i/>
          <w:iCs/>
        </w:rPr>
        <w:t>Id.</w:t>
      </w:r>
      <w:r w:rsidR="00347101">
        <w:t xml:space="preserve"> at</w:t>
      </w:r>
      <w:r w:rsidR="00F46484">
        <w:t xml:space="preserve"> OP 4.</w:t>
      </w:r>
    </w:p>
  </w:footnote>
  <w:footnote w:id="40">
    <w:p w14:paraId="21692E10" w14:textId="77777777" w:rsidR="004345A8" w:rsidRDefault="004345A8">
      <w:pPr>
        <w:pStyle w:val="FootnoteText"/>
      </w:pPr>
      <w:r>
        <w:rPr>
          <w:rStyle w:val="FootnoteReference"/>
        </w:rPr>
        <w:footnoteRef/>
      </w:r>
      <w:r>
        <w:t xml:space="preserve"> </w:t>
      </w:r>
      <w:r w:rsidRPr="004345A8">
        <w:t xml:space="preserve">Southern California Edison’s Motion to Supplement the Record in Compliance with </w:t>
      </w:r>
      <w:r w:rsidR="0047207B">
        <w:t>E-mail</w:t>
      </w:r>
      <w:r w:rsidRPr="004345A8">
        <w:t xml:space="preserve"> Ruling Directing Amendment or Showing Cause, May 11, 2020</w:t>
      </w:r>
      <w:r>
        <w:t>.</w:t>
      </w:r>
    </w:p>
  </w:footnote>
  <w:footnote w:id="41">
    <w:p w14:paraId="5B18EF82" w14:textId="77777777" w:rsidR="006E42FE" w:rsidRDefault="006E42FE" w:rsidP="006E42FE">
      <w:pPr>
        <w:pStyle w:val="FootnoteText"/>
      </w:pPr>
      <w:r>
        <w:rPr>
          <w:rStyle w:val="FootnoteReference"/>
        </w:rPr>
        <w:footnoteRef/>
      </w:r>
      <w:r>
        <w:t xml:space="preserve"> </w:t>
      </w:r>
      <w:r w:rsidR="007C77C6" w:rsidRPr="00D27AE8">
        <w:t xml:space="preserve">Public Resources Code </w:t>
      </w:r>
      <w:r w:rsidR="007A5CEC">
        <w:t xml:space="preserve">Section </w:t>
      </w:r>
      <w:r w:rsidR="007C77C6" w:rsidRPr="00D27AE8">
        <w:t xml:space="preserve">21166 and the Guidelines for CEQA </w:t>
      </w:r>
      <w:r w:rsidR="007A5CEC">
        <w:t xml:space="preserve">Section </w:t>
      </w:r>
      <w:r w:rsidR="007C77C6" w:rsidRPr="00D27AE8">
        <w:t>15000, California Code of Regulations Title 14, Chapter 3 (CEQA Guidelines)</w:t>
      </w:r>
      <w:r w:rsidR="007C77C6">
        <w:t xml:space="preserve">.  </w:t>
      </w:r>
      <w:r w:rsidRPr="00D27AE8">
        <w:t xml:space="preserve">CEQA Guidelines </w:t>
      </w:r>
      <w:r w:rsidR="007A5CEC">
        <w:t xml:space="preserve">Section </w:t>
      </w:r>
      <w:r w:rsidRPr="00D27AE8">
        <w:t>15164</w:t>
      </w:r>
      <w:r>
        <w:t>.</w:t>
      </w:r>
    </w:p>
  </w:footnote>
  <w:footnote w:id="42">
    <w:p w14:paraId="66A92F72" w14:textId="77777777" w:rsidR="00FE3C0A" w:rsidRDefault="00FE3C0A" w:rsidP="00FE3C0A">
      <w:pPr>
        <w:pStyle w:val="FootnoteText"/>
      </w:pPr>
      <w:r>
        <w:rPr>
          <w:rStyle w:val="FootnoteReference"/>
        </w:rPr>
        <w:footnoteRef/>
      </w:r>
      <w:r>
        <w:t xml:space="preserve"> </w:t>
      </w:r>
      <w:r w:rsidRPr="00D27AE8">
        <w:t xml:space="preserve">CEQA Guidelines </w:t>
      </w:r>
      <w:r w:rsidR="007A5CEC">
        <w:t xml:space="preserve">Section </w:t>
      </w:r>
      <w:r w:rsidRPr="00D27AE8">
        <w:t>15162</w:t>
      </w:r>
      <w:r>
        <w:t>.</w:t>
      </w:r>
    </w:p>
  </w:footnote>
  <w:footnote w:id="43">
    <w:p w14:paraId="038E0913" w14:textId="77777777" w:rsidR="00FE3C0A" w:rsidRDefault="00FE3C0A" w:rsidP="00FE3C0A">
      <w:pPr>
        <w:pStyle w:val="FootnoteText"/>
      </w:pPr>
      <w:r>
        <w:rPr>
          <w:rStyle w:val="FootnoteReference"/>
        </w:rPr>
        <w:footnoteRef/>
      </w:r>
      <w:r>
        <w:t xml:space="preserve"> </w:t>
      </w:r>
      <w:r w:rsidR="00495919" w:rsidRPr="00CD2DF8">
        <w:rPr>
          <w:i/>
          <w:iCs/>
        </w:rPr>
        <w:t>Id.</w:t>
      </w:r>
      <w:r w:rsidRPr="00D27AE8">
        <w:t xml:space="preserve"> </w:t>
      </w:r>
      <w:r w:rsidR="006221E1">
        <w:t xml:space="preserve">at </w:t>
      </w:r>
      <w:r w:rsidR="007A5CEC">
        <w:t xml:space="preserve">Section </w:t>
      </w:r>
      <w:r w:rsidRPr="00D27AE8">
        <w:t>15164[c]</w:t>
      </w:r>
      <w:r>
        <w:t>.</w:t>
      </w:r>
    </w:p>
  </w:footnote>
  <w:footnote w:id="44">
    <w:p w14:paraId="7AFEDD83" w14:textId="77777777" w:rsidR="00FE3C0A" w:rsidRDefault="00FE3C0A" w:rsidP="00FE3C0A">
      <w:pPr>
        <w:pStyle w:val="FootnoteText"/>
      </w:pPr>
      <w:r>
        <w:rPr>
          <w:rStyle w:val="FootnoteReference"/>
        </w:rPr>
        <w:footnoteRef/>
      </w:r>
      <w:r>
        <w:t xml:space="preserve"> </w:t>
      </w:r>
      <w:r w:rsidR="00495919" w:rsidRPr="00CD2DF8">
        <w:rPr>
          <w:i/>
          <w:iCs/>
        </w:rPr>
        <w:t>Id.</w:t>
      </w:r>
      <w:r w:rsidRPr="00D27AE8">
        <w:t xml:space="preserve"> </w:t>
      </w:r>
      <w:r w:rsidR="006221E1">
        <w:t xml:space="preserve">at </w:t>
      </w:r>
      <w:r w:rsidR="007A5CEC">
        <w:t xml:space="preserve">Section </w:t>
      </w:r>
      <w:r w:rsidRPr="00D27AE8">
        <w:t>15164[d]</w:t>
      </w:r>
      <w:r>
        <w:t>.</w:t>
      </w:r>
    </w:p>
  </w:footnote>
  <w:footnote w:id="45">
    <w:p w14:paraId="1E84F2F6" w14:textId="77777777" w:rsidR="007C77C6" w:rsidRDefault="007C77C6">
      <w:pPr>
        <w:pStyle w:val="FootnoteText"/>
      </w:pPr>
      <w:r>
        <w:rPr>
          <w:rStyle w:val="FootnoteReference"/>
        </w:rPr>
        <w:footnoteRef/>
      </w:r>
      <w:r>
        <w:t xml:space="preserve"> Ex. Commission-2</w:t>
      </w:r>
      <w:r w:rsidR="006221E1">
        <w:t xml:space="preserve"> at </w:t>
      </w:r>
      <w:r>
        <w:t>Attachment A “Review of SCE Third Amended Application and PEA for the Alberhill System Project Memora</w:t>
      </w:r>
      <w:r w:rsidR="00106718">
        <w:t>n</w:t>
      </w:r>
      <w:r>
        <w:t>dum.”</w:t>
      </w:r>
    </w:p>
  </w:footnote>
  <w:footnote w:id="46">
    <w:p w14:paraId="6D699152" w14:textId="77777777" w:rsidR="007C77C6" w:rsidRDefault="007C77C6">
      <w:pPr>
        <w:pStyle w:val="FootnoteText"/>
      </w:pPr>
      <w:r>
        <w:rPr>
          <w:rStyle w:val="FootnoteReference"/>
        </w:rPr>
        <w:footnoteRef/>
      </w:r>
      <w:r>
        <w:t xml:space="preserve"> </w:t>
      </w:r>
      <w:r w:rsidR="00495919" w:rsidRPr="00CD2DF8">
        <w:rPr>
          <w:i/>
          <w:iCs/>
        </w:rPr>
        <w:t>Id.</w:t>
      </w:r>
      <w:r w:rsidR="00495919">
        <w:t xml:space="preserve"> </w:t>
      </w:r>
      <w:r w:rsidR="00347101">
        <w:t xml:space="preserve">at </w:t>
      </w:r>
      <w:r>
        <w:t>Attachment B “Mitigation Monitoring, Compliance, and Reporting Plan.</w:t>
      </w:r>
      <w:r w:rsidR="00106718">
        <w:t>”</w:t>
      </w:r>
    </w:p>
  </w:footnote>
  <w:footnote w:id="47">
    <w:p w14:paraId="05F8DB59" w14:textId="77777777" w:rsidR="00876EB7" w:rsidRDefault="00876EB7">
      <w:pPr>
        <w:pStyle w:val="FootnoteText"/>
      </w:pPr>
      <w:r>
        <w:rPr>
          <w:rStyle w:val="FootnoteReference"/>
        </w:rPr>
        <w:footnoteRef/>
      </w:r>
      <w:r>
        <w:t xml:space="preserve"> </w:t>
      </w:r>
      <w:r w:rsidR="00495919" w:rsidRPr="00C66BCA">
        <w:rPr>
          <w:i/>
          <w:iCs/>
        </w:rPr>
        <w:t>Id.</w:t>
      </w:r>
      <w:r>
        <w:t xml:space="preserve"> </w:t>
      </w:r>
      <w:r w:rsidR="00347101">
        <w:t xml:space="preserve">at </w:t>
      </w:r>
      <w:r>
        <w:t>Attachment C “The Alberhill System Project Supplement to the Alternatives Screening Report</w:t>
      </w:r>
      <w:r w:rsidR="00347101">
        <w:t>,</w:t>
      </w:r>
      <w:r>
        <w:t xml:space="preserve">” </w:t>
      </w:r>
      <w:r w:rsidR="00347101">
        <w:t>p.</w:t>
      </w:r>
      <w:r>
        <w:t xml:space="preserve"> 16</w:t>
      </w:r>
      <w:r w:rsidR="007504C4">
        <w:t>.</w:t>
      </w:r>
    </w:p>
  </w:footnote>
  <w:footnote w:id="48">
    <w:p w14:paraId="37038FD1" w14:textId="77777777" w:rsidR="007775A5" w:rsidRDefault="007775A5" w:rsidP="007775A5">
      <w:pPr>
        <w:pStyle w:val="FootnoteText"/>
      </w:pPr>
      <w:r>
        <w:rPr>
          <w:rStyle w:val="FootnoteReference"/>
        </w:rPr>
        <w:footnoteRef/>
      </w:r>
      <w:r>
        <w:t xml:space="preserve"> </w:t>
      </w:r>
      <w:r w:rsidR="00495919" w:rsidRPr="00C66BCA">
        <w:rPr>
          <w:i/>
          <w:iCs/>
        </w:rPr>
        <w:t>Id.</w:t>
      </w:r>
      <w:r w:rsidR="00347101">
        <w:t xml:space="preserve"> at  </w:t>
      </w:r>
      <w:r>
        <w:t>13</w:t>
      </w:r>
      <w:r w:rsidR="00495919">
        <w:t>3</w:t>
      </w:r>
      <w:r>
        <w:t>.</w:t>
      </w:r>
    </w:p>
  </w:footnote>
  <w:footnote w:id="49">
    <w:p w14:paraId="1EB11E64" w14:textId="77777777" w:rsidR="000D0ED5" w:rsidRDefault="000D0ED5">
      <w:pPr>
        <w:pStyle w:val="FootnoteText"/>
      </w:pPr>
      <w:r>
        <w:rPr>
          <w:rStyle w:val="FootnoteReference"/>
        </w:rPr>
        <w:footnoteRef/>
      </w:r>
      <w:r>
        <w:t xml:space="preserve"> </w:t>
      </w:r>
      <w:r w:rsidRPr="000D0ED5">
        <w:t>Ex. Commission-2</w:t>
      </w:r>
      <w:r w:rsidR="006221E1">
        <w:t xml:space="preserve"> at</w:t>
      </w:r>
      <w:r w:rsidRPr="000D0ED5">
        <w:t xml:space="preserve"> Attachment </w:t>
      </w:r>
      <w:r w:rsidR="007775A5">
        <w:t>A</w:t>
      </w:r>
      <w:r w:rsidRPr="000D0ED5">
        <w:t xml:space="preserve"> “</w:t>
      </w:r>
      <w:r w:rsidR="007775A5">
        <w:t xml:space="preserve">Review of SCE Third Amended Application and </w:t>
      </w:r>
      <w:r w:rsidR="00B30ED1">
        <w:t>P</w:t>
      </w:r>
      <w:r w:rsidR="007775A5">
        <w:t>EA for the A</w:t>
      </w:r>
      <w:r w:rsidR="00DC2FCD">
        <w:t>l</w:t>
      </w:r>
      <w:r w:rsidR="007775A5">
        <w:t>berhill System Project Memorandum</w:t>
      </w:r>
      <w:r w:rsidR="006221E1">
        <w:t>,</w:t>
      </w:r>
      <w:r w:rsidRPr="000D0ED5">
        <w:t>”</w:t>
      </w:r>
      <w:r w:rsidR="00347A49">
        <w:t xml:space="preserve"> </w:t>
      </w:r>
      <w:r w:rsidR="006221E1">
        <w:t>p.</w:t>
      </w:r>
      <w:r w:rsidRPr="000D0ED5">
        <w:t xml:space="preserve"> </w:t>
      </w:r>
      <w:r w:rsidR="007775A5">
        <w:t>5</w:t>
      </w:r>
      <w:r w:rsidRPr="000D0ED5">
        <w:t>.</w:t>
      </w:r>
    </w:p>
  </w:footnote>
  <w:footnote w:id="50">
    <w:p w14:paraId="0BE7B786" w14:textId="77777777" w:rsidR="007D013D" w:rsidRDefault="007D013D" w:rsidP="007D013D">
      <w:pPr>
        <w:pStyle w:val="FootnoteText"/>
      </w:pPr>
      <w:r>
        <w:rPr>
          <w:rStyle w:val="FootnoteReference"/>
        </w:rPr>
        <w:footnoteRef/>
      </w:r>
      <w:r>
        <w:t xml:space="preserve"> D.18-08-026 at 9 – 10</w:t>
      </w:r>
      <w:r w:rsidR="00735943">
        <w:t xml:space="preserve">, FOF </w:t>
      </w:r>
      <w:r w:rsidR="00DC2FCD">
        <w:t>8, 9</w:t>
      </w:r>
      <w:r w:rsidR="003B66C8">
        <w:t>,</w:t>
      </w:r>
      <w:r w:rsidR="00DC2FCD">
        <w:t xml:space="preserve"> 11</w:t>
      </w:r>
      <w:r w:rsidR="003B66C8">
        <w:t>,</w:t>
      </w:r>
      <w:r w:rsidR="00DC2FCD">
        <w:t xml:space="preserve"> 12, and 13</w:t>
      </w:r>
      <w:r w:rsidR="00735943">
        <w:t xml:space="preserve">, </w:t>
      </w:r>
      <w:r w:rsidR="00F813BC">
        <w:t>Conclusions of Law (</w:t>
      </w:r>
      <w:r w:rsidR="00735943">
        <w:t>COL</w:t>
      </w:r>
      <w:r w:rsidR="00F813BC">
        <w:t>)</w:t>
      </w:r>
      <w:r w:rsidR="00735943">
        <w:t xml:space="preserve"> </w:t>
      </w:r>
      <w:r w:rsidR="00DC2FCD">
        <w:t>1</w:t>
      </w:r>
      <w:r w:rsidR="00735943">
        <w:t>.</w:t>
      </w:r>
    </w:p>
  </w:footnote>
  <w:footnote w:id="51">
    <w:p w14:paraId="5378574F" w14:textId="77777777" w:rsidR="007D013D" w:rsidRDefault="007D013D" w:rsidP="007D013D">
      <w:pPr>
        <w:pStyle w:val="FootnoteText"/>
      </w:pPr>
      <w:r>
        <w:rPr>
          <w:rStyle w:val="FootnoteReference"/>
        </w:rPr>
        <w:footnoteRef/>
      </w:r>
      <w:r>
        <w:t xml:space="preserve"> </w:t>
      </w:r>
      <w:r w:rsidR="001E1B28" w:rsidRPr="00CD2DF8">
        <w:rPr>
          <w:i/>
          <w:iCs/>
        </w:rPr>
        <w:t>Id.</w:t>
      </w:r>
      <w:r>
        <w:t xml:space="preserve"> at </w:t>
      </w:r>
      <w:r w:rsidR="00977733">
        <w:t xml:space="preserve">10, 12, </w:t>
      </w:r>
      <w:r>
        <w:t>13</w:t>
      </w:r>
      <w:r w:rsidR="00735943">
        <w:t xml:space="preserve">, FOF </w:t>
      </w:r>
      <w:r w:rsidR="00DC2FCD">
        <w:t>14 and 15</w:t>
      </w:r>
      <w:r w:rsidR="00735943">
        <w:t xml:space="preserve">, COL </w:t>
      </w:r>
      <w:r w:rsidR="00DC2FCD">
        <w:t>1</w:t>
      </w:r>
      <w:r>
        <w:t>.</w:t>
      </w:r>
    </w:p>
  </w:footnote>
  <w:footnote w:id="52">
    <w:p w14:paraId="4ABA646A" w14:textId="77777777" w:rsidR="007D013D" w:rsidRDefault="007D013D" w:rsidP="007D013D">
      <w:pPr>
        <w:pStyle w:val="FootnoteText"/>
      </w:pPr>
      <w:r>
        <w:rPr>
          <w:rStyle w:val="FootnoteReference"/>
        </w:rPr>
        <w:footnoteRef/>
      </w:r>
      <w:r>
        <w:t xml:space="preserve"> </w:t>
      </w:r>
      <w:r w:rsidR="001E1B28" w:rsidRPr="00CD2DF8">
        <w:rPr>
          <w:i/>
          <w:iCs/>
        </w:rPr>
        <w:t>Id.</w:t>
      </w:r>
      <w:r>
        <w:t xml:space="preserve"> at 14 – 15</w:t>
      </w:r>
      <w:r w:rsidR="00273E20">
        <w:t xml:space="preserve">, FOF </w:t>
      </w:r>
      <w:r w:rsidR="00DC2FCD">
        <w:t>16</w:t>
      </w:r>
      <w:r w:rsidR="00273E20">
        <w:t xml:space="preserve">, COL </w:t>
      </w:r>
      <w:r w:rsidR="00DC2FCD">
        <w:t>1</w:t>
      </w:r>
      <w:r w:rsidR="00273E20">
        <w:t>.</w:t>
      </w:r>
    </w:p>
  </w:footnote>
  <w:footnote w:id="53">
    <w:p w14:paraId="6BAB13DE" w14:textId="77777777" w:rsidR="007D013D" w:rsidRDefault="007D013D" w:rsidP="007D013D">
      <w:pPr>
        <w:pStyle w:val="FootnoteText"/>
      </w:pPr>
      <w:r>
        <w:rPr>
          <w:rStyle w:val="FootnoteReference"/>
        </w:rPr>
        <w:footnoteRef/>
      </w:r>
      <w:r>
        <w:t xml:space="preserve"> </w:t>
      </w:r>
      <w:r w:rsidR="00977733" w:rsidRPr="00C66BCA">
        <w:rPr>
          <w:i/>
          <w:iCs/>
        </w:rPr>
        <w:t>Id.</w:t>
      </w:r>
      <w:r>
        <w:t xml:space="preserve"> at 25.</w:t>
      </w:r>
    </w:p>
  </w:footnote>
  <w:footnote w:id="54">
    <w:p w14:paraId="1D2611EE" w14:textId="77777777" w:rsidR="001C3F7C" w:rsidRDefault="001C3F7C">
      <w:pPr>
        <w:pStyle w:val="FootnoteText"/>
      </w:pPr>
      <w:r>
        <w:rPr>
          <w:rStyle w:val="FootnoteReference"/>
        </w:rPr>
        <w:footnoteRef/>
      </w:r>
      <w:r>
        <w:t xml:space="preserve"> The issues have been modified for the Alberhill </w:t>
      </w:r>
      <w:r w:rsidR="001E1B28">
        <w:t>p</w:t>
      </w:r>
      <w:r>
        <w:t xml:space="preserve">roject only, as </w:t>
      </w:r>
      <w:r w:rsidR="00E53934">
        <w:t>it has been deconsolidated from the Valley Ivyglen project by D.18-08-026.</w:t>
      </w:r>
    </w:p>
  </w:footnote>
  <w:footnote w:id="55">
    <w:p w14:paraId="588A88B0" w14:textId="77777777" w:rsidR="008F1290" w:rsidRPr="00D30D57" w:rsidRDefault="008F1290">
      <w:pPr>
        <w:pStyle w:val="FootnoteText"/>
        <w:rPr>
          <w:szCs w:val="22"/>
        </w:rPr>
      </w:pPr>
      <w:r>
        <w:rPr>
          <w:rStyle w:val="FootnoteReference"/>
        </w:rPr>
        <w:footnoteRef/>
      </w:r>
      <w:r>
        <w:t xml:space="preserve"> </w:t>
      </w:r>
      <w:r w:rsidR="002F1105" w:rsidRPr="00D30D57">
        <w:rPr>
          <w:szCs w:val="22"/>
        </w:rPr>
        <w:t>Assigned Commissioner’s Scoping Memo and Ruling, June 19, 2017</w:t>
      </w:r>
      <w:r w:rsidR="006221E1" w:rsidRPr="00D30D57">
        <w:rPr>
          <w:szCs w:val="22"/>
        </w:rPr>
        <w:t>,</w:t>
      </w:r>
      <w:r w:rsidR="002F1105" w:rsidRPr="00D30D57">
        <w:rPr>
          <w:szCs w:val="22"/>
        </w:rPr>
        <w:t xml:space="preserve"> </w:t>
      </w:r>
      <w:r w:rsidR="00347101" w:rsidRPr="00D30D57">
        <w:rPr>
          <w:szCs w:val="22"/>
        </w:rPr>
        <w:t>at</w:t>
      </w:r>
      <w:r w:rsidR="0040494C" w:rsidRPr="00D30D57">
        <w:rPr>
          <w:szCs w:val="22"/>
        </w:rPr>
        <w:t xml:space="preserve"> 4</w:t>
      </w:r>
      <w:r w:rsidRPr="00D30D57">
        <w:rPr>
          <w:szCs w:val="22"/>
        </w:rPr>
        <w:t>; D.18-08-026 at 6.</w:t>
      </w:r>
    </w:p>
  </w:footnote>
  <w:footnote w:id="56">
    <w:p w14:paraId="55AAAEBD" w14:textId="77777777" w:rsidR="00B85672" w:rsidRPr="00D30D57" w:rsidRDefault="00B85672" w:rsidP="00B85672">
      <w:pPr>
        <w:pStyle w:val="FootnoteText"/>
        <w:rPr>
          <w:szCs w:val="22"/>
        </w:rPr>
      </w:pPr>
      <w:r w:rsidRPr="00D30D57">
        <w:rPr>
          <w:rStyle w:val="FootnoteReference"/>
          <w:szCs w:val="22"/>
        </w:rPr>
        <w:footnoteRef/>
      </w:r>
      <w:r w:rsidRPr="00D30D57">
        <w:rPr>
          <w:szCs w:val="22"/>
        </w:rPr>
        <w:t xml:space="preserve"> Pub. Util. Code</w:t>
      </w:r>
      <w:r w:rsidR="001E1B28" w:rsidRPr="00D30D57">
        <w:rPr>
          <w:szCs w:val="22"/>
        </w:rPr>
        <w:t xml:space="preserve"> Section</w:t>
      </w:r>
      <w:r w:rsidRPr="00D30D57">
        <w:rPr>
          <w:szCs w:val="22"/>
        </w:rPr>
        <w:t xml:space="preserve"> 1001; D.18-08-026 at 6.</w:t>
      </w:r>
    </w:p>
  </w:footnote>
  <w:footnote w:id="57">
    <w:p w14:paraId="0FFE6A98" w14:textId="77777777" w:rsidR="008974D7" w:rsidRPr="00D30D57" w:rsidRDefault="008974D7">
      <w:pPr>
        <w:pStyle w:val="FootnoteText"/>
        <w:rPr>
          <w:szCs w:val="22"/>
        </w:rPr>
      </w:pPr>
      <w:r w:rsidRPr="00D30D57">
        <w:rPr>
          <w:rStyle w:val="FootnoteReference"/>
          <w:szCs w:val="22"/>
        </w:rPr>
        <w:footnoteRef/>
      </w:r>
      <w:r w:rsidRPr="00D30D57">
        <w:rPr>
          <w:szCs w:val="22"/>
        </w:rPr>
        <w:t xml:space="preserve"> D.18-08-026, FOF 20, 21, 22, 23.</w:t>
      </w:r>
    </w:p>
  </w:footnote>
  <w:footnote w:id="58">
    <w:p w14:paraId="2E4C0C35" w14:textId="77777777" w:rsidR="00497D96" w:rsidRPr="00D30D57" w:rsidRDefault="00497D96" w:rsidP="00497D96">
      <w:pPr>
        <w:pStyle w:val="FootnoteText"/>
        <w:rPr>
          <w:szCs w:val="22"/>
        </w:rPr>
      </w:pPr>
      <w:r w:rsidRPr="00D30D57">
        <w:rPr>
          <w:rStyle w:val="FootnoteReference"/>
          <w:szCs w:val="22"/>
        </w:rPr>
        <w:footnoteRef/>
      </w:r>
      <w:r w:rsidRPr="00D30D57">
        <w:rPr>
          <w:szCs w:val="22"/>
        </w:rPr>
        <w:t xml:space="preserve"> </w:t>
      </w:r>
      <w:r w:rsidR="001E1B28" w:rsidRPr="00CD2DF8">
        <w:rPr>
          <w:i/>
          <w:iCs/>
          <w:szCs w:val="22"/>
        </w:rPr>
        <w:t>Id.</w:t>
      </w:r>
      <w:r w:rsidRPr="00D30D57">
        <w:rPr>
          <w:szCs w:val="22"/>
        </w:rPr>
        <w:t xml:space="preserve"> at 3</w:t>
      </w:r>
      <w:r w:rsidR="0040494C" w:rsidRPr="00D30D57">
        <w:rPr>
          <w:szCs w:val="22"/>
        </w:rPr>
        <w:t>3</w:t>
      </w:r>
      <w:r w:rsidRPr="00D30D57">
        <w:rPr>
          <w:szCs w:val="22"/>
        </w:rPr>
        <w:t xml:space="preserve"> – 3</w:t>
      </w:r>
      <w:r w:rsidR="0040494C" w:rsidRPr="00D30D57">
        <w:rPr>
          <w:szCs w:val="22"/>
        </w:rPr>
        <w:t>4</w:t>
      </w:r>
      <w:r w:rsidR="00347101" w:rsidRPr="00D30D57">
        <w:rPr>
          <w:szCs w:val="22"/>
        </w:rPr>
        <w:t>,</w:t>
      </w:r>
      <w:r w:rsidR="0040494C" w:rsidRPr="00D30D57">
        <w:rPr>
          <w:szCs w:val="22"/>
        </w:rPr>
        <w:t xml:space="preserve"> OP 4</w:t>
      </w:r>
      <w:r w:rsidRPr="00D30D57">
        <w:rPr>
          <w:szCs w:val="22"/>
        </w:rPr>
        <w:t>.</w:t>
      </w:r>
    </w:p>
  </w:footnote>
  <w:footnote w:id="59">
    <w:p w14:paraId="367D0F91" w14:textId="77777777" w:rsidR="00886D40" w:rsidRPr="00D30D57" w:rsidRDefault="00886D40">
      <w:pPr>
        <w:pStyle w:val="FootnoteText"/>
        <w:rPr>
          <w:szCs w:val="22"/>
        </w:rPr>
      </w:pPr>
      <w:r w:rsidRPr="00D30D57">
        <w:rPr>
          <w:rStyle w:val="FootnoteReference"/>
          <w:szCs w:val="22"/>
        </w:rPr>
        <w:footnoteRef/>
      </w:r>
      <w:r w:rsidRPr="00D30D57">
        <w:rPr>
          <w:szCs w:val="22"/>
        </w:rPr>
        <w:t xml:space="preserve"> </w:t>
      </w:r>
      <w:r w:rsidR="008974D7" w:rsidRPr="00D30D57">
        <w:rPr>
          <w:szCs w:val="22"/>
        </w:rPr>
        <w:t>Ex. Commission-2, Attachment C at Appendix A: Final Alberhill System Project Energy Division Staff Report</w:t>
      </w:r>
      <w:r w:rsidR="00347101" w:rsidRPr="00D30D57">
        <w:rPr>
          <w:szCs w:val="22"/>
        </w:rPr>
        <w:t xml:space="preserve">, p. </w:t>
      </w:r>
      <w:r w:rsidR="0040494C" w:rsidRPr="00D30D57">
        <w:rPr>
          <w:szCs w:val="22"/>
        </w:rPr>
        <w:t xml:space="preserve">2.  </w:t>
      </w:r>
    </w:p>
  </w:footnote>
  <w:footnote w:id="60">
    <w:p w14:paraId="76CAFDFF" w14:textId="77777777" w:rsidR="00C84FDB" w:rsidRPr="00D30D57" w:rsidRDefault="00C84FDB">
      <w:pPr>
        <w:pStyle w:val="FootnoteText"/>
        <w:rPr>
          <w:szCs w:val="22"/>
        </w:rPr>
      </w:pPr>
      <w:r w:rsidRPr="00D30D57">
        <w:rPr>
          <w:rStyle w:val="FootnoteReference"/>
          <w:szCs w:val="22"/>
        </w:rPr>
        <w:footnoteRef/>
      </w:r>
      <w:r w:rsidRPr="00D30D57">
        <w:rPr>
          <w:szCs w:val="22"/>
        </w:rPr>
        <w:t xml:space="preserve"> Ex. Commission-2 at Attachment C “The Alberhill System Project Supplement to the Alternatives Screening Report” pp. 136 – 139 (Table 6 summarized the 13 new alternatives and two that were considered in the Final EIR).</w:t>
      </w:r>
    </w:p>
  </w:footnote>
  <w:footnote w:id="61">
    <w:p w14:paraId="647F150C" w14:textId="77777777" w:rsidR="008974D7" w:rsidRDefault="008974D7">
      <w:pPr>
        <w:pStyle w:val="FootnoteText"/>
      </w:pPr>
      <w:r>
        <w:rPr>
          <w:rStyle w:val="FootnoteReference"/>
        </w:rPr>
        <w:footnoteRef/>
      </w:r>
      <w:r>
        <w:t xml:space="preserve"> Ex. Commission-2 at </w:t>
      </w:r>
      <w:r w:rsidR="000B7C76">
        <w:t>4</w:t>
      </w:r>
      <w:r>
        <w:t>; Ex. Commission-2</w:t>
      </w:r>
      <w:r w:rsidR="006221E1">
        <w:t xml:space="preserve"> at </w:t>
      </w:r>
      <w:r>
        <w:t>Attachment C “The</w:t>
      </w:r>
      <w:r w:rsidR="00142FFC">
        <w:t> </w:t>
      </w:r>
      <w:r>
        <w:t>Alberhill System Project Supplement to the Alternatives Screening Report</w:t>
      </w:r>
      <w:r w:rsidR="00D30D57">
        <w:t>,</w:t>
      </w:r>
      <w:r>
        <w:t xml:space="preserve">” </w:t>
      </w:r>
      <w:r w:rsidR="006221E1">
        <w:t>p.</w:t>
      </w:r>
      <w:r>
        <w:t xml:space="preserve"> 13</w:t>
      </w:r>
      <w:r w:rsidR="00C84FDB">
        <w:t>3</w:t>
      </w:r>
      <w:r>
        <w:t>.</w:t>
      </w:r>
    </w:p>
  </w:footnote>
  <w:footnote w:id="62">
    <w:p w14:paraId="7A575F79" w14:textId="77777777" w:rsidR="008974D7" w:rsidRDefault="008974D7">
      <w:pPr>
        <w:pStyle w:val="FootnoteText"/>
      </w:pPr>
      <w:r>
        <w:rPr>
          <w:rStyle w:val="FootnoteReference"/>
        </w:rPr>
        <w:footnoteRef/>
      </w:r>
      <w:r>
        <w:t xml:space="preserve"> D.18-08-026, FOF 15</w:t>
      </w:r>
      <w:r w:rsidR="00633B0D">
        <w:t>.</w:t>
      </w:r>
    </w:p>
  </w:footnote>
  <w:footnote w:id="63">
    <w:p w14:paraId="04F6974D" w14:textId="77777777" w:rsidR="00166728" w:rsidRDefault="00166728">
      <w:pPr>
        <w:pStyle w:val="FootnoteText"/>
      </w:pPr>
      <w:r>
        <w:rPr>
          <w:rStyle w:val="FootnoteReference"/>
        </w:rPr>
        <w:footnoteRef/>
      </w:r>
      <w:r>
        <w:t xml:space="preserve"> Capacity is the availability of electric power to serve load and comprises two elements in a radial system: (1) transformation capacity – the ability to deliver power from the transmission system via the substation transformers, and (2) subtransmission system line capacity – the ability to deliver power to substations which directly serve the customer load in an area.</w:t>
      </w:r>
    </w:p>
  </w:footnote>
  <w:footnote w:id="64">
    <w:p w14:paraId="03171FA5" w14:textId="77777777" w:rsidR="00B76BF9" w:rsidRPr="00D30D57" w:rsidRDefault="00B76BF9">
      <w:pPr>
        <w:pStyle w:val="FootnoteText"/>
        <w:rPr>
          <w:szCs w:val="22"/>
        </w:rPr>
      </w:pPr>
      <w:r>
        <w:rPr>
          <w:rStyle w:val="FootnoteReference"/>
        </w:rPr>
        <w:footnoteRef/>
      </w:r>
      <w:r>
        <w:t xml:space="preserve"> </w:t>
      </w:r>
      <w:r w:rsidRPr="00D30D57">
        <w:rPr>
          <w:szCs w:val="22"/>
        </w:rPr>
        <w:t>Ex. Commission-2</w:t>
      </w:r>
      <w:r w:rsidR="006221E1" w:rsidRPr="00D30D57">
        <w:rPr>
          <w:szCs w:val="22"/>
        </w:rPr>
        <w:t xml:space="preserve"> at</w:t>
      </w:r>
      <w:r w:rsidRPr="00D30D57">
        <w:rPr>
          <w:szCs w:val="22"/>
        </w:rPr>
        <w:t xml:space="preserve"> Attachment C </w:t>
      </w:r>
      <w:r w:rsidR="0010433A" w:rsidRPr="00D30D57">
        <w:rPr>
          <w:szCs w:val="22"/>
        </w:rPr>
        <w:t>“The Alberhill System Project Supplement to the Alternatives Screening Report</w:t>
      </w:r>
      <w:r w:rsidR="006221E1" w:rsidRPr="00D30D57">
        <w:rPr>
          <w:szCs w:val="22"/>
        </w:rPr>
        <w:t>,</w:t>
      </w:r>
      <w:r w:rsidR="0010433A" w:rsidRPr="00D30D57">
        <w:rPr>
          <w:szCs w:val="22"/>
        </w:rPr>
        <w:t>”</w:t>
      </w:r>
      <w:r w:rsidRPr="00D30D57">
        <w:rPr>
          <w:szCs w:val="22"/>
        </w:rPr>
        <w:t xml:space="preserve"> </w:t>
      </w:r>
      <w:r w:rsidR="006221E1" w:rsidRPr="00D30D57">
        <w:rPr>
          <w:szCs w:val="22"/>
        </w:rPr>
        <w:t xml:space="preserve">p. </w:t>
      </w:r>
      <w:r w:rsidRPr="00D30D57">
        <w:rPr>
          <w:szCs w:val="22"/>
        </w:rPr>
        <w:t>37 – 38.</w:t>
      </w:r>
    </w:p>
  </w:footnote>
  <w:footnote w:id="65">
    <w:p w14:paraId="2925B909" w14:textId="77777777" w:rsidR="00B76BF9" w:rsidRPr="00D30D57" w:rsidRDefault="00B76BF9">
      <w:pPr>
        <w:pStyle w:val="FootnoteText"/>
        <w:rPr>
          <w:szCs w:val="22"/>
        </w:rPr>
      </w:pPr>
      <w:r w:rsidRPr="00D30D57">
        <w:rPr>
          <w:rStyle w:val="FootnoteReference"/>
          <w:szCs w:val="22"/>
        </w:rPr>
        <w:footnoteRef/>
      </w:r>
      <w:r w:rsidRPr="00D30D57">
        <w:rPr>
          <w:szCs w:val="22"/>
        </w:rPr>
        <w:t xml:space="preserve"> </w:t>
      </w:r>
      <w:r w:rsidRPr="00CD2DF8">
        <w:rPr>
          <w:i/>
          <w:iCs/>
          <w:szCs w:val="22"/>
        </w:rPr>
        <w:t>Id.</w:t>
      </w:r>
    </w:p>
  </w:footnote>
  <w:footnote w:id="66">
    <w:p w14:paraId="27385BAD" w14:textId="77777777" w:rsidR="001D4B5B" w:rsidRPr="00D30D57" w:rsidRDefault="001D4B5B">
      <w:pPr>
        <w:pStyle w:val="FootnoteText"/>
        <w:rPr>
          <w:szCs w:val="22"/>
        </w:rPr>
      </w:pPr>
      <w:r w:rsidRPr="00D30D57">
        <w:rPr>
          <w:rStyle w:val="FootnoteReference"/>
          <w:szCs w:val="22"/>
        </w:rPr>
        <w:footnoteRef/>
      </w:r>
      <w:r w:rsidRPr="00D30D57">
        <w:rPr>
          <w:szCs w:val="22"/>
        </w:rPr>
        <w:t xml:space="preserve"> </w:t>
      </w:r>
      <w:r w:rsidRPr="00CD2DF8">
        <w:rPr>
          <w:i/>
          <w:iCs/>
          <w:szCs w:val="22"/>
        </w:rPr>
        <w:t>Id.</w:t>
      </w:r>
      <w:r w:rsidRPr="00D30D57">
        <w:rPr>
          <w:szCs w:val="22"/>
        </w:rPr>
        <w:t xml:space="preserve"> at 39.</w:t>
      </w:r>
    </w:p>
  </w:footnote>
  <w:footnote w:id="67">
    <w:p w14:paraId="3821B851" w14:textId="77777777" w:rsidR="001246FE" w:rsidRPr="00CD2DF8" w:rsidRDefault="001246FE" w:rsidP="001246FE">
      <w:pPr>
        <w:pStyle w:val="FootnoteText"/>
        <w:rPr>
          <w:szCs w:val="22"/>
        </w:rPr>
      </w:pPr>
      <w:r w:rsidRPr="00CD2DF8">
        <w:rPr>
          <w:rStyle w:val="FootnoteReference"/>
          <w:szCs w:val="22"/>
        </w:rPr>
        <w:footnoteRef/>
      </w:r>
      <w:r w:rsidRPr="00CD2DF8">
        <w:rPr>
          <w:szCs w:val="22"/>
        </w:rPr>
        <w:t xml:space="preserve"> </w:t>
      </w:r>
      <w:r w:rsidRPr="00D30D57">
        <w:rPr>
          <w:szCs w:val="22"/>
        </w:rPr>
        <w:t>TURN OB at 18.</w:t>
      </w:r>
    </w:p>
  </w:footnote>
  <w:footnote w:id="68">
    <w:p w14:paraId="00A8C54F" w14:textId="77777777" w:rsidR="00886BA8" w:rsidRPr="00D30D57" w:rsidRDefault="00886BA8" w:rsidP="00886BA8">
      <w:pPr>
        <w:pStyle w:val="FootnoteText"/>
        <w:rPr>
          <w:szCs w:val="22"/>
        </w:rPr>
      </w:pPr>
      <w:r>
        <w:rPr>
          <w:rStyle w:val="FootnoteReference"/>
        </w:rPr>
        <w:footnoteRef/>
      </w:r>
      <w:r>
        <w:t xml:space="preserve"> </w:t>
      </w:r>
      <w:r w:rsidRPr="00D30D57">
        <w:rPr>
          <w:szCs w:val="22"/>
        </w:rPr>
        <w:t xml:space="preserve">Load shedding occurs when the demand for electricity approaches supply and the utility </w:t>
      </w:r>
      <w:r w:rsidR="007C7483">
        <w:rPr>
          <w:szCs w:val="22"/>
        </w:rPr>
        <w:t>is</w:t>
      </w:r>
      <w:r w:rsidRPr="00D30D57">
        <w:rPr>
          <w:szCs w:val="22"/>
        </w:rPr>
        <w:t xml:space="preserve"> forced to reduce power demand by removing some customers to prevent longer, larger outages.  The reduction of power ensures adequate reserve margin and helps prevent a failure of the larger electrical grid.  Ex. Commission-2</w:t>
      </w:r>
      <w:r w:rsidR="006221E1" w:rsidRPr="00D30D57">
        <w:rPr>
          <w:szCs w:val="22"/>
        </w:rPr>
        <w:t xml:space="preserve"> at</w:t>
      </w:r>
      <w:r w:rsidRPr="00D30D57">
        <w:rPr>
          <w:szCs w:val="22"/>
        </w:rPr>
        <w:t xml:space="preserve"> Attachment C </w:t>
      </w:r>
      <w:r w:rsidR="00F80349" w:rsidRPr="00D30D57">
        <w:rPr>
          <w:szCs w:val="22"/>
        </w:rPr>
        <w:t>“The Alberhill System Project Supplement to the Alternatives Screening Report</w:t>
      </w:r>
      <w:r w:rsidR="006221E1" w:rsidRPr="00D30D57">
        <w:rPr>
          <w:szCs w:val="22"/>
        </w:rPr>
        <w:t>,</w:t>
      </w:r>
      <w:r w:rsidR="00F80349" w:rsidRPr="00D30D57">
        <w:rPr>
          <w:szCs w:val="22"/>
        </w:rPr>
        <w:t xml:space="preserve">” </w:t>
      </w:r>
      <w:r w:rsidR="006221E1" w:rsidRPr="00D30D57">
        <w:rPr>
          <w:szCs w:val="22"/>
        </w:rPr>
        <w:t>p.</w:t>
      </w:r>
      <w:r w:rsidRPr="00D30D57">
        <w:rPr>
          <w:szCs w:val="22"/>
        </w:rPr>
        <w:t xml:space="preserve"> 41.</w:t>
      </w:r>
    </w:p>
  </w:footnote>
  <w:footnote w:id="69">
    <w:p w14:paraId="65A61EEB" w14:textId="77777777" w:rsidR="00886BA8" w:rsidRPr="00D30D57" w:rsidRDefault="00886BA8" w:rsidP="00886BA8">
      <w:pPr>
        <w:pStyle w:val="FootnoteText"/>
        <w:rPr>
          <w:szCs w:val="22"/>
        </w:rPr>
      </w:pPr>
      <w:r w:rsidRPr="00D30D57">
        <w:rPr>
          <w:rStyle w:val="FootnoteReference"/>
          <w:szCs w:val="22"/>
        </w:rPr>
        <w:footnoteRef/>
      </w:r>
      <w:r w:rsidRPr="00D30D57">
        <w:rPr>
          <w:szCs w:val="22"/>
        </w:rPr>
        <w:t xml:space="preserve"> SCE OB at 3, 17.</w:t>
      </w:r>
    </w:p>
  </w:footnote>
  <w:footnote w:id="70">
    <w:p w14:paraId="30FD188E" w14:textId="77777777" w:rsidR="00886BA8" w:rsidRPr="00D30D57" w:rsidRDefault="00886BA8" w:rsidP="00886BA8">
      <w:pPr>
        <w:pStyle w:val="FootnoteText"/>
        <w:rPr>
          <w:szCs w:val="22"/>
        </w:rPr>
      </w:pPr>
      <w:r w:rsidRPr="00D30D57">
        <w:rPr>
          <w:rStyle w:val="FootnoteReference"/>
          <w:szCs w:val="22"/>
        </w:rPr>
        <w:footnoteRef/>
      </w:r>
      <w:r w:rsidRPr="00D30D57">
        <w:rPr>
          <w:szCs w:val="22"/>
        </w:rPr>
        <w:t xml:space="preserve"> </w:t>
      </w:r>
      <w:r w:rsidR="009B0C07" w:rsidRPr="00CD2DF8">
        <w:rPr>
          <w:i/>
          <w:iCs/>
          <w:szCs w:val="22"/>
        </w:rPr>
        <w:t>Id</w:t>
      </w:r>
      <w:r w:rsidRPr="00CD2DF8">
        <w:rPr>
          <w:i/>
          <w:iCs/>
          <w:szCs w:val="22"/>
        </w:rPr>
        <w:t>.</w:t>
      </w:r>
    </w:p>
  </w:footnote>
  <w:footnote w:id="71">
    <w:p w14:paraId="78A3D633" w14:textId="77777777" w:rsidR="00886BA8" w:rsidRPr="00D30D57" w:rsidRDefault="00886BA8" w:rsidP="00886BA8">
      <w:pPr>
        <w:pStyle w:val="FootnoteText"/>
        <w:rPr>
          <w:szCs w:val="22"/>
        </w:rPr>
      </w:pPr>
      <w:r>
        <w:rPr>
          <w:rStyle w:val="FootnoteReference"/>
        </w:rPr>
        <w:footnoteRef/>
      </w:r>
      <w:r>
        <w:t xml:space="preserve"> </w:t>
      </w:r>
      <w:r w:rsidRPr="00D30D57">
        <w:rPr>
          <w:szCs w:val="22"/>
        </w:rPr>
        <w:t>SCE Second Amended Motion to Correct Clerical Error in Amended Motion to Supplement the Record, June 22, 2021, Exhibit C-2 at 35 – 36.</w:t>
      </w:r>
    </w:p>
  </w:footnote>
  <w:footnote w:id="72">
    <w:p w14:paraId="405D61D5" w14:textId="77777777" w:rsidR="00D43E6F" w:rsidRPr="00D30D57" w:rsidRDefault="00D43E6F" w:rsidP="00D43E6F">
      <w:pPr>
        <w:pStyle w:val="FootnoteText"/>
        <w:rPr>
          <w:szCs w:val="22"/>
        </w:rPr>
      </w:pPr>
      <w:r w:rsidRPr="00D30D57">
        <w:rPr>
          <w:rStyle w:val="FootnoteReference"/>
          <w:szCs w:val="22"/>
        </w:rPr>
        <w:footnoteRef/>
      </w:r>
      <w:r w:rsidRPr="00D30D57">
        <w:rPr>
          <w:szCs w:val="22"/>
        </w:rPr>
        <w:t xml:space="preserve"> </w:t>
      </w:r>
      <w:r w:rsidR="00F80349" w:rsidRPr="00CD2DF8">
        <w:rPr>
          <w:i/>
          <w:iCs/>
          <w:szCs w:val="22"/>
        </w:rPr>
        <w:t>Id.</w:t>
      </w:r>
      <w:r w:rsidRPr="00D30D57">
        <w:rPr>
          <w:szCs w:val="22"/>
        </w:rPr>
        <w:t>, Exhibit C-2 at 9, 32.</w:t>
      </w:r>
    </w:p>
  </w:footnote>
  <w:footnote w:id="73">
    <w:p w14:paraId="597EF33B" w14:textId="77777777" w:rsidR="007E77C8" w:rsidRPr="00D30D57" w:rsidRDefault="007E77C8">
      <w:pPr>
        <w:pStyle w:val="FootnoteText"/>
        <w:rPr>
          <w:szCs w:val="22"/>
        </w:rPr>
      </w:pPr>
      <w:r w:rsidRPr="00D30D57">
        <w:rPr>
          <w:rStyle w:val="FootnoteReference"/>
          <w:szCs w:val="22"/>
        </w:rPr>
        <w:footnoteRef/>
      </w:r>
      <w:r w:rsidRPr="00D30D57">
        <w:rPr>
          <w:szCs w:val="22"/>
        </w:rPr>
        <w:t xml:space="preserve"> SCE OB at 21; </w:t>
      </w:r>
      <w:r w:rsidR="00713029">
        <w:rPr>
          <w:i/>
          <w:iCs/>
          <w:szCs w:val="22"/>
        </w:rPr>
        <w:t xml:space="preserve">see also </w:t>
      </w:r>
      <w:r w:rsidRPr="00D30D57">
        <w:rPr>
          <w:szCs w:val="22"/>
        </w:rPr>
        <w:t>SCE RB at 8.</w:t>
      </w:r>
    </w:p>
  </w:footnote>
  <w:footnote w:id="74">
    <w:p w14:paraId="764609E1" w14:textId="77777777" w:rsidR="00886BA8" w:rsidRPr="00D30D57" w:rsidRDefault="00886BA8" w:rsidP="00886BA8">
      <w:pPr>
        <w:pStyle w:val="FootnoteText"/>
        <w:rPr>
          <w:szCs w:val="22"/>
        </w:rPr>
      </w:pPr>
      <w:r w:rsidRPr="00D30D57">
        <w:rPr>
          <w:rStyle w:val="FootnoteReference"/>
          <w:szCs w:val="22"/>
        </w:rPr>
        <w:footnoteRef/>
      </w:r>
      <w:r w:rsidRPr="00D30D57">
        <w:rPr>
          <w:szCs w:val="22"/>
        </w:rPr>
        <w:t xml:space="preserve"> SCE O</w:t>
      </w:r>
      <w:r w:rsidR="003D0D83" w:rsidRPr="00D30D57">
        <w:rPr>
          <w:szCs w:val="22"/>
        </w:rPr>
        <w:t>B</w:t>
      </w:r>
      <w:r w:rsidRPr="00D30D57">
        <w:rPr>
          <w:szCs w:val="22"/>
        </w:rPr>
        <w:t xml:space="preserve"> at 18.</w:t>
      </w:r>
    </w:p>
  </w:footnote>
  <w:footnote w:id="75">
    <w:p w14:paraId="77F5E8B5" w14:textId="77777777" w:rsidR="008B7CDC" w:rsidRDefault="008B7CDC">
      <w:pPr>
        <w:pStyle w:val="FootnoteText"/>
      </w:pPr>
      <w:r w:rsidRPr="00D30D57">
        <w:rPr>
          <w:rStyle w:val="FootnoteReference"/>
          <w:szCs w:val="22"/>
        </w:rPr>
        <w:footnoteRef/>
      </w:r>
      <w:r w:rsidRPr="00D30D57">
        <w:rPr>
          <w:szCs w:val="22"/>
        </w:rPr>
        <w:t xml:space="preserve"> D.18-08-026 at 36</w:t>
      </w:r>
      <w:r w:rsidR="00F933AB" w:rsidRPr="00D30D57">
        <w:rPr>
          <w:szCs w:val="22"/>
        </w:rPr>
        <w:t xml:space="preserve">; </w:t>
      </w:r>
      <w:r w:rsidR="00F933AB" w:rsidRPr="00CD2DF8">
        <w:rPr>
          <w:i/>
          <w:iCs/>
          <w:szCs w:val="22"/>
        </w:rPr>
        <w:t>see</w:t>
      </w:r>
      <w:r w:rsidR="00F933AB" w:rsidRPr="00D30D57">
        <w:rPr>
          <w:szCs w:val="22"/>
        </w:rPr>
        <w:t xml:space="preserve"> TURN OB at 2.</w:t>
      </w:r>
    </w:p>
  </w:footnote>
  <w:footnote w:id="76">
    <w:p w14:paraId="2FED5E38" w14:textId="77777777" w:rsidR="00D3367C" w:rsidRPr="002E0A70" w:rsidRDefault="00D3367C" w:rsidP="00D3367C">
      <w:pPr>
        <w:pStyle w:val="FootnoteText"/>
        <w:rPr>
          <w:szCs w:val="22"/>
        </w:rPr>
      </w:pPr>
      <w:r w:rsidRPr="002E0A70">
        <w:rPr>
          <w:rStyle w:val="FootnoteReference"/>
          <w:szCs w:val="22"/>
        </w:rPr>
        <w:footnoteRef/>
      </w:r>
      <w:r w:rsidRPr="002E0A70">
        <w:rPr>
          <w:szCs w:val="22"/>
        </w:rPr>
        <w:t xml:space="preserve"> Transformer ratings are typically provided in mega volt-amperes (MVA) while loading conditions are typically provided in mega-watts (MW).  For simplicity, throughout this document MW are used as the two units can be used interchangeably for this purpose.</w:t>
      </w:r>
    </w:p>
  </w:footnote>
  <w:footnote w:id="77">
    <w:p w14:paraId="40444490" w14:textId="77777777" w:rsidR="00A75C32" w:rsidRDefault="00A75C32" w:rsidP="00A75C32">
      <w:pPr>
        <w:pStyle w:val="FootnoteText"/>
      </w:pPr>
      <w:r w:rsidRPr="002E0A70">
        <w:rPr>
          <w:rStyle w:val="FootnoteReference"/>
          <w:szCs w:val="22"/>
        </w:rPr>
        <w:footnoteRef/>
      </w:r>
      <w:r w:rsidRPr="002E0A70">
        <w:rPr>
          <w:szCs w:val="22"/>
        </w:rPr>
        <w:t xml:space="preserve"> </w:t>
      </w:r>
      <w:r w:rsidR="00F80349">
        <w:rPr>
          <w:szCs w:val="22"/>
        </w:rPr>
        <w:t xml:space="preserve">Ex. </w:t>
      </w:r>
      <w:r w:rsidRPr="002E0A70">
        <w:rPr>
          <w:szCs w:val="22"/>
        </w:rPr>
        <w:t xml:space="preserve">SCE-8 </w:t>
      </w:r>
      <w:r w:rsidR="00FD4DE7">
        <w:rPr>
          <w:szCs w:val="22"/>
        </w:rPr>
        <w:t xml:space="preserve">at </w:t>
      </w:r>
      <w:r w:rsidRPr="002E0A70">
        <w:rPr>
          <w:szCs w:val="22"/>
        </w:rPr>
        <w:t>11:8 – 11:13.  SCE’s transformer loading limits are established consistent with the intent and methodology in industry standards (IEEE Standard C57.91-2011 and IEC 60076</w:t>
      </w:r>
      <w:r w:rsidR="002E0A70" w:rsidRPr="002E0A70">
        <w:rPr>
          <w:szCs w:val="22"/>
        </w:rPr>
        <w:noBreakHyphen/>
      </w:r>
      <w:r w:rsidRPr="002E0A70">
        <w:rPr>
          <w:szCs w:val="22"/>
        </w:rPr>
        <w:t>7</w:t>
      </w:r>
      <w:r w:rsidR="002E0A70" w:rsidRPr="002E0A70">
        <w:rPr>
          <w:szCs w:val="22"/>
        </w:rPr>
        <w:noBreakHyphen/>
      </w:r>
      <w:r w:rsidRPr="002E0A70">
        <w:rPr>
          <w:szCs w:val="22"/>
        </w:rPr>
        <w:t>2017) to protect the transformers from accelerated degradation and catastrophic failure.  Ex. Commission-2</w:t>
      </w:r>
      <w:r w:rsidR="006221E1">
        <w:rPr>
          <w:szCs w:val="22"/>
        </w:rPr>
        <w:t xml:space="preserve"> at</w:t>
      </w:r>
      <w:r w:rsidRPr="002E0A70">
        <w:rPr>
          <w:szCs w:val="22"/>
        </w:rPr>
        <w:t xml:space="preserve"> Attachment C</w:t>
      </w:r>
      <w:r w:rsidR="00F80349">
        <w:rPr>
          <w:szCs w:val="22"/>
        </w:rPr>
        <w:t xml:space="preserve"> “</w:t>
      </w:r>
      <w:r w:rsidR="00F80349" w:rsidRPr="00F80349">
        <w:rPr>
          <w:szCs w:val="22"/>
        </w:rPr>
        <w:t>The Alberhill System Project Supplement to the Alternatives Screening Report</w:t>
      </w:r>
      <w:r w:rsidR="006221E1">
        <w:rPr>
          <w:szCs w:val="22"/>
        </w:rPr>
        <w:t>,</w:t>
      </w:r>
      <w:r w:rsidR="00F80349">
        <w:rPr>
          <w:szCs w:val="22"/>
        </w:rPr>
        <w:t>”</w:t>
      </w:r>
      <w:r w:rsidRPr="002E0A70">
        <w:rPr>
          <w:szCs w:val="22"/>
        </w:rPr>
        <w:t xml:space="preserve"> </w:t>
      </w:r>
      <w:r w:rsidR="006221E1">
        <w:rPr>
          <w:szCs w:val="22"/>
        </w:rPr>
        <w:t>p.</w:t>
      </w:r>
      <w:r w:rsidRPr="002E0A70">
        <w:rPr>
          <w:szCs w:val="22"/>
        </w:rPr>
        <w:t xml:space="preserve"> 40, fn 5.</w:t>
      </w:r>
    </w:p>
  </w:footnote>
  <w:footnote w:id="78">
    <w:p w14:paraId="16072753" w14:textId="77777777" w:rsidR="00936A9C" w:rsidRDefault="00936A9C">
      <w:pPr>
        <w:pStyle w:val="FootnoteText"/>
      </w:pPr>
      <w:r>
        <w:rPr>
          <w:rStyle w:val="FootnoteReference"/>
        </w:rPr>
        <w:footnoteRef/>
      </w:r>
      <w:r>
        <w:t xml:space="preserve"> Commission Exhibit 2</w:t>
      </w:r>
      <w:r w:rsidR="006221E1">
        <w:t xml:space="preserve"> at </w:t>
      </w:r>
      <w:r>
        <w:t>Attachment C “the Alberhill System Project Supplement to the Alternatives Screening Report</w:t>
      </w:r>
      <w:r w:rsidR="006221E1">
        <w:t>,</w:t>
      </w:r>
      <w:r>
        <w:t xml:space="preserve">” </w:t>
      </w:r>
      <w:r w:rsidR="006221E1">
        <w:t xml:space="preserve">p. </w:t>
      </w:r>
      <w:r>
        <w:t>7, Table 1.</w:t>
      </w:r>
    </w:p>
  </w:footnote>
  <w:footnote w:id="79">
    <w:p w14:paraId="2B7C5AEB" w14:textId="77777777" w:rsidR="004F5CD9" w:rsidRDefault="004F5CD9">
      <w:pPr>
        <w:pStyle w:val="FootnoteText"/>
      </w:pPr>
      <w:r>
        <w:rPr>
          <w:rStyle w:val="FootnoteReference"/>
        </w:rPr>
        <w:footnoteRef/>
      </w:r>
      <w:r>
        <w:t xml:space="preserve"> Tie – line</w:t>
      </w:r>
      <w:r w:rsidR="007B6010">
        <w:t xml:space="preserve"> is a transmission line connecting two or more power systems</w:t>
      </w:r>
      <w:r>
        <w:t>.</w:t>
      </w:r>
      <w:r w:rsidR="007B6010">
        <w:t xml:space="preserve"> </w:t>
      </w:r>
    </w:p>
  </w:footnote>
  <w:footnote w:id="80">
    <w:p w14:paraId="5CB8B2F3" w14:textId="77777777" w:rsidR="00102CA7" w:rsidRDefault="00102CA7">
      <w:pPr>
        <w:pStyle w:val="FootnoteText"/>
      </w:pPr>
      <w:r>
        <w:rPr>
          <w:rStyle w:val="FootnoteReference"/>
        </w:rPr>
        <w:footnoteRef/>
      </w:r>
      <w:r>
        <w:t xml:space="preserve"> SCE O</w:t>
      </w:r>
      <w:r w:rsidR="00FD4DE7">
        <w:t>B</w:t>
      </w:r>
      <w:r>
        <w:t xml:space="preserve"> at 15.</w:t>
      </w:r>
    </w:p>
  </w:footnote>
  <w:footnote w:id="81">
    <w:p w14:paraId="34B5FC5B" w14:textId="77777777" w:rsidR="00A43F1D" w:rsidRDefault="00A43F1D">
      <w:pPr>
        <w:pStyle w:val="FootnoteText"/>
      </w:pPr>
      <w:r>
        <w:rPr>
          <w:rStyle w:val="FootnoteReference"/>
        </w:rPr>
        <w:footnoteRef/>
      </w:r>
      <w:r>
        <w:t xml:space="preserve"> </w:t>
      </w:r>
      <w:r w:rsidR="008F4C9D" w:rsidRPr="00CD2DF8">
        <w:rPr>
          <w:i/>
          <w:iCs/>
        </w:rPr>
        <w:t>Id.</w:t>
      </w:r>
      <w:r>
        <w:t xml:space="preserve"> </w:t>
      </w:r>
    </w:p>
  </w:footnote>
  <w:footnote w:id="82">
    <w:p w14:paraId="449EEE00" w14:textId="77777777" w:rsidR="001A71ED" w:rsidRDefault="001A71ED" w:rsidP="001A71ED">
      <w:pPr>
        <w:pStyle w:val="FootnoteText"/>
      </w:pPr>
      <w:r>
        <w:rPr>
          <w:rStyle w:val="FootnoteReference"/>
        </w:rPr>
        <w:footnoteRef/>
      </w:r>
      <w:r>
        <w:t xml:space="preserve"> D.18-08-026 </w:t>
      </w:r>
      <w:r w:rsidR="006970FD">
        <w:t>at 31,</w:t>
      </w:r>
      <w:r w:rsidR="008F4C9D">
        <w:t xml:space="preserve"> </w:t>
      </w:r>
      <w:r>
        <w:t>FOF 20.</w:t>
      </w:r>
    </w:p>
  </w:footnote>
  <w:footnote w:id="83">
    <w:p w14:paraId="201D3FA8" w14:textId="77777777" w:rsidR="001A71ED" w:rsidRDefault="001A71ED" w:rsidP="001A71ED">
      <w:pPr>
        <w:pStyle w:val="FootnoteText"/>
      </w:pPr>
      <w:r>
        <w:rPr>
          <w:rStyle w:val="FootnoteReference"/>
        </w:rPr>
        <w:footnoteRef/>
      </w:r>
      <w:r>
        <w:t xml:space="preserve"> </w:t>
      </w:r>
      <w:r w:rsidR="00F80349" w:rsidRPr="00CD2DF8">
        <w:rPr>
          <w:i/>
          <w:iCs/>
        </w:rPr>
        <w:t>Id.</w:t>
      </w:r>
      <w:r w:rsidR="00347101">
        <w:rPr>
          <w:i/>
          <w:iCs/>
        </w:rPr>
        <w:t xml:space="preserve"> </w:t>
      </w:r>
      <w:r w:rsidR="00347101">
        <w:t xml:space="preserve">at </w:t>
      </w:r>
      <w:r>
        <w:t>FOF 21.</w:t>
      </w:r>
    </w:p>
  </w:footnote>
  <w:footnote w:id="84">
    <w:p w14:paraId="1D1FD8B7" w14:textId="77777777" w:rsidR="001A71ED" w:rsidRPr="00D30D57" w:rsidRDefault="001A71ED" w:rsidP="001A71ED">
      <w:pPr>
        <w:pStyle w:val="FootnoteText"/>
        <w:rPr>
          <w:szCs w:val="22"/>
        </w:rPr>
      </w:pPr>
      <w:r>
        <w:rPr>
          <w:rStyle w:val="FootnoteReference"/>
        </w:rPr>
        <w:footnoteRef/>
      </w:r>
      <w:r>
        <w:t xml:space="preserve"> </w:t>
      </w:r>
      <w:r w:rsidRPr="00D30D57">
        <w:rPr>
          <w:szCs w:val="22"/>
        </w:rPr>
        <w:t>SCE O</w:t>
      </w:r>
      <w:r w:rsidR="003D0D83" w:rsidRPr="00D30D57">
        <w:rPr>
          <w:szCs w:val="22"/>
        </w:rPr>
        <w:t>B</w:t>
      </w:r>
      <w:r w:rsidRPr="00D30D57">
        <w:rPr>
          <w:szCs w:val="22"/>
        </w:rPr>
        <w:t xml:space="preserve"> at 15; SCE’s Motion to Supplement the Record in Compliance with </w:t>
      </w:r>
      <w:r w:rsidR="0047207B" w:rsidRPr="00D30D57">
        <w:rPr>
          <w:szCs w:val="22"/>
        </w:rPr>
        <w:t>E-mail</w:t>
      </w:r>
      <w:r w:rsidRPr="00D30D57">
        <w:rPr>
          <w:szCs w:val="22"/>
        </w:rPr>
        <w:t xml:space="preserve"> Ruling, May 11, 2020, Attachment A (Item A), includes revised load forecasts from April</w:t>
      </w:r>
      <w:r w:rsidR="00A75C32" w:rsidRPr="00D30D57">
        <w:rPr>
          <w:szCs w:val="22"/>
        </w:rPr>
        <w:t> </w:t>
      </w:r>
      <w:r w:rsidRPr="00D30D57">
        <w:rPr>
          <w:szCs w:val="22"/>
        </w:rPr>
        <w:t>27,</w:t>
      </w:r>
      <w:r w:rsidR="00A75C32" w:rsidRPr="00D30D57">
        <w:rPr>
          <w:szCs w:val="22"/>
        </w:rPr>
        <w:t> </w:t>
      </w:r>
      <w:r w:rsidRPr="00D30D57">
        <w:rPr>
          <w:szCs w:val="22"/>
        </w:rPr>
        <w:t>2020</w:t>
      </w:r>
      <w:r w:rsidR="00A75C32" w:rsidRPr="00D30D57">
        <w:rPr>
          <w:szCs w:val="22"/>
        </w:rPr>
        <w:t>,</w:t>
      </w:r>
      <w:r w:rsidRPr="00D30D57">
        <w:rPr>
          <w:szCs w:val="22"/>
        </w:rPr>
        <w:t xml:space="preserve"> and May 6, 2020.</w:t>
      </w:r>
    </w:p>
  </w:footnote>
  <w:footnote w:id="85">
    <w:p w14:paraId="69C99F4C" w14:textId="77777777" w:rsidR="002F3FC0" w:rsidRPr="00D30D57" w:rsidRDefault="002F3FC0" w:rsidP="002F3FC0">
      <w:pPr>
        <w:pStyle w:val="FootnoteText"/>
        <w:rPr>
          <w:szCs w:val="22"/>
        </w:rPr>
      </w:pPr>
      <w:r w:rsidRPr="00D30D57">
        <w:rPr>
          <w:rStyle w:val="FootnoteReference"/>
          <w:szCs w:val="22"/>
        </w:rPr>
        <w:footnoteRef/>
      </w:r>
      <w:r w:rsidRPr="00D30D57">
        <w:rPr>
          <w:szCs w:val="22"/>
        </w:rPr>
        <w:t xml:space="preserve"> </w:t>
      </w:r>
      <w:r w:rsidR="003D0D83" w:rsidRPr="00D30D57">
        <w:rPr>
          <w:szCs w:val="22"/>
        </w:rPr>
        <w:t xml:space="preserve">Ex. </w:t>
      </w:r>
      <w:r w:rsidRPr="00D30D57">
        <w:rPr>
          <w:szCs w:val="22"/>
        </w:rPr>
        <w:t>SCE-8 at 5:10</w:t>
      </w:r>
      <w:r w:rsidR="003D0D83" w:rsidRPr="00D30D57">
        <w:rPr>
          <w:szCs w:val="22"/>
        </w:rPr>
        <w:t xml:space="preserve"> - 5:</w:t>
      </w:r>
      <w:r w:rsidRPr="00D30D57">
        <w:rPr>
          <w:szCs w:val="22"/>
        </w:rPr>
        <w:t>1</w:t>
      </w:r>
      <w:r w:rsidR="003D0D83" w:rsidRPr="00D30D57">
        <w:rPr>
          <w:szCs w:val="22"/>
        </w:rPr>
        <w:t>1</w:t>
      </w:r>
      <w:r w:rsidR="00D069C8" w:rsidRPr="00D30D57">
        <w:rPr>
          <w:szCs w:val="22"/>
        </w:rPr>
        <w:t>; 30:18 – 30:19</w:t>
      </w:r>
      <w:r w:rsidR="003D0D83" w:rsidRPr="00D30D57">
        <w:rPr>
          <w:szCs w:val="22"/>
        </w:rPr>
        <w:t>.</w:t>
      </w:r>
    </w:p>
  </w:footnote>
  <w:footnote w:id="86">
    <w:p w14:paraId="76F11700" w14:textId="77777777" w:rsidR="007A6F99" w:rsidRPr="00D30D57" w:rsidRDefault="007A6F99" w:rsidP="007A6F99">
      <w:pPr>
        <w:pStyle w:val="FootnoteText"/>
        <w:rPr>
          <w:szCs w:val="22"/>
        </w:rPr>
      </w:pPr>
      <w:r w:rsidRPr="00D30D57">
        <w:rPr>
          <w:rStyle w:val="FootnoteReference"/>
          <w:szCs w:val="22"/>
        </w:rPr>
        <w:footnoteRef/>
      </w:r>
      <w:r w:rsidRPr="00D30D57">
        <w:rPr>
          <w:szCs w:val="22"/>
        </w:rPr>
        <w:t xml:space="preserve"> SCE O</w:t>
      </w:r>
      <w:r w:rsidR="00CA3397" w:rsidRPr="00D30D57">
        <w:rPr>
          <w:szCs w:val="22"/>
        </w:rPr>
        <w:t xml:space="preserve">B </w:t>
      </w:r>
      <w:r w:rsidRPr="00D30D57">
        <w:rPr>
          <w:szCs w:val="22"/>
        </w:rPr>
        <w:t>at 15.</w:t>
      </w:r>
    </w:p>
  </w:footnote>
  <w:footnote w:id="87">
    <w:p w14:paraId="1A0C4686" w14:textId="77777777" w:rsidR="00B01660" w:rsidRPr="00D30D57" w:rsidRDefault="00B01660">
      <w:pPr>
        <w:pStyle w:val="FootnoteText"/>
        <w:rPr>
          <w:szCs w:val="22"/>
        </w:rPr>
      </w:pPr>
      <w:r w:rsidRPr="00D30D57">
        <w:rPr>
          <w:rStyle w:val="FootnoteReference"/>
          <w:szCs w:val="22"/>
        </w:rPr>
        <w:footnoteRef/>
      </w:r>
      <w:r w:rsidRPr="00D30D57">
        <w:rPr>
          <w:szCs w:val="22"/>
        </w:rPr>
        <w:t xml:space="preserve"> </w:t>
      </w:r>
      <w:r w:rsidR="00347101" w:rsidRPr="00CD2DF8">
        <w:rPr>
          <w:i/>
          <w:iCs/>
          <w:szCs w:val="22"/>
        </w:rPr>
        <w:t>Id.</w:t>
      </w:r>
      <w:r w:rsidRPr="00D30D57">
        <w:rPr>
          <w:szCs w:val="22"/>
        </w:rPr>
        <w:t xml:space="preserve"> at 16.</w:t>
      </w:r>
    </w:p>
  </w:footnote>
  <w:footnote w:id="88">
    <w:p w14:paraId="63FA4F54" w14:textId="77777777" w:rsidR="005C32FA" w:rsidRPr="00D30D57" w:rsidRDefault="005C32FA">
      <w:pPr>
        <w:pStyle w:val="FootnoteText"/>
        <w:rPr>
          <w:szCs w:val="22"/>
        </w:rPr>
      </w:pPr>
      <w:r w:rsidRPr="00D30D57">
        <w:rPr>
          <w:rStyle w:val="FootnoteReference"/>
          <w:szCs w:val="22"/>
        </w:rPr>
        <w:footnoteRef/>
      </w:r>
      <w:r w:rsidRPr="00D30D57">
        <w:rPr>
          <w:szCs w:val="22"/>
        </w:rPr>
        <w:t xml:space="preserve"> </w:t>
      </w:r>
      <w:r w:rsidR="00C90645" w:rsidRPr="00D30D57">
        <w:rPr>
          <w:szCs w:val="22"/>
        </w:rPr>
        <w:t>SCE Second Amended Motion to Correct Clerical Error in Amended Motion to Supplement the Record, June 22, 2021</w:t>
      </w:r>
      <w:r w:rsidR="00347101" w:rsidRPr="00D30D57">
        <w:rPr>
          <w:szCs w:val="22"/>
        </w:rPr>
        <w:t>;</w:t>
      </w:r>
      <w:r w:rsidR="00C90645" w:rsidRPr="00D30D57">
        <w:rPr>
          <w:szCs w:val="22"/>
        </w:rPr>
        <w:t xml:space="preserve"> Ex</w:t>
      </w:r>
      <w:r w:rsidR="00CA3397" w:rsidRPr="00D30D57">
        <w:rPr>
          <w:szCs w:val="22"/>
        </w:rPr>
        <w:t>.</w:t>
      </w:r>
      <w:r w:rsidR="00C90645" w:rsidRPr="00D30D57">
        <w:rPr>
          <w:szCs w:val="22"/>
        </w:rPr>
        <w:t xml:space="preserve"> C</w:t>
      </w:r>
      <w:r w:rsidR="00CA3397" w:rsidRPr="00D30D57">
        <w:rPr>
          <w:szCs w:val="22"/>
        </w:rPr>
        <w:t>ommission</w:t>
      </w:r>
      <w:r w:rsidR="00C90645" w:rsidRPr="00D30D57">
        <w:rPr>
          <w:szCs w:val="22"/>
        </w:rPr>
        <w:t>-2</w:t>
      </w:r>
      <w:r w:rsidR="00CA3397" w:rsidRPr="00D30D57">
        <w:rPr>
          <w:szCs w:val="22"/>
        </w:rPr>
        <w:t xml:space="preserve"> </w:t>
      </w:r>
      <w:r w:rsidR="00C90645" w:rsidRPr="00D30D57">
        <w:rPr>
          <w:szCs w:val="22"/>
        </w:rPr>
        <w:t>at 9</w:t>
      </w:r>
      <w:r w:rsidR="00CA3397" w:rsidRPr="00D30D57">
        <w:rPr>
          <w:szCs w:val="22"/>
        </w:rPr>
        <w:t>.</w:t>
      </w:r>
    </w:p>
  </w:footnote>
  <w:footnote w:id="89">
    <w:p w14:paraId="14C242C1" w14:textId="77777777" w:rsidR="00B01660" w:rsidRPr="00D30D57" w:rsidRDefault="00B01660">
      <w:pPr>
        <w:pStyle w:val="FootnoteText"/>
        <w:rPr>
          <w:szCs w:val="22"/>
        </w:rPr>
      </w:pPr>
      <w:r w:rsidRPr="00D30D57">
        <w:rPr>
          <w:rStyle w:val="FootnoteReference"/>
          <w:szCs w:val="22"/>
        </w:rPr>
        <w:footnoteRef/>
      </w:r>
      <w:r w:rsidRPr="00D30D57">
        <w:rPr>
          <w:szCs w:val="22"/>
        </w:rPr>
        <w:t xml:space="preserve"> SCE O</w:t>
      </w:r>
      <w:r w:rsidR="00CA3397" w:rsidRPr="00D30D57">
        <w:rPr>
          <w:szCs w:val="22"/>
        </w:rPr>
        <w:t>B</w:t>
      </w:r>
      <w:r w:rsidRPr="00D30D57">
        <w:rPr>
          <w:szCs w:val="22"/>
        </w:rPr>
        <w:t xml:space="preserve"> at 16.</w:t>
      </w:r>
    </w:p>
  </w:footnote>
  <w:footnote w:id="90">
    <w:p w14:paraId="7B87958A" w14:textId="77777777" w:rsidR="0059285D" w:rsidRPr="00D30D57" w:rsidRDefault="0059285D" w:rsidP="0059285D">
      <w:pPr>
        <w:pStyle w:val="FootnoteText"/>
        <w:rPr>
          <w:szCs w:val="22"/>
        </w:rPr>
      </w:pPr>
      <w:r w:rsidRPr="00D30D57">
        <w:rPr>
          <w:rStyle w:val="FootnoteReference"/>
          <w:szCs w:val="22"/>
        </w:rPr>
        <w:footnoteRef/>
      </w:r>
      <w:r w:rsidRPr="00D30D57">
        <w:rPr>
          <w:szCs w:val="22"/>
        </w:rPr>
        <w:t xml:space="preserve"> SCE Second Amended Motion to Correct Clerical Error in Amended Motion to Supplement the Record, June 22, 2021, </w:t>
      </w:r>
      <w:r w:rsidR="00347101" w:rsidRPr="00D30D57">
        <w:rPr>
          <w:szCs w:val="22"/>
        </w:rPr>
        <w:t xml:space="preserve">Exhibit </w:t>
      </w:r>
      <w:r w:rsidRPr="00D30D57">
        <w:rPr>
          <w:szCs w:val="22"/>
        </w:rPr>
        <w:t>C-2 at 9.</w:t>
      </w:r>
    </w:p>
  </w:footnote>
  <w:footnote w:id="91">
    <w:p w14:paraId="1B80CE83" w14:textId="77777777" w:rsidR="00CF05D4" w:rsidRPr="00D30D57" w:rsidRDefault="00CF05D4" w:rsidP="00CF05D4">
      <w:pPr>
        <w:pStyle w:val="FootnoteText"/>
        <w:rPr>
          <w:szCs w:val="22"/>
        </w:rPr>
      </w:pPr>
      <w:r>
        <w:rPr>
          <w:rStyle w:val="FootnoteReference"/>
        </w:rPr>
        <w:footnoteRef/>
      </w:r>
      <w:r>
        <w:t xml:space="preserve"> </w:t>
      </w:r>
      <w:r w:rsidR="00BC08C1" w:rsidRPr="00D30D57">
        <w:rPr>
          <w:szCs w:val="22"/>
        </w:rPr>
        <w:t xml:space="preserve">Ex. </w:t>
      </w:r>
      <w:r w:rsidRPr="00D30D57">
        <w:rPr>
          <w:szCs w:val="22"/>
        </w:rPr>
        <w:t>Commission</w:t>
      </w:r>
      <w:r w:rsidR="00BC08C1" w:rsidRPr="00D30D57">
        <w:rPr>
          <w:szCs w:val="22"/>
        </w:rPr>
        <w:t>-</w:t>
      </w:r>
      <w:r w:rsidRPr="00D30D57">
        <w:rPr>
          <w:szCs w:val="22"/>
        </w:rPr>
        <w:t>2</w:t>
      </w:r>
      <w:r w:rsidR="00C014DE" w:rsidRPr="00D30D57">
        <w:rPr>
          <w:szCs w:val="22"/>
        </w:rPr>
        <w:t xml:space="preserve"> at </w:t>
      </w:r>
      <w:r w:rsidR="00BC08C1" w:rsidRPr="00D30D57">
        <w:rPr>
          <w:szCs w:val="22"/>
        </w:rPr>
        <w:t>Attachment C “The Alberhill System Project Supplement to the Alternatives Screening Report</w:t>
      </w:r>
      <w:r w:rsidR="00C014DE" w:rsidRPr="00D30D57">
        <w:rPr>
          <w:szCs w:val="22"/>
        </w:rPr>
        <w:t>,</w:t>
      </w:r>
      <w:r w:rsidR="00BC08C1" w:rsidRPr="00D30D57">
        <w:rPr>
          <w:szCs w:val="22"/>
        </w:rPr>
        <w:t>”</w:t>
      </w:r>
      <w:r w:rsidRPr="00D30D57">
        <w:rPr>
          <w:szCs w:val="22"/>
        </w:rPr>
        <w:t xml:space="preserve"> </w:t>
      </w:r>
      <w:r w:rsidR="00C014DE" w:rsidRPr="00D30D57">
        <w:rPr>
          <w:szCs w:val="22"/>
        </w:rPr>
        <w:t>p.</w:t>
      </w:r>
      <w:r w:rsidRPr="00D30D57">
        <w:rPr>
          <w:szCs w:val="22"/>
        </w:rPr>
        <w:t xml:space="preserve"> 7</w:t>
      </w:r>
      <w:r w:rsidR="00C014DE" w:rsidRPr="00D30D57">
        <w:rPr>
          <w:szCs w:val="22"/>
        </w:rPr>
        <w:t xml:space="preserve"> – </w:t>
      </w:r>
      <w:r w:rsidRPr="00D30D57">
        <w:rPr>
          <w:szCs w:val="22"/>
        </w:rPr>
        <w:t>8</w:t>
      </w:r>
      <w:r w:rsidR="005C32FA" w:rsidRPr="00D30D57">
        <w:rPr>
          <w:szCs w:val="22"/>
        </w:rPr>
        <w:t>.</w:t>
      </w:r>
    </w:p>
  </w:footnote>
  <w:footnote w:id="92">
    <w:p w14:paraId="377F4956" w14:textId="77777777" w:rsidR="000B64F4" w:rsidRPr="00D30D57" w:rsidRDefault="000B64F4">
      <w:pPr>
        <w:pStyle w:val="FootnoteText"/>
        <w:rPr>
          <w:szCs w:val="22"/>
        </w:rPr>
      </w:pPr>
      <w:r w:rsidRPr="00D30D57">
        <w:rPr>
          <w:rStyle w:val="FootnoteReference"/>
          <w:szCs w:val="22"/>
        </w:rPr>
        <w:footnoteRef/>
      </w:r>
      <w:r w:rsidRPr="00D30D57">
        <w:rPr>
          <w:szCs w:val="22"/>
        </w:rPr>
        <w:t xml:space="preserve"> TURN OB at 17.</w:t>
      </w:r>
    </w:p>
  </w:footnote>
  <w:footnote w:id="93">
    <w:p w14:paraId="292D489A" w14:textId="77777777" w:rsidR="007D3AE9" w:rsidRPr="00D30D57" w:rsidRDefault="007D3AE9">
      <w:pPr>
        <w:pStyle w:val="FootnoteText"/>
        <w:rPr>
          <w:szCs w:val="22"/>
        </w:rPr>
      </w:pPr>
      <w:r w:rsidRPr="00D30D57">
        <w:rPr>
          <w:rStyle w:val="FootnoteReference"/>
          <w:szCs w:val="22"/>
        </w:rPr>
        <w:footnoteRef/>
      </w:r>
      <w:r w:rsidRPr="00D30D57">
        <w:rPr>
          <w:szCs w:val="22"/>
        </w:rPr>
        <w:t xml:space="preserve"> </w:t>
      </w:r>
      <w:r w:rsidR="00CA3397" w:rsidRPr="00CD2DF8">
        <w:rPr>
          <w:i/>
          <w:iCs/>
          <w:szCs w:val="22"/>
        </w:rPr>
        <w:t>Id.</w:t>
      </w:r>
      <w:r w:rsidRPr="00D30D57">
        <w:rPr>
          <w:szCs w:val="22"/>
        </w:rPr>
        <w:t xml:space="preserve"> at 19–2</w:t>
      </w:r>
      <w:r w:rsidR="00BC08C1" w:rsidRPr="00D30D57">
        <w:rPr>
          <w:szCs w:val="22"/>
        </w:rPr>
        <w:t>0</w:t>
      </w:r>
      <w:r w:rsidRPr="00D30D57">
        <w:rPr>
          <w:szCs w:val="22"/>
        </w:rPr>
        <w:t>.</w:t>
      </w:r>
    </w:p>
  </w:footnote>
  <w:footnote w:id="94">
    <w:p w14:paraId="4947060D" w14:textId="77777777" w:rsidR="007D3AE9" w:rsidRPr="00D30D57" w:rsidRDefault="007D3AE9">
      <w:pPr>
        <w:pStyle w:val="FootnoteText"/>
        <w:rPr>
          <w:szCs w:val="22"/>
        </w:rPr>
      </w:pPr>
      <w:r w:rsidRPr="00D30D57">
        <w:rPr>
          <w:rStyle w:val="FootnoteReference"/>
          <w:szCs w:val="22"/>
        </w:rPr>
        <w:footnoteRef/>
      </w:r>
      <w:r w:rsidR="00030843">
        <w:rPr>
          <w:szCs w:val="22"/>
        </w:rPr>
        <w:t xml:space="preserve"> </w:t>
      </w:r>
      <w:r w:rsidR="00030843" w:rsidRPr="00124DC5">
        <w:rPr>
          <w:i/>
          <w:iCs/>
          <w:szCs w:val="22"/>
        </w:rPr>
        <w:t>Id.</w:t>
      </w:r>
      <w:r w:rsidR="00030843">
        <w:rPr>
          <w:szCs w:val="22"/>
        </w:rPr>
        <w:t xml:space="preserve"> </w:t>
      </w:r>
      <w:r w:rsidR="002B2E8B" w:rsidRPr="00D30D57">
        <w:rPr>
          <w:szCs w:val="22"/>
        </w:rPr>
        <w:t>at 20–21.</w:t>
      </w:r>
    </w:p>
  </w:footnote>
  <w:footnote w:id="95">
    <w:p w14:paraId="44BFECDA" w14:textId="77777777" w:rsidR="00BC7830" w:rsidRPr="00D30D57" w:rsidRDefault="00BC7830">
      <w:pPr>
        <w:pStyle w:val="FootnoteText"/>
        <w:rPr>
          <w:szCs w:val="22"/>
        </w:rPr>
      </w:pPr>
      <w:r w:rsidRPr="00D30D57">
        <w:rPr>
          <w:rStyle w:val="FootnoteReference"/>
          <w:szCs w:val="22"/>
        </w:rPr>
        <w:footnoteRef/>
      </w:r>
      <w:r w:rsidRPr="00D30D57">
        <w:rPr>
          <w:szCs w:val="22"/>
        </w:rPr>
        <w:t xml:space="preserve"> </w:t>
      </w:r>
      <w:r w:rsidR="008B62C3" w:rsidRPr="00CD2DF8">
        <w:rPr>
          <w:i/>
          <w:iCs/>
          <w:szCs w:val="22"/>
        </w:rPr>
        <w:t>Id.</w:t>
      </w:r>
      <w:r w:rsidRPr="00D30D57">
        <w:rPr>
          <w:szCs w:val="22"/>
        </w:rPr>
        <w:t xml:space="preserve"> at 22–24.</w:t>
      </w:r>
    </w:p>
  </w:footnote>
  <w:footnote w:id="96">
    <w:p w14:paraId="11EE2FA7" w14:textId="77777777" w:rsidR="00FD713B" w:rsidRPr="00D30D57" w:rsidRDefault="00FD713B">
      <w:pPr>
        <w:pStyle w:val="FootnoteText"/>
        <w:rPr>
          <w:szCs w:val="22"/>
        </w:rPr>
      </w:pPr>
      <w:r>
        <w:rPr>
          <w:rStyle w:val="FootnoteReference"/>
        </w:rPr>
        <w:footnoteRef/>
      </w:r>
      <w:r>
        <w:t xml:space="preserve"> </w:t>
      </w:r>
      <w:r w:rsidRPr="00D30D57">
        <w:rPr>
          <w:szCs w:val="22"/>
        </w:rPr>
        <w:t>This scenario resembles Flex-2-2, which includes a scenario in which the two normally load</w:t>
      </w:r>
      <w:r w:rsidR="005D483B" w:rsidRPr="00D30D57">
        <w:rPr>
          <w:szCs w:val="22"/>
        </w:rPr>
        <w:noBreakHyphen/>
      </w:r>
      <w:r w:rsidRPr="00D30D57">
        <w:rPr>
          <w:szCs w:val="22"/>
        </w:rPr>
        <w:t xml:space="preserve">serving Valley South transformers are unavailable due to a fire.  The Decision analyzes this scenario in Section </w:t>
      </w:r>
      <w:r w:rsidR="008B62C3" w:rsidRPr="00D30D57">
        <w:rPr>
          <w:szCs w:val="22"/>
        </w:rPr>
        <w:t>6.</w:t>
      </w:r>
      <w:r w:rsidR="00E65122">
        <w:rPr>
          <w:szCs w:val="22"/>
        </w:rPr>
        <w:t>4</w:t>
      </w:r>
      <w:r w:rsidR="00234104" w:rsidRPr="00D30D57">
        <w:rPr>
          <w:szCs w:val="22"/>
        </w:rPr>
        <w:t>.</w:t>
      </w:r>
      <w:r w:rsidR="00E65122">
        <w:rPr>
          <w:szCs w:val="22"/>
        </w:rPr>
        <w:t>2</w:t>
      </w:r>
      <w:r w:rsidRPr="00D30D57">
        <w:rPr>
          <w:szCs w:val="22"/>
        </w:rPr>
        <w:t>.</w:t>
      </w:r>
    </w:p>
  </w:footnote>
  <w:footnote w:id="97">
    <w:p w14:paraId="79A6E5F1" w14:textId="77777777" w:rsidR="00A73FEB" w:rsidRPr="00D30D57" w:rsidRDefault="00A73FEB">
      <w:pPr>
        <w:pStyle w:val="FootnoteText"/>
        <w:rPr>
          <w:szCs w:val="22"/>
        </w:rPr>
      </w:pPr>
      <w:r w:rsidRPr="00D30D57">
        <w:rPr>
          <w:rStyle w:val="FootnoteReference"/>
          <w:szCs w:val="22"/>
        </w:rPr>
        <w:footnoteRef/>
      </w:r>
      <w:r w:rsidRPr="00D30D57">
        <w:rPr>
          <w:szCs w:val="22"/>
        </w:rPr>
        <w:t xml:space="preserve"> TURN OB at 25.</w:t>
      </w:r>
      <w:r w:rsidR="000B0C12" w:rsidRPr="00D30D57">
        <w:rPr>
          <w:szCs w:val="22"/>
        </w:rPr>
        <w:t xml:space="preserve">  TURN also calculates SCE’s transformers are available with a probability of 0.99982 to meet normal </w:t>
      </w:r>
      <w:r w:rsidR="0067308C" w:rsidRPr="00D30D57">
        <w:rPr>
          <w:szCs w:val="22"/>
        </w:rPr>
        <w:t>(</w:t>
      </w:r>
      <w:r w:rsidR="000B0C12" w:rsidRPr="00D30D57">
        <w:rPr>
          <w:szCs w:val="22"/>
        </w:rPr>
        <w:t>N-0</w:t>
      </w:r>
      <w:r w:rsidR="0067308C" w:rsidRPr="00D30D57">
        <w:rPr>
          <w:szCs w:val="22"/>
        </w:rPr>
        <w:t>) system</w:t>
      </w:r>
      <w:r w:rsidR="000B0C12" w:rsidRPr="00D30D57">
        <w:rPr>
          <w:szCs w:val="22"/>
        </w:rPr>
        <w:t xml:space="preserve"> conditions.</w:t>
      </w:r>
    </w:p>
  </w:footnote>
  <w:footnote w:id="98">
    <w:p w14:paraId="12D04B4F" w14:textId="77777777" w:rsidR="00241B7C" w:rsidRPr="00D30D57" w:rsidRDefault="00241B7C">
      <w:pPr>
        <w:pStyle w:val="FootnoteText"/>
        <w:rPr>
          <w:szCs w:val="22"/>
        </w:rPr>
      </w:pPr>
      <w:r w:rsidRPr="00D30D57">
        <w:rPr>
          <w:rStyle w:val="FootnoteReference"/>
          <w:szCs w:val="22"/>
        </w:rPr>
        <w:footnoteRef/>
      </w:r>
      <w:r w:rsidRPr="00D30D57">
        <w:rPr>
          <w:szCs w:val="22"/>
        </w:rPr>
        <w:t xml:space="preserve"> Second Amended Motion to Correct Clerical Error in Amended Motion to Supplement the Record, June 22, 2021</w:t>
      </w:r>
      <w:r w:rsidR="0009695D" w:rsidRPr="00D30D57">
        <w:rPr>
          <w:szCs w:val="22"/>
        </w:rPr>
        <w:t>,</w:t>
      </w:r>
      <w:r w:rsidRPr="00D30D57">
        <w:rPr>
          <w:szCs w:val="22"/>
        </w:rPr>
        <w:t xml:space="preserve"> Exhibit C-2</w:t>
      </w:r>
      <w:r w:rsidR="00347101" w:rsidRPr="00D30D57">
        <w:rPr>
          <w:szCs w:val="22"/>
        </w:rPr>
        <w:t xml:space="preserve"> at</w:t>
      </w:r>
      <w:r w:rsidR="002A4D58" w:rsidRPr="00D30D57">
        <w:rPr>
          <w:szCs w:val="22"/>
        </w:rPr>
        <w:t xml:space="preserve"> </w:t>
      </w:r>
      <w:r w:rsidR="001762B2" w:rsidRPr="00D30D57">
        <w:rPr>
          <w:szCs w:val="22"/>
        </w:rPr>
        <w:t>26</w:t>
      </w:r>
      <w:r w:rsidR="0009695D" w:rsidRPr="00D30D57">
        <w:rPr>
          <w:szCs w:val="22"/>
        </w:rPr>
        <w:t xml:space="preserve">; Ex. SCE-8 at </w:t>
      </w:r>
      <w:r w:rsidR="00FF3AB7">
        <w:rPr>
          <w:szCs w:val="22"/>
        </w:rPr>
        <w:t xml:space="preserve">4:15, </w:t>
      </w:r>
      <w:r w:rsidR="0009695D" w:rsidRPr="00D30D57">
        <w:rPr>
          <w:szCs w:val="22"/>
        </w:rPr>
        <w:t>7:3 – 7:5 (</w:t>
      </w:r>
      <w:r w:rsidR="0009695D" w:rsidRPr="00CD2DF8">
        <w:rPr>
          <w:i/>
          <w:iCs/>
          <w:szCs w:val="22"/>
        </w:rPr>
        <w:t>stating</w:t>
      </w:r>
      <w:r w:rsidR="0009695D" w:rsidRPr="00D30D57">
        <w:rPr>
          <w:szCs w:val="22"/>
        </w:rPr>
        <w:t xml:space="preserve"> that the Valley South System is islanded from the rest of SCE’s electrical system).</w:t>
      </w:r>
    </w:p>
  </w:footnote>
  <w:footnote w:id="99">
    <w:p w14:paraId="5BE5D9CF" w14:textId="77777777" w:rsidR="00A72F6D" w:rsidRPr="00D30D57" w:rsidRDefault="00A72F6D">
      <w:pPr>
        <w:pStyle w:val="FootnoteText"/>
        <w:rPr>
          <w:szCs w:val="22"/>
        </w:rPr>
      </w:pPr>
      <w:r>
        <w:rPr>
          <w:rStyle w:val="FootnoteReference"/>
        </w:rPr>
        <w:footnoteRef/>
      </w:r>
      <w:r>
        <w:t xml:space="preserve"> </w:t>
      </w:r>
      <w:r w:rsidR="00C65C53" w:rsidRPr="00D30D57">
        <w:rPr>
          <w:szCs w:val="22"/>
        </w:rPr>
        <w:t xml:space="preserve">Second Amended Motion to Correct Clerical Error in Amended Motion to Supplement the Record, June 22, 2021, Exhibit C-2 </w:t>
      </w:r>
      <w:r w:rsidR="00347101" w:rsidRPr="00D30D57">
        <w:rPr>
          <w:szCs w:val="22"/>
        </w:rPr>
        <w:t xml:space="preserve">at </w:t>
      </w:r>
      <w:r w:rsidRPr="00D30D57">
        <w:rPr>
          <w:szCs w:val="22"/>
        </w:rPr>
        <w:t>89.</w:t>
      </w:r>
    </w:p>
  </w:footnote>
  <w:footnote w:id="100">
    <w:p w14:paraId="1BE1B850" w14:textId="77777777" w:rsidR="00CB31AF" w:rsidRPr="00D30D57" w:rsidRDefault="00CB31AF">
      <w:pPr>
        <w:pStyle w:val="FootnoteText"/>
        <w:rPr>
          <w:szCs w:val="22"/>
        </w:rPr>
      </w:pPr>
      <w:r w:rsidRPr="00D30D57">
        <w:rPr>
          <w:rStyle w:val="FootnoteReference"/>
          <w:szCs w:val="22"/>
        </w:rPr>
        <w:footnoteRef/>
      </w:r>
      <w:r w:rsidRPr="00D30D57">
        <w:rPr>
          <w:szCs w:val="22"/>
        </w:rPr>
        <w:t xml:space="preserve"> D.18-08-026, OP 4.</w:t>
      </w:r>
    </w:p>
  </w:footnote>
  <w:footnote w:id="101">
    <w:p w14:paraId="3D688DEF" w14:textId="77777777" w:rsidR="00745CC2" w:rsidRDefault="00745CC2">
      <w:pPr>
        <w:pStyle w:val="FootnoteText"/>
      </w:pPr>
      <w:r w:rsidRPr="00D30D57">
        <w:rPr>
          <w:rStyle w:val="FootnoteReference"/>
          <w:szCs w:val="22"/>
        </w:rPr>
        <w:footnoteRef/>
      </w:r>
      <w:r w:rsidRPr="00D30D57">
        <w:rPr>
          <w:szCs w:val="22"/>
        </w:rPr>
        <w:t xml:space="preserve"> </w:t>
      </w:r>
      <w:r w:rsidR="00DF5333" w:rsidRPr="00D30D57">
        <w:rPr>
          <w:szCs w:val="22"/>
        </w:rPr>
        <w:t>Ex. Commission-2 at 3.</w:t>
      </w:r>
    </w:p>
  </w:footnote>
  <w:footnote w:id="102">
    <w:p w14:paraId="6F19DE7E" w14:textId="77777777" w:rsidR="00DE616E" w:rsidRPr="00D30D57" w:rsidRDefault="00DE616E">
      <w:pPr>
        <w:pStyle w:val="FootnoteText"/>
        <w:rPr>
          <w:szCs w:val="22"/>
        </w:rPr>
      </w:pPr>
      <w:r w:rsidRPr="00D30D57">
        <w:rPr>
          <w:rStyle w:val="FootnoteReference"/>
          <w:szCs w:val="22"/>
        </w:rPr>
        <w:footnoteRef/>
      </w:r>
      <w:r w:rsidRPr="00D30D57">
        <w:rPr>
          <w:szCs w:val="22"/>
        </w:rPr>
        <w:t xml:space="preserve"> </w:t>
      </w:r>
      <w:r w:rsidR="003B5E20" w:rsidRPr="00D30D57">
        <w:rPr>
          <w:szCs w:val="22"/>
        </w:rPr>
        <w:t xml:space="preserve">Ex. </w:t>
      </w:r>
      <w:r w:rsidRPr="00D30D57">
        <w:rPr>
          <w:szCs w:val="22"/>
        </w:rPr>
        <w:t xml:space="preserve">SCE-8 </w:t>
      </w:r>
      <w:r w:rsidR="00FF5A2F" w:rsidRPr="00D30D57">
        <w:rPr>
          <w:szCs w:val="22"/>
        </w:rPr>
        <w:t xml:space="preserve">at </w:t>
      </w:r>
      <w:r w:rsidRPr="00D30D57">
        <w:rPr>
          <w:szCs w:val="22"/>
        </w:rPr>
        <w:t>6:12 – 6:21</w:t>
      </w:r>
      <w:r w:rsidR="00FF5A2F" w:rsidRPr="00D30D57">
        <w:rPr>
          <w:szCs w:val="22"/>
        </w:rPr>
        <w:t>.</w:t>
      </w:r>
    </w:p>
  </w:footnote>
  <w:footnote w:id="103">
    <w:p w14:paraId="4E796B5A" w14:textId="77777777" w:rsidR="00085A64" w:rsidRPr="00D30D57" w:rsidRDefault="00085A64">
      <w:pPr>
        <w:pStyle w:val="FootnoteText"/>
        <w:rPr>
          <w:szCs w:val="22"/>
        </w:rPr>
      </w:pPr>
      <w:r w:rsidRPr="00D30D57">
        <w:rPr>
          <w:rStyle w:val="FootnoteReference"/>
          <w:szCs w:val="22"/>
        </w:rPr>
        <w:footnoteRef/>
      </w:r>
      <w:r w:rsidRPr="00D30D57">
        <w:rPr>
          <w:szCs w:val="22"/>
        </w:rPr>
        <w:t xml:space="preserve"> </w:t>
      </w:r>
      <w:r w:rsidR="00F121CA" w:rsidRPr="00CD2DF8">
        <w:rPr>
          <w:i/>
          <w:iCs/>
          <w:szCs w:val="22"/>
        </w:rPr>
        <w:t>Id.</w:t>
      </w:r>
      <w:r w:rsidR="00FF5A2F" w:rsidRPr="00D30D57">
        <w:rPr>
          <w:szCs w:val="22"/>
        </w:rPr>
        <w:t xml:space="preserve"> at </w:t>
      </w:r>
      <w:r w:rsidRPr="00D30D57">
        <w:rPr>
          <w:szCs w:val="22"/>
        </w:rPr>
        <w:t>6:25 – 7:3</w:t>
      </w:r>
      <w:r w:rsidR="00FF5A2F" w:rsidRPr="00D30D57">
        <w:rPr>
          <w:szCs w:val="22"/>
        </w:rPr>
        <w:t>.</w:t>
      </w:r>
    </w:p>
  </w:footnote>
  <w:footnote w:id="104">
    <w:p w14:paraId="231844F9" w14:textId="77777777" w:rsidR="00205527" w:rsidRPr="00D30D57" w:rsidRDefault="00205527">
      <w:pPr>
        <w:pStyle w:val="FootnoteText"/>
        <w:rPr>
          <w:szCs w:val="22"/>
        </w:rPr>
      </w:pPr>
      <w:r w:rsidRPr="00D30D57">
        <w:rPr>
          <w:rStyle w:val="FootnoteReference"/>
          <w:szCs w:val="22"/>
        </w:rPr>
        <w:footnoteRef/>
      </w:r>
      <w:r w:rsidRPr="00D30D57">
        <w:rPr>
          <w:szCs w:val="22"/>
        </w:rPr>
        <w:t xml:space="preserve"> </w:t>
      </w:r>
      <w:r w:rsidR="00F121CA" w:rsidRPr="00CD2DF8">
        <w:rPr>
          <w:i/>
          <w:iCs/>
          <w:szCs w:val="22"/>
        </w:rPr>
        <w:t>Id.</w:t>
      </w:r>
      <w:r w:rsidR="00FF5A2F" w:rsidRPr="00D30D57">
        <w:rPr>
          <w:i/>
          <w:iCs/>
          <w:szCs w:val="22"/>
        </w:rPr>
        <w:t xml:space="preserve"> </w:t>
      </w:r>
      <w:r w:rsidR="00FF5A2F" w:rsidRPr="00D30D57">
        <w:rPr>
          <w:szCs w:val="22"/>
        </w:rPr>
        <w:t>at</w:t>
      </w:r>
      <w:r w:rsidRPr="00D30D57">
        <w:rPr>
          <w:szCs w:val="22"/>
        </w:rPr>
        <w:t xml:space="preserve"> 7:8 – 7:9.</w:t>
      </w:r>
    </w:p>
  </w:footnote>
  <w:footnote w:id="105">
    <w:p w14:paraId="751ABFCC" w14:textId="77777777" w:rsidR="001D3BC3" w:rsidRPr="00D30D57" w:rsidRDefault="001D3BC3" w:rsidP="001D3BC3">
      <w:pPr>
        <w:pStyle w:val="FootnoteText"/>
        <w:rPr>
          <w:szCs w:val="22"/>
        </w:rPr>
      </w:pPr>
      <w:r w:rsidRPr="00D30D57">
        <w:rPr>
          <w:rStyle w:val="FootnoteReference"/>
          <w:szCs w:val="22"/>
        </w:rPr>
        <w:footnoteRef/>
      </w:r>
      <w:r w:rsidRPr="00D30D57">
        <w:rPr>
          <w:szCs w:val="22"/>
        </w:rPr>
        <w:t xml:space="preserve"> SCE Second Amended Motion to Correct Clerical Error in Amended Motion to Supplement the Record, June 22, 2021, Exhibit C-2 at 32.</w:t>
      </w:r>
    </w:p>
  </w:footnote>
  <w:footnote w:id="106">
    <w:p w14:paraId="1E3CEFEB" w14:textId="77777777" w:rsidR="0025558E" w:rsidRDefault="0025558E">
      <w:pPr>
        <w:pStyle w:val="FootnoteText"/>
      </w:pPr>
      <w:r>
        <w:rPr>
          <w:rStyle w:val="FootnoteReference"/>
        </w:rPr>
        <w:footnoteRef/>
      </w:r>
      <w:r>
        <w:t xml:space="preserve"> </w:t>
      </w:r>
      <w:r w:rsidRPr="0025558E">
        <w:t xml:space="preserve">Ex. SCE-8 at </w:t>
      </w:r>
      <w:r>
        <w:t>4</w:t>
      </w:r>
      <w:r w:rsidRPr="0025558E">
        <w:t>:1</w:t>
      </w:r>
      <w:r>
        <w:t>5.</w:t>
      </w:r>
    </w:p>
  </w:footnote>
  <w:footnote w:id="107">
    <w:p w14:paraId="22CCD91F" w14:textId="77777777" w:rsidR="00EA4BD7" w:rsidRPr="00D30D57" w:rsidRDefault="00EA4BD7">
      <w:pPr>
        <w:pStyle w:val="FootnoteText"/>
        <w:rPr>
          <w:szCs w:val="22"/>
        </w:rPr>
      </w:pPr>
      <w:r>
        <w:rPr>
          <w:rStyle w:val="FootnoteReference"/>
        </w:rPr>
        <w:footnoteRef/>
      </w:r>
      <w:r>
        <w:t xml:space="preserve"> </w:t>
      </w:r>
      <w:r w:rsidR="008808D7" w:rsidRPr="008808D7">
        <w:t xml:space="preserve">SCE Second Amended Motion to Correct Clerical Error in Amended Motion to Supplement the Record, June 22, 2021, Exhibit C-2 </w:t>
      </w:r>
      <w:r w:rsidR="0048141C" w:rsidRPr="00D30D57">
        <w:rPr>
          <w:szCs w:val="22"/>
        </w:rPr>
        <w:t xml:space="preserve"> </w:t>
      </w:r>
      <w:r w:rsidR="00EE39CF" w:rsidRPr="00D30D57">
        <w:rPr>
          <w:szCs w:val="22"/>
        </w:rPr>
        <w:t>at 29, 32.</w:t>
      </w:r>
    </w:p>
  </w:footnote>
  <w:footnote w:id="108">
    <w:p w14:paraId="27B2506E" w14:textId="77777777" w:rsidR="00EE39CF" w:rsidRPr="00D30D57" w:rsidRDefault="00EE39CF">
      <w:pPr>
        <w:pStyle w:val="FootnoteText"/>
        <w:rPr>
          <w:szCs w:val="22"/>
        </w:rPr>
      </w:pPr>
      <w:r w:rsidRPr="00D30D57">
        <w:rPr>
          <w:rStyle w:val="FootnoteReference"/>
          <w:szCs w:val="22"/>
        </w:rPr>
        <w:footnoteRef/>
      </w:r>
      <w:r w:rsidRPr="00D30D57">
        <w:rPr>
          <w:szCs w:val="22"/>
        </w:rPr>
        <w:t xml:space="preserve"> “A-bank” substation </w:t>
      </w:r>
      <w:r w:rsidR="007E0E00" w:rsidRPr="00D30D57">
        <w:rPr>
          <w:szCs w:val="22"/>
        </w:rPr>
        <w:t>is a</w:t>
      </w:r>
      <w:r w:rsidR="0015359C" w:rsidRPr="00D30D57">
        <w:rPr>
          <w:szCs w:val="22"/>
        </w:rPr>
        <w:t xml:space="preserve"> subtransmission substation</w:t>
      </w:r>
      <w:r w:rsidR="007E0E00" w:rsidRPr="00D30D57">
        <w:rPr>
          <w:szCs w:val="22"/>
        </w:rPr>
        <w:t xml:space="preserve"> </w:t>
      </w:r>
      <w:r w:rsidR="0015359C" w:rsidRPr="00D30D57">
        <w:rPr>
          <w:szCs w:val="22"/>
        </w:rPr>
        <w:t>(less than 200 kV)</w:t>
      </w:r>
      <w:r w:rsidRPr="00D30D57">
        <w:rPr>
          <w:szCs w:val="22"/>
        </w:rPr>
        <w:t xml:space="preserve">.  “A-bank” transmission substations transform voltage from the transmission level (220kV or 500kV) to the </w:t>
      </w:r>
      <w:r w:rsidR="0047207B" w:rsidRPr="00D30D57">
        <w:rPr>
          <w:szCs w:val="22"/>
        </w:rPr>
        <w:t>subtransmission</w:t>
      </w:r>
      <w:r w:rsidRPr="00D30D57">
        <w:rPr>
          <w:szCs w:val="22"/>
        </w:rPr>
        <w:t xml:space="preserve"> level (66kV or 115</w:t>
      </w:r>
      <w:r w:rsidR="001804C5" w:rsidRPr="00D30D57">
        <w:rPr>
          <w:szCs w:val="22"/>
        </w:rPr>
        <w:t> </w:t>
      </w:r>
      <w:r w:rsidRPr="00D30D57">
        <w:rPr>
          <w:szCs w:val="22"/>
        </w:rPr>
        <w:t>kV) and deliver power to multiple distribution substations.  SCE Second Amended Motion to Correct Clerical Error in Amended Motion to Supplement the Record, June 22, 2021, Exhibit</w:t>
      </w:r>
      <w:r w:rsidR="00DF4F6A" w:rsidRPr="00D30D57">
        <w:rPr>
          <w:szCs w:val="22"/>
        </w:rPr>
        <w:t> </w:t>
      </w:r>
      <w:r w:rsidRPr="00D30D57">
        <w:rPr>
          <w:szCs w:val="22"/>
        </w:rPr>
        <w:t>C</w:t>
      </w:r>
      <w:r w:rsidR="00DF4F6A" w:rsidRPr="00D30D57">
        <w:rPr>
          <w:szCs w:val="22"/>
        </w:rPr>
        <w:noBreakHyphen/>
      </w:r>
      <w:r w:rsidRPr="00D30D57">
        <w:rPr>
          <w:szCs w:val="22"/>
        </w:rPr>
        <w:t>2, at 29.</w:t>
      </w:r>
    </w:p>
  </w:footnote>
  <w:footnote w:id="109">
    <w:p w14:paraId="7EC46173" w14:textId="77777777" w:rsidR="00EE39CF" w:rsidRPr="00D30D57" w:rsidRDefault="00EE39CF">
      <w:pPr>
        <w:pStyle w:val="FootnoteText"/>
        <w:rPr>
          <w:szCs w:val="22"/>
        </w:rPr>
      </w:pPr>
      <w:r w:rsidRPr="00D30D57">
        <w:rPr>
          <w:rStyle w:val="FootnoteReference"/>
          <w:szCs w:val="22"/>
        </w:rPr>
        <w:footnoteRef/>
      </w:r>
      <w:r w:rsidRPr="00D30D57">
        <w:rPr>
          <w:szCs w:val="22"/>
        </w:rPr>
        <w:t xml:space="preserve"> SCE Second Amended Motion to Correct Clerical Error in Amended Motion to Supplement the Record, June 22, 2021, Exhibit C-2, at 29.</w:t>
      </w:r>
    </w:p>
  </w:footnote>
  <w:footnote w:id="110">
    <w:p w14:paraId="4EDB82A5" w14:textId="77777777" w:rsidR="00EE39CF" w:rsidRPr="00D30D57" w:rsidRDefault="00EE39CF">
      <w:pPr>
        <w:pStyle w:val="FootnoteText"/>
        <w:rPr>
          <w:szCs w:val="22"/>
        </w:rPr>
      </w:pPr>
      <w:r w:rsidRPr="00D30D57">
        <w:rPr>
          <w:rStyle w:val="FootnoteReference"/>
          <w:szCs w:val="22"/>
        </w:rPr>
        <w:footnoteRef/>
      </w:r>
      <w:r w:rsidRPr="00D30D57">
        <w:rPr>
          <w:szCs w:val="22"/>
        </w:rPr>
        <w:t xml:space="preserve"> </w:t>
      </w:r>
      <w:r w:rsidR="00F121CA" w:rsidRPr="00CD2DF8">
        <w:rPr>
          <w:i/>
          <w:iCs/>
          <w:szCs w:val="22"/>
        </w:rPr>
        <w:t>Id.</w:t>
      </w:r>
      <w:r w:rsidRPr="00D30D57">
        <w:rPr>
          <w:szCs w:val="22"/>
        </w:rPr>
        <w:t xml:space="preserve"> at 29, fn 34.</w:t>
      </w:r>
    </w:p>
  </w:footnote>
  <w:footnote w:id="111">
    <w:p w14:paraId="562FD62C" w14:textId="77777777" w:rsidR="00B47C17" w:rsidRPr="00D30D57" w:rsidRDefault="00B47C17" w:rsidP="00B47C17">
      <w:pPr>
        <w:pStyle w:val="FootnoteText"/>
        <w:rPr>
          <w:szCs w:val="22"/>
        </w:rPr>
      </w:pPr>
      <w:r w:rsidRPr="00D30D57">
        <w:rPr>
          <w:rStyle w:val="FootnoteReference"/>
          <w:szCs w:val="22"/>
        </w:rPr>
        <w:footnoteRef/>
      </w:r>
      <w:r w:rsidRPr="00D30D57">
        <w:rPr>
          <w:szCs w:val="22"/>
        </w:rPr>
        <w:t xml:space="preserve"> TURN OB 36.</w:t>
      </w:r>
    </w:p>
  </w:footnote>
  <w:footnote w:id="112">
    <w:p w14:paraId="043834D9" w14:textId="77777777" w:rsidR="00EF159F" w:rsidRPr="00D30D57" w:rsidRDefault="00EF159F">
      <w:pPr>
        <w:pStyle w:val="FootnoteText"/>
        <w:rPr>
          <w:szCs w:val="22"/>
        </w:rPr>
      </w:pPr>
      <w:r>
        <w:rPr>
          <w:rStyle w:val="FootnoteReference"/>
        </w:rPr>
        <w:footnoteRef/>
      </w:r>
      <w:r>
        <w:t xml:space="preserve"> </w:t>
      </w:r>
      <w:r w:rsidRPr="00D30D57">
        <w:rPr>
          <w:szCs w:val="22"/>
        </w:rPr>
        <w:t>TURN OB</w:t>
      </w:r>
      <w:r w:rsidR="00FE3064" w:rsidRPr="00D30D57">
        <w:rPr>
          <w:szCs w:val="22"/>
        </w:rPr>
        <w:t xml:space="preserve"> </w:t>
      </w:r>
      <w:r w:rsidRPr="00D30D57">
        <w:rPr>
          <w:szCs w:val="22"/>
        </w:rPr>
        <w:t xml:space="preserve">at 36; </w:t>
      </w:r>
      <w:r w:rsidR="00A01CC7" w:rsidRPr="00D30D57">
        <w:rPr>
          <w:szCs w:val="22"/>
        </w:rPr>
        <w:t xml:space="preserve">Ex. </w:t>
      </w:r>
      <w:r w:rsidRPr="00D30D57">
        <w:rPr>
          <w:szCs w:val="22"/>
        </w:rPr>
        <w:t>TURN</w:t>
      </w:r>
      <w:r w:rsidR="00B47C17" w:rsidRPr="00D30D57">
        <w:rPr>
          <w:szCs w:val="22"/>
        </w:rPr>
        <w:t>-</w:t>
      </w:r>
      <w:r w:rsidRPr="00D30D57">
        <w:rPr>
          <w:szCs w:val="22"/>
        </w:rPr>
        <w:t>12 at 29.</w:t>
      </w:r>
    </w:p>
  </w:footnote>
  <w:footnote w:id="113">
    <w:p w14:paraId="7B501AA8" w14:textId="77777777" w:rsidR="00B82E4A" w:rsidRPr="00D30D57" w:rsidRDefault="00B82E4A" w:rsidP="00B82E4A">
      <w:pPr>
        <w:pStyle w:val="FootnoteText"/>
        <w:rPr>
          <w:szCs w:val="22"/>
        </w:rPr>
      </w:pPr>
      <w:r w:rsidRPr="00D30D57">
        <w:rPr>
          <w:rStyle w:val="FootnoteReference"/>
          <w:szCs w:val="22"/>
        </w:rPr>
        <w:footnoteRef/>
      </w:r>
      <w:r w:rsidRPr="00D30D57">
        <w:rPr>
          <w:szCs w:val="22"/>
        </w:rPr>
        <w:t xml:space="preserve"> SCE Reply Brief</w:t>
      </w:r>
      <w:r w:rsidR="00340AD1" w:rsidRPr="00D30D57">
        <w:rPr>
          <w:szCs w:val="22"/>
        </w:rPr>
        <w:t xml:space="preserve"> (RB)</w:t>
      </w:r>
      <w:r w:rsidRPr="00D30D57">
        <w:rPr>
          <w:szCs w:val="22"/>
        </w:rPr>
        <w:t xml:space="preserve"> at 13, 14, 21</w:t>
      </w:r>
      <w:r w:rsidR="00340AD1" w:rsidRPr="00D30D57">
        <w:rPr>
          <w:szCs w:val="22"/>
        </w:rPr>
        <w:t xml:space="preserve">; Ex. </w:t>
      </w:r>
      <w:r w:rsidRPr="00D30D57">
        <w:rPr>
          <w:szCs w:val="22"/>
        </w:rPr>
        <w:t>Commission-1 at 1-11.</w:t>
      </w:r>
    </w:p>
  </w:footnote>
  <w:footnote w:id="114">
    <w:p w14:paraId="4B1B9737" w14:textId="77777777" w:rsidR="009223F6" w:rsidRPr="00D30D57" w:rsidRDefault="009223F6" w:rsidP="009223F6">
      <w:pPr>
        <w:pStyle w:val="FootnoteText"/>
        <w:rPr>
          <w:szCs w:val="22"/>
        </w:rPr>
      </w:pPr>
      <w:r w:rsidRPr="00D30D57">
        <w:rPr>
          <w:rStyle w:val="FootnoteReference"/>
          <w:szCs w:val="22"/>
        </w:rPr>
        <w:footnoteRef/>
      </w:r>
      <w:r w:rsidRPr="00D30D57">
        <w:rPr>
          <w:szCs w:val="22"/>
        </w:rPr>
        <w:t xml:space="preserve"> SCE RB at 16.</w:t>
      </w:r>
    </w:p>
  </w:footnote>
  <w:footnote w:id="115">
    <w:p w14:paraId="7C85004E" w14:textId="77777777" w:rsidR="00860C97" w:rsidRPr="00D30D57" w:rsidRDefault="00860C97">
      <w:pPr>
        <w:pStyle w:val="FootnoteText"/>
        <w:rPr>
          <w:szCs w:val="22"/>
        </w:rPr>
      </w:pPr>
      <w:r>
        <w:rPr>
          <w:rStyle w:val="FootnoteReference"/>
        </w:rPr>
        <w:footnoteRef/>
      </w:r>
      <w:r>
        <w:t xml:space="preserve"> </w:t>
      </w:r>
      <w:r w:rsidRPr="00D30D57">
        <w:rPr>
          <w:szCs w:val="22"/>
        </w:rPr>
        <w:t>TURN OB at 38.</w:t>
      </w:r>
    </w:p>
  </w:footnote>
  <w:footnote w:id="116">
    <w:p w14:paraId="15699CAF" w14:textId="77777777" w:rsidR="004B4342" w:rsidRPr="00D30D57" w:rsidRDefault="004B4342">
      <w:pPr>
        <w:pStyle w:val="FootnoteText"/>
        <w:rPr>
          <w:szCs w:val="22"/>
        </w:rPr>
      </w:pPr>
      <w:r w:rsidRPr="00D30D57">
        <w:rPr>
          <w:rStyle w:val="FootnoteReference"/>
          <w:szCs w:val="22"/>
        </w:rPr>
        <w:footnoteRef/>
      </w:r>
      <w:r w:rsidRPr="00D30D57">
        <w:rPr>
          <w:szCs w:val="22"/>
        </w:rPr>
        <w:t xml:space="preserve"> </w:t>
      </w:r>
      <w:r w:rsidR="00B47C17" w:rsidRPr="00CD2DF8">
        <w:rPr>
          <w:i/>
          <w:iCs/>
          <w:szCs w:val="22"/>
        </w:rPr>
        <w:t>Id.</w:t>
      </w:r>
      <w:r w:rsidR="00FE3064" w:rsidRPr="00D30D57">
        <w:rPr>
          <w:szCs w:val="22"/>
        </w:rPr>
        <w:t xml:space="preserve"> </w:t>
      </w:r>
      <w:r w:rsidRPr="00D30D57">
        <w:rPr>
          <w:szCs w:val="22"/>
        </w:rPr>
        <w:t xml:space="preserve">at </w:t>
      </w:r>
      <w:r w:rsidR="00A05D64" w:rsidRPr="00D30D57">
        <w:rPr>
          <w:szCs w:val="22"/>
        </w:rPr>
        <w:t>35 – 37.</w:t>
      </w:r>
    </w:p>
  </w:footnote>
  <w:footnote w:id="117">
    <w:p w14:paraId="0FACB23B" w14:textId="77777777" w:rsidR="003624C5" w:rsidRDefault="003624C5">
      <w:pPr>
        <w:pStyle w:val="FootnoteText"/>
      </w:pPr>
      <w:r>
        <w:rPr>
          <w:rStyle w:val="FootnoteReference"/>
        </w:rPr>
        <w:footnoteRef/>
      </w:r>
      <w:r>
        <w:t xml:space="preserve"> Southern California </w:t>
      </w:r>
      <w:r w:rsidRPr="00D30D57">
        <w:rPr>
          <w:szCs w:val="22"/>
        </w:rPr>
        <w:t>Edison’s Second Amended Motion to Correct Clerical Error in Amended Motion to Supplement the Record, June 22, 2021, Exhibit C-2 at 12, 48</w:t>
      </w:r>
      <w:r>
        <w:rPr>
          <w:szCs w:val="22"/>
        </w:rPr>
        <w:t xml:space="preserve"> – 49. </w:t>
      </w:r>
    </w:p>
  </w:footnote>
  <w:footnote w:id="118">
    <w:p w14:paraId="6F3E2DF0" w14:textId="77777777" w:rsidR="00C52914" w:rsidRPr="00D30D57" w:rsidRDefault="00C52914" w:rsidP="00C52914">
      <w:pPr>
        <w:pStyle w:val="FootnoteText"/>
        <w:rPr>
          <w:szCs w:val="22"/>
        </w:rPr>
      </w:pPr>
      <w:r w:rsidRPr="00D30D57">
        <w:rPr>
          <w:rStyle w:val="FootnoteReference"/>
          <w:szCs w:val="22"/>
        </w:rPr>
        <w:footnoteRef/>
      </w:r>
      <w:r w:rsidRPr="00D30D57">
        <w:rPr>
          <w:szCs w:val="22"/>
        </w:rPr>
        <w:t xml:space="preserve"> </w:t>
      </w:r>
      <w:r w:rsidR="003624C5">
        <w:rPr>
          <w:i/>
          <w:iCs/>
          <w:szCs w:val="22"/>
        </w:rPr>
        <w:t>Id</w:t>
      </w:r>
      <w:r w:rsidR="0003458F" w:rsidRPr="00D30D57">
        <w:rPr>
          <w:szCs w:val="22"/>
        </w:rPr>
        <w:t>.</w:t>
      </w:r>
    </w:p>
  </w:footnote>
  <w:footnote w:id="119">
    <w:p w14:paraId="3F754C58" w14:textId="77777777" w:rsidR="005B5B40" w:rsidRDefault="005B5B40">
      <w:pPr>
        <w:pStyle w:val="FootnoteText"/>
      </w:pPr>
      <w:r w:rsidRPr="00D30D57">
        <w:rPr>
          <w:rStyle w:val="FootnoteReference"/>
          <w:szCs w:val="22"/>
        </w:rPr>
        <w:footnoteRef/>
      </w:r>
      <w:r w:rsidRPr="00D30D57">
        <w:rPr>
          <w:szCs w:val="22"/>
        </w:rPr>
        <w:t xml:space="preserve"> TURN OB at 42</w:t>
      </w:r>
      <w:r w:rsidR="00D6138C" w:rsidRPr="00D30D57">
        <w:rPr>
          <w:szCs w:val="22"/>
        </w:rPr>
        <w:t xml:space="preserve"> (</w:t>
      </w:r>
      <w:r w:rsidR="00D6138C" w:rsidRPr="00CD2DF8">
        <w:rPr>
          <w:i/>
          <w:iCs/>
          <w:szCs w:val="22"/>
        </w:rPr>
        <w:t>see</w:t>
      </w:r>
      <w:r w:rsidRPr="00D30D57">
        <w:rPr>
          <w:szCs w:val="22"/>
        </w:rPr>
        <w:t xml:space="preserve"> table comparing SCE’s forecast</w:t>
      </w:r>
      <w:r w:rsidR="006E1469">
        <w:rPr>
          <w:szCs w:val="22"/>
        </w:rPr>
        <w:t xml:space="preserve"> (LAR)</w:t>
      </w:r>
      <w:r w:rsidRPr="00D30D57">
        <w:rPr>
          <w:szCs w:val="22"/>
        </w:rPr>
        <w:t xml:space="preserve"> and TURN’s calculated expected energy not served</w:t>
      </w:r>
      <w:r w:rsidR="006E1469">
        <w:rPr>
          <w:szCs w:val="22"/>
        </w:rPr>
        <w:t xml:space="preserve"> (EENS)</w:t>
      </w:r>
      <w:r w:rsidR="00D6138C" w:rsidRPr="00D30D57">
        <w:rPr>
          <w:szCs w:val="22"/>
        </w:rPr>
        <w:t>)</w:t>
      </w:r>
      <w:r w:rsidR="0003458F" w:rsidRPr="00D30D57">
        <w:rPr>
          <w:szCs w:val="22"/>
        </w:rPr>
        <w:t xml:space="preserve">; </w:t>
      </w:r>
      <w:r w:rsidRPr="00D30D57">
        <w:rPr>
          <w:szCs w:val="22"/>
        </w:rPr>
        <w:t>Ex. TURN–12 at 36 – 38</w:t>
      </w:r>
      <w:r w:rsidR="00D44901" w:rsidRPr="00D30D57">
        <w:rPr>
          <w:szCs w:val="22"/>
        </w:rPr>
        <w:t>.</w:t>
      </w:r>
    </w:p>
  </w:footnote>
  <w:footnote w:id="120">
    <w:p w14:paraId="11FEA510" w14:textId="77777777" w:rsidR="007C5BFB" w:rsidRPr="00D30D57" w:rsidRDefault="007C5BFB">
      <w:pPr>
        <w:pStyle w:val="FootnoteText"/>
        <w:rPr>
          <w:szCs w:val="22"/>
        </w:rPr>
      </w:pPr>
      <w:r>
        <w:rPr>
          <w:rStyle w:val="FootnoteReference"/>
        </w:rPr>
        <w:footnoteRef/>
      </w:r>
      <w:r>
        <w:t xml:space="preserve"> </w:t>
      </w:r>
      <w:r w:rsidR="006E1469" w:rsidRPr="00245F58">
        <w:rPr>
          <w:i/>
          <w:iCs/>
        </w:rPr>
        <w:t>Id.</w:t>
      </w:r>
      <w:r w:rsidR="006E1469">
        <w:t xml:space="preserve">  </w:t>
      </w:r>
      <w:r w:rsidRPr="00D30D57">
        <w:rPr>
          <w:szCs w:val="22"/>
        </w:rPr>
        <w:t xml:space="preserve">TURN </w:t>
      </w:r>
      <w:r w:rsidR="00742358">
        <w:rPr>
          <w:szCs w:val="22"/>
        </w:rPr>
        <w:t>focused on</w:t>
      </w:r>
      <w:r w:rsidRPr="00D30D57">
        <w:rPr>
          <w:szCs w:val="22"/>
        </w:rPr>
        <w:t xml:space="preserve"> the m</w:t>
      </w:r>
      <w:r w:rsidR="006E1469">
        <w:rPr>
          <w:szCs w:val="22"/>
        </w:rPr>
        <w:t xml:space="preserve">etric </w:t>
      </w:r>
      <w:r w:rsidRPr="00D30D57">
        <w:rPr>
          <w:szCs w:val="22"/>
        </w:rPr>
        <w:t>EENS</w:t>
      </w:r>
      <w:r w:rsidR="005D2CC7">
        <w:rPr>
          <w:szCs w:val="22"/>
        </w:rPr>
        <w:t>, which accounts for the probability of events,</w:t>
      </w:r>
      <w:r w:rsidRPr="00D30D57">
        <w:rPr>
          <w:szCs w:val="22"/>
        </w:rPr>
        <w:t xml:space="preserve"> instead of </w:t>
      </w:r>
      <w:r w:rsidR="00742358">
        <w:rPr>
          <w:szCs w:val="22"/>
        </w:rPr>
        <w:t>the metric</w:t>
      </w:r>
      <w:r w:rsidRPr="00D30D57">
        <w:rPr>
          <w:szCs w:val="22"/>
        </w:rPr>
        <w:t xml:space="preserve"> LAR</w:t>
      </w:r>
      <w:r w:rsidR="005D2CC7">
        <w:rPr>
          <w:szCs w:val="22"/>
        </w:rPr>
        <w:t>, which does not account for the probability of events</w:t>
      </w:r>
      <w:r w:rsidRPr="00D30D57">
        <w:rPr>
          <w:szCs w:val="22"/>
        </w:rPr>
        <w:t>.</w:t>
      </w:r>
      <w:r w:rsidR="005D2CC7">
        <w:rPr>
          <w:szCs w:val="22"/>
        </w:rPr>
        <w:t xml:space="preserve">  TURN argues that the Commission must consider EENS along with LAR to accurately assess the need for Alberhill project.  However, after extensive discussion</w:t>
      </w:r>
      <w:r w:rsidR="00CF636B">
        <w:rPr>
          <w:szCs w:val="22"/>
        </w:rPr>
        <w:t xml:space="preserve"> with its consultant</w:t>
      </w:r>
      <w:r w:rsidR="005D2CC7">
        <w:rPr>
          <w:szCs w:val="22"/>
        </w:rPr>
        <w:t xml:space="preserve">, Energy Division </w:t>
      </w:r>
      <w:r w:rsidR="006E1469">
        <w:rPr>
          <w:szCs w:val="22"/>
        </w:rPr>
        <w:t xml:space="preserve">elected to use LAR because there </w:t>
      </w:r>
      <w:r w:rsidR="004A1DBE">
        <w:rPr>
          <w:szCs w:val="22"/>
        </w:rPr>
        <w:t>are</w:t>
      </w:r>
      <w:r w:rsidR="006E1469">
        <w:rPr>
          <w:szCs w:val="22"/>
        </w:rPr>
        <w:t xml:space="preserve"> </w:t>
      </w:r>
      <w:r w:rsidR="00165A8C">
        <w:rPr>
          <w:szCs w:val="22"/>
        </w:rPr>
        <w:t xml:space="preserve">a </w:t>
      </w:r>
      <w:r w:rsidR="006E1469">
        <w:rPr>
          <w:szCs w:val="22"/>
        </w:rPr>
        <w:t>lack of industry standard</w:t>
      </w:r>
      <w:r w:rsidR="00165A8C">
        <w:rPr>
          <w:szCs w:val="22"/>
        </w:rPr>
        <w:t>s</w:t>
      </w:r>
      <w:r w:rsidR="006E1469">
        <w:rPr>
          <w:szCs w:val="22"/>
        </w:rPr>
        <w:t xml:space="preserve"> and </w:t>
      </w:r>
      <w:r w:rsidR="00165A8C">
        <w:rPr>
          <w:szCs w:val="22"/>
        </w:rPr>
        <w:t xml:space="preserve">a </w:t>
      </w:r>
      <w:r w:rsidR="006E1469">
        <w:rPr>
          <w:szCs w:val="22"/>
        </w:rPr>
        <w:t xml:space="preserve">lack of consensus on the </w:t>
      </w:r>
      <w:r w:rsidR="00165A8C">
        <w:rPr>
          <w:szCs w:val="22"/>
        </w:rPr>
        <w:t xml:space="preserve">event </w:t>
      </w:r>
      <w:r w:rsidR="006E1469">
        <w:rPr>
          <w:szCs w:val="22"/>
        </w:rPr>
        <w:t>probabilit</w:t>
      </w:r>
      <w:r w:rsidR="00165A8C">
        <w:rPr>
          <w:szCs w:val="22"/>
        </w:rPr>
        <w:t>ie</w:t>
      </w:r>
      <w:r w:rsidR="006E1469">
        <w:rPr>
          <w:szCs w:val="22"/>
        </w:rPr>
        <w:t xml:space="preserve">s.  </w:t>
      </w:r>
      <w:r w:rsidR="006E1469" w:rsidRPr="006E1469">
        <w:rPr>
          <w:szCs w:val="22"/>
        </w:rPr>
        <w:t>Commission-2, Attachment C at Appendix A: Final Alberhill System Project Energy Division Staff Report at 42</w:t>
      </w:r>
      <w:r w:rsidR="006E1469">
        <w:rPr>
          <w:szCs w:val="22"/>
        </w:rPr>
        <w:t>.</w:t>
      </w:r>
    </w:p>
  </w:footnote>
  <w:footnote w:id="121">
    <w:p w14:paraId="710F0929" w14:textId="77777777" w:rsidR="00295E90" w:rsidRPr="00D30D57" w:rsidRDefault="00295E90">
      <w:pPr>
        <w:pStyle w:val="FootnoteText"/>
        <w:rPr>
          <w:szCs w:val="22"/>
        </w:rPr>
      </w:pPr>
      <w:r w:rsidRPr="00D30D57">
        <w:rPr>
          <w:rStyle w:val="FootnoteReference"/>
          <w:szCs w:val="22"/>
        </w:rPr>
        <w:footnoteRef/>
      </w:r>
      <w:r w:rsidRPr="00D30D57">
        <w:rPr>
          <w:szCs w:val="22"/>
        </w:rPr>
        <w:t xml:space="preserve"> TURN OB at 43</w:t>
      </w:r>
      <w:r w:rsidR="00577DA1" w:rsidRPr="00D30D57">
        <w:rPr>
          <w:szCs w:val="22"/>
        </w:rPr>
        <w:t>, 46 – 47</w:t>
      </w:r>
      <w:r w:rsidRPr="00D30D57">
        <w:rPr>
          <w:szCs w:val="22"/>
        </w:rPr>
        <w:t>.</w:t>
      </w:r>
    </w:p>
  </w:footnote>
  <w:footnote w:id="122">
    <w:p w14:paraId="68DF6C7E" w14:textId="77777777" w:rsidR="00D7623D" w:rsidRPr="00D30D57" w:rsidRDefault="00D7623D" w:rsidP="00D7623D">
      <w:pPr>
        <w:pStyle w:val="FootnoteText"/>
        <w:rPr>
          <w:szCs w:val="22"/>
        </w:rPr>
      </w:pPr>
      <w:r w:rsidRPr="00D30D57">
        <w:rPr>
          <w:rStyle w:val="FootnoteReference"/>
          <w:szCs w:val="22"/>
        </w:rPr>
        <w:footnoteRef/>
      </w:r>
      <w:r w:rsidRPr="00D30D57">
        <w:rPr>
          <w:szCs w:val="22"/>
        </w:rPr>
        <w:t xml:space="preserve"> </w:t>
      </w:r>
      <w:r w:rsidR="0003458F" w:rsidRPr="00CD2DF8">
        <w:rPr>
          <w:i/>
          <w:iCs/>
          <w:szCs w:val="22"/>
        </w:rPr>
        <w:t>Id.</w:t>
      </w:r>
      <w:r w:rsidRPr="00D30D57">
        <w:rPr>
          <w:szCs w:val="22"/>
        </w:rPr>
        <w:t xml:space="preserve"> at 46 – 47.</w:t>
      </w:r>
    </w:p>
  </w:footnote>
  <w:footnote w:id="123">
    <w:p w14:paraId="5E520EB0" w14:textId="77777777" w:rsidR="008F0BBF" w:rsidRPr="00D30D57" w:rsidRDefault="008F0BBF">
      <w:pPr>
        <w:pStyle w:val="FootnoteText"/>
        <w:rPr>
          <w:szCs w:val="22"/>
        </w:rPr>
      </w:pPr>
      <w:r w:rsidRPr="00D30D57">
        <w:rPr>
          <w:rStyle w:val="FootnoteReference"/>
          <w:szCs w:val="22"/>
        </w:rPr>
        <w:footnoteRef/>
      </w:r>
      <w:r w:rsidRPr="00D30D57">
        <w:rPr>
          <w:szCs w:val="22"/>
        </w:rPr>
        <w:t xml:space="preserve"> SCE RB</w:t>
      </w:r>
      <w:r w:rsidR="00D6138C" w:rsidRPr="00D30D57">
        <w:rPr>
          <w:szCs w:val="22"/>
        </w:rPr>
        <w:t xml:space="preserve"> </w:t>
      </w:r>
      <w:r w:rsidRPr="00D30D57">
        <w:rPr>
          <w:szCs w:val="22"/>
        </w:rPr>
        <w:t xml:space="preserve">at 14; SCE’s Motion to Supplement the Record in Compliance with </w:t>
      </w:r>
      <w:r w:rsidR="0047207B" w:rsidRPr="00D30D57">
        <w:rPr>
          <w:szCs w:val="22"/>
        </w:rPr>
        <w:t>E-mail</w:t>
      </w:r>
      <w:r w:rsidRPr="00D30D57">
        <w:rPr>
          <w:szCs w:val="22"/>
        </w:rPr>
        <w:t xml:space="preserve"> Ruling, </w:t>
      </w:r>
      <w:r w:rsidR="0003458F" w:rsidRPr="00D30D57">
        <w:rPr>
          <w:szCs w:val="22"/>
        </w:rPr>
        <w:t xml:space="preserve">May 11, 2020, </w:t>
      </w:r>
      <w:r w:rsidRPr="00D30D57">
        <w:rPr>
          <w:szCs w:val="22"/>
        </w:rPr>
        <w:t>Exhibit D (Item D – An analysis of several years of electric reliability performance for the Valley systems to demonstrate existing customer service level)</w:t>
      </w:r>
      <w:r w:rsidR="0003458F" w:rsidRPr="00D30D57">
        <w:rPr>
          <w:szCs w:val="22"/>
        </w:rPr>
        <w:t xml:space="preserve"> </w:t>
      </w:r>
      <w:r w:rsidRPr="00D30D57">
        <w:rPr>
          <w:szCs w:val="22"/>
        </w:rPr>
        <w:t>at D1.</w:t>
      </w:r>
    </w:p>
  </w:footnote>
  <w:footnote w:id="124">
    <w:p w14:paraId="0D0A6BE1" w14:textId="77777777" w:rsidR="00692B70" w:rsidRPr="00D30D57" w:rsidRDefault="00692B70">
      <w:pPr>
        <w:pStyle w:val="FootnoteText"/>
        <w:rPr>
          <w:szCs w:val="22"/>
        </w:rPr>
      </w:pPr>
      <w:r w:rsidRPr="00D30D57">
        <w:rPr>
          <w:rStyle w:val="FootnoteReference"/>
          <w:szCs w:val="22"/>
        </w:rPr>
        <w:footnoteRef/>
      </w:r>
      <w:r w:rsidRPr="00D30D57">
        <w:rPr>
          <w:szCs w:val="22"/>
        </w:rPr>
        <w:t xml:space="preserve"> Commission-2,</w:t>
      </w:r>
      <w:r w:rsidR="00CD626B" w:rsidRPr="00D30D57">
        <w:rPr>
          <w:szCs w:val="22"/>
        </w:rPr>
        <w:t xml:space="preserve"> Attachment C at</w:t>
      </w:r>
      <w:r w:rsidRPr="00D30D57">
        <w:rPr>
          <w:szCs w:val="22"/>
        </w:rPr>
        <w:t xml:space="preserve"> Appendix A</w:t>
      </w:r>
      <w:r w:rsidR="00E4534F">
        <w:rPr>
          <w:szCs w:val="22"/>
        </w:rPr>
        <w:t>:</w:t>
      </w:r>
      <w:r w:rsidRPr="00D30D57">
        <w:rPr>
          <w:szCs w:val="22"/>
        </w:rPr>
        <w:t xml:space="preserve"> </w:t>
      </w:r>
      <w:r w:rsidR="00E4534F">
        <w:rPr>
          <w:szCs w:val="22"/>
        </w:rPr>
        <w:t xml:space="preserve">Final Alberhill System Project </w:t>
      </w:r>
      <w:r w:rsidRPr="00D30D57">
        <w:rPr>
          <w:szCs w:val="22"/>
        </w:rPr>
        <w:t xml:space="preserve">Energy Division Staff Report at </w:t>
      </w:r>
      <w:r w:rsidR="006E1469">
        <w:rPr>
          <w:szCs w:val="22"/>
        </w:rPr>
        <w:t xml:space="preserve">1, </w:t>
      </w:r>
      <w:r w:rsidRPr="00D30D57">
        <w:rPr>
          <w:szCs w:val="22"/>
        </w:rPr>
        <w:t>42</w:t>
      </w:r>
      <w:r w:rsidR="00CD626B" w:rsidRPr="00D30D57">
        <w:rPr>
          <w:szCs w:val="22"/>
        </w:rPr>
        <w:t xml:space="preserve">; </w:t>
      </w:r>
      <w:r w:rsidR="00A978EF" w:rsidRPr="00CD2DF8">
        <w:rPr>
          <w:i/>
          <w:iCs/>
          <w:szCs w:val="22"/>
        </w:rPr>
        <w:t>see</w:t>
      </w:r>
      <w:r w:rsidRPr="00D30D57">
        <w:rPr>
          <w:i/>
          <w:iCs/>
          <w:szCs w:val="22"/>
        </w:rPr>
        <w:t xml:space="preserve"> also</w:t>
      </w:r>
      <w:r w:rsidRPr="00D30D57">
        <w:rPr>
          <w:szCs w:val="22"/>
        </w:rPr>
        <w:t xml:space="preserve"> </w:t>
      </w:r>
      <w:r w:rsidR="00CD626B" w:rsidRPr="00D30D57">
        <w:rPr>
          <w:szCs w:val="22"/>
        </w:rPr>
        <w:t>Commission-2, Attachment C at Appendix A</w:t>
      </w:r>
      <w:r w:rsidR="00E4534F">
        <w:rPr>
          <w:szCs w:val="22"/>
        </w:rPr>
        <w:t>:</w:t>
      </w:r>
      <w:r w:rsidR="00CD626B" w:rsidRPr="00D30D57">
        <w:rPr>
          <w:szCs w:val="22"/>
        </w:rPr>
        <w:t xml:space="preserve"> </w:t>
      </w:r>
      <w:r w:rsidR="00E4534F">
        <w:rPr>
          <w:szCs w:val="22"/>
        </w:rPr>
        <w:t xml:space="preserve">Final Alberhill System Project </w:t>
      </w:r>
      <w:r w:rsidR="00CD626B" w:rsidRPr="00D30D57">
        <w:rPr>
          <w:szCs w:val="22"/>
        </w:rPr>
        <w:t>Energy Division Staff Report (A</w:t>
      </w:r>
      <w:r w:rsidRPr="00D30D57">
        <w:rPr>
          <w:szCs w:val="22"/>
        </w:rPr>
        <w:t>ppendix C – Evaluation of SCE’s Load Forecast Methodologies and Performance Metrics</w:t>
      </w:r>
      <w:r w:rsidR="00C014DE" w:rsidRPr="00D30D57">
        <w:rPr>
          <w:szCs w:val="22"/>
        </w:rPr>
        <w:t xml:space="preserve">, p. </w:t>
      </w:r>
      <w:r w:rsidR="00CD626B" w:rsidRPr="00D30D57">
        <w:rPr>
          <w:szCs w:val="22"/>
        </w:rPr>
        <w:t>12).</w:t>
      </w:r>
    </w:p>
  </w:footnote>
  <w:footnote w:id="125">
    <w:p w14:paraId="63D94677" w14:textId="77777777" w:rsidR="00F03347" w:rsidRPr="00D30D57" w:rsidRDefault="00F03347" w:rsidP="00F03347">
      <w:pPr>
        <w:pStyle w:val="FootnoteText"/>
        <w:rPr>
          <w:szCs w:val="22"/>
        </w:rPr>
      </w:pPr>
      <w:r w:rsidRPr="00D30D57">
        <w:rPr>
          <w:rStyle w:val="FootnoteReference"/>
          <w:szCs w:val="22"/>
        </w:rPr>
        <w:footnoteRef/>
      </w:r>
      <w:r w:rsidRPr="00D30D57">
        <w:rPr>
          <w:szCs w:val="22"/>
        </w:rPr>
        <w:t xml:space="preserve"> Southern California Edison’s Second Amended Motion to Correct Clerical Error in Amended Motion to Supplement the Record, June 22, 2021</w:t>
      </w:r>
      <w:r w:rsidR="001804C5" w:rsidRPr="00D30D57">
        <w:rPr>
          <w:szCs w:val="22"/>
        </w:rPr>
        <w:t>,</w:t>
      </w:r>
      <w:r w:rsidRPr="00D30D57">
        <w:rPr>
          <w:szCs w:val="22"/>
        </w:rPr>
        <w:t xml:space="preserve"> Exhibit C-2 at</w:t>
      </w:r>
      <w:r w:rsidR="001804C5" w:rsidRPr="00D30D57">
        <w:rPr>
          <w:szCs w:val="22"/>
        </w:rPr>
        <w:t> </w:t>
      </w:r>
      <w:r w:rsidRPr="00D30D57">
        <w:rPr>
          <w:szCs w:val="22"/>
        </w:rPr>
        <w:t>89.</w:t>
      </w:r>
    </w:p>
  </w:footnote>
  <w:footnote w:id="126">
    <w:p w14:paraId="2171381F" w14:textId="77777777" w:rsidR="00F03347" w:rsidRDefault="00F03347" w:rsidP="00F03347">
      <w:pPr>
        <w:pStyle w:val="FootnoteText"/>
      </w:pPr>
      <w:r>
        <w:rPr>
          <w:rStyle w:val="FootnoteReference"/>
        </w:rPr>
        <w:footnoteRef/>
      </w:r>
      <w:r>
        <w:t xml:space="preserve"> </w:t>
      </w:r>
      <w:r w:rsidR="004A06EF" w:rsidRPr="00CD2DF8">
        <w:rPr>
          <w:i/>
          <w:iCs/>
          <w:szCs w:val="22"/>
        </w:rPr>
        <w:t>Id</w:t>
      </w:r>
      <w:r w:rsidRPr="00CD2DF8">
        <w:rPr>
          <w:i/>
          <w:iCs/>
          <w:szCs w:val="22"/>
        </w:rPr>
        <w:t>.</w:t>
      </w:r>
    </w:p>
  </w:footnote>
  <w:footnote w:id="127">
    <w:p w14:paraId="0F82BE87" w14:textId="77777777" w:rsidR="00A3706D" w:rsidRPr="00D30D57" w:rsidRDefault="00A3706D">
      <w:pPr>
        <w:pStyle w:val="FootnoteText"/>
        <w:rPr>
          <w:szCs w:val="22"/>
        </w:rPr>
      </w:pPr>
      <w:r>
        <w:rPr>
          <w:rStyle w:val="FootnoteReference"/>
        </w:rPr>
        <w:footnoteRef/>
      </w:r>
      <w:r w:rsidR="00771B2E">
        <w:t xml:space="preserve"> </w:t>
      </w:r>
      <w:r w:rsidRPr="00D30D57">
        <w:rPr>
          <w:szCs w:val="22"/>
        </w:rPr>
        <w:t xml:space="preserve">TURN OB at </w:t>
      </w:r>
      <w:r w:rsidR="003F53E4">
        <w:rPr>
          <w:szCs w:val="22"/>
        </w:rPr>
        <w:t xml:space="preserve">48 – </w:t>
      </w:r>
      <w:r w:rsidRPr="00D30D57">
        <w:rPr>
          <w:szCs w:val="22"/>
        </w:rPr>
        <w:t>4</w:t>
      </w:r>
      <w:r w:rsidR="00771B2E" w:rsidRPr="00D30D57">
        <w:rPr>
          <w:szCs w:val="22"/>
        </w:rPr>
        <w:t>9</w:t>
      </w:r>
      <w:r w:rsidRPr="00D30D57">
        <w:rPr>
          <w:szCs w:val="22"/>
        </w:rPr>
        <w:t xml:space="preserve">.  </w:t>
      </w:r>
    </w:p>
  </w:footnote>
  <w:footnote w:id="128">
    <w:p w14:paraId="25D3FC8A" w14:textId="77777777" w:rsidR="00D5098C" w:rsidRPr="00D30D57" w:rsidRDefault="00D5098C" w:rsidP="00D5098C">
      <w:pPr>
        <w:pStyle w:val="FootnoteText"/>
        <w:rPr>
          <w:szCs w:val="22"/>
        </w:rPr>
      </w:pPr>
      <w:r w:rsidRPr="00D30D57">
        <w:rPr>
          <w:rStyle w:val="FootnoteReference"/>
          <w:szCs w:val="22"/>
        </w:rPr>
        <w:footnoteRef/>
      </w:r>
      <w:r w:rsidRPr="00D30D57">
        <w:rPr>
          <w:szCs w:val="22"/>
        </w:rPr>
        <w:t xml:space="preserve"> Ex. Commission 2, Attachment C at Appendix A: Final Alberhill System Project Energy Division Staff Report (Appendix C – Evaluation of SCE’s Load Forecast Methodologies and Performance Metrics</w:t>
      </w:r>
      <w:r w:rsidR="00213971">
        <w:rPr>
          <w:szCs w:val="22"/>
        </w:rPr>
        <w:t>,</w:t>
      </w:r>
      <w:r w:rsidRPr="00D30D57">
        <w:rPr>
          <w:szCs w:val="22"/>
        </w:rPr>
        <w:t xml:space="preserve"> </w:t>
      </w:r>
      <w:r w:rsidR="00213971">
        <w:rPr>
          <w:szCs w:val="22"/>
        </w:rPr>
        <w:t xml:space="preserve">p. </w:t>
      </w:r>
      <w:r w:rsidRPr="00D30D57">
        <w:rPr>
          <w:szCs w:val="22"/>
        </w:rPr>
        <w:t>6).</w:t>
      </w:r>
    </w:p>
  </w:footnote>
  <w:footnote w:id="129">
    <w:p w14:paraId="508BF626" w14:textId="77777777" w:rsidR="00543F6B" w:rsidRPr="00D30D57" w:rsidRDefault="00543F6B">
      <w:pPr>
        <w:pStyle w:val="FootnoteText"/>
        <w:rPr>
          <w:szCs w:val="22"/>
        </w:rPr>
      </w:pPr>
      <w:r>
        <w:rPr>
          <w:rStyle w:val="FootnoteReference"/>
        </w:rPr>
        <w:footnoteRef/>
      </w:r>
      <w:r>
        <w:t xml:space="preserve"> </w:t>
      </w:r>
      <w:r w:rsidRPr="00D30D57">
        <w:rPr>
          <w:szCs w:val="22"/>
        </w:rPr>
        <w:t>Southern California Edison’s Second Amended Motion to Correct Clerical Error in Amended Motion to Supplement the Record, June 22, 2021 (</w:t>
      </w:r>
      <w:r w:rsidRPr="00CD2DF8">
        <w:rPr>
          <w:i/>
          <w:iCs/>
          <w:szCs w:val="22"/>
        </w:rPr>
        <w:t>see</w:t>
      </w:r>
      <w:r w:rsidRPr="00D30D57">
        <w:rPr>
          <w:szCs w:val="22"/>
        </w:rPr>
        <w:t xml:space="preserve"> attached Exhibit C-2 at 13).</w:t>
      </w:r>
    </w:p>
  </w:footnote>
  <w:footnote w:id="130">
    <w:p w14:paraId="246EFC9A" w14:textId="77777777" w:rsidR="006D3108" w:rsidRPr="00D30D57" w:rsidRDefault="006D3108">
      <w:pPr>
        <w:pStyle w:val="FootnoteText"/>
        <w:rPr>
          <w:szCs w:val="22"/>
        </w:rPr>
      </w:pPr>
      <w:r w:rsidRPr="00D30D57">
        <w:rPr>
          <w:rStyle w:val="FootnoteReference"/>
          <w:szCs w:val="22"/>
        </w:rPr>
        <w:footnoteRef/>
      </w:r>
      <w:r w:rsidRPr="00D30D57">
        <w:rPr>
          <w:szCs w:val="22"/>
        </w:rPr>
        <w:t xml:space="preserve"> Ex. TURN-12 at Attachment C, Data Request Set TURN-SCE-Alberhill-007, Question 4.</w:t>
      </w:r>
    </w:p>
  </w:footnote>
  <w:footnote w:id="131">
    <w:p w14:paraId="50DD6FE5" w14:textId="77777777" w:rsidR="009D2432" w:rsidRDefault="009D2432">
      <w:pPr>
        <w:pStyle w:val="FootnoteText"/>
      </w:pPr>
      <w:r>
        <w:rPr>
          <w:rStyle w:val="FootnoteReference"/>
        </w:rPr>
        <w:footnoteRef/>
      </w:r>
      <w:r>
        <w:t xml:space="preserve"> TURN presents LAR versus EENS calculations for Flex-2-1 events.  TURN OB at 67.  </w:t>
      </w:r>
      <w:r w:rsidR="000838E1">
        <w:t xml:space="preserve">While notable, TURN’s illustration does not persuade the Commission to discount SCE’s evidence.  </w:t>
      </w:r>
      <w:r>
        <w:t>SCE reasonably used LAR, as confirmed by the</w:t>
      </w:r>
      <w:r w:rsidR="00D72BEC">
        <w:t xml:space="preserve"> </w:t>
      </w:r>
      <w:r>
        <w:t xml:space="preserve">Energy Division.  </w:t>
      </w:r>
      <w:r w:rsidRPr="00245F58">
        <w:rPr>
          <w:i/>
          <w:iCs/>
        </w:rPr>
        <w:t>See</w:t>
      </w:r>
      <w:r>
        <w:t xml:space="preserve"> footnote 11</w:t>
      </w:r>
      <w:r w:rsidR="006E432D">
        <w:t>9</w:t>
      </w:r>
      <w:r>
        <w:t xml:space="preserve"> above and associated text. </w:t>
      </w:r>
    </w:p>
  </w:footnote>
  <w:footnote w:id="132">
    <w:p w14:paraId="5A1A76C3" w14:textId="77777777" w:rsidR="00FC5C32" w:rsidRPr="00D30D57" w:rsidRDefault="00FC5C32">
      <w:pPr>
        <w:pStyle w:val="FootnoteText"/>
        <w:rPr>
          <w:szCs w:val="22"/>
        </w:rPr>
      </w:pPr>
      <w:r w:rsidRPr="00D30D57">
        <w:rPr>
          <w:rStyle w:val="FootnoteReference"/>
          <w:szCs w:val="22"/>
        </w:rPr>
        <w:footnoteRef/>
      </w:r>
      <w:r w:rsidRPr="00D30D57">
        <w:rPr>
          <w:szCs w:val="22"/>
        </w:rPr>
        <w:t xml:space="preserve"> TURN OB at 53 – 54, </w:t>
      </w:r>
      <w:r w:rsidR="00A978EF" w:rsidRPr="00CD2DF8">
        <w:rPr>
          <w:i/>
          <w:iCs/>
          <w:szCs w:val="22"/>
        </w:rPr>
        <w:t>see</w:t>
      </w:r>
      <w:r w:rsidRPr="00D30D57">
        <w:rPr>
          <w:szCs w:val="22"/>
        </w:rPr>
        <w:t xml:space="preserve"> Figure 12 on p</w:t>
      </w:r>
      <w:r w:rsidR="00821F18" w:rsidRPr="00D30D57">
        <w:rPr>
          <w:szCs w:val="22"/>
        </w:rPr>
        <w:t>.</w:t>
      </w:r>
      <w:r w:rsidRPr="00D30D57">
        <w:rPr>
          <w:szCs w:val="22"/>
        </w:rPr>
        <w:t xml:space="preserve"> 54.</w:t>
      </w:r>
    </w:p>
  </w:footnote>
  <w:footnote w:id="133">
    <w:p w14:paraId="444AF71F" w14:textId="77777777" w:rsidR="0044275F" w:rsidRPr="00D30D57" w:rsidRDefault="0044275F">
      <w:pPr>
        <w:pStyle w:val="FootnoteText"/>
        <w:rPr>
          <w:szCs w:val="22"/>
        </w:rPr>
      </w:pPr>
      <w:r w:rsidRPr="00D30D57">
        <w:rPr>
          <w:rStyle w:val="FootnoteReference"/>
          <w:szCs w:val="22"/>
        </w:rPr>
        <w:footnoteRef/>
      </w:r>
      <w:r w:rsidRPr="00D30D57">
        <w:rPr>
          <w:szCs w:val="22"/>
        </w:rPr>
        <w:t xml:space="preserve"> </w:t>
      </w:r>
      <w:r w:rsidR="00BC520E" w:rsidRPr="00CD2DF8">
        <w:rPr>
          <w:i/>
          <w:iCs/>
          <w:szCs w:val="22"/>
        </w:rPr>
        <w:t>Id.</w:t>
      </w:r>
      <w:r w:rsidRPr="00D30D57">
        <w:rPr>
          <w:szCs w:val="22"/>
        </w:rPr>
        <w:t xml:space="preserve"> at 55.</w:t>
      </w:r>
    </w:p>
  </w:footnote>
  <w:footnote w:id="134">
    <w:p w14:paraId="0AF749C4" w14:textId="77777777" w:rsidR="00D96930" w:rsidRPr="00D30D57" w:rsidRDefault="00D96930">
      <w:pPr>
        <w:pStyle w:val="FootnoteText"/>
        <w:rPr>
          <w:szCs w:val="22"/>
        </w:rPr>
      </w:pPr>
      <w:r w:rsidRPr="00D30D57">
        <w:rPr>
          <w:rStyle w:val="FootnoteReference"/>
          <w:szCs w:val="22"/>
        </w:rPr>
        <w:footnoteRef/>
      </w:r>
      <w:r w:rsidRPr="00D30D57">
        <w:rPr>
          <w:szCs w:val="22"/>
        </w:rPr>
        <w:t xml:space="preserve"> TURN OB at 55 – 56.</w:t>
      </w:r>
    </w:p>
  </w:footnote>
  <w:footnote w:id="135">
    <w:p w14:paraId="4BD58E16" w14:textId="77777777" w:rsidR="00D96930" w:rsidRPr="00D30D57" w:rsidRDefault="00D96930">
      <w:pPr>
        <w:pStyle w:val="FootnoteText"/>
        <w:rPr>
          <w:szCs w:val="22"/>
        </w:rPr>
      </w:pPr>
      <w:r w:rsidRPr="00D30D57">
        <w:rPr>
          <w:rStyle w:val="FootnoteReference"/>
          <w:szCs w:val="22"/>
        </w:rPr>
        <w:footnoteRef/>
      </w:r>
      <w:r w:rsidRPr="00D30D57">
        <w:rPr>
          <w:szCs w:val="22"/>
        </w:rPr>
        <w:t xml:space="preserve"> </w:t>
      </w:r>
      <w:r w:rsidR="00821F18" w:rsidRPr="00CD2DF8">
        <w:rPr>
          <w:i/>
          <w:iCs/>
          <w:szCs w:val="22"/>
        </w:rPr>
        <w:t>Id.</w:t>
      </w:r>
      <w:r w:rsidRPr="00D30D57">
        <w:rPr>
          <w:szCs w:val="22"/>
        </w:rPr>
        <w:t xml:space="preserve"> at 56 – 57.</w:t>
      </w:r>
    </w:p>
  </w:footnote>
  <w:footnote w:id="136">
    <w:p w14:paraId="5AB8D06F" w14:textId="77777777" w:rsidR="00D96930" w:rsidRPr="00D30D57" w:rsidRDefault="00D96930">
      <w:pPr>
        <w:pStyle w:val="FootnoteText"/>
        <w:rPr>
          <w:szCs w:val="22"/>
        </w:rPr>
      </w:pPr>
      <w:r w:rsidRPr="00D30D57">
        <w:rPr>
          <w:rStyle w:val="FootnoteReference"/>
          <w:szCs w:val="22"/>
        </w:rPr>
        <w:footnoteRef/>
      </w:r>
      <w:r w:rsidRPr="00D30D57">
        <w:rPr>
          <w:szCs w:val="22"/>
        </w:rPr>
        <w:t xml:space="preserve"> </w:t>
      </w:r>
      <w:r w:rsidR="00821F18" w:rsidRPr="00D30D57">
        <w:rPr>
          <w:i/>
          <w:iCs/>
          <w:szCs w:val="22"/>
        </w:rPr>
        <w:t>Id.</w:t>
      </w:r>
      <w:r w:rsidRPr="00D30D57">
        <w:rPr>
          <w:szCs w:val="22"/>
        </w:rPr>
        <w:t xml:space="preserve"> at 61 – 63.</w:t>
      </w:r>
    </w:p>
  </w:footnote>
  <w:footnote w:id="137">
    <w:p w14:paraId="7F21287C" w14:textId="77777777" w:rsidR="002A46FD" w:rsidRPr="00D30D57" w:rsidRDefault="002A46FD">
      <w:pPr>
        <w:pStyle w:val="FootnoteText"/>
        <w:rPr>
          <w:szCs w:val="22"/>
        </w:rPr>
      </w:pPr>
      <w:r w:rsidRPr="00D30D57">
        <w:rPr>
          <w:rStyle w:val="FootnoteReference"/>
          <w:szCs w:val="22"/>
        </w:rPr>
        <w:footnoteRef/>
      </w:r>
      <w:r w:rsidRPr="00D30D57">
        <w:rPr>
          <w:szCs w:val="22"/>
        </w:rPr>
        <w:t xml:space="preserve"> </w:t>
      </w:r>
      <w:r w:rsidR="00821F18" w:rsidRPr="00D30D57">
        <w:rPr>
          <w:i/>
          <w:iCs/>
          <w:szCs w:val="22"/>
        </w:rPr>
        <w:t>Id.</w:t>
      </w:r>
      <w:r w:rsidRPr="00D30D57">
        <w:rPr>
          <w:szCs w:val="22"/>
        </w:rPr>
        <w:t xml:space="preserve"> at 63 – 64.</w:t>
      </w:r>
    </w:p>
  </w:footnote>
  <w:footnote w:id="138">
    <w:p w14:paraId="361B080C" w14:textId="77777777" w:rsidR="00D96930" w:rsidRPr="00D30D57" w:rsidRDefault="00D96930">
      <w:pPr>
        <w:pStyle w:val="FootnoteText"/>
        <w:rPr>
          <w:szCs w:val="22"/>
        </w:rPr>
      </w:pPr>
      <w:r w:rsidRPr="00D30D57">
        <w:rPr>
          <w:rStyle w:val="FootnoteReference"/>
          <w:szCs w:val="22"/>
        </w:rPr>
        <w:footnoteRef/>
      </w:r>
      <w:r w:rsidRPr="00D30D57">
        <w:rPr>
          <w:szCs w:val="22"/>
        </w:rPr>
        <w:t xml:space="preserve"> </w:t>
      </w:r>
      <w:r w:rsidR="00821F18" w:rsidRPr="00D30D57">
        <w:rPr>
          <w:i/>
          <w:iCs/>
          <w:szCs w:val="22"/>
        </w:rPr>
        <w:t>Id.</w:t>
      </w:r>
      <w:r w:rsidRPr="00D30D57">
        <w:rPr>
          <w:szCs w:val="22"/>
        </w:rPr>
        <w:t xml:space="preserve"> at 58 – 60.</w:t>
      </w:r>
    </w:p>
  </w:footnote>
  <w:footnote w:id="139">
    <w:p w14:paraId="46107685" w14:textId="77777777" w:rsidR="002F2D8D" w:rsidRPr="00D30D57" w:rsidRDefault="002F2D8D">
      <w:pPr>
        <w:pStyle w:val="FootnoteText"/>
        <w:rPr>
          <w:szCs w:val="22"/>
        </w:rPr>
      </w:pPr>
      <w:r>
        <w:rPr>
          <w:rStyle w:val="FootnoteReference"/>
        </w:rPr>
        <w:footnoteRef/>
      </w:r>
      <w:r>
        <w:t xml:space="preserve"> </w:t>
      </w:r>
      <w:r w:rsidR="00821F18" w:rsidRPr="00D30D57">
        <w:rPr>
          <w:i/>
          <w:iCs/>
          <w:szCs w:val="22"/>
        </w:rPr>
        <w:t>Id.</w:t>
      </w:r>
      <w:r w:rsidRPr="00D30D57">
        <w:rPr>
          <w:szCs w:val="22"/>
        </w:rPr>
        <w:t xml:space="preserve"> at 56 – 57.</w:t>
      </w:r>
    </w:p>
  </w:footnote>
  <w:footnote w:id="140">
    <w:p w14:paraId="009FB512" w14:textId="77777777" w:rsidR="00FD2B6D" w:rsidRPr="00D30D57" w:rsidRDefault="00FD2B6D">
      <w:pPr>
        <w:pStyle w:val="FootnoteText"/>
        <w:rPr>
          <w:szCs w:val="22"/>
        </w:rPr>
      </w:pPr>
      <w:r w:rsidRPr="00D30D57">
        <w:rPr>
          <w:rStyle w:val="FootnoteReference"/>
          <w:szCs w:val="22"/>
        </w:rPr>
        <w:footnoteRef/>
      </w:r>
      <w:r w:rsidRPr="00D30D57">
        <w:rPr>
          <w:szCs w:val="22"/>
        </w:rPr>
        <w:t xml:space="preserve"> </w:t>
      </w:r>
      <w:r w:rsidR="00821F18" w:rsidRPr="00D30D57">
        <w:rPr>
          <w:i/>
          <w:iCs/>
          <w:szCs w:val="22"/>
        </w:rPr>
        <w:t>Id.</w:t>
      </w:r>
      <w:r w:rsidRPr="00D30D57">
        <w:rPr>
          <w:szCs w:val="22"/>
        </w:rPr>
        <w:t xml:space="preserve"> at 66.</w:t>
      </w:r>
    </w:p>
  </w:footnote>
  <w:footnote w:id="141">
    <w:p w14:paraId="09F22479" w14:textId="77777777" w:rsidR="00B321AF" w:rsidRPr="00D30D57" w:rsidRDefault="00B321AF">
      <w:pPr>
        <w:pStyle w:val="FootnoteText"/>
        <w:rPr>
          <w:szCs w:val="22"/>
        </w:rPr>
      </w:pPr>
      <w:r w:rsidRPr="00D30D57">
        <w:rPr>
          <w:rStyle w:val="FootnoteReference"/>
          <w:szCs w:val="22"/>
        </w:rPr>
        <w:footnoteRef/>
      </w:r>
      <w:r w:rsidRPr="00D30D57">
        <w:rPr>
          <w:szCs w:val="22"/>
        </w:rPr>
        <w:t xml:space="preserve"> </w:t>
      </w:r>
      <w:r w:rsidR="00821F18" w:rsidRPr="00D30D57">
        <w:rPr>
          <w:i/>
          <w:iCs/>
          <w:szCs w:val="22"/>
        </w:rPr>
        <w:t>Id.</w:t>
      </w:r>
      <w:r w:rsidRPr="00D30D57">
        <w:rPr>
          <w:szCs w:val="22"/>
        </w:rPr>
        <w:t xml:space="preserve"> at 49.</w:t>
      </w:r>
      <w:r w:rsidR="000838E1">
        <w:rPr>
          <w:szCs w:val="22"/>
        </w:rPr>
        <w:t xml:space="preserve">  </w:t>
      </w:r>
    </w:p>
  </w:footnote>
  <w:footnote w:id="142">
    <w:p w14:paraId="296DDA86" w14:textId="77777777" w:rsidR="002149D1" w:rsidRPr="00D30D57" w:rsidRDefault="002149D1">
      <w:pPr>
        <w:pStyle w:val="FootnoteText"/>
        <w:rPr>
          <w:szCs w:val="22"/>
        </w:rPr>
      </w:pPr>
      <w:r w:rsidRPr="00D30D57">
        <w:rPr>
          <w:rStyle w:val="FootnoteReference"/>
          <w:szCs w:val="22"/>
        </w:rPr>
        <w:footnoteRef/>
      </w:r>
      <w:r w:rsidRPr="00D30D57">
        <w:rPr>
          <w:szCs w:val="22"/>
        </w:rPr>
        <w:t xml:space="preserve"> </w:t>
      </w:r>
      <w:r w:rsidR="00821F18" w:rsidRPr="00D30D57">
        <w:rPr>
          <w:i/>
          <w:iCs/>
          <w:szCs w:val="22"/>
        </w:rPr>
        <w:t>Id.</w:t>
      </w:r>
      <w:r w:rsidRPr="00D30D57">
        <w:rPr>
          <w:szCs w:val="22"/>
        </w:rPr>
        <w:t xml:space="preserve"> at 50.</w:t>
      </w:r>
      <w:r w:rsidR="00D72BEC">
        <w:rPr>
          <w:szCs w:val="22"/>
        </w:rPr>
        <w:t xml:space="preserve">  </w:t>
      </w:r>
      <w:r w:rsidR="00D72BEC" w:rsidRPr="00D72BEC">
        <w:rPr>
          <w:szCs w:val="22"/>
        </w:rPr>
        <w:t xml:space="preserve">TURN presents LAR versus EENS calculations for Flex-2-2 events. TURN OB at 52.  </w:t>
      </w:r>
      <w:r w:rsidR="00CF636B">
        <w:rPr>
          <w:szCs w:val="22"/>
        </w:rPr>
        <w:t xml:space="preserve">TURN consistently chooses EENS because it is probability weighted.  Since TURN argues for </w:t>
      </w:r>
      <w:r w:rsidR="00D00D5A">
        <w:rPr>
          <w:szCs w:val="22"/>
        </w:rPr>
        <w:t xml:space="preserve">the </w:t>
      </w:r>
      <w:r w:rsidR="00CF636B">
        <w:rPr>
          <w:szCs w:val="22"/>
        </w:rPr>
        <w:t xml:space="preserve">lower probability of contingency events, </w:t>
      </w:r>
      <w:r w:rsidR="00D00D5A">
        <w:rPr>
          <w:szCs w:val="22"/>
        </w:rPr>
        <w:t>TURN uses</w:t>
      </w:r>
      <w:r w:rsidR="00CF636B">
        <w:rPr>
          <w:szCs w:val="22"/>
        </w:rPr>
        <w:t xml:space="preserve"> EENS calculation</w:t>
      </w:r>
      <w:r w:rsidR="00D00D5A">
        <w:rPr>
          <w:szCs w:val="22"/>
        </w:rPr>
        <w:t xml:space="preserve"> result</w:t>
      </w:r>
      <w:r w:rsidR="00CF636B">
        <w:rPr>
          <w:szCs w:val="22"/>
        </w:rPr>
        <w:t xml:space="preserve">s </w:t>
      </w:r>
      <w:r w:rsidR="00D00D5A">
        <w:rPr>
          <w:szCs w:val="22"/>
        </w:rPr>
        <w:t xml:space="preserve">to </w:t>
      </w:r>
      <w:r w:rsidR="00CF636B">
        <w:rPr>
          <w:szCs w:val="22"/>
        </w:rPr>
        <w:t>support its argument that the Alberhill project is not needed.  While</w:t>
      </w:r>
      <w:r w:rsidR="00D00D5A">
        <w:rPr>
          <w:szCs w:val="22"/>
        </w:rPr>
        <w:t xml:space="preserve"> </w:t>
      </w:r>
      <w:r w:rsidR="00CF636B">
        <w:rPr>
          <w:szCs w:val="22"/>
        </w:rPr>
        <w:t>understandable,</w:t>
      </w:r>
      <w:r w:rsidR="00D72BEC" w:rsidRPr="00D72BEC">
        <w:rPr>
          <w:szCs w:val="22"/>
        </w:rPr>
        <w:t xml:space="preserve"> SCE reasonably used LAR</w:t>
      </w:r>
      <w:r w:rsidR="00D00D5A">
        <w:rPr>
          <w:szCs w:val="22"/>
        </w:rPr>
        <w:t>, as discussed above</w:t>
      </w:r>
      <w:r w:rsidR="00D72BEC" w:rsidRPr="00D72BEC">
        <w:rPr>
          <w:szCs w:val="22"/>
        </w:rPr>
        <w:t xml:space="preserve">.  The Commission does not need to determine a range of possible unserved of load based on different metrics.  Rather the Commission agrees with the independent evaluation of Energy Division and its consultant.  </w:t>
      </w:r>
    </w:p>
  </w:footnote>
  <w:footnote w:id="143">
    <w:p w14:paraId="76651E3B" w14:textId="77777777" w:rsidR="00891BEA" w:rsidRPr="00D30D57" w:rsidRDefault="00891BEA">
      <w:pPr>
        <w:pStyle w:val="FootnoteText"/>
        <w:rPr>
          <w:szCs w:val="22"/>
        </w:rPr>
      </w:pPr>
      <w:r w:rsidRPr="00D30D57">
        <w:rPr>
          <w:rStyle w:val="FootnoteReference"/>
          <w:szCs w:val="22"/>
        </w:rPr>
        <w:footnoteRef/>
      </w:r>
      <w:r w:rsidRPr="00D30D57">
        <w:rPr>
          <w:szCs w:val="22"/>
        </w:rPr>
        <w:t xml:space="preserve"> TURN-</w:t>
      </w:r>
      <w:r w:rsidR="00D72BEC">
        <w:rPr>
          <w:szCs w:val="22"/>
        </w:rPr>
        <w:t>1</w:t>
      </w:r>
      <w:r w:rsidRPr="00D30D57">
        <w:rPr>
          <w:szCs w:val="22"/>
        </w:rPr>
        <w:t xml:space="preserve">2 at Attachment C, Data Request Set TURN-SCE-Alberhill-007, Question 5, p. 3. </w:t>
      </w:r>
    </w:p>
  </w:footnote>
  <w:footnote w:id="144">
    <w:p w14:paraId="2045B3EF" w14:textId="77777777" w:rsidR="005563B9" w:rsidRPr="005563B9" w:rsidRDefault="005563B9">
      <w:pPr>
        <w:pStyle w:val="FootnoteText"/>
        <w:rPr>
          <w:szCs w:val="22"/>
        </w:rPr>
      </w:pPr>
      <w:r>
        <w:rPr>
          <w:rStyle w:val="FootnoteReference"/>
        </w:rPr>
        <w:footnoteRef/>
      </w:r>
      <w:r>
        <w:t xml:space="preserve"> </w:t>
      </w:r>
      <w:r w:rsidR="00D72BEC" w:rsidRPr="00245F58">
        <w:rPr>
          <w:i/>
          <w:iCs/>
          <w:szCs w:val="22"/>
        </w:rPr>
        <w:t>Id</w:t>
      </w:r>
      <w:r w:rsidRPr="00245F58">
        <w:rPr>
          <w:i/>
          <w:iCs/>
          <w:szCs w:val="22"/>
        </w:rPr>
        <w:t>.</w:t>
      </w:r>
      <w:r w:rsidRPr="00D30D57">
        <w:rPr>
          <w:szCs w:val="22"/>
        </w:rPr>
        <w:t xml:space="preserve"> </w:t>
      </w:r>
    </w:p>
  </w:footnote>
  <w:footnote w:id="145">
    <w:p w14:paraId="2D14A8AC" w14:textId="77777777" w:rsidR="000478EB" w:rsidRPr="00D30D57" w:rsidRDefault="000478EB">
      <w:pPr>
        <w:pStyle w:val="FootnoteText"/>
        <w:rPr>
          <w:szCs w:val="22"/>
        </w:rPr>
      </w:pPr>
      <w:r>
        <w:rPr>
          <w:rStyle w:val="FootnoteReference"/>
        </w:rPr>
        <w:footnoteRef/>
      </w:r>
      <w:r>
        <w:t xml:space="preserve"> </w:t>
      </w:r>
      <w:r w:rsidRPr="00D30D57">
        <w:rPr>
          <w:szCs w:val="22"/>
        </w:rPr>
        <w:t>TURN OB at 51.</w:t>
      </w:r>
    </w:p>
  </w:footnote>
  <w:footnote w:id="146">
    <w:p w14:paraId="0C97A7F4" w14:textId="77777777" w:rsidR="000478EB" w:rsidRPr="00D30D57" w:rsidRDefault="000478EB">
      <w:pPr>
        <w:pStyle w:val="FootnoteText"/>
        <w:rPr>
          <w:szCs w:val="22"/>
        </w:rPr>
      </w:pPr>
      <w:r w:rsidRPr="00D30D57">
        <w:rPr>
          <w:rStyle w:val="FootnoteReference"/>
          <w:szCs w:val="22"/>
        </w:rPr>
        <w:footnoteRef/>
      </w:r>
      <w:r w:rsidRPr="00D30D57">
        <w:rPr>
          <w:szCs w:val="22"/>
        </w:rPr>
        <w:t xml:space="preserve"> </w:t>
      </w:r>
      <w:r w:rsidR="00D83134" w:rsidRPr="00D30D57">
        <w:rPr>
          <w:i/>
          <w:iCs/>
          <w:szCs w:val="22"/>
        </w:rPr>
        <w:t>Id.</w:t>
      </w:r>
      <w:r w:rsidRPr="00D30D57">
        <w:rPr>
          <w:szCs w:val="22"/>
        </w:rPr>
        <w:t xml:space="preserve"> at 51 – 52</w:t>
      </w:r>
      <w:r w:rsidR="00D83134" w:rsidRPr="00D30D57">
        <w:rPr>
          <w:szCs w:val="22"/>
        </w:rPr>
        <w:t>, see Figure 11 on p. 52</w:t>
      </w:r>
      <w:r w:rsidRPr="00D30D57">
        <w:rPr>
          <w:szCs w:val="22"/>
        </w:rPr>
        <w:t>.</w:t>
      </w:r>
    </w:p>
  </w:footnote>
  <w:footnote w:id="147">
    <w:p w14:paraId="3112EA79" w14:textId="77777777" w:rsidR="00270296" w:rsidRPr="00D30D57" w:rsidRDefault="00270296">
      <w:pPr>
        <w:pStyle w:val="FootnoteText"/>
        <w:rPr>
          <w:szCs w:val="22"/>
        </w:rPr>
      </w:pPr>
      <w:r w:rsidRPr="00D30D57">
        <w:rPr>
          <w:rStyle w:val="FootnoteReference"/>
          <w:szCs w:val="22"/>
        </w:rPr>
        <w:footnoteRef/>
      </w:r>
      <w:r w:rsidRPr="00D30D57">
        <w:rPr>
          <w:szCs w:val="22"/>
        </w:rPr>
        <w:t xml:space="preserve"> </w:t>
      </w:r>
      <w:r w:rsidR="00550367" w:rsidRPr="00D30D57">
        <w:rPr>
          <w:szCs w:val="22"/>
        </w:rPr>
        <w:t>SCE OB at 26</w:t>
      </w:r>
      <w:r w:rsidR="00C014DE" w:rsidRPr="00D30D57">
        <w:rPr>
          <w:szCs w:val="22"/>
        </w:rPr>
        <w:t>;</w:t>
      </w:r>
      <w:r w:rsidR="00611068" w:rsidRPr="00D30D57">
        <w:rPr>
          <w:szCs w:val="22"/>
        </w:rPr>
        <w:t xml:space="preserve"> Ex.</w:t>
      </w:r>
      <w:r w:rsidR="00550367" w:rsidRPr="00D30D57">
        <w:rPr>
          <w:szCs w:val="22"/>
        </w:rPr>
        <w:t xml:space="preserve"> </w:t>
      </w:r>
      <w:r w:rsidRPr="00D30D57">
        <w:rPr>
          <w:szCs w:val="22"/>
        </w:rPr>
        <w:t>SCE</w:t>
      </w:r>
      <w:r w:rsidR="00550367" w:rsidRPr="00D30D57">
        <w:rPr>
          <w:szCs w:val="22"/>
        </w:rPr>
        <w:t>-8 at 39:4</w:t>
      </w:r>
      <w:r w:rsidR="00B33F41" w:rsidRPr="00D30D57">
        <w:rPr>
          <w:szCs w:val="22"/>
        </w:rPr>
        <w:t xml:space="preserve"> – 39:</w:t>
      </w:r>
      <w:r w:rsidR="00550367" w:rsidRPr="00D30D57">
        <w:rPr>
          <w:szCs w:val="22"/>
        </w:rPr>
        <w:t>6,</w:t>
      </w:r>
      <w:r w:rsidR="00B33F41" w:rsidRPr="00D30D57">
        <w:rPr>
          <w:szCs w:val="22"/>
        </w:rPr>
        <w:t xml:space="preserve"> Attachment A, p.</w:t>
      </w:r>
      <w:r w:rsidR="00550367" w:rsidRPr="00D30D57">
        <w:rPr>
          <w:szCs w:val="22"/>
        </w:rPr>
        <w:t xml:space="preserve"> A-4</w:t>
      </w:r>
      <w:r w:rsidRPr="00D30D57">
        <w:rPr>
          <w:szCs w:val="22"/>
        </w:rPr>
        <w:t>.</w:t>
      </w:r>
    </w:p>
  </w:footnote>
  <w:footnote w:id="148">
    <w:p w14:paraId="3DB9EB97" w14:textId="77777777" w:rsidR="00550367" w:rsidRPr="00D30D57" w:rsidRDefault="00550367">
      <w:pPr>
        <w:pStyle w:val="FootnoteText"/>
        <w:rPr>
          <w:szCs w:val="22"/>
        </w:rPr>
      </w:pPr>
      <w:r w:rsidRPr="00D30D57">
        <w:rPr>
          <w:rStyle w:val="FootnoteReference"/>
          <w:szCs w:val="22"/>
        </w:rPr>
        <w:footnoteRef/>
      </w:r>
      <w:r w:rsidRPr="00D30D57">
        <w:rPr>
          <w:szCs w:val="22"/>
        </w:rPr>
        <w:t xml:space="preserve"> SCE RB at 22.</w:t>
      </w:r>
    </w:p>
  </w:footnote>
  <w:footnote w:id="149">
    <w:p w14:paraId="208FCC36" w14:textId="77777777" w:rsidR="0092241D" w:rsidRPr="00D30D57" w:rsidRDefault="0092241D" w:rsidP="0092241D">
      <w:pPr>
        <w:pStyle w:val="FootnoteText"/>
        <w:rPr>
          <w:szCs w:val="22"/>
        </w:rPr>
      </w:pPr>
      <w:r w:rsidRPr="00D30D57">
        <w:rPr>
          <w:rStyle w:val="FootnoteReference"/>
          <w:szCs w:val="22"/>
        </w:rPr>
        <w:footnoteRef/>
      </w:r>
      <w:r w:rsidRPr="00D30D57">
        <w:rPr>
          <w:szCs w:val="22"/>
        </w:rPr>
        <w:t xml:space="preserve"> Ex. SCE-8 at 31:4 – 31:19.</w:t>
      </w:r>
    </w:p>
  </w:footnote>
  <w:footnote w:id="150">
    <w:p w14:paraId="4799EA9D" w14:textId="77777777" w:rsidR="0092241D" w:rsidRPr="00D30D57" w:rsidRDefault="0092241D" w:rsidP="0092241D">
      <w:pPr>
        <w:pStyle w:val="FootnoteText"/>
        <w:rPr>
          <w:szCs w:val="22"/>
        </w:rPr>
      </w:pPr>
      <w:r w:rsidRPr="00D30D57">
        <w:rPr>
          <w:rStyle w:val="FootnoteReference"/>
          <w:szCs w:val="22"/>
        </w:rPr>
        <w:footnoteRef/>
      </w:r>
      <w:r w:rsidRPr="00D30D57">
        <w:rPr>
          <w:szCs w:val="22"/>
        </w:rPr>
        <w:t xml:space="preserve"> </w:t>
      </w:r>
      <w:r w:rsidR="003554F0" w:rsidRPr="00124DC5">
        <w:rPr>
          <w:i/>
          <w:iCs/>
          <w:szCs w:val="22"/>
        </w:rPr>
        <w:t>Id.</w:t>
      </w:r>
      <w:r w:rsidRPr="00D30D57">
        <w:rPr>
          <w:szCs w:val="22"/>
        </w:rPr>
        <w:t xml:space="preserve"> at 9:1 – 9: 11, 31:4 – 31:19.</w:t>
      </w:r>
    </w:p>
  </w:footnote>
  <w:footnote w:id="151">
    <w:p w14:paraId="76CA6F4F" w14:textId="77777777" w:rsidR="00550367" w:rsidRPr="00D30D57" w:rsidRDefault="00550367">
      <w:pPr>
        <w:pStyle w:val="FootnoteText"/>
        <w:rPr>
          <w:szCs w:val="22"/>
        </w:rPr>
      </w:pPr>
      <w:r>
        <w:rPr>
          <w:rStyle w:val="FootnoteReference"/>
        </w:rPr>
        <w:footnoteRef/>
      </w:r>
      <w:r>
        <w:t xml:space="preserve"> </w:t>
      </w:r>
      <w:r w:rsidRPr="00D30D57">
        <w:rPr>
          <w:szCs w:val="22"/>
        </w:rPr>
        <w:t>SCE RB at 22.</w:t>
      </w:r>
    </w:p>
  </w:footnote>
  <w:footnote w:id="152">
    <w:p w14:paraId="4F1D2794" w14:textId="77777777" w:rsidR="0048107C" w:rsidRPr="00D30D57" w:rsidRDefault="0048107C" w:rsidP="0048107C">
      <w:pPr>
        <w:pStyle w:val="FootnoteText"/>
        <w:rPr>
          <w:szCs w:val="22"/>
        </w:rPr>
      </w:pPr>
      <w:r w:rsidRPr="00D30D57">
        <w:rPr>
          <w:rStyle w:val="FootnoteReference"/>
          <w:szCs w:val="22"/>
        </w:rPr>
        <w:footnoteRef/>
      </w:r>
      <w:r w:rsidRPr="00D30D57">
        <w:rPr>
          <w:szCs w:val="22"/>
        </w:rPr>
        <w:t xml:space="preserve"> TURN OB at 66.</w:t>
      </w:r>
    </w:p>
  </w:footnote>
  <w:footnote w:id="153">
    <w:p w14:paraId="2C84389A" w14:textId="77777777" w:rsidR="00F27472" w:rsidRPr="00D30D57" w:rsidRDefault="00F27472" w:rsidP="00F27472">
      <w:pPr>
        <w:pStyle w:val="FootnoteText"/>
        <w:rPr>
          <w:szCs w:val="22"/>
        </w:rPr>
      </w:pPr>
      <w:r w:rsidRPr="00D30D57">
        <w:rPr>
          <w:rStyle w:val="FootnoteReference"/>
          <w:szCs w:val="22"/>
        </w:rPr>
        <w:footnoteRef/>
      </w:r>
      <w:r w:rsidRPr="00D30D57">
        <w:rPr>
          <w:szCs w:val="22"/>
        </w:rPr>
        <w:t xml:space="preserve"> TURN-12 at Attachment C Data Request Set TURN-SCE-Alberhill-007, Question 5, p. 3. </w:t>
      </w:r>
    </w:p>
  </w:footnote>
  <w:footnote w:id="154">
    <w:p w14:paraId="677C2BA2" w14:textId="77777777" w:rsidR="00BC67B1" w:rsidRPr="00D30D57" w:rsidRDefault="00BC67B1" w:rsidP="00BC67B1">
      <w:pPr>
        <w:pStyle w:val="FootnoteText"/>
        <w:rPr>
          <w:szCs w:val="22"/>
        </w:rPr>
      </w:pPr>
      <w:r>
        <w:rPr>
          <w:rStyle w:val="FootnoteReference"/>
        </w:rPr>
        <w:footnoteRef/>
      </w:r>
      <w:r>
        <w:t xml:space="preserve"> </w:t>
      </w:r>
      <w:r w:rsidRPr="00D30D57">
        <w:rPr>
          <w:szCs w:val="22"/>
        </w:rPr>
        <w:t>SCE R</w:t>
      </w:r>
      <w:r w:rsidR="0079747D" w:rsidRPr="00D30D57">
        <w:rPr>
          <w:szCs w:val="22"/>
        </w:rPr>
        <w:t>B</w:t>
      </w:r>
      <w:r w:rsidRPr="00D30D57">
        <w:rPr>
          <w:szCs w:val="22"/>
        </w:rPr>
        <w:t xml:space="preserve"> at 21.</w:t>
      </w:r>
    </w:p>
  </w:footnote>
  <w:footnote w:id="155">
    <w:p w14:paraId="21A2CED4" w14:textId="77777777" w:rsidR="00BC67B1" w:rsidRPr="00D30D57" w:rsidRDefault="00BC67B1" w:rsidP="00BC67B1">
      <w:pPr>
        <w:pStyle w:val="FootnoteText"/>
        <w:rPr>
          <w:szCs w:val="22"/>
        </w:rPr>
      </w:pPr>
      <w:r w:rsidRPr="00D30D57">
        <w:rPr>
          <w:rStyle w:val="FootnoteReference"/>
          <w:szCs w:val="22"/>
        </w:rPr>
        <w:footnoteRef/>
      </w:r>
      <w:r w:rsidRPr="00D30D57">
        <w:rPr>
          <w:szCs w:val="22"/>
        </w:rPr>
        <w:t xml:space="preserve"> Ex. Commission-2</w:t>
      </w:r>
      <w:r w:rsidR="00C014DE" w:rsidRPr="00D30D57">
        <w:rPr>
          <w:szCs w:val="22"/>
        </w:rPr>
        <w:t xml:space="preserve"> at</w:t>
      </w:r>
      <w:r w:rsidRPr="00D30D57">
        <w:rPr>
          <w:szCs w:val="22"/>
        </w:rPr>
        <w:t xml:space="preserve"> Attachment C </w:t>
      </w:r>
      <w:r w:rsidR="00B33F41" w:rsidRPr="00D30D57">
        <w:rPr>
          <w:szCs w:val="22"/>
        </w:rPr>
        <w:t>“</w:t>
      </w:r>
      <w:r w:rsidRPr="00D30D57">
        <w:rPr>
          <w:szCs w:val="22"/>
        </w:rPr>
        <w:t>Alberhill System Project Supplement to the Alternatives Screening Report</w:t>
      </w:r>
      <w:r w:rsidR="00C014DE" w:rsidRPr="00D30D57">
        <w:rPr>
          <w:szCs w:val="22"/>
        </w:rPr>
        <w:t>,</w:t>
      </w:r>
      <w:r w:rsidR="00B33F41" w:rsidRPr="00D30D57">
        <w:rPr>
          <w:szCs w:val="22"/>
        </w:rPr>
        <w:t>”</w:t>
      </w:r>
      <w:r w:rsidRPr="00D30D57">
        <w:rPr>
          <w:szCs w:val="22"/>
        </w:rPr>
        <w:t xml:space="preserve"> </w:t>
      </w:r>
      <w:r w:rsidR="00C014DE" w:rsidRPr="00D30D57">
        <w:rPr>
          <w:szCs w:val="22"/>
        </w:rPr>
        <w:t>p.</w:t>
      </w:r>
      <w:r w:rsidRPr="00D30D57">
        <w:rPr>
          <w:szCs w:val="22"/>
        </w:rPr>
        <w:t xml:space="preserve"> 19.  </w:t>
      </w:r>
      <w:r w:rsidRPr="00CD2DF8">
        <w:rPr>
          <w:i/>
          <w:iCs/>
          <w:szCs w:val="22"/>
        </w:rPr>
        <w:t>See</w:t>
      </w:r>
      <w:r w:rsidRPr="00D30D57">
        <w:rPr>
          <w:i/>
          <w:iCs/>
          <w:szCs w:val="22"/>
        </w:rPr>
        <w:t xml:space="preserve"> also</w:t>
      </w:r>
      <w:r w:rsidRPr="00D30D57">
        <w:rPr>
          <w:szCs w:val="22"/>
        </w:rPr>
        <w:t xml:space="preserve"> Ex. Commission-2, Attachment C at Appendix A</w:t>
      </w:r>
      <w:r w:rsidR="00213971">
        <w:rPr>
          <w:szCs w:val="22"/>
        </w:rPr>
        <w:t>: Final Alberhill System Project</w:t>
      </w:r>
      <w:r w:rsidRPr="00D30D57">
        <w:rPr>
          <w:szCs w:val="22"/>
        </w:rPr>
        <w:t xml:space="preserve"> Energy Division Staff Report</w:t>
      </w:r>
      <w:r w:rsidR="00C014DE" w:rsidRPr="00D30D57">
        <w:rPr>
          <w:szCs w:val="22"/>
        </w:rPr>
        <w:t>, pp.</w:t>
      </w:r>
      <w:r w:rsidRPr="00D30D57">
        <w:rPr>
          <w:szCs w:val="22"/>
        </w:rPr>
        <w:t xml:space="preserve"> 1, 24, 25.</w:t>
      </w:r>
    </w:p>
  </w:footnote>
  <w:footnote w:id="156">
    <w:p w14:paraId="7DE560D8" w14:textId="77777777" w:rsidR="00BC67B1" w:rsidRPr="00D30D57" w:rsidRDefault="00BC67B1" w:rsidP="00BC67B1">
      <w:pPr>
        <w:pStyle w:val="FootnoteText"/>
        <w:rPr>
          <w:szCs w:val="22"/>
        </w:rPr>
      </w:pPr>
      <w:r w:rsidRPr="00D30D57">
        <w:rPr>
          <w:rStyle w:val="FootnoteReference"/>
          <w:szCs w:val="22"/>
        </w:rPr>
        <w:footnoteRef/>
      </w:r>
      <w:r w:rsidRPr="00D30D57">
        <w:rPr>
          <w:szCs w:val="22"/>
        </w:rPr>
        <w:t xml:space="preserve"> Ex. Commission-2, Attachment C at Appendix A</w:t>
      </w:r>
      <w:r w:rsidR="00213971">
        <w:rPr>
          <w:szCs w:val="22"/>
        </w:rPr>
        <w:t>:</w:t>
      </w:r>
      <w:r w:rsidR="00213971" w:rsidRPr="00213971">
        <w:rPr>
          <w:szCs w:val="22"/>
        </w:rPr>
        <w:t xml:space="preserve"> </w:t>
      </w:r>
      <w:r w:rsidR="00213971">
        <w:rPr>
          <w:szCs w:val="22"/>
        </w:rPr>
        <w:t>Final Alberhill System Project</w:t>
      </w:r>
      <w:r w:rsidRPr="00D30D57">
        <w:rPr>
          <w:szCs w:val="22"/>
        </w:rPr>
        <w:t xml:space="preserve"> Energy Division Staff Report</w:t>
      </w:r>
      <w:r w:rsidR="00C014DE" w:rsidRPr="00D30D57">
        <w:rPr>
          <w:szCs w:val="22"/>
        </w:rPr>
        <w:t>,</w:t>
      </w:r>
      <w:r w:rsidRPr="00D30D57">
        <w:rPr>
          <w:szCs w:val="22"/>
        </w:rPr>
        <w:t xml:space="preserve"> </w:t>
      </w:r>
      <w:r w:rsidR="00C014DE" w:rsidRPr="00D30D57">
        <w:rPr>
          <w:szCs w:val="22"/>
        </w:rPr>
        <w:t>pp.</w:t>
      </w:r>
      <w:r w:rsidRPr="00D30D57">
        <w:rPr>
          <w:szCs w:val="22"/>
        </w:rPr>
        <w:t xml:space="preserve"> 40 – 41.</w:t>
      </w:r>
    </w:p>
  </w:footnote>
  <w:footnote w:id="157">
    <w:p w14:paraId="63C149C2" w14:textId="77777777" w:rsidR="00036476" w:rsidRPr="00D30D57" w:rsidRDefault="00036476" w:rsidP="00036476">
      <w:pPr>
        <w:pStyle w:val="FootnoteText"/>
        <w:rPr>
          <w:szCs w:val="22"/>
        </w:rPr>
      </w:pPr>
      <w:r w:rsidRPr="00D30D57">
        <w:rPr>
          <w:rStyle w:val="FootnoteReference"/>
          <w:szCs w:val="22"/>
        </w:rPr>
        <w:footnoteRef/>
      </w:r>
      <w:r w:rsidRPr="00D30D57">
        <w:rPr>
          <w:szCs w:val="22"/>
        </w:rPr>
        <w:t xml:space="preserve"> </w:t>
      </w:r>
      <w:r w:rsidR="00213971" w:rsidRPr="00245F58">
        <w:rPr>
          <w:i/>
          <w:iCs/>
          <w:szCs w:val="22"/>
        </w:rPr>
        <w:t>Id.</w:t>
      </w:r>
      <w:r w:rsidR="00213971">
        <w:rPr>
          <w:szCs w:val="22"/>
        </w:rPr>
        <w:t xml:space="preserve"> at</w:t>
      </w:r>
      <w:r w:rsidRPr="00D30D57">
        <w:rPr>
          <w:szCs w:val="22"/>
        </w:rPr>
        <w:t xml:space="preserve"> </w:t>
      </w:r>
      <w:r>
        <w:rPr>
          <w:szCs w:val="22"/>
        </w:rPr>
        <w:t xml:space="preserve">1, </w:t>
      </w:r>
      <w:r w:rsidRPr="00D30D57">
        <w:rPr>
          <w:szCs w:val="22"/>
        </w:rPr>
        <w:t>40 – 41, 42</w:t>
      </w:r>
      <w:r>
        <w:rPr>
          <w:szCs w:val="22"/>
        </w:rPr>
        <w:t>.</w:t>
      </w:r>
    </w:p>
  </w:footnote>
  <w:footnote w:id="158">
    <w:p w14:paraId="09378B18" w14:textId="77777777" w:rsidR="006D6938" w:rsidRPr="00D30D57" w:rsidRDefault="006D6938" w:rsidP="006D6938">
      <w:pPr>
        <w:pStyle w:val="FootnoteText"/>
        <w:rPr>
          <w:szCs w:val="22"/>
        </w:rPr>
      </w:pPr>
      <w:r w:rsidRPr="00D30D57">
        <w:rPr>
          <w:rStyle w:val="FootnoteReference"/>
          <w:szCs w:val="22"/>
        </w:rPr>
        <w:footnoteRef/>
      </w:r>
      <w:r w:rsidRPr="00D30D57">
        <w:rPr>
          <w:szCs w:val="22"/>
        </w:rPr>
        <w:t xml:space="preserve"> </w:t>
      </w:r>
      <w:r w:rsidR="003554F0" w:rsidRPr="00124DC5">
        <w:rPr>
          <w:i/>
          <w:iCs/>
          <w:szCs w:val="22"/>
        </w:rPr>
        <w:t>Id</w:t>
      </w:r>
      <w:r w:rsidRPr="00124DC5">
        <w:rPr>
          <w:i/>
          <w:iCs/>
          <w:szCs w:val="22"/>
        </w:rPr>
        <w:t>.</w:t>
      </w:r>
      <w:r w:rsidRPr="00D30D57">
        <w:rPr>
          <w:szCs w:val="22"/>
        </w:rPr>
        <w:t xml:space="preserve"> </w:t>
      </w:r>
      <w:r w:rsidR="003554F0">
        <w:rPr>
          <w:szCs w:val="22"/>
        </w:rPr>
        <w:t xml:space="preserve">at </w:t>
      </w:r>
      <w:r w:rsidRPr="00D30D57">
        <w:rPr>
          <w:szCs w:val="22"/>
        </w:rPr>
        <w:t>42.</w:t>
      </w:r>
    </w:p>
  </w:footnote>
  <w:footnote w:id="159">
    <w:p w14:paraId="32DFD59C" w14:textId="77777777" w:rsidR="001B500C" w:rsidRPr="00D30D57" w:rsidRDefault="001B500C">
      <w:pPr>
        <w:pStyle w:val="FootnoteText"/>
        <w:rPr>
          <w:szCs w:val="22"/>
        </w:rPr>
      </w:pPr>
      <w:r>
        <w:rPr>
          <w:rStyle w:val="FootnoteReference"/>
        </w:rPr>
        <w:footnoteRef/>
      </w:r>
      <w:r>
        <w:t xml:space="preserve"> </w:t>
      </w:r>
      <w:r w:rsidR="0074621F" w:rsidRPr="00CD2DF8">
        <w:rPr>
          <w:i/>
          <w:iCs/>
          <w:szCs w:val="22"/>
        </w:rPr>
        <w:t>Id.</w:t>
      </w:r>
    </w:p>
  </w:footnote>
  <w:footnote w:id="160">
    <w:p w14:paraId="50129CDC" w14:textId="77777777" w:rsidR="001B500C" w:rsidRPr="00D30D57" w:rsidRDefault="001B500C" w:rsidP="001B500C">
      <w:pPr>
        <w:pStyle w:val="FootnoteText"/>
        <w:rPr>
          <w:szCs w:val="22"/>
        </w:rPr>
      </w:pPr>
      <w:r w:rsidRPr="00D30D57">
        <w:rPr>
          <w:rStyle w:val="FootnoteReference"/>
          <w:szCs w:val="22"/>
        </w:rPr>
        <w:footnoteRef/>
      </w:r>
      <w:r w:rsidRPr="00D30D57">
        <w:rPr>
          <w:szCs w:val="22"/>
        </w:rPr>
        <w:t xml:space="preserve"> </w:t>
      </w:r>
      <w:r w:rsidR="00491C3C">
        <w:rPr>
          <w:szCs w:val="22"/>
        </w:rPr>
        <w:t>B</w:t>
      </w:r>
      <w:r w:rsidR="00491C3C" w:rsidRPr="00D30D57">
        <w:rPr>
          <w:szCs w:val="22"/>
        </w:rPr>
        <w:t>ecause Table 2 does not include changes to the monetization rate</w:t>
      </w:r>
      <w:r w:rsidR="00491C3C">
        <w:rPr>
          <w:szCs w:val="22"/>
        </w:rPr>
        <w:t>,</w:t>
      </w:r>
      <w:r w:rsidR="00491C3C" w:rsidRPr="00D30D57">
        <w:rPr>
          <w:szCs w:val="22"/>
        </w:rPr>
        <w:t xml:space="preserve"> </w:t>
      </w:r>
      <w:r w:rsidRPr="00D30D57">
        <w:rPr>
          <w:szCs w:val="22"/>
        </w:rPr>
        <w:t xml:space="preserve">Table 2 does not include TURN’s calculation with the 24-hour </w:t>
      </w:r>
      <w:r w:rsidR="0046409F">
        <w:rPr>
          <w:szCs w:val="22"/>
        </w:rPr>
        <w:t xml:space="preserve">Value of Service (VoS) </w:t>
      </w:r>
      <w:r w:rsidRPr="00D30D57">
        <w:rPr>
          <w:szCs w:val="22"/>
        </w:rPr>
        <w:t>monetization rate, which resulted in a benefit of $415 Million.</w:t>
      </w:r>
    </w:p>
  </w:footnote>
  <w:footnote w:id="161">
    <w:p w14:paraId="75187FEE" w14:textId="77777777" w:rsidR="008D5615" w:rsidRPr="00D30D57" w:rsidRDefault="008D5615" w:rsidP="008D5615">
      <w:pPr>
        <w:pStyle w:val="FootnoteText"/>
        <w:rPr>
          <w:szCs w:val="22"/>
        </w:rPr>
      </w:pPr>
      <w:r w:rsidRPr="00D30D57">
        <w:rPr>
          <w:rStyle w:val="FootnoteReference"/>
          <w:szCs w:val="22"/>
        </w:rPr>
        <w:footnoteRef/>
      </w:r>
      <w:r w:rsidRPr="00D30D57">
        <w:rPr>
          <w:szCs w:val="22"/>
        </w:rPr>
        <w:t xml:space="preserve"> TURN OB at 73.</w:t>
      </w:r>
    </w:p>
  </w:footnote>
  <w:footnote w:id="162">
    <w:p w14:paraId="47F0CFC3" w14:textId="77777777" w:rsidR="006D6938" w:rsidRPr="00D30D57" w:rsidRDefault="006D6938" w:rsidP="006D6938">
      <w:pPr>
        <w:pStyle w:val="FootnoteText"/>
        <w:rPr>
          <w:szCs w:val="22"/>
        </w:rPr>
      </w:pPr>
      <w:r w:rsidRPr="00D30D57">
        <w:rPr>
          <w:rStyle w:val="FootnoteReference"/>
          <w:szCs w:val="22"/>
        </w:rPr>
        <w:footnoteRef/>
      </w:r>
      <w:r w:rsidRPr="00D30D57">
        <w:rPr>
          <w:szCs w:val="22"/>
        </w:rPr>
        <w:t xml:space="preserve"> TURN OB at 67. TURN’s calculations of EENS for the complete loss of Valley Substation ranges between 26 to 31 MWh, as compared to SCE’s EENS range of 1,279 MWh to 1,557 MWh.</w:t>
      </w:r>
    </w:p>
  </w:footnote>
  <w:footnote w:id="163">
    <w:p w14:paraId="7C5F40E1" w14:textId="77777777" w:rsidR="009D0793" w:rsidRPr="00D30D57" w:rsidRDefault="009D0793">
      <w:pPr>
        <w:pStyle w:val="FootnoteText"/>
        <w:rPr>
          <w:szCs w:val="22"/>
        </w:rPr>
      </w:pPr>
      <w:r w:rsidRPr="00D30D57">
        <w:rPr>
          <w:rStyle w:val="FootnoteReference"/>
          <w:szCs w:val="22"/>
        </w:rPr>
        <w:footnoteRef/>
      </w:r>
      <w:r w:rsidRPr="00D30D57">
        <w:rPr>
          <w:szCs w:val="22"/>
        </w:rPr>
        <w:t xml:space="preserve"> TURN OB at 74.</w:t>
      </w:r>
    </w:p>
  </w:footnote>
  <w:footnote w:id="164">
    <w:p w14:paraId="6D48FE28" w14:textId="77777777" w:rsidR="009B0F4E" w:rsidRPr="00D30D57" w:rsidRDefault="009B0F4E" w:rsidP="009B0F4E">
      <w:pPr>
        <w:pStyle w:val="FootnoteText"/>
        <w:rPr>
          <w:szCs w:val="22"/>
        </w:rPr>
      </w:pPr>
      <w:r>
        <w:rPr>
          <w:rStyle w:val="FootnoteReference"/>
        </w:rPr>
        <w:footnoteRef/>
      </w:r>
      <w:r>
        <w:t xml:space="preserve"> </w:t>
      </w:r>
      <w:r w:rsidR="0074621F" w:rsidRPr="00CD2DF8">
        <w:rPr>
          <w:i/>
          <w:iCs/>
          <w:szCs w:val="22"/>
        </w:rPr>
        <w:t>Id.</w:t>
      </w:r>
      <w:r w:rsidRPr="00D30D57">
        <w:rPr>
          <w:szCs w:val="22"/>
        </w:rPr>
        <w:t xml:space="preserve"> at 75.</w:t>
      </w:r>
    </w:p>
  </w:footnote>
  <w:footnote w:id="165">
    <w:p w14:paraId="244B3FA4" w14:textId="77777777" w:rsidR="00DA2F0B" w:rsidRPr="00D30D57" w:rsidRDefault="00DA2F0B" w:rsidP="00DA2F0B">
      <w:pPr>
        <w:pStyle w:val="FootnoteText"/>
        <w:rPr>
          <w:szCs w:val="22"/>
        </w:rPr>
      </w:pPr>
      <w:r w:rsidRPr="00D30D57">
        <w:rPr>
          <w:rStyle w:val="FootnoteReference"/>
          <w:szCs w:val="22"/>
        </w:rPr>
        <w:footnoteRef/>
      </w:r>
      <w:r w:rsidRPr="00D30D57">
        <w:rPr>
          <w:szCs w:val="22"/>
        </w:rPr>
        <w:t xml:space="preserve"> SCE RB at 26.</w:t>
      </w:r>
    </w:p>
  </w:footnote>
  <w:footnote w:id="166">
    <w:p w14:paraId="75D53AD6" w14:textId="77777777" w:rsidR="00283A84" w:rsidRDefault="00283A84">
      <w:pPr>
        <w:pStyle w:val="FootnoteText"/>
      </w:pPr>
      <w:r>
        <w:rPr>
          <w:rStyle w:val="FootnoteReference"/>
        </w:rPr>
        <w:footnoteRef/>
      </w:r>
      <w:r>
        <w:t xml:space="preserve"> </w:t>
      </w:r>
      <w:r w:rsidRPr="00883DC4">
        <w:rPr>
          <w:i/>
          <w:iCs/>
        </w:rPr>
        <w:t>Id.</w:t>
      </w:r>
      <w:r>
        <w:t xml:space="preserve"> at 28.</w:t>
      </w:r>
    </w:p>
  </w:footnote>
  <w:footnote w:id="167">
    <w:p w14:paraId="103F0FCB" w14:textId="77777777" w:rsidR="00283A84" w:rsidRDefault="00283A84">
      <w:pPr>
        <w:pStyle w:val="FootnoteText"/>
      </w:pPr>
      <w:r>
        <w:rPr>
          <w:rStyle w:val="FootnoteReference"/>
        </w:rPr>
        <w:footnoteRef/>
      </w:r>
      <w:r>
        <w:t xml:space="preserve"> </w:t>
      </w:r>
      <w:r w:rsidRPr="00883DC4">
        <w:rPr>
          <w:i/>
          <w:iCs/>
        </w:rPr>
        <w:t>Id.</w:t>
      </w:r>
      <w:r w:rsidR="00DF52F5">
        <w:t xml:space="preserve"> at 28 – 19; SCE-8 at 41:17 – 41:19. </w:t>
      </w:r>
    </w:p>
  </w:footnote>
  <w:footnote w:id="168">
    <w:p w14:paraId="5E4D8F86" w14:textId="77777777" w:rsidR="00283A84" w:rsidRDefault="00283A84">
      <w:pPr>
        <w:pStyle w:val="FootnoteText"/>
      </w:pPr>
      <w:r>
        <w:rPr>
          <w:rStyle w:val="FootnoteReference"/>
        </w:rPr>
        <w:footnoteRef/>
      </w:r>
      <w:r>
        <w:t xml:space="preserve"> TURN OB at 75 – 76. </w:t>
      </w:r>
    </w:p>
  </w:footnote>
  <w:footnote w:id="169">
    <w:p w14:paraId="6087EB08" w14:textId="77777777" w:rsidR="004728CE" w:rsidRPr="00D30D57" w:rsidRDefault="004728CE" w:rsidP="004728CE">
      <w:pPr>
        <w:pStyle w:val="FootnoteText"/>
        <w:rPr>
          <w:szCs w:val="22"/>
        </w:rPr>
      </w:pPr>
      <w:r w:rsidRPr="00D30D57">
        <w:rPr>
          <w:rStyle w:val="FootnoteReference"/>
          <w:szCs w:val="22"/>
        </w:rPr>
        <w:footnoteRef/>
      </w:r>
      <w:r w:rsidRPr="00D30D57">
        <w:rPr>
          <w:szCs w:val="22"/>
        </w:rPr>
        <w:t xml:space="preserve"> SCE Second Amended Motion to Correct Clerical Error in Amended Motion to Supplement the Record, June 22, 2021, Exhibit C-2 at 26.</w:t>
      </w:r>
    </w:p>
  </w:footnote>
  <w:footnote w:id="170">
    <w:p w14:paraId="59508C90" w14:textId="77777777" w:rsidR="004728CE" w:rsidRPr="00F11900" w:rsidRDefault="004728CE" w:rsidP="004728CE">
      <w:pPr>
        <w:pStyle w:val="FootnoteText"/>
      </w:pPr>
      <w:r>
        <w:rPr>
          <w:rStyle w:val="FootnoteReference"/>
        </w:rPr>
        <w:footnoteRef/>
      </w:r>
      <w:r>
        <w:t xml:space="preserve"> </w:t>
      </w:r>
      <w:r w:rsidR="00C95FBB" w:rsidRPr="00CD2DF8">
        <w:rPr>
          <w:i/>
          <w:iCs/>
        </w:rPr>
        <w:t>Id</w:t>
      </w:r>
      <w:r w:rsidRPr="00CD2DF8">
        <w:rPr>
          <w:i/>
          <w:iCs/>
        </w:rPr>
        <w:t>.</w:t>
      </w:r>
    </w:p>
  </w:footnote>
  <w:footnote w:id="171">
    <w:p w14:paraId="022D576B" w14:textId="77777777" w:rsidR="003239C3" w:rsidRPr="00D30D57" w:rsidRDefault="003239C3" w:rsidP="003239C3">
      <w:pPr>
        <w:pStyle w:val="FootnoteText"/>
        <w:rPr>
          <w:szCs w:val="22"/>
        </w:rPr>
      </w:pPr>
      <w:r>
        <w:rPr>
          <w:rStyle w:val="FootnoteReference"/>
        </w:rPr>
        <w:footnoteRef/>
      </w:r>
      <w:r>
        <w:t xml:space="preserve"> </w:t>
      </w:r>
      <w:r w:rsidRPr="00D30D57">
        <w:rPr>
          <w:szCs w:val="22"/>
        </w:rPr>
        <w:t>Third Amended Application, Appendix D, at</w:t>
      </w:r>
      <w:r w:rsidR="00956A8C" w:rsidRPr="00D30D57">
        <w:rPr>
          <w:szCs w:val="22"/>
        </w:rPr>
        <w:t> </w:t>
      </w:r>
      <w:r w:rsidRPr="00D30D57">
        <w:rPr>
          <w:szCs w:val="22"/>
        </w:rPr>
        <w:t>6 – 7.</w:t>
      </w:r>
    </w:p>
  </w:footnote>
  <w:footnote w:id="172">
    <w:p w14:paraId="207F54F4" w14:textId="77777777" w:rsidR="00681BA2" w:rsidRPr="00D30D57" w:rsidRDefault="00681BA2">
      <w:pPr>
        <w:pStyle w:val="FootnoteText"/>
        <w:rPr>
          <w:szCs w:val="22"/>
        </w:rPr>
      </w:pPr>
      <w:r w:rsidRPr="00D30D57">
        <w:rPr>
          <w:rStyle w:val="FootnoteReference"/>
          <w:szCs w:val="22"/>
        </w:rPr>
        <w:footnoteRef/>
      </w:r>
      <w:r w:rsidRPr="00D30D57">
        <w:rPr>
          <w:szCs w:val="22"/>
        </w:rPr>
        <w:t xml:space="preserve"> D.21-08-007 at 17; D.10-12-025 at 8.</w:t>
      </w:r>
    </w:p>
  </w:footnote>
  <w:footnote w:id="173">
    <w:p w14:paraId="4FEAC725" w14:textId="77777777" w:rsidR="00ED20A7" w:rsidRPr="00D30D57" w:rsidRDefault="00ED20A7" w:rsidP="00ED20A7">
      <w:pPr>
        <w:pStyle w:val="FootnoteText"/>
        <w:rPr>
          <w:szCs w:val="22"/>
        </w:rPr>
      </w:pPr>
      <w:r w:rsidRPr="00D30D57">
        <w:rPr>
          <w:rStyle w:val="FootnoteReference"/>
          <w:szCs w:val="22"/>
        </w:rPr>
        <w:footnoteRef/>
      </w:r>
      <w:r w:rsidRPr="00D30D57">
        <w:rPr>
          <w:szCs w:val="22"/>
        </w:rPr>
        <w:t xml:space="preserve"> Pub. Util. Code </w:t>
      </w:r>
      <w:r w:rsidR="00C95FBB" w:rsidRPr="00D30D57">
        <w:rPr>
          <w:szCs w:val="22"/>
        </w:rPr>
        <w:t xml:space="preserve">Section </w:t>
      </w:r>
      <w:r w:rsidRPr="00D30D57">
        <w:rPr>
          <w:szCs w:val="22"/>
        </w:rPr>
        <w:t>1005.5(a).</w:t>
      </w:r>
    </w:p>
  </w:footnote>
  <w:footnote w:id="174">
    <w:p w14:paraId="7CE6B140" w14:textId="77777777" w:rsidR="00ED20A7" w:rsidRPr="00D30D57" w:rsidRDefault="00ED20A7" w:rsidP="00ED20A7">
      <w:pPr>
        <w:pStyle w:val="FootnoteText"/>
        <w:rPr>
          <w:szCs w:val="22"/>
        </w:rPr>
      </w:pPr>
      <w:r w:rsidRPr="00D30D57">
        <w:rPr>
          <w:rStyle w:val="FootnoteReference"/>
          <w:szCs w:val="22"/>
        </w:rPr>
        <w:footnoteRef/>
      </w:r>
      <w:r w:rsidRPr="00D30D57">
        <w:rPr>
          <w:szCs w:val="22"/>
        </w:rPr>
        <w:t xml:space="preserve"> </w:t>
      </w:r>
      <w:r w:rsidR="00B44C27" w:rsidRPr="00CD2DF8">
        <w:rPr>
          <w:i/>
          <w:iCs/>
          <w:szCs w:val="22"/>
        </w:rPr>
        <w:t>Id.</w:t>
      </w:r>
      <w:r w:rsidRPr="00D30D57">
        <w:rPr>
          <w:szCs w:val="22"/>
        </w:rPr>
        <w:t xml:space="preserve"> </w:t>
      </w:r>
      <w:r w:rsidR="00B44C27" w:rsidRPr="00D30D57">
        <w:rPr>
          <w:szCs w:val="22"/>
        </w:rPr>
        <w:t xml:space="preserve">at </w:t>
      </w:r>
      <w:r w:rsidR="00C95FBB" w:rsidRPr="00D30D57">
        <w:rPr>
          <w:szCs w:val="22"/>
        </w:rPr>
        <w:t xml:space="preserve">Section </w:t>
      </w:r>
      <w:r w:rsidRPr="00D30D57">
        <w:rPr>
          <w:szCs w:val="22"/>
        </w:rPr>
        <w:t>1005.5(b).</w:t>
      </w:r>
    </w:p>
  </w:footnote>
  <w:footnote w:id="175">
    <w:p w14:paraId="392AEA26" w14:textId="77777777" w:rsidR="003239C3" w:rsidRPr="00D30D57" w:rsidRDefault="003239C3" w:rsidP="003239C3">
      <w:pPr>
        <w:pStyle w:val="FootnoteText"/>
        <w:rPr>
          <w:szCs w:val="22"/>
        </w:rPr>
      </w:pPr>
      <w:r w:rsidRPr="00D30D57">
        <w:rPr>
          <w:rStyle w:val="FootnoteReference"/>
          <w:szCs w:val="22"/>
        </w:rPr>
        <w:footnoteRef/>
      </w:r>
      <w:r w:rsidRPr="00D30D57">
        <w:rPr>
          <w:szCs w:val="22"/>
        </w:rPr>
        <w:t xml:space="preserve"> Ex. SCE-9</w:t>
      </w:r>
      <w:r w:rsidR="00ED20A7" w:rsidRPr="00D30D57">
        <w:rPr>
          <w:szCs w:val="22"/>
        </w:rPr>
        <w:t xml:space="preserve"> at 2 – 3.</w:t>
      </w:r>
    </w:p>
  </w:footnote>
  <w:footnote w:id="176">
    <w:p w14:paraId="3E657E0F" w14:textId="77777777" w:rsidR="003239C3" w:rsidRPr="00D30D57" w:rsidRDefault="003239C3" w:rsidP="003239C3">
      <w:pPr>
        <w:pStyle w:val="FootnoteText"/>
        <w:rPr>
          <w:szCs w:val="22"/>
        </w:rPr>
      </w:pPr>
      <w:r w:rsidRPr="00D30D57">
        <w:rPr>
          <w:rStyle w:val="FootnoteReference"/>
          <w:szCs w:val="22"/>
        </w:rPr>
        <w:footnoteRef/>
      </w:r>
      <w:r w:rsidRPr="00D30D57">
        <w:rPr>
          <w:szCs w:val="22"/>
        </w:rPr>
        <w:t xml:space="preserve"> SCE OB at 30</w:t>
      </w:r>
      <w:r w:rsidR="00FF0631" w:rsidRPr="00D30D57">
        <w:rPr>
          <w:szCs w:val="22"/>
        </w:rPr>
        <w:t xml:space="preserve"> – 32</w:t>
      </w:r>
      <w:r w:rsidRPr="00D30D57">
        <w:rPr>
          <w:szCs w:val="22"/>
        </w:rPr>
        <w:t xml:space="preserve">. </w:t>
      </w:r>
    </w:p>
  </w:footnote>
  <w:footnote w:id="177">
    <w:p w14:paraId="56A1DF83" w14:textId="77777777" w:rsidR="003239C3" w:rsidRPr="00D30D57" w:rsidRDefault="003239C3" w:rsidP="003239C3">
      <w:pPr>
        <w:pStyle w:val="FootnoteText"/>
        <w:rPr>
          <w:szCs w:val="22"/>
        </w:rPr>
      </w:pPr>
      <w:r w:rsidRPr="00D30D57">
        <w:rPr>
          <w:rStyle w:val="FootnoteReference"/>
          <w:szCs w:val="22"/>
        </w:rPr>
        <w:footnoteRef/>
      </w:r>
      <w:r w:rsidRPr="00D30D57">
        <w:rPr>
          <w:szCs w:val="22"/>
        </w:rPr>
        <w:t xml:space="preserve"> Ex. SCE-9 at 3:17 – 3:18.</w:t>
      </w:r>
    </w:p>
  </w:footnote>
  <w:footnote w:id="178">
    <w:p w14:paraId="1B088B2B" w14:textId="77777777" w:rsidR="008E2925" w:rsidRPr="00D30D57" w:rsidRDefault="008E2925">
      <w:pPr>
        <w:pStyle w:val="FootnoteText"/>
        <w:rPr>
          <w:szCs w:val="22"/>
        </w:rPr>
      </w:pPr>
      <w:r w:rsidRPr="00D30D57">
        <w:rPr>
          <w:rStyle w:val="FootnoteReference"/>
          <w:szCs w:val="22"/>
        </w:rPr>
        <w:footnoteRef/>
      </w:r>
      <w:r w:rsidRPr="00D30D57">
        <w:rPr>
          <w:szCs w:val="22"/>
        </w:rPr>
        <w:t xml:space="preserve"> </w:t>
      </w:r>
      <w:r w:rsidR="00B44C27" w:rsidRPr="00CD2DF8">
        <w:rPr>
          <w:i/>
          <w:iCs/>
          <w:szCs w:val="22"/>
        </w:rPr>
        <w:t>Id.</w:t>
      </w:r>
      <w:r w:rsidRPr="00D30D57">
        <w:rPr>
          <w:szCs w:val="22"/>
        </w:rPr>
        <w:t xml:space="preserve"> at 6, Table 2.</w:t>
      </w:r>
    </w:p>
  </w:footnote>
  <w:footnote w:id="179">
    <w:p w14:paraId="31CFBDA6" w14:textId="77777777" w:rsidR="003239C3" w:rsidRPr="00D30D57" w:rsidRDefault="003239C3" w:rsidP="003239C3">
      <w:pPr>
        <w:pStyle w:val="FootnoteText"/>
        <w:rPr>
          <w:szCs w:val="22"/>
        </w:rPr>
      </w:pPr>
      <w:r w:rsidRPr="00D30D57">
        <w:rPr>
          <w:rStyle w:val="FootnoteReference"/>
          <w:szCs w:val="22"/>
        </w:rPr>
        <w:footnoteRef/>
      </w:r>
      <w:r w:rsidRPr="00D30D57">
        <w:rPr>
          <w:szCs w:val="22"/>
        </w:rPr>
        <w:t xml:space="preserve"> Ex. SCE-9 at 7:27 – 8:2.</w:t>
      </w:r>
    </w:p>
  </w:footnote>
  <w:footnote w:id="180">
    <w:p w14:paraId="09AB58A8" w14:textId="77777777" w:rsidR="00012029" w:rsidRPr="00D30D57" w:rsidRDefault="00012029">
      <w:pPr>
        <w:pStyle w:val="FootnoteText"/>
        <w:rPr>
          <w:szCs w:val="22"/>
        </w:rPr>
      </w:pPr>
      <w:r w:rsidRPr="00D30D57">
        <w:rPr>
          <w:rStyle w:val="FootnoteReference"/>
          <w:szCs w:val="22"/>
        </w:rPr>
        <w:footnoteRef/>
      </w:r>
      <w:r w:rsidRPr="00D30D57">
        <w:rPr>
          <w:szCs w:val="22"/>
        </w:rPr>
        <w:t xml:space="preserve"> </w:t>
      </w:r>
      <w:r w:rsidR="00B44C27" w:rsidRPr="00CD2DF8">
        <w:rPr>
          <w:i/>
          <w:iCs/>
          <w:szCs w:val="22"/>
        </w:rPr>
        <w:t>Id.</w:t>
      </w:r>
      <w:r w:rsidRPr="00D30D57">
        <w:rPr>
          <w:szCs w:val="22"/>
        </w:rPr>
        <w:t xml:space="preserve"> at Attachment A – p</w:t>
      </w:r>
      <w:r w:rsidR="00B44C27" w:rsidRPr="00D30D57">
        <w:rPr>
          <w:szCs w:val="22"/>
        </w:rPr>
        <w:t>.</w:t>
      </w:r>
      <w:r w:rsidRPr="00D30D57">
        <w:rPr>
          <w:szCs w:val="22"/>
        </w:rPr>
        <w:t xml:space="preserve"> 6.</w:t>
      </w:r>
    </w:p>
  </w:footnote>
  <w:footnote w:id="181">
    <w:p w14:paraId="0D74E639" w14:textId="77777777" w:rsidR="005F4332" w:rsidRDefault="005F4332">
      <w:pPr>
        <w:pStyle w:val="FootnoteText"/>
      </w:pPr>
      <w:r>
        <w:rPr>
          <w:rStyle w:val="FootnoteReference"/>
        </w:rPr>
        <w:footnoteRef/>
      </w:r>
      <w:r>
        <w:t xml:space="preserve"> Southern California Edison Company’s (U 338-E) Opening Comments on the Proposed Decision on the Alberhill System Project, March 5, 2026 (SCE Opening Comments); Comments of The Utility Reform Network on the Proposed Decision of Administrative Law Judge Zhen Zhang March 5, 2026 (TURN Opening Comments).</w:t>
      </w:r>
    </w:p>
  </w:footnote>
  <w:footnote w:id="182">
    <w:p w14:paraId="58B0CD3B" w14:textId="77777777" w:rsidR="005F4332" w:rsidRDefault="005F4332" w:rsidP="005F4332">
      <w:pPr>
        <w:pStyle w:val="FootnoteText"/>
      </w:pPr>
      <w:r>
        <w:rPr>
          <w:rStyle w:val="FootnoteReference"/>
        </w:rPr>
        <w:footnoteRef/>
      </w:r>
      <w:r>
        <w:t xml:space="preserve"> Southern California Edison Company’s (U 338-E) Reply Comments on the Proposed Decision on the Alberhill System Project, March 10, 2026 (SCE Reply Comments); Reply Comments of The Utility Reform Network on the Proposed Decision of Administrative Law Judge Zhen Zhang, March 10, 2026 (TURN Reply Comments).</w:t>
      </w:r>
    </w:p>
  </w:footnote>
  <w:footnote w:id="183">
    <w:p w14:paraId="11BE36F0" w14:textId="77777777" w:rsidR="00FC28D0" w:rsidRDefault="00FC28D0">
      <w:pPr>
        <w:pStyle w:val="FootnoteText"/>
      </w:pPr>
      <w:r>
        <w:rPr>
          <w:rStyle w:val="FootnoteReference"/>
        </w:rPr>
        <w:footnoteRef/>
      </w:r>
      <w:r>
        <w:t xml:space="preserve"> SCE Reply Comments</w:t>
      </w:r>
      <w:r w:rsidR="00952CEC">
        <w:t xml:space="preserve"> at 4</w:t>
      </w:r>
      <w:r>
        <w:t>.</w:t>
      </w:r>
    </w:p>
  </w:footnote>
  <w:footnote w:id="184">
    <w:p w14:paraId="494E5B3F" w14:textId="77777777" w:rsidR="007F0AB5" w:rsidRDefault="007F0AB5">
      <w:pPr>
        <w:pStyle w:val="FootnoteText"/>
      </w:pPr>
      <w:r>
        <w:rPr>
          <w:rStyle w:val="FootnoteReference"/>
        </w:rPr>
        <w:footnoteRef/>
      </w:r>
      <w:r>
        <w:t xml:space="preserve"> TURN Reply Comments at 4 (</w:t>
      </w:r>
      <w:r w:rsidRPr="00124DC5">
        <w:rPr>
          <w:i/>
          <w:iCs/>
        </w:rPr>
        <w:t>citing</w:t>
      </w:r>
      <w:r>
        <w:t xml:space="preserve"> Pub. Util. Code Section 1005.5(b)).</w:t>
      </w:r>
    </w:p>
  </w:footnote>
  <w:footnote w:id="185">
    <w:p w14:paraId="5E0F535B" w14:textId="77777777" w:rsidR="00167AB1" w:rsidRDefault="00167AB1">
      <w:pPr>
        <w:pStyle w:val="FootnoteText"/>
      </w:pPr>
      <w:r>
        <w:rPr>
          <w:rStyle w:val="FootnoteReference"/>
        </w:rPr>
        <w:footnoteRef/>
      </w:r>
      <w:r>
        <w:t xml:space="preserve"> TURN Opening Comments at 6 – 11. </w:t>
      </w:r>
    </w:p>
  </w:footnote>
  <w:footnote w:id="186">
    <w:p w14:paraId="0CFDB13D" w14:textId="77777777" w:rsidR="00123826" w:rsidRDefault="00123826">
      <w:pPr>
        <w:pStyle w:val="FootnoteText"/>
      </w:pPr>
      <w:r>
        <w:rPr>
          <w:rStyle w:val="FootnoteReference"/>
        </w:rPr>
        <w:footnoteRef/>
      </w:r>
      <w:r>
        <w:t xml:space="preserve"> TURN Reply Comments at 11 – 14.</w:t>
      </w:r>
    </w:p>
  </w:footnote>
  <w:footnote w:id="187">
    <w:p w14:paraId="7B852934" w14:textId="77777777" w:rsidR="00123826" w:rsidRDefault="00123826">
      <w:pPr>
        <w:pStyle w:val="FootnoteText"/>
      </w:pPr>
      <w:r>
        <w:rPr>
          <w:rStyle w:val="FootnoteReference"/>
        </w:rPr>
        <w:footnoteRef/>
      </w:r>
      <w:r>
        <w:t xml:space="preserve"> SCE Reply Comments at 1 – 2.</w:t>
      </w:r>
    </w:p>
  </w:footnote>
  <w:footnote w:id="188">
    <w:p w14:paraId="3E8AAB00" w14:textId="77777777" w:rsidR="009438DE" w:rsidRDefault="009438DE">
      <w:pPr>
        <w:pStyle w:val="FootnoteText"/>
      </w:pPr>
      <w:r>
        <w:rPr>
          <w:rStyle w:val="FootnoteReference"/>
        </w:rPr>
        <w:footnoteRef/>
      </w:r>
      <w:r>
        <w:t xml:space="preserve"> </w:t>
      </w:r>
      <w:r w:rsidRPr="00124DC5">
        <w:rPr>
          <w:i/>
          <w:iCs/>
        </w:rPr>
        <w:t>Id</w:t>
      </w:r>
      <w:r w:rsidR="001379A9" w:rsidRPr="00124DC5">
        <w:rPr>
          <w:i/>
          <w:iCs/>
        </w:rPr>
        <w:t>.</w:t>
      </w:r>
      <w:r>
        <w:t xml:space="preserve"> at </w:t>
      </w:r>
      <w:r w:rsidR="001379A9">
        <w:t>2 –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E9AF" w14:textId="77777777" w:rsidR="00ED3E2B" w:rsidRPr="00F92385" w:rsidRDefault="00ED3E2B"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2CC0" w14:textId="537A3B94" w:rsidR="00A20946" w:rsidRDefault="00A20946" w:rsidP="00B3087D">
    <w:pPr>
      <w:pStyle w:val="Header"/>
      <w:tabs>
        <w:tab w:val="clear" w:pos="4680"/>
      </w:tabs>
      <w:ind w:firstLine="0"/>
      <w:rPr>
        <w:b/>
      </w:rPr>
    </w:pPr>
    <w:r w:rsidRPr="00A20946">
      <w:t>A.09-09-022</w:t>
    </w:r>
    <w:r>
      <w:t>  ALJ/ZZ1/abb</w:t>
    </w:r>
  </w:p>
  <w:p w14:paraId="797172D4" w14:textId="77777777" w:rsidR="00ED1E0E" w:rsidRDefault="00ED1E0E" w:rsidP="00B3087D">
    <w:pPr>
      <w:pStyle w:val="Header"/>
      <w:tabs>
        <w:tab w:val="clear" w:pos="4680"/>
      </w:tabs>
      <w:ind w:firstLine="0"/>
      <w:rPr>
        <w:b/>
      </w:rPr>
    </w:pPr>
  </w:p>
  <w:p w14:paraId="4771B8EC" w14:textId="77777777" w:rsidR="00ED1E0E" w:rsidRPr="00ED1E0E" w:rsidRDefault="00ED1E0E" w:rsidP="00B3087D">
    <w:pPr>
      <w:pStyle w:val="Header"/>
      <w:tabs>
        <w:tab w:val="clear" w:pos="4680"/>
      </w:tabs>
      <w:ind w:firstLine="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4395" w14:textId="7A1A5EC0" w:rsidR="00883DC4" w:rsidRPr="00ED1E0E" w:rsidRDefault="00883DC4" w:rsidP="00B3087D">
    <w:pPr>
      <w:pStyle w:val="Header"/>
      <w:tabs>
        <w:tab w:val="clear" w:pos="4680"/>
      </w:tabs>
      <w:ind w:firstLine="0"/>
      <w:rPr>
        <w:i/>
      </w:rPr>
    </w:pPr>
    <w:r w:rsidRPr="00ED1E0E">
      <w:t>A.09-09-022  ALJ/ZZ1/abb</w:t>
    </w:r>
  </w:p>
  <w:p w14:paraId="2448864E" w14:textId="77777777" w:rsidR="00ED1E0E" w:rsidRPr="00ED1E0E" w:rsidRDefault="00ED1E0E" w:rsidP="00B3087D">
    <w:pPr>
      <w:pStyle w:val="Header"/>
      <w:tabs>
        <w:tab w:val="clear" w:pos="4680"/>
      </w:tabs>
      <w:ind w:firstLine="0"/>
      <w:rPr>
        <w:i/>
      </w:rPr>
    </w:pPr>
  </w:p>
  <w:p w14:paraId="150BF98E" w14:textId="77777777" w:rsidR="00ED1E0E" w:rsidRPr="00ED1E0E" w:rsidRDefault="00ED1E0E" w:rsidP="00B3087D">
    <w:pPr>
      <w:pStyle w:val="Header"/>
      <w:tabs>
        <w:tab w:val="clear" w:pos="4680"/>
      </w:tabs>
      <w:ind w:firstLine="0"/>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7447" w14:textId="6C1B8EA1" w:rsidR="00883DC4" w:rsidRDefault="00883DC4" w:rsidP="00ED1E0E">
    <w:pPr>
      <w:pStyle w:val="Header"/>
      <w:tabs>
        <w:tab w:val="clear" w:pos="4680"/>
      </w:tabs>
      <w:ind w:firstLine="0"/>
    </w:pPr>
    <w:r w:rsidRPr="00ED1E0E">
      <w:t>A.09-09-022  ALJ/ZZ1/abb</w:t>
    </w:r>
  </w:p>
  <w:p w14:paraId="2494C4CB" w14:textId="77777777" w:rsidR="00ED1E0E" w:rsidRDefault="00ED1E0E" w:rsidP="00ED1E0E">
    <w:pPr>
      <w:pStyle w:val="Header"/>
      <w:tabs>
        <w:tab w:val="clear" w:pos="4680"/>
      </w:tabs>
      <w:ind w:firstLine="0"/>
    </w:pPr>
  </w:p>
  <w:p w14:paraId="2C42A7B4" w14:textId="77777777" w:rsidR="00ED1E0E" w:rsidRPr="00ED1E0E" w:rsidRDefault="00ED1E0E" w:rsidP="00ED1E0E">
    <w:pPr>
      <w:pStyle w:val="Header"/>
      <w:tabs>
        <w:tab w:val="clear" w:pos="4680"/>
      </w:tabs>
      <w:ind w:firstLine="0"/>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5553" w14:textId="707F6F1A" w:rsidR="00883DC4" w:rsidRDefault="00883DC4" w:rsidP="00ED1E0E">
    <w:pPr>
      <w:pStyle w:val="Header"/>
      <w:tabs>
        <w:tab w:val="clear" w:pos="4680"/>
      </w:tabs>
      <w:ind w:firstLine="0"/>
    </w:pPr>
    <w:r w:rsidRPr="00ED1E0E">
      <w:t>A.09-09-022  ALJ/ZZ1/abb</w:t>
    </w:r>
  </w:p>
  <w:p w14:paraId="2C36CAD4" w14:textId="77777777" w:rsidR="00ED1E0E" w:rsidRDefault="00ED1E0E" w:rsidP="00ED1E0E">
    <w:pPr>
      <w:pStyle w:val="Header"/>
      <w:tabs>
        <w:tab w:val="clear" w:pos="4680"/>
      </w:tabs>
      <w:ind w:firstLine="0"/>
    </w:pPr>
  </w:p>
  <w:p w14:paraId="78EC8F83" w14:textId="77777777" w:rsidR="00ED1E0E" w:rsidRPr="00ED1E0E" w:rsidRDefault="00ED1E0E" w:rsidP="00ED1E0E">
    <w:pPr>
      <w:pStyle w:val="Header"/>
      <w:tabs>
        <w:tab w:val="clear" w:pos="4680"/>
      </w:tabs>
      <w:ind w:firstLine="0"/>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75FB" w14:textId="67B27DC1" w:rsidR="00883DC4" w:rsidRDefault="00883DC4" w:rsidP="00B3087D">
    <w:pPr>
      <w:pStyle w:val="Header"/>
      <w:tabs>
        <w:tab w:val="clear" w:pos="4680"/>
      </w:tabs>
      <w:ind w:firstLine="0"/>
    </w:pPr>
    <w:r w:rsidRPr="00ED1E0E">
      <w:t>A.09-09-022  ALJ/ZZ1/abb</w:t>
    </w:r>
  </w:p>
  <w:p w14:paraId="26055EE5" w14:textId="77777777" w:rsidR="00ED1E0E" w:rsidRDefault="00ED1E0E" w:rsidP="00B3087D">
    <w:pPr>
      <w:pStyle w:val="Header"/>
      <w:tabs>
        <w:tab w:val="clear" w:pos="4680"/>
      </w:tabs>
      <w:ind w:firstLine="0"/>
    </w:pPr>
  </w:p>
  <w:p w14:paraId="6A1EE064" w14:textId="77777777" w:rsidR="00ED1E0E" w:rsidRPr="00ED1E0E" w:rsidRDefault="00ED1E0E" w:rsidP="00B3087D">
    <w:pPr>
      <w:pStyle w:val="Header"/>
      <w:tabs>
        <w:tab w:val="clear" w:pos="4680"/>
      </w:tabs>
      <w:ind w:firstLine="0"/>
      <w:rPr>
        <w: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6D3F" w14:textId="175794C4" w:rsidR="00883DC4" w:rsidRDefault="00883DC4" w:rsidP="00ED1E0E">
    <w:pPr>
      <w:pStyle w:val="Header"/>
      <w:tabs>
        <w:tab w:val="clear" w:pos="4680"/>
      </w:tabs>
      <w:ind w:firstLine="0"/>
    </w:pPr>
    <w:r w:rsidRPr="00ED1E0E">
      <w:t>A.09-09-022  ALJ/ZZ1/abb</w:t>
    </w:r>
  </w:p>
  <w:p w14:paraId="2441936C" w14:textId="77777777" w:rsidR="00ED1E0E" w:rsidRDefault="00ED1E0E" w:rsidP="00ED1E0E">
    <w:pPr>
      <w:pStyle w:val="Header"/>
      <w:tabs>
        <w:tab w:val="clear" w:pos="4680"/>
      </w:tabs>
      <w:ind w:firstLine="0"/>
    </w:pPr>
  </w:p>
  <w:p w14:paraId="4F74576A" w14:textId="77777777" w:rsidR="00ED1E0E" w:rsidRPr="00ED1E0E" w:rsidRDefault="00ED1E0E" w:rsidP="00ED1E0E">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57F06"/>
    <w:multiLevelType w:val="hybridMultilevel"/>
    <w:tmpl w:val="9AB22C8E"/>
    <w:lvl w:ilvl="0" w:tplc="04090019">
      <w:start w:val="1"/>
      <w:numFmt w:val="lowerLetter"/>
      <w:lvlText w:val="%1."/>
      <w:lvlJc w:val="left"/>
      <w:pPr>
        <w:ind w:left="180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A805E75"/>
    <w:multiLevelType w:val="hybridMultilevel"/>
    <w:tmpl w:val="E9FE376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6E4439"/>
    <w:multiLevelType w:val="multilevel"/>
    <w:tmpl w:val="C668FC1E"/>
    <w:lvl w:ilvl="0">
      <w:start w:val="1"/>
      <w:numFmt w:val="decimal"/>
      <w:lvlText w:val="%1."/>
      <w:lvlJc w:val="right"/>
      <w:pPr>
        <w:ind w:left="0" w:firstLine="540"/>
      </w:pPr>
      <w:rPr>
        <w:rFonts w:hint="default"/>
      </w:rPr>
    </w:lvl>
    <w:lvl w:ilvl="1">
      <w:start w:val="1"/>
      <w:numFmt w:val="lowerLetter"/>
      <w:lvlText w:val="%2."/>
      <w:lvlJc w:val="left"/>
      <w:pPr>
        <w:ind w:left="144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20F45B3E"/>
    <w:multiLevelType w:val="hybridMultilevel"/>
    <w:tmpl w:val="4E64C4D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110286A"/>
    <w:multiLevelType w:val="hybridMultilevel"/>
    <w:tmpl w:val="2182C1AA"/>
    <w:lvl w:ilvl="0" w:tplc="04090019">
      <w:start w:val="1"/>
      <w:numFmt w:val="lowerLetter"/>
      <w:lvlText w:val="%1."/>
      <w:lvlJc w:val="left"/>
      <w:pPr>
        <w:ind w:left="1334" w:hanging="360"/>
      </w:pPr>
    </w:lvl>
    <w:lvl w:ilvl="1" w:tplc="04090019" w:tentative="1">
      <w:start w:val="1"/>
      <w:numFmt w:val="lowerLetter"/>
      <w:lvlText w:val="%2."/>
      <w:lvlJc w:val="left"/>
      <w:pPr>
        <w:ind w:left="2054" w:hanging="360"/>
      </w:pPr>
    </w:lvl>
    <w:lvl w:ilvl="2" w:tplc="0409001B" w:tentative="1">
      <w:start w:val="1"/>
      <w:numFmt w:val="lowerRoman"/>
      <w:lvlText w:val="%3."/>
      <w:lvlJc w:val="right"/>
      <w:pPr>
        <w:ind w:left="2774" w:hanging="180"/>
      </w:pPr>
    </w:lvl>
    <w:lvl w:ilvl="3" w:tplc="0409000F" w:tentative="1">
      <w:start w:val="1"/>
      <w:numFmt w:val="decimal"/>
      <w:lvlText w:val="%4."/>
      <w:lvlJc w:val="left"/>
      <w:pPr>
        <w:ind w:left="3494" w:hanging="360"/>
      </w:pPr>
    </w:lvl>
    <w:lvl w:ilvl="4" w:tplc="04090019" w:tentative="1">
      <w:start w:val="1"/>
      <w:numFmt w:val="lowerLetter"/>
      <w:lvlText w:val="%5."/>
      <w:lvlJc w:val="left"/>
      <w:pPr>
        <w:ind w:left="4214" w:hanging="360"/>
      </w:pPr>
    </w:lvl>
    <w:lvl w:ilvl="5" w:tplc="0409001B" w:tentative="1">
      <w:start w:val="1"/>
      <w:numFmt w:val="lowerRoman"/>
      <w:lvlText w:val="%6."/>
      <w:lvlJc w:val="right"/>
      <w:pPr>
        <w:ind w:left="4934" w:hanging="180"/>
      </w:pPr>
    </w:lvl>
    <w:lvl w:ilvl="6" w:tplc="0409000F" w:tentative="1">
      <w:start w:val="1"/>
      <w:numFmt w:val="decimal"/>
      <w:lvlText w:val="%7."/>
      <w:lvlJc w:val="left"/>
      <w:pPr>
        <w:ind w:left="5654" w:hanging="360"/>
      </w:pPr>
    </w:lvl>
    <w:lvl w:ilvl="7" w:tplc="04090019" w:tentative="1">
      <w:start w:val="1"/>
      <w:numFmt w:val="lowerLetter"/>
      <w:lvlText w:val="%8."/>
      <w:lvlJc w:val="left"/>
      <w:pPr>
        <w:ind w:left="6374" w:hanging="360"/>
      </w:pPr>
    </w:lvl>
    <w:lvl w:ilvl="8" w:tplc="0409001B" w:tentative="1">
      <w:start w:val="1"/>
      <w:numFmt w:val="lowerRoman"/>
      <w:lvlText w:val="%9."/>
      <w:lvlJc w:val="right"/>
      <w:pPr>
        <w:ind w:left="7094" w:hanging="180"/>
      </w:pPr>
    </w:lvl>
  </w:abstractNum>
  <w:abstractNum w:abstractNumId="8" w15:restartNumberingAfterBreak="0">
    <w:nsid w:val="285F6F06"/>
    <w:multiLevelType w:val="hybridMultilevel"/>
    <w:tmpl w:val="6CA8D08E"/>
    <w:lvl w:ilvl="0" w:tplc="7D0A7BA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30765"/>
    <w:multiLevelType w:val="hybridMultilevel"/>
    <w:tmpl w:val="E78ED548"/>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836"/>
        </w:tabs>
        <w:ind w:left="183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BBE28F3"/>
    <w:multiLevelType w:val="hybridMultilevel"/>
    <w:tmpl w:val="3BCA2C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EA02E3"/>
    <w:multiLevelType w:val="hybridMultilevel"/>
    <w:tmpl w:val="F0D6D84A"/>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2FE2F8F"/>
    <w:multiLevelType w:val="hybridMultilevel"/>
    <w:tmpl w:val="0186BF3C"/>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60710B9"/>
    <w:multiLevelType w:val="hybridMultilevel"/>
    <w:tmpl w:val="8592D3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3E54BE"/>
    <w:multiLevelType w:val="hybridMultilevel"/>
    <w:tmpl w:val="C138F97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A9E2171"/>
    <w:multiLevelType w:val="multilevel"/>
    <w:tmpl w:val="3C526EDE"/>
    <w:numStyleLink w:val="Headings"/>
  </w:abstractNum>
  <w:abstractNum w:abstractNumId="17" w15:restartNumberingAfterBreak="0">
    <w:nsid w:val="5DDB687F"/>
    <w:multiLevelType w:val="hybridMultilevel"/>
    <w:tmpl w:val="90580B4E"/>
    <w:lvl w:ilvl="0" w:tplc="04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61A25780"/>
    <w:multiLevelType w:val="multilevel"/>
    <w:tmpl w:val="3C526EDE"/>
    <w:numStyleLink w:val="Headings"/>
  </w:abstractNum>
  <w:abstractNum w:abstractNumId="19" w15:restartNumberingAfterBreak="0">
    <w:nsid w:val="64223557"/>
    <w:multiLevelType w:val="hybridMultilevel"/>
    <w:tmpl w:val="4E64C4DA"/>
    <w:lvl w:ilvl="0" w:tplc="843EA288">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A1E5F11"/>
    <w:multiLevelType w:val="hybridMultilevel"/>
    <w:tmpl w:val="D1182E8A"/>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B4469A1"/>
    <w:multiLevelType w:val="hybridMultilevel"/>
    <w:tmpl w:val="84C01962"/>
    <w:lvl w:ilvl="0" w:tplc="44561F1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10111"/>
    <w:multiLevelType w:val="hybridMultilevel"/>
    <w:tmpl w:val="A9F0066E"/>
    <w:lvl w:ilvl="0" w:tplc="0409001B">
      <w:start w:val="1"/>
      <w:numFmt w:val="lowerRoman"/>
      <w:lvlText w:val="%1."/>
      <w:lvlJc w:val="righ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3" w15:restartNumberingAfterBreak="0">
    <w:nsid w:val="6E0579F8"/>
    <w:multiLevelType w:val="hybridMultilevel"/>
    <w:tmpl w:val="C62863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89A0AFE"/>
    <w:multiLevelType w:val="multilevel"/>
    <w:tmpl w:val="18F4A5AC"/>
    <w:numStyleLink w:val="FoFCoLOP"/>
  </w:abstractNum>
  <w:num w:numId="1" w16cid:durableId="1354526949">
    <w:abstractNumId w:val="16"/>
  </w:num>
  <w:num w:numId="2" w16cid:durableId="140774137">
    <w:abstractNumId w:val="2"/>
  </w:num>
  <w:num w:numId="3" w16cid:durableId="701521005">
    <w:abstractNumId w:val="3"/>
  </w:num>
  <w:num w:numId="4" w16cid:durableId="2017029027">
    <w:abstractNumId w:val="24"/>
  </w:num>
  <w:num w:numId="5" w16cid:durableId="973756952">
    <w:abstractNumId w:val="10"/>
  </w:num>
  <w:num w:numId="6" w16cid:durableId="816924040">
    <w:abstractNumId w:val="0"/>
  </w:num>
  <w:num w:numId="7" w16cid:durableId="1714382259">
    <w:abstractNumId w:val="18"/>
  </w:num>
  <w:num w:numId="8" w16cid:durableId="1469085466">
    <w:abstractNumId w:val="21"/>
  </w:num>
  <w:num w:numId="9" w16cid:durableId="1925912401">
    <w:abstractNumId w:val="8"/>
  </w:num>
  <w:num w:numId="10" w16cid:durableId="900211281">
    <w:abstractNumId w:val="4"/>
  </w:num>
  <w:num w:numId="11" w16cid:durableId="555554748">
    <w:abstractNumId w:val="17"/>
  </w:num>
  <w:num w:numId="12" w16cid:durableId="1247035254">
    <w:abstractNumId w:val="1"/>
  </w:num>
  <w:num w:numId="13" w16cid:durableId="1786346186">
    <w:abstractNumId w:val="9"/>
  </w:num>
  <w:num w:numId="14" w16cid:durableId="1994748129">
    <w:abstractNumId w:val="19"/>
  </w:num>
  <w:num w:numId="15" w16cid:durableId="933171642">
    <w:abstractNumId w:val="11"/>
  </w:num>
  <w:num w:numId="16" w16cid:durableId="1770420177">
    <w:abstractNumId w:val="23"/>
  </w:num>
  <w:num w:numId="17" w16cid:durableId="1294752280">
    <w:abstractNumId w:val="7"/>
  </w:num>
  <w:num w:numId="18" w16cid:durableId="1714379720">
    <w:abstractNumId w:val="14"/>
  </w:num>
  <w:num w:numId="19" w16cid:durableId="719130716">
    <w:abstractNumId w:val="22"/>
  </w:num>
  <w:num w:numId="20" w16cid:durableId="1285693434">
    <w:abstractNumId w:val="20"/>
  </w:num>
  <w:num w:numId="21" w16cid:durableId="1769153257">
    <w:abstractNumId w:val="12"/>
  </w:num>
  <w:num w:numId="22" w16cid:durableId="826474872">
    <w:abstractNumId w:val="13"/>
  </w:num>
  <w:num w:numId="23" w16cid:durableId="1987516005">
    <w:abstractNumId w:val="5"/>
  </w:num>
  <w:num w:numId="24" w16cid:durableId="370153604">
    <w:abstractNumId w:val="6"/>
  </w:num>
  <w:num w:numId="25" w16cid:durableId="146611657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06"/>
    <w:rsid w:val="000005F2"/>
    <w:rsid w:val="00000E9D"/>
    <w:rsid w:val="00000F6A"/>
    <w:rsid w:val="00001452"/>
    <w:rsid w:val="00003CDE"/>
    <w:rsid w:val="00006591"/>
    <w:rsid w:val="00007857"/>
    <w:rsid w:val="00007943"/>
    <w:rsid w:val="00010808"/>
    <w:rsid w:val="00010AE6"/>
    <w:rsid w:val="00011C85"/>
    <w:rsid w:val="00012029"/>
    <w:rsid w:val="000122D2"/>
    <w:rsid w:val="000130FB"/>
    <w:rsid w:val="00014739"/>
    <w:rsid w:val="0001647A"/>
    <w:rsid w:val="0001712E"/>
    <w:rsid w:val="00017287"/>
    <w:rsid w:val="0002015A"/>
    <w:rsid w:val="000210F8"/>
    <w:rsid w:val="00021ECE"/>
    <w:rsid w:val="000223FC"/>
    <w:rsid w:val="00023797"/>
    <w:rsid w:val="00023DCA"/>
    <w:rsid w:val="00024158"/>
    <w:rsid w:val="00026055"/>
    <w:rsid w:val="0003002A"/>
    <w:rsid w:val="00030843"/>
    <w:rsid w:val="00030ECD"/>
    <w:rsid w:val="00033C36"/>
    <w:rsid w:val="0003458F"/>
    <w:rsid w:val="00036476"/>
    <w:rsid w:val="00041824"/>
    <w:rsid w:val="00042981"/>
    <w:rsid w:val="00042C7F"/>
    <w:rsid w:val="00042F0E"/>
    <w:rsid w:val="00043702"/>
    <w:rsid w:val="00043B46"/>
    <w:rsid w:val="00043D15"/>
    <w:rsid w:val="00046985"/>
    <w:rsid w:val="000478EB"/>
    <w:rsid w:val="00047F65"/>
    <w:rsid w:val="00052676"/>
    <w:rsid w:val="00052DE6"/>
    <w:rsid w:val="00053DA7"/>
    <w:rsid w:val="00055A5D"/>
    <w:rsid w:val="000562EE"/>
    <w:rsid w:val="00062146"/>
    <w:rsid w:val="00063AFF"/>
    <w:rsid w:val="00064E0D"/>
    <w:rsid w:val="0007018D"/>
    <w:rsid w:val="0007115A"/>
    <w:rsid w:val="000760F1"/>
    <w:rsid w:val="00077900"/>
    <w:rsid w:val="0007792F"/>
    <w:rsid w:val="00077A44"/>
    <w:rsid w:val="00080EEA"/>
    <w:rsid w:val="000816FD"/>
    <w:rsid w:val="000820F3"/>
    <w:rsid w:val="00083495"/>
    <w:rsid w:val="000838E1"/>
    <w:rsid w:val="000843DA"/>
    <w:rsid w:val="00084465"/>
    <w:rsid w:val="000857E8"/>
    <w:rsid w:val="00085A64"/>
    <w:rsid w:val="00087106"/>
    <w:rsid w:val="00090CA1"/>
    <w:rsid w:val="00091EB5"/>
    <w:rsid w:val="00093B5F"/>
    <w:rsid w:val="000948A6"/>
    <w:rsid w:val="00095314"/>
    <w:rsid w:val="000953EF"/>
    <w:rsid w:val="00096199"/>
    <w:rsid w:val="0009695D"/>
    <w:rsid w:val="000973C8"/>
    <w:rsid w:val="00097A32"/>
    <w:rsid w:val="000A1CAC"/>
    <w:rsid w:val="000A2AA9"/>
    <w:rsid w:val="000A45DA"/>
    <w:rsid w:val="000A4725"/>
    <w:rsid w:val="000A4C3D"/>
    <w:rsid w:val="000A4C6B"/>
    <w:rsid w:val="000A56F2"/>
    <w:rsid w:val="000A5C41"/>
    <w:rsid w:val="000A6E05"/>
    <w:rsid w:val="000B050A"/>
    <w:rsid w:val="000B0C12"/>
    <w:rsid w:val="000B12FA"/>
    <w:rsid w:val="000B1D56"/>
    <w:rsid w:val="000B390F"/>
    <w:rsid w:val="000B4D52"/>
    <w:rsid w:val="000B511D"/>
    <w:rsid w:val="000B587B"/>
    <w:rsid w:val="000B64F4"/>
    <w:rsid w:val="000B6C38"/>
    <w:rsid w:val="000B7C76"/>
    <w:rsid w:val="000C0187"/>
    <w:rsid w:val="000C065D"/>
    <w:rsid w:val="000C08BF"/>
    <w:rsid w:val="000C24D9"/>
    <w:rsid w:val="000C3B9A"/>
    <w:rsid w:val="000C3D5B"/>
    <w:rsid w:val="000C64EA"/>
    <w:rsid w:val="000C6851"/>
    <w:rsid w:val="000C6C0D"/>
    <w:rsid w:val="000C6F78"/>
    <w:rsid w:val="000D0AC9"/>
    <w:rsid w:val="000D0ED5"/>
    <w:rsid w:val="000D12EC"/>
    <w:rsid w:val="000D25A8"/>
    <w:rsid w:val="000D2860"/>
    <w:rsid w:val="000D362D"/>
    <w:rsid w:val="000D57C0"/>
    <w:rsid w:val="000D5CCA"/>
    <w:rsid w:val="000D6035"/>
    <w:rsid w:val="000D6BC8"/>
    <w:rsid w:val="000E1E35"/>
    <w:rsid w:val="000E21CA"/>
    <w:rsid w:val="000E239E"/>
    <w:rsid w:val="000E270A"/>
    <w:rsid w:val="000E2F65"/>
    <w:rsid w:val="000E33E8"/>
    <w:rsid w:val="000E3B99"/>
    <w:rsid w:val="000E3FA7"/>
    <w:rsid w:val="000E4ADE"/>
    <w:rsid w:val="000E4C53"/>
    <w:rsid w:val="000E7DC8"/>
    <w:rsid w:val="000F04B9"/>
    <w:rsid w:val="000F0DFD"/>
    <w:rsid w:val="000F1567"/>
    <w:rsid w:val="000F26B1"/>
    <w:rsid w:val="000F48C6"/>
    <w:rsid w:val="000F606F"/>
    <w:rsid w:val="000F6FE1"/>
    <w:rsid w:val="00100128"/>
    <w:rsid w:val="00100BDF"/>
    <w:rsid w:val="00100C1E"/>
    <w:rsid w:val="00100D0F"/>
    <w:rsid w:val="0010161B"/>
    <w:rsid w:val="00101BCB"/>
    <w:rsid w:val="00101D1C"/>
    <w:rsid w:val="00102CA7"/>
    <w:rsid w:val="00103377"/>
    <w:rsid w:val="0010433A"/>
    <w:rsid w:val="00104752"/>
    <w:rsid w:val="00106718"/>
    <w:rsid w:val="00120C4E"/>
    <w:rsid w:val="00120EA9"/>
    <w:rsid w:val="00121089"/>
    <w:rsid w:val="00121308"/>
    <w:rsid w:val="00123826"/>
    <w:rsid w:val="00124067"/>
    <w:rsid w:val="001246FE"/>
    <w:rsid w:val="00124DC5"/>
    <w:rsid w:val="00127063"/>
    <w:rsid w:val="001278F0"/>
    <w:rsid w:val="00127E6E"/>
    <w:rsid w:val="00131AE4"/>
    <w:rsid w:val="001379A9"/>
    <w:rsid w:val="00137E98"/>
    <w:rsid w:val="001400FC"/>
    <w:rsid w:val="0014035F"/>
    <w:rsid w:val="0014040A"/>
    <w:rsid w:val="00141778"/>
    <w:rsid w:val="00142C36"/>
    <w:rsid w:val="00142FFC"/>
    <w:rsid w:val="001432B9"/>
    <w:rsid w:val="001451BA"/>
    <w:rsid w:val="00145D44"/>
    <w:rsid w:val="0014606E"/>
    <w:rsid w:val="001469BC"/>
    <w:rsid w:val="00147DC2"/>
    <w:rsid w:val="00147F8D"/>
    <w:rsid w:val="00150208"/>
    <w:rsid w:val="0015300C"/>
    <w:rsid w:val="0015359C"/>
    <w:rsid w:val="00154A8F"/>
    <w:rsid w:val="00157BD9"/>
    <w:rsid w:val="00160593"/>
    <w:rsid w:val="00164E4C"/>
    <w:rsid w:val="00165149"/>
    <w:rsid w:val="001654F2"/>
    <w:rsid w:val="00165A8C"/>
    <w:rsid w:val="00166299"/>
    <w:rsid w:val="00166728"/>
    <w:rsid w:val="00167617"/>
    <w:rsid w:val="00167AB1"/>
    <w:rsid w:val="00167C37"/>
    <w:rsid w:val="00170019"/>
    <w:rsid w:val="001714D4"/>
    <w:rsid w:val="001725D9"/>
    <w:rsid w:val="00174F60"/>
    <w:rsid w:val="001762B2"/>
    <w:rsid w:val="001764C3"/>
    <w:rsid w:val="00176944"/>
    <w:rsid w:val="00176D49"/>
    <w:rsid w:val="00176DE1"/>
    <w:rsid w:val="001774A2"/>
    <w:rsid w:val="00177589"/>
    <w:rsid w:val="00177A10"/>
    <w:rsid w:val="00177FFA"/>
    <w:rsid w:val="001804C5"/>
    <w:rsid w:val="001810F7"/>
    <w:rsid w:val="001836DE"/>
    <w:rsid w:val="001841D4"/>
    <w:rsid w:val="001846C4"/>
    <w:rsid w:val="00184A8F"/>
    <w:rsid w:val="00185537"/>
    <w:rsid w:val="00186BA5"/>
    <w:rsid w:val="00186FB9"/>
    <w:rsid w:val="00193803"/>
    <w:rsid w:val="00194C4B"/>
    <w:rsid w:val="00196570"/>
    <w:rsid w:val="00197542"/>
    <w:rsid w:val="001A2981"/>
    <w:rsid w:val="001A3001"/>
    <w:rsid w:val="001A30CE"/>
    <w:rsid w:val="001A4831"/>
    <w:rsid w:val="001A68B1"/>
    <w:rsid w:val="001A71ED"/>
    <w:rsid w:val="001B0A3C"/>
    <w:rsid w:val="001B288D"/>
    <w:rsid w:val="001B36B0"/>
    <w:rsid w:val="001B500C"/>
    <w:rsid w:val="001B5E09"/>
    <w:rsid w:val="001C363F"/>
    <w:rsid w:val="001C3ADA"/>
    <w:rsid w:val="001C3F7C"/>
    <w:rsid w:val="001C6765"/>
    <w:rsid w:val="001D240F"/>
    <w:rsid w:val="001D29C4"/>
    <w:rsid w:val="001D34C2"/>
    <w:rsid w:val="001D3900"/>
    <w:rsid w:val="001D3BC3"/>
    <w:rsid w:val="001D4B10"/>
    <w:rsid w:val="001D4B5B"/>
    <w:rsid w:val="001D62B0"/>
    <w:rsid w:val="001D720D"/>
    <w:rsid w:val="001D726F"/>
    <w:rsid w:val="001D79EE"/>
    <w:rsid w:val="001E1287"/>
    <w:rsid w:val="001E1B28"/>
    <w:rsid w:val="001E1E05"/>
    <w:rsid w:val="001E2A62"/>
    <w:rsid w:val="001E5417"/>
    <w:rsid w:val="001E57A4"/>
    <w:rsid w:val="001E6ABB"/>
    <w:rsid w:val="001E6E20"/>
    <w:rsid w:val="001E7CB8"/>
    <w:rsid w:val="001F18B6"/>
    <w:rsid w:val="001F2819"/>
    <w:rsid w:val="001F4051"/>
    <w:rsid w:val="001F704F"/>
    <w:rsid w:val="0020109C"/>
    <w:rsid w:val="002035A6"/>
    <w:rsid w:val="002043EC"/>
    <w:rsid w:val="00204497"/>
    <w:rsid w:val="002048D7"/>
    <w:rsid w:val="00204A80"/>
    <w:rsid w:val="00204AD1"/>
    <w:rsid w:val="002051C0"/>
    <w:rsid w:val="00205527"/>
    <w:rsid w:val="00205B40"/>
    <w:rsid w:val="00206646"/>
    <w:rsid w:val="00207693"/>
    <w:rsid w:val="00207CFD"/>
    <w:rsid w:val="00210275"/>
    <w:rsid w:val="00210A89"/>
    <w:rsid w:val="00211D69"/>
    <w:rsid w:val="00212114"/>
    <w:rsid w:val="002121DF"/>
    <w:rsid w:val="00212B45"/>
    <w:rsid w:val="00213971"/>
    <w:rsid w:val="002139F8"/>
    <w:rsid w:val="002146D0"/>
    <w:rsid w:val="002149D1"/>
    <w:rsid w:val="00214C66"/>
    <w:rsid w:val="00220101"/>
    <w:rsid w:val="002208D2"/>
    <w:rsid w:val="00221C11"/>
    <w:rsid w:val="0022289F"/>
    <w:rsid w:val="00223500"/>
    <w:rsid w:val="00225218"/>
    <w:rsid w:val="00225757"/>
    <w:rsid w:val="00225D9E"/>
    <w:rsid w:val="0022654A"/>
    <w:rsid w:val="002273BA"/>
    <w:rsid w:val="002312F5"/>
    <w:rsid w:val="00231A70"/>
    <w:rsid w:val="00233810"/>
    <w:rsid w:val="00233A9E"/>
    <w:rsid w:val="00233BE9"/>
    <w:rsid w:val="00234104"/>
    <w:rsid w:val="00236638"/>
    <w:rsid w:val="00237092"/>
    <w:rsid w:val="0024145B"/>
    <w:rsid w:val="00241B7C"/>
    <w:rsid w:val="00243B90"/>
    <w:rsid w:val="00243DC0"/>
    <w:rsid w:val="00244858"/>
    <w:rsid w:val="0024586D"/>
    <w:rsid w:val="00245899"/>
    <w:rsid w:val="00245F58"/>
    <w:rsid w:val="00247477"/>
    <w:rsid w:val="00250400"/>
    <w:rsid w:val="00251D7F"/>
    <w:rsid w:val="00253C1B"/>
    <w:rsid w:val="0025558E"/>
    <w:rsid w:val="002559DA"/>
    <w:rsid w:val="00260FC5"/>
    <w:rsid w:val="0026128C"/>
    <w:rsid w:val="002612A8"/>
    <w:rsid w:val="002622D9"/>
    <w:rsid w:val="00262C8E"/>
    <w:rsid w:val="00265950"/>
    <w:rsid w:val="00267978"/>
    <w:rsid w:val="0027028F"/>
    <w:rsid w:val="00270296"/>
    <w:rsid w:val="00270440"/>
    <w:rsid w:val="00270E3F"/>
    <w:rsid w:val="0027342A"/>
    <w:rsid w:val="00273E20"/>
    <w:rsid w:val="002808AA"/>
    <w:rsid w:val="00281058"/>
    <w:rsid w:val="002811F1"/>
    <w:rsid w:val="00281EDC"/>
    <w:rsid w:val="00282089"/>
    <w:rsid w:val="00282E5A"/>
    <w:rsid w:val="00283A84"/>
    <w:rsid w:val="002842AC"/>
    <w:rsid w:val="002844D1"/>
    <w:rsid w:val="00284D8D"/>
    <w:rsid w:val="00287BC5"/>
    <w:rsid w:val="00290403"/>
    <w:rsid w:val="0029073B"/>
    <w:rsid w:val="002918AB"/>
    <w:rsid w:val="0029257F"/>
    <w:rsid w:val="002930B4"/>
    <w:rsid w:val="00293DEE"/>
    <w:rsid w:val="00294B17"/>
    <w:rsid w:val="00295E90"/>
    <w:rsid w:val="0029781F"/>
    <w:rsid w:val="002A0269"/>
    <w:rsid w:val="002A0B5D"/>
    <w:rsid w:val="002A1C04"/>
    <w:rsid w:val="002A32D1"/>
    <w:rsid w:val="002A33D8"/>
    <w:rsid w:val="002A3F7B"/>
    <w:rsid w:val="002A41DE"/>
    <w:rsid w:val="002A4349"/>
    <w:rsid w:val="002A46FD"/>
    <w:rsid w:val="002A4A67"/>
    <w:rsid w:val="002A4D58"/>
    <w:rsid w:val="002A6973"/>
    <w:rsid w:val="002A6B4F"/>
    <w:rsid w:val="002A6E9B"/>
    <w:rsid w:val="002B21C6"/>
    <w:rsid w:val="002B2A4C"/>
    <w:rsid w:val="002B2E8B"/>
    <w:rsid w:val="002B32A3"/>
    <w:rsid w:val="002B40F2"/>
    <w:rsid w:val="002C0CC3"/>
    <w:rsid w:val="002C0ED5"/>
    <w:rsid w:val="002C21F2"/>
    <w:rsid w:val="002C2203"/>
    <w:rsid w:val="002C354F"/>
    <w:rsid w:val="002C3E53"/>
    <w:rsid w:val="002C4696"/>
    <w:rsid w:val="002C59CA"/>
    <w:rsid w:val="002C6CCE"/>
    <w:rsid w:val="002C7FE9"/>
    <w:rsid w:val="002D0DC5"/>
    <w:rsid w:val="002D4EFD"/>
    <w:rsid w:val="002D6BEB"/>
    <w:rsid w:val="002D76AB"/>
    <w:rsid w:val="002E0A70"/>
    <w:rsid w:val="002E0D29"/>
    <w:rsid w:val="002E2794"/>
    <w:rsid w:val="002E5DC7"/>
    <w:rsid w:val="002E6134"/>
    <w:rsid w:val="002F1105"/>
    <w:rsid w:val="002F24B2"/>
    <w:rsid w:val="002F2B14"/>
    <w:rsid w:val="002F2D8D"/>
    <w:rsid w:val="002F3FC0"/>
    <w:rsid w:val="002F7A54"/>
    <w:rsid w:val="003024D1"/>
    <w:rsid w:val="0030397E"/>
    <w:rsid w:val="00304731"/>
    <w:rsid w:val="00304BED"/>
    <w:rsid w:val="00306199"/>
    <w:rsid w:val="00306E7D"/>
    <w:rsid w:val="00312261"/>
    <w:rsid w:val="00312484"/>
    <w:rsid w:val="003133C6"/>
    <w:rsid w:val="0031526A"/>
    <w:rsid w:val="00315A97"/>
    <w:rsid w:val="00316071"/>
    <w:rsid w:val="0031613C"/>
    <w:rsid w:val="00320C8A"/>
    <w:rsid w:val="003219DD"/>
    <w:rsid w:val="0032223A"/>
    <w:rsid w:val="003239C3"/>
    <w:rsid w:val="0032539D"/>
    <w:rsid w:val="003253A4"/>
    <w:rsid w:val="003260B8"/>
    <w:rsid w:val="00330510"/>
    <w:rsid w:val="003328E0"/>
    <w:rsid w:val="0033308F"/>
    <w:rsid w:val="003339A3"/>
    <w:rsid w:val="00333ED9"/>
    <w:rsid w:val="00333EF8"/>
    <w:rsid w:val="00334780"/>
    <w:rsid w:val="00334C43"/>
    <w:rsid w:val="00334E52"/>
    <w:rsid w:val="00335685"/>
    <w:rsid w:val="003358A6"/>
    <w:rsid w:val="00335A30"/>
    <w:rsid w:val="00336BF7"/>
    <w:rsid w:val="00336CD2"/>
    <w:rsid w:val="003378AA"/>
    <w:rsid w:val="00337C5F"/>
    <w:rsid w:val="00337F75"/>
    <w:rsid w:val="0034087F"/>
    <w:rsid w:val="00340AD1"/>
    <w:rsid w:val="003429BC"/>
    <w:rsid w:val="00343E5C"/>
    <w:rsid w:val="00344FB8"/>
    <w:rsid w:val="00345695"/>
    <w:rsid w:val="00346071"/>
    <w:rsid w:val="003463BE"/>
    <w:rsid w:val="00346B28"/>
    <w:rsid w:val="00347101"/>
    <w:rsid w:val="003473F0"/>
    <w:rsid w:val="0034758D"/>
    <w:rsid w:val="003477DB"/>
    <w:rsid w:val="00347A49"/>
    <w:rsid w:val="00353F09"/>
    <w:rsid w:val="0035411B"/>
    <w:rsid w:val="003554B3"/>
    <w:rsid w:val="003554F0"/>
    <w:rsid w:val="0035561C"/>
    <w:rsid w:val="003558AE"/>
    <w:rsid w:val="003567EA"/>
    <w:rsid w:val="0036017B"/>
    <w:rsid w:val="00360A42"/>
    <w:rsid w:val="00361979"/>
    <w:rsid w:val="00361B07"/>
    <w:rsid w:val="003624C5"/>
    <w:rsid w:val="003625AF"/>
    <w:rsid w:val="00362755"/>
    <w:rsid w:val="00362F9F"/>
    <w:rsid w:val="00363CC5"/>
    <w:rsid w:val="00363E12"/>
    <w:rsid w:val="00366BD0"/>
    <w:rsid w:val="0036712A"/>
    <w:rsid w:val="00367268"/>
    <w:rsid w:val="00367594"/>
    <w:rsid w:val="0036770F"/>
    <w:rsid w:val="00367F5F"/>
    <w:rsid w:val="00371A00"/>
    <w:rsid w:val="00373B93"/>
    <w:rsid w:val="00374614"/>
    <w:rsid w:val="003766F6"/>
    <w:rsid w:val="00376EAA"/>
    <w:rsid w:val="00377AED"/>
    <w:rsid w:val="00377F7D"/>
    <w:rsid w:val="00380358"/>
    <w:rsid w:val="00380CD1"/>
    <w:rsid w:val="00381964"/>
    <w:rsid w:val="003826A5"/>
    <w:rsid w:val="00383F5D"/>
    <w:rsid w:val="00384868"/>
    <w:rsid w:val="003856E7"/>
    <w:rsid w:val="00385E5E"/>
    <w:rsid w:val="00386A8D"/>
    <w:rsid w:val="003878F2"/>
    <w:rsid w:val="00391362"/>
    <w:rsid w:val="00393071"/>
    <w:rsid w:val="00397989"/>
    <w:rsid w:val="003A02CA"/>
    <w:rsid w:val="003A07E7"/>
    <w:rsid w:val="003A2518"/>
    <w:rsid w:val="003A38F0"/>
    <w:rsid w:val="003A3A02"/>
    <w:rsid w:val="003A3EB6"/>
    <w:rsid w:val="003A4BFC"/>
    <w:rsid w:val="003A5982"/>
    <w:rsid w:val="003A6F99"/>
    <w:rsid w:val="003B0148"/>
    <w:rsid w:val="003B148A"/>
    <w:rsid w:val="003B29EF"/>
    <w:rsid w:val="003B5952"/>
    <w:rsid w:val="003B5E20"/>
    <w:rsid w:val="003B66C8"/>
    <w:rsid w:val="003C1476"/>
    <w:rsid w:val="003C148E"/>
    <w:rsid w:val="003C1BF6"/>
    <w:rsid w:val="003C3113"/>
    <w:rsid w:val="003C370A"/>
    <w:rsid w:val="003C43A6"/>
    <w:rsid w:val="003C4700"/>
    <w:rsid w:val="003C4B9B"/>
    <w:rsid w:val="003C69F6"/>
    <w:rsid w:val="003D0677"/>
    <w:rsid w:val="003D0D83"/>
    <w:rsid w:val="003D444F"/>
    <w:rsid w:val="003D5D56"/>
    <w:rsid w:val="003D6378"/>
    <w:rsid w:val="003D709F"/>
    <w:rsid w:val="003D75AF"/>
    <w:rsid w:val="003D79FF"/>
    <w:rsid w:val="003E1B4E"/>
    <w:rsid w:val="003E2755"/>
    <w:rsid w:val="003E3538"/>
    <w:rsid w:val="003E47AC"/>
    <w:rsid w:val="003E6427"/>
    <w:rsid w:val="003E6FAD"/>
    <w:rsid w:val="003E7DAB"/>
    <w:rsid w:val="003F069A"/>
    <w:rsid w:val="003F0A09"/>
    <w:rsid w:val="003F21CD"/>
    <w:rsid w:val="003F2648"/>
    <w:rsid w:val="003F35B4"/>
    <w:rsid w:val="003F4008"/>
    <w:rsid w:val="003F4329"/>
    <w:rsid w:val="003F445B"/>
    <w:rsid w:val="003F4492"/>
    <w:rsid w:val="003F4662"/>
    <w:rsid w:val="003F508E"/>
    <w:rsid w:val="003F53E4"/>
    <w:rsid w:val="003F5E3A"/>
    <w:rsid w:val="003F61D2"/>
    <w:rsid w:val="003F7D06"/>
    <w:rsid w:val="00401FFA"/>
    <w:rsid w:val="00402213"/>
    <w:rsid w:val="00402366"/>
    <w:rsid w:val="00403477"/>
    <w:rsid w:val="0040494C"/>
    <w:rsid w:val="004074B8"/>
    <w:rsid w:val="004075CE"/>
    <w:rsid w:val="004105FB"/>
    <w:rsid w:val="00410C5E"/>
    <w:rsid w:val="00412534"/>
    <w:rsid w:val="00412C83"/>
    <w:rsid w:val="00414533"/>
    <w:rsid w:val="004147A5"/>
    <w:rsid w:val="004164EA"/>
    <w:rsid w:val="00420020"/>
    <w:rsid w:val="0042214F"/>
    <w:rsid w:val="0042316A"/>
    <w:rsid w:val="00423894"/>
    <w:rsid w:val="00424176"/>
    <w:rsid w:val="00424E08"/>
    <w:rsid w:val="00425D87"/>
    <w:rsid w:val="00426014"/>
    <w:rsid w:val="004260CF"/>
    <w:rsid w:val="00427039"/>
    <w:rsid w:val="004300BE"/>
    <w:rsid w:val="00430335"/>
    <w:rsid w:val="0043061D"/>
    <w:rsid w:val="00431892"/>
    <w:rsid w:val="00433C02"/>
    <w:rsid w:val="004345A8"/>
    <w:rsid w:val="0043570A"/>
    <w:rsid w:val="00435BBA"/>
    <w:rsid w:val="00435EF0"/>
    <w:rsid w:val="00435FC0"/>
    <w:rsid w:val="00436530"/>
    <w:rsid w:val="0044275F"/>
    <w:rsid w:val="00443671"/>
    <w:rsid w:val="004439B2"/>
    <w:rsid w:val="0044617E"/>
    <w:rsid w:val="00447769"/>
    <w:rsid w:val="004502A1"/>
    <w:rsid w:val="004509E3"/>
    <w:rsid w:val="00450BA4"/>
    <w:rsid w:val="00456576"/>
    <w:rsid w:val="0045713D"/>
    <w:rsid w:val="0046078B"/>
    <w:rsid w:val="00460B7D"/>
    <w:rsid w:val="00460E4B"/>
    <w:rsid w:val="00461C6E"/>
    <w:rsid w:val="0046409F"/>
    <w:rsid w:val="00464319"/>
    <w:rsid w:val="00464592"/>
    <w:rsid w:val="00464700"/>
    <w:rsid w:val="0046476C"/>
    <w:rsid w:val="00465433"/>
    <w:rsid w:val="00465811"/>
    <w:rsid w:val="00466CAB"/>
    <w:rsid w:val="004675BD"/>
    <w:rsid w:val="00467786"/>
    <w:rsid w:val="00470A7B"/>
    <w:rsid w:val="00470AAD"/>
    <w:rsid w:val="00471DF2"/>
    <w:rsid w:val="0047207B"/>
    <w:rsid w:val="004721A3"/>
    <w:rsid w:val="004728CE"/>
    <w:rsid w:val="00472E72"/>
    <w:rsid w:val="004735F0"/>
    <w:rsid w:val="004753E9"/>
    <w:rsid w:val="00475C45"/>
    <w:rsid w:val="00477D2D"/>
    <w:rsid w:val="00480C2A"/>
    <w:rsid w:val="00480CB0"/>
    <w:rsid w:val="00480D1C"/>
    <w:rsid w:val="0048107C"/>
    <w:rsid w:val="004811DD"/>
    <w:rsid w:val="0048141C"/>
    <w:rsid w:val="00483603"/>
    <w:rsid w:val="00483C31"/>
    <w:rsid w:val="004847C2"/>
    <w:rsid w:val="00485978"/>
    <w:rsid w:val="00485D3F"/>
    <w:rsid w:val="00485E86"/>
    <w:rsid w:val="004870C4"/>
    <w:rsid w:val="004912B1"/>
    <w:rsid w:val="00491C3C"/>
    <w:rsid w:val="00494DE3"/>
    <w:rsid w:val="00495919"/>
    <w:rsid w:val="00496104"/>
    <w:rsid w:val="00497D79"/>
    <w:rsid w:val="00497D96"/>
    <w:rsid w:val="004A0473"/>
    <w:rsid w:val="004A06EF"/>
    <w:rsid w:val="004A15E4"/>
    <w:rsid w:val="004A1DBE"/>
    <w:rsid w:val="004A1EAD"/>
    <w:rsid w:val="004A2A02"/>
    <w:rsid w:val="004A3555"/>
    <w:rsid w:val="004A3B76"/>
    <w:rsid w:val="004A3D59"/>
    <w:rsid w:val="004A47BE"/>
    <w:rsid w:val="004A585F"/>
    <w:rsid w:val="004B0B95"/>
    <w:rsid w:val="004B34EA"/>
    <w:rsid w:val="004B4342"/>
    <w:rsid w:val="004B4C6F"/>
    <w:rsid w:val="004B5494"/>
    <w:rsid w:val="004B62DB"/>
    <w:rsid w:val="004B6876"/>
    <w:rsid w:val="004B78A5"/>
    <w:rsid w:val="004B7F20"/>
    <w:rsid w:val="004C04EC"/>
    <w:rsid w:val="004C101A"/>
    <w:rsid w:val="004C2401"/>
    <w:rsid w:val="004C37CA"/>
    <w:rsid w:val="004C4919"/>
    <w:rsid w:val="004C5AC8"/>
    <w:rsid w:val="004C6701"/>
    <w:rsid w:val="004C67B3"/>
    <w:rsid w:val="004C7672"/>
    <w:rsid w:val="004C7A2B"/>
    <w:rsid w:val="004C7D3A"/>
    <w:rsid w:val="004C7EB3"/>
    <w:rsid w:val="004D0440"/>
    <w:rsid w:val="004D0E0F"/>
    <w:rsid w:val="004D10B3"/>
    <w:rsid w:val="004D1285"/>
    <w:rsid w:val="004D268B"/>
    <w:rsid w:val="004D31CD"/>
    <w:rsid w:val="004D3A4C"/>
    <w:rsid w:val="004D422B"/>
    <w:rsid w:val="004D4BCA"/>
    <w:rsid w:val="004D5EBE"/>
    <w:rsid w:val="004E101D"/>
    <w:rsid w:val="004E1CD9"/>
    <w:rsid w:val="004E2004"/>
    <w:rsid w:val="004E2051"/>
    <w:rsid w:val="004E2223"/>
    <w:rsid w:val="004E3A94"/>
    <w:rsid w:val="004E43F6"/>
    <w:rsid w:val="004E48F1"/>
    <w:rsid w:val="004E5982"/>
    <w:rsid w:val="004E7225"/>
    <w:rsid w:val="004F143E"/>
    <w:rsid w:val="004F1906"/>
    <w:rsid w:val="004F3C13"/>
    <w:rsid w:val="004F4BC9"/>
    <w:rsid w:val="004F57AC"/>
    <w:rsid w:val="004F5CD9"/>
    <w:rsid w:val="004F6640"/>
    <w:rsid w:val="004F714C"/>
    <w:rsid w:val="004F744D"/>
    <w:rsid w:val="00500581"/>
    <w:rsid w:val="005008B1"/>
    <w:rsid w:val="005018A8"/>
    <w:rsid w:val="0050217E"/>
    <w:rsid w:val="005032DD"/>
    <w:rsid w:val="00503BE7"/>
    <w:rsid w:val="005048B3"/>
    <w:rsid w:val="00505A39"/>
    <w:rsid w:val="00505C13"/>
    <w:rsid w:val="00512A66"/>
    <w:rsid w:val="0051306F"/>
    <w:rsid w:val="00513502"/>
    <w:rsid w:val="00513A1A"/>
    <w:rsid w:val="00516802"/>
    <w:rsid w:val="00517866"/>
    <w:rsid w:val="005240BF"/>
    <w:rsid w:val="0052471C"/>
    <w:rsid w:val="005266C9"/>
    <w:rsid w:val="0052671B"/>
    <w:rsid w:val="005276E4"/>
    <w:rsid w:val="0052789E"/>
    <w:rsid w:val="00531455"/>
    <w:rsid w:val="005328A9"/>
    <w:rsid w:val="00533D98"/>
    <w:rsid w:val="00533FD1"/>
    <w:rsid w:val="0053616C"/>
    <w:rsid w:val="00537207"/>
    <w:rsid w:val="00537D61"/>
    <w:rsid w:val="0054065A"/>
    <w:rsid w:val="00543F6B"/>
    <w:rsid w:val="005455F0"/>
    <w:rsid w:val="00547B89"/>
    <w:rsid w:val="00550367"/>
    <w:rsid w:val="00552B34"/>
    <w:rsid w:val="00554141"/>
    <w:rsid w:val="00554809"/>
    <w:rsid w:val="00554B4F"/>
    <w:rsid w:val="00554B5B"/>
    <w:rsid w:val="00556277"/>
    <w:rsid w:val="005563B9"/>
    <w:rsid w:val="0055700F"/>
    <w:rsid w:val="00560FBA"/>
    <w:rsid w:val="0056188E"/>
    <w:rsid w:val="005625D0"/>
    <w:rsid w:val="00562BCF"/>
    <w:rsid w:val="00562BF2"/>
    <w:rsid w:val="00563E98"/>
    <w:rsid w:val="00564352"/>
    <w:rsid w:val="005647C8"/>
    <w:rsid w:val="00564F5E"/>
    <w:rsid w:val="00565497"/>
    <w:rsid w:val="00565D2C"/>
    <w:rsid w:val="005667C1"/>
    <w:rsid w:val="00567569"/>
    <w:rsid w:val="005729E9"/>
    <w:rsid w:val="00572A69"/>
    <w:rsid w:val="00574486"/>
    <w:rsid w:val="00574AFF"/>
    <w:rsid w:val="0057583A"/>
    <w:rsid w:val="00576113"/>
    <w:rsid w:val="00577DA1"/>
    <w:rsid w:val="00581249"/>
    <w:rsid w:val="005812C8"/>
    <w:rsid w:val="00585390"/>
    <w:rsid w:val="00585570"/>
    <w:rsid w:val="0059285D"/>
    <w:rsid w:val="005939A5"/>
    <w:rsid w:val="00594807"/>
    <w:rsid w:val="00594C87"/>
    <w:rsid w:val="005A05BB"/>
    <w:rsid w:val="005A0B89"/>
    <w:rsid w:val="005A148C"/>
    <w:rsid w:val="005A1CE5"/>
    <w:rsid w:val="005A1DF8"/>
    <w:rsid w:val="005A2543"/>
    <w:rsid w:val="005A2F90"/>
    <w:rsid w:val="005A3148"/>
    <w:rsid w:val="005A394C"/>
    <w:rsid w:val="005A46AC"/>
    <w:rsid w:val="005A58E8"/>
    <w:rsid w:val="005A615B"/>
    <w:rsid w:val="005A6238"/>
    <w:rsid w:val="005A63BD"/>
    <w:rsid w:val="005A6E67"/>
    <w:rsid w:val="005B5ABF"/>
    <w:rsid w:val="005B5B40"/>
    <w:rsid w:val="005B5DBC"/>
    <w:rsid w:val="005B6030"/>
    <w:rsid w:val="005B64A8"/>
    <w:rsid w:val="005B6DAF"/>
    <w:rsid w:val="005B7360"/>
    <w:rsid w:val="005C04DF"/>
    <w:rsid w:val="005C0F3B"/>
    <w:rsid w:val="005C15D7"/>
    <w:rsid w:val="005C289E"/>
    <w:rsid w:val="005C32FA"/>
    <w:rsid w:val="005C3690"/>
    <w:rsid w:val="005C577E"/>
    <w:rsid w:val="005C58FA"/>
    <w:rsid w:val="005C6928"/>
    <w:rsid w:val="005C7CDB"/>
    <w:rsid w:val="005C7E45"/>
    <w:rsid w:val="005D1200"/>
    <w:rsid w:val="005D2485"/>
    <w:rsid w:val="005D2CC7"/>
    <w:rsid w:val="005D3AC8"/>
    <w:rsid w:val="005D47BC"/>
    <w:rsid w:val="005D483B"/>
    <w:rsid w:val="005D6459"/>
    <w:rsid w:val="005D7141"/>
    <w:rsid w:val="005D742A"/>
    <w:rsid w:val="005D7FE4"/>
    <w:rsid w:val="005E1232"/>
    <w:rsid w:val="005E183B"/>
    <w:rsid w:val="005E2BE0"/>
    <w:rsid w:val="005E3E8B"/>
    <w:rsid w:val="005E427C"/>
    <w:rsid w:val="005E7147"/>
    <w:rsid w:val="005E7197"/>
    <w:rsid w:val="005E79B4"/>
    <w:rsid w:val="005F0325"/>
    <w:rsid w:val="005F0808"/>
    <w:rsid w:val="005F1C8A"/>
    <w:rsid w:val="005F2010"/>
    <w:rsid w:val="005F24DE"/>
    <w:rsid w:val="005F29DA"/>
    <w:rsid w:val="005F4038"/>
    <w:rsid w:val="005F4332"/>
    <w:rsid w:val="005F56DF"/>
    <w:rsid w:val="005F579A"/>
    <w:rsid w:val="005F6A39"/>
    <w:rsid w:val="006012EF"/>
    <w:rsid w:val="00602930"/>
    <w:rsid w:val="00603238"/>
    <w:rsid w:val="00604557"/>
    <w:rsid w:val="0060508E"/>
    <w:rsid w:val="00606082"/>
    <w:rsid w:val="006076FA"/>
    <w:rsid w:val="00611068"/>
    <w:rsid w:val="00613BA7"/>
    <w:rsid w:val="0061445B"/>
    <w:rsid w:val="00616B25"/>
    <w:rsid w:val="00616B72"/>
    <w:rsid w:val="0062046E"/>
    <w:rsid w:val="006210D9"/>
    <w:rsid w:val="006214AA"/>
    <w:rsid w:val="006219EA"/>
    <w:rsid w:val="006221E1"/>
    <w:rsid w:val="006245A7"/>
    <w:rsid w:val="00630D19"/>
    <w:rsid w:val="00631306"/>
    <w:rsid w:val="00632207"/>
    <w:rsid w:val="006327B9"/>
    <w:rsid w:val="00633B0D"/>
    <w:rsid w:val="006347BE"/>
    <w:rsid w:val="0063491C"/>
    <w:rsid w:val="00634BE3"/>
    <w:rsid w:val="00635EA5"/>
    <w:rsid w:val="0063699F"/>
    <w:rsid w:val="006375D5"/>
    <w:rsid w:val="00637A4E"/>
    <w:rsid w:val="00637B43"/>
    <w:rsid w:val="00640193"/>
    <w:rsid w:val="00640821"/>
    <w:rsid w:val="0064165A"/>
    <w:rsid w:val="00641A5C"/>
    <w:rsid w:val="00641E3F"/>
    <w:rsid w:val="00642F65"/>
    <w:rsid w:val="006430AB"/>
    <w:rsid w:val="00644EB6"/>
    <w:rsid w:val="00650417"/>
    <w:rsid w:val="00650EA3"/>
    <w:rsid w:val="00652909"/>
    <w:rsid w:val="006540AF"/>
    <w:rsid w:val="00654FFB"/>
    <w:rsid w:val="006576B8"/>
    <w:rsid w:val="00661860"/>
    <w:rsid w:val="00661AFE"/>
    <w:rsid w:val="00663326"/>
    <w:rsid w:val="006669A7"/>
    <w:rsid w:val="00670421"/>
    <w:rsid w:val="006705D0"/>
    <w:rsid w:val="0067061F"/>
    <w:rsid w:val="006706AD"/>
    <w:rsid w:val="00670831"/>
    <w:rsid w:val="006715C8"/>
    <w:rsid w:val="00671829"/>
    <w:rsid w:val="00671FD1"/>
    <w:rsid w:val="0067308C"/>
    <w:rsid w:val="006774EE"/>
    <w:rsid w:val="00680F19"/>
    <w:rsid w:val="006816BB"/>
    <w:rsid w:val="0068181C"/>
    <w:rsid w:val="00681BA2"/>
    <w:rsid w:val="006827A2"/>
    <w:rsid w:val="00682E4B"/>
    <w:rsid w:val="00683B2C"/>
    <w:rsid w:val="00687881"/>
    <w:rsid w:val="00690382"/>
    <w:rsid w:val="006920A7"/>
    <w:rsid w:val="00692B70"/>
    <w:rsid w:val="00692E66"/>
    <w:rsid w:val="00693EAF"/>
    <w:rsid w:val="0069492D"/>
    <w:rsid w:val="00695423"/>
    <w:rsid w:val="00696281"/>
    <w:rsid w:val="00696A1D"/>
    <w:rsid w:val="006970FD"/>
    <w:rsid w:val="00697171"/>
    <w:rsid w:val="006975A7"/>
    <w:rsid w:val="0069773A"/>
    <w:rsid w:val="006A181F"/>
    <w:rsid w:val="006A2A33"/>
    <w:rsid w:val="006B310E"/>
    <w:rsid w:val="006B3A8E"/>
    <w:rsid w:val="006B516D"/>
    <w:rsid w:val="006B7666"/>
    <w:rsid w:val="006C1F10"/>
    <w:rsid w:val="006C20C3"/>
    <w:rsid w:val="006C2D22"/>
    <w:rsid w:val="006C4316"/>
    <w:rsid w:val="006C7D9B"/>
    <w:rsid w:val="006D0041"/>
    <w:rsid w:val="006D3108"/>
    <w:rsid w:val="006D44F5"/>
    <w:rsid w:val="006D54A2"/>
    <w:rsid w:val="006D6938"/>
    <w:rsid w:val="006D70B0"/>
    <w:rsid w:val="006D711F"/>
    <w:rsid w:val="006E0581"/>
    <w:rsid w:val="006E1469"/>
    <w:rsid w:val="006E232B"/>
    <w:rsid w:val="006E2F87"/>
    <w:rsid w:val="006E3013"/>
    <w:rsid w:val="006E30F7"/>
    <w:rsid w:val="006E42FE"/>
    <w:rsid w:val="006E432D"/>
    <w:rsid w:val="006E4349"/>
    <w:rsid w:val="006E4485"/>
    <w:rsid w:val="006E4745"/>
    <w:rsid w:val="006E5748"/>
    <w:rsid w:val="006E5E28"/>
    <w:rsid w:val="006E6574"/>
    <w:rsid w:val="006E6FF8"/>
    <w:rsid w:val="006E7DF1"/>
    <w:rsid w:val="006F2937"/>
    <w:rsid w:val="006F5C31"/>
    <w:rsid w:val="006F6207"/>
    <w:rsid w:val="006F6BC9"/>
    <w:rsid w:val="006F7C47"/>
    <w:rsid w:val="00700DFA"/>
    <w:rsid w:val="00700F2C"/>
    <w:rsid w:val="00701CAE"/>
    <w:rsid w:val="00702C9B"/>
    <w:rsid w:val="00706702"/>
    <w:rsid w:val="00711104"/>
    <w:rsid w:val="00711291"/>
    <w:rsid w:val="00711CEC"/>
    <w:rsid w:val="00712A89"/>
    <w:rsid w:val="00713029"/>
    <w:rsid w:val="0071320D"/>
    <w:rsid w:val="00714A9F"/>
    <w:rsid w:val="00714CF2"/>
    <w:rsid w:val="007156B9"/>
    <w:rsid w:val="0071577D"/>
    <w:rsid w:val="00717BCC"/>
    <w:rsid w:val="00720817"/>
    <w:rsid w:val="00720D03"/>
    <w:rsid w:val="007223FC"/>
    <w:rsid w:val="00722850"/>
    <w:rsid w:val="00722A35"/>
    <w:rsid w:val="00726ECD"/>
    <w:rsid w:val="007271B5"/>
    <w:rsid w:val="00727E91"/>
    <w:rsid w:val="007329EE"/>
    <w:rsid w:val="00732F7A"/>
    <w:rsid w:val="0073353F"/>
    <w:rsid w:val="00733A12"/>
    <w:rsid w:val="00733A42"/>
    <w:rsid w:val="00735943"/>
    <w:rsid w:val="00735A91"/>
    <w:rsid w:val="007376EF"/>
    <w:rsid w:val="00742358"/>
    <w:rsid w:val="00742E45"/>
    <w:rsid w:val="00743A10"/>
    <w:rsid w:val="007447AF"/>
    <w:rsid w:val="00744A50"/>
    <w:rsid w:val="00745CC2"/>
    <w:rsid w:val="0074621F"/>
    <w:rsid w:val="007472E4"/>
    <w:rsid w:val="0074781C"/>
    <w:rsid w:val="007504C4"/>
    <w:rsid w:val="00750816"/>
    <w:rsid w:val="00750A0D"/>
    <w:rsid w:val="007521EC"/>
    <w:rsid w:val="0075354D"/>
    <w:rsid w:val="00754287"/>
    <w:rsid w:val="007564FE"/>
    <w:rsid w:val="007566C7"/>
    <w:rsid w:val="00757627"/>
    <w:rsid w:val="00757A3B"/>
    <w:rsid w:val="00761C0F"/>
    <w:rsid w:val="00763200"/>
    <w:rsid w:val="007637A7"/>
    <w:rsid w:val="007638DF"/>
    <w:rsid w:val="0076536D"/>
    <w:rsid w:val="007657C1"/>
    <w:rsid w:val="00770005"/>
    <w:rsid w:val="00770053"/>
    <w:rsid w:val="007704FB"/>
    <w:rsid w:val="00771B2E"/>
    <w:rsid w:val="007732E4"/>
    <w:rsid w:val="007752D1"/>
    <w:rsid w:val="007774DA"/>
    <w:rsid w:val="0077755F"/>
    <w:rsid w:val="007775A5"/>
    <w:rsid w:val="007803D4"/>
    <w:rsid w:val="0078045E"/>
    <w:rsid w:val="00781307"/>
    <w:rsid w:val="007816C2"/>
    <w:rsid w:val="007825E0"/>
    <w:rsid w:val="00782AE0"/>
    <w:rsid w:val="007850FB"/>
    <w:rsid w:val="00786315"/>
    <w:rsid w:val="00786AA8"/>
    <w:rsid w:val="00790971"/>
    <w:rsid w:val="00790E7C"/>
    <w:rsid w:val="0079291A"/>
    <w:rsid w:val="00792B10"/>
    <w:rsid w:val="00793AAA"/>
    <w:rsid w:val="00793EA6"/>
    <w:rsid w:val="007954C2"/>
    <w:rsid w:val="00795CFA"/>
    <w:rsid w:val="0079747D"/>
    <w:rsid w:val="00797DAB"/>
    <w:rsid w:val="007A051F"/>
    <w:rsid w:val="007A0992"/>
    <w:rsid w:val="007A1372"/>
    <w:rsid w:val="007A3BA6"/>
    <w:rsid w:val="007A406D"/>
    <w:rsid w:val="007A4E49"/>
    <w:rsid w:val="007A54B7"/>
    <w:rsid w:val="007A5CEC"/>
    <w:rsid w:val="007A62B0"/>
    <w:rsid w:val="007A63B0"/>
    <w:rsid w:val="007A6F99"/>
    <w:rsid w:val="007A7216"/>
    <w:rsid w:val="007A7519"/>
    <w:rsid w:val="007A77C8"/>
    <w:rsid w:val="007A7A00"/>
    <w:rsid w:val="007B19C8"/>
    <w:rsid w:val="007B39C7"/>
    <w:rsid w:val="007B3DB7"/>
    <w:rsid w:val="007B441A"/>
    <w:rsid w:val="007B6010"/>
    <w:rsid w:val="007B6A7D"/>
    <w:rsid w:val="007B7892"/>
    <w:rsid w:val="007B7A8F"/>
    <w:rsid w:val="007B7BDF"/>
    <w:rsid w:val="007B7CEC"/>
    <w:rsid w:val="007C24A2"/>
    <w:rsid w:val="007C3EF6"/>
    <w:rsid w:val="007C5A0C"/>
    <w:rsid w:val="007C5BFB"/>
    <w:rsid w:val="007C6637"/>
    <w:rsid w:val="007C7483"/>
    <w:rsid w:val="007C77C6"/>
    <w:rsid w:val="007C7DC7"/>
    <w:rsid w:val="007D013D"/>
    <w:rsid w:val="007D01CB"/>
    <w:rsid w:val="007D0752"/>
    <w:rsid w:val="007D0E6B"/>
    <w:rsid w:val="007D2333"/>
    <w:rsid w:val="007D3AE9"/>
    <w:rsid w:val="007D3E81"/>
    <w:rsid w:val="007D5653"/>
    <w:rsid w:val="007D61DF"/>
    <w:rsid w:val="007E089B"/>
    <w:rsid w:val="007E0E00"/>
    <w:rsid w:val="007E0FEE"/>
    <w:rsid w:val="007E3979"/>
    <w:rsid w:val="007E471B"/>
    <w:rsid w:val="007E4773"/>
    <w:rsid w:val="007E4BA2"/>
    <w:rsid w:val="007E68B2"/>
    <w:rsid w:val="007E6ED8"/>
    <w:rsid w:val="007E752E"/>
    <w:rsid w:val="007E77C8"/>
    <w:rsid w:val="007F070A"/>
    <w:rsid w:val="007F0AB5"/>
    <w:rsid w:val="007F2017"/>
    <w:rsid w:val="007F54BF"/>
    <w:rsid w:val="007F5F96"/>
    <w:rsid w:val="007F6651"/>
    <w:rsid w:val="00800506"/>
    <w:rsid w:val="008021E0"/>
    <w:rsid w:val="00802A4A"/>
    <w:rsid w:val="0080390E"/>
    <w:rsid w:val="00803973"/>
    <w:rsid w:val="00805935"/>
    <w:rsid w:val="00811486"/>
    <w:rsid w:val="00814280"/>
    <w:rsid w:val="00814CF6"/>
    <w:rsid w:val="008159CF"/>
    <w:rsid w:val="00816E05"/>
    <w:rsid w:val="00821F18"/>
    <w:rsid w:val="00821F19"/>
    <w:rsid w:val="00824528"/>
    <w:rsid w:val="008246EC"/>
    <w:rsid w:val="008253FA"/>
    <w:rsid w:val="00826F54"/>
    <w:rsid w:val="008339BB"/>
    <w:rsid w:val="00834270"/>
    <w:rsid w:val="0083518C"/>
    <w:rsid w:val="00835938"/>
    <w:rsid w:val="00835CFD"/>
    <w:rsid w:val="00836760"/>
    <w:rsid w:val="008368AF"/>
    <w:rsid w:val="0083725C"/>
    <w:rsid w:val="00841968"/>
    <w:rsid w:val="00842D5C"/>
    <w:rsid w:val="00844A83"/>
    <w:rsid w:val="008464B8"/>
    <w:rsid w:val="00846664"/>
    <w:rsid w:val="00847008"/>
    <w:rsid w:val="00847466"/>
    <w:rsid w:val="00847CD2"/>
    <w:rsid w:val="0085144F"/>
    <w:rsid w:val="008523BD"/>
    <w:rsid w:val="008525CF"/>
    <w:rsid w:val="008528BE"/>
    <w:rsid w:val="008528E5"/>
    <w:rsid w:val="008535C5"/>
    <w:rsid w:val="008553DE"/>
    <w:rsid w:val="00856140"/>
    <w:rsid w:val="0085678D"/>
    <w:rsid w:val="00857863"/>
    <w:rsid w:val="008578D8"/>
    <w:rsid w:val="0086087A"/>
    <w:rsid w:val="0086098D"/>
    <w:rsid w:val="00860C97"/>
    <w:rsid w:val="0086201C"/>
    <w:rsid w:val="0086419A"/>
    <w:rsid w:val="00864F13"/>
    <w:rsid w:val="00865E1D"/>
    <w:rsid w:val="0087023B"/>
    <w:rsid w:val="00870C67"/>
    <w:rsid w:val="008716BF"/>
    <w:rsid w:val="008743B2"/>
    <w:rsid w:val="00874A8A"/>
    <w:rsid w:val="00876546"/>
    <w:rsid w:val="00876E4A"/>
    <w:rsid w:val="00876EB7"/>
    <w:rsid w:val="008808D7"/>
    <w:rsid w:val="00883DC4"/>
    <w:rsid w:val="0088452A"/>
    <w:rsid w:val="0088638F"/>
    <w:rsid w:val="00886BA8"/>
    <w:rsid w:val="00886D40"/>
    <w:rsid w:val="00887010"/>
    <w:rsid w:val="00891BEA"/>
    <w:rsid w:val="00892F64"/>
    <w:rsid w:val="008935A1"/>
    <w:rsid w:val="008938F3"/>
    <w:rsid w:val="00896093"/>
    <w:rsid w:val="00896106"/>
    <w:rsid w:val="008966F6"/>
    <w:rsid w:val="008974D7"/>
    <w:rsid w:val="008A08BF"/>
    <w:rsid w:val="008A175A"/>
    <w:rsid w:val="008A179F"/>
    <w:rsid w:val="008A1A92"/>
    <w:rsid w:val="008A3B4C"/>
    <w:rsid w:val="008A3D7B"/>
    <w:rsid w:val="008A51E3"/>
    <w:rsid w:val="008A5985"/>
    <w:rsid w:val="008A5F67"/>
    <w:rsid w:val="008A7A2D"/>
    <w:rsid w:val="008B0864"/>
    <w:rsid w:val="008B175A"/>
    <w:rsid w:val="008B2933"/>
    <w:rsid w:val="008B3895"/>
    <w:rsid w:val="008B3CF4"/>
    <w:rsid w:val="008B4A41"/>
    <w:rsid w:val="008B4E59"/>
    <w:rsid w:val="008B5128"/>
    <w:rsid w:val="008B52A8"/>
    <w:rsid w:val="008B5722"/>
    <w:rsid w:val="008B62C3"/>
    <w:rsid w:val="008B6358"/>
    <w:rsid w:val="008B72FD"/>
    <w:rsid w:val="008B7CDC"/>
    <w:rsid w:val="008B7D6B"/>
    <w:rsid w:val="008C02C8"/>
    <w:rsid w:val="008C129B"/>
    <w:rsid w:val="008C19AC"/>
    <w:rsid w:val="008C3782"/>
    <w:rsid w:val="008C3CB7"/>
    <w:rsid w:val="008C47F1"/>
    <w:rsid w:val="008C5424"/>
    <w:rsid w:val="008C7413"/>
    <w:rsid w:val="008C7E00"/>
    <w:rsid w:val="008D0C92"/>
    <w:rsid w:val="008D1578"/>
    <w:rsid w:val="008D16B7"/>
    <w:rsid w:val="008D323A"/>
    <w:rsid w:val="008D5615"/>
    <w:rsid w:val="008E0BA1"/>
    <w:rsid w:val="008E121E"/>
    <w:rsid w:val="008E2925"/>
    <w:rsid w:val="008E37FB"/>
    <w:rsid w:val="008E4814"/>
    <w:rsid w:val="008E5D24"/>
    <w:rsid w:val="008E6AE6"/>
    <w:rsid w:val="008E6C9A"/>
    <w:rsid w:val="008F0116"/>
    <w:rsid w:val="008F0BBF"/>
    <w:rsid w:val="008F1290"/>
    <w:rsid w:val="008F143D"/>
    <w:rsid w:val="008F20EC"/>
    <w:rsid w:val="008F2434"/>
    <w:rsid w:val="008F2F1E"/>
    <w:rsid w:val="008F4C9D"/>
    <w:rsid w:val="008F7DF3"/>
    <w:rsid w:val="00900427"/>
    <w:rsid w:val="00900594"/>
    <w:rsid w:val="00903654"/>
    <w:rsid w:val="009038C6"/>
    <w:rsid w:val="009052FD"/>
    <w:rsid w:val="0090616F"/>
    <w:rsid w:val="00906979"/>
    <w:rsid w:val="0090711E"/>
    <w:rsid w:val="00907ECB"/>
    <w:rsid w:val="00910063"/>
    <w:rsid w:val="009114A3"/>
    <w:rsid w:val="009117D9"/>
    <w:rsid w:val="00912BF3"/>
    <w:rsid w:val="00913315"/>
    <w:rsid w:val="00913C35"/>
    <w:rsid w:val="0091410B"/>
    <w:rsid w:val="0091469F"/>
    <w:rsid w:val="00915804"/>
    <w:rsid w:val="00916BC9"/>
    <w:rsid w:val="0091736E"/>
    <w:rsid w:val="00920791"/>
    <w:rsid w:val="009219FC"/>
    <w:rsid w:val="00922036"/>
    <w:rsid w:val="009223F6"/>
    <w:rsid w:val="0092241D"/>
    <w:rsid w:val="00923628"/>
    <w:rsid w:val="0092499D"/>
    <w:rsid w:val="009267BD"/>
    <w:rsid w:val="009274DB"/>
    <w:rsid w:val="00927712"/>
    <w:rsid w:val="00927C12"/>
    <w:rsid w:val="009307B3"/>
    <w:rsid w:val="00930FC7"/>
    <w:rsid w:val="00931C41"/>
    <w:rsid w:val="00932865"/>
    <w:rsid w:val="0093308B"/>
    <w:rsid w:val="00933498"/>
    <w:rsid w:val="00933C47"/>
    <w:rsid w:val="00933F51"/>
    <w:rsid w:val="00935534"/>
    <w:rsid w:val="00935B43"/>
    <w:rsid w:val="00936A9C"/>
    <w:rsid w:val="00936AE8"/>
    <w:rsid w:val="009400F6"/>
    <w:rsid w:val="00942C66"/>
    <w:rsid w:val="009438DE"/>
    <w:rsid w:val="0094459E"/>
    <w:rsid w:val="00946CB7"/>
    <w:rsid w:val="00950B24"/>
    <w:rsid w:val="00952BE3"/>
    <w:rsid w:val="00952CEC"/>
    <w:rsid w:val="00953549"/>
    <w:rsid w:val="0095506D"/>
    <w:rsid w:val="009564E1"/>
    <w:rsid w:val="00956A8C"/>
    <w:rsid w:val="00957B11"/>
    <w:rsid w:val="00957DF9"/>
    <w:rsid w:val="00960BF4"/>
    <w:rsid w:val="00961533"/>
    <w:rsid w:val="00962BBD"/>
    <w:rsid w:val="00966E32"/>
    <w:rsid w:val="009673ED"/>
    <w:rsid w:val="00970AF5"/>
    <w:rsid w:val="00971F75"/>
    <w:rsid w:val="00973614"/>
    <w:rsid w:val="00974606"/>
    <w:rsid w:val="009746F0"/>
    <w:rsid w:val="00977733"/>
    <w:rsid w:val="0098071C"/>
    <w:rsid w:val="00980F9A"/>
    <w:rsid w:val="0098138E"/>
    <w:rsid w:val="00981C79"/>
    <w:rsid w:val="009846FD"/>
    <w:rsid w:val="00985309"/>
    <w:rsid w:val="00985D2F"/>
    <w:rsid w:val="0098655A"/>
    <w:rsid w:val="0098709C"/>
    <w:rsid w:val="009870EA"/>
    <w:rsid w:val="00990C1F"/>
    <w:rsid w:val="00991DD0"/>
    <w:rsid w:val="00995BCE"/>
    <w:rsid w:val="00995E3F"/>
    <w:rsid w:val="00996F8C"/>
    <w:rsid w:val="009A04FE"/>
    <w:rsid w:val="009A3F3D"/>
    <w:rsid w:val="009A4730"/>
    <w:rsid w:val="009A54F8"/>
    <w:rsid w:val="009A686A"/>
    <w:rsid w:val="009A6E36"/>
    <w:rsid w:val="009A6F90"/>
    <w:rsid w:val="009B0C07"/>
    <w:rsid w:val="009B0DA8"/>
    <w:rsid w:val="009B0F4E"/>
    <w:rsid w:val="009B0FDA"/>
    <w:rsid w:val="009C30FA"/>
    <w:rsid w:val="009C5660"/>
    <w:rsid w:val="009C59A0"/>
    <w:rsid w:val="009C6FFC"/>
    <w:rsid w:val="009D0793"/>
    <w:rsid w:val="009D2432"/>
    <w:rsid w:val="009D2504"/>
    <w:rsid w:val="009D2C5D"/>
    <w:rsid w:val="009D307B"/>
    <w:rsid w:val="009D31F7"/>
    <w:rsid w:val="009D3892"/>
    <w:rsid w:val="009D4BF9"/>
    <w:rsid w:val="009D55D8"/>
    <w:rsid w:val="009D5F18"/>
    <w:rsid w:val="009D718B"/>
    <w:rsid w:val="009E06BB"/>
    <w:rsid w:val="009E0BBF"/>
    <w:rsid w:val="009E2382"/>
    <w:rsid w:val="009E2E8B"/>
    <w:rsid w:val="009E2F7A"/>
    <w:rsid w:val="009E3AAF"/>
    <w:rsid w:val="009E4215"/>
    <w:rsid w:val="009E5936"/>
    <w:rsid w:val="009E5FE1"/>
    <w:rsid w:val="009E6052"/>
    <w:rsid w:val="009E766E"/>
    <w:rsid w:val="009E7C7F"/>
    <w:rsid w:val="009F1D7F"/>
    <w:rsid w:val="009F2A67"/>
    <w:rsid w:val="009F3563"/>
    <w:rsid w:val="009F3CF2"/>
    <w:rsid w:val="009F3D76"/>
    <w:rsid w:val="009F4156"/>
    <w:rsid w:val="009F4318"/>
    <w:rsid w:val="009F5B09"/>
    <w:rsid w:val="009F5B6C"/>
    <w:rsid w:val="009F6E0E"/>
    <w:rsid w:val="00A0108D"/>
    <w:rsid w:val="00A01CC7"/>
    <w:rsid w:val="00A04972"/>
    <w:rsid w:val="00A05D64"/>
    <w:rsid w:val="00A05D6F"/>
    <w:rsid w:val="00A06222"/>
    <w:rsid w:val="00A06665"/>
    <w:rsid w:val="00A10359"/>
    <w:rsid w:val="00A12E39"/>
    <w:rsid w:val="00A1327C"/>
    <w:rsid w:val="00A14EFB"/>
    <w:rsid w:val="00A15056"/>
    <w:rsid w:val="00A16F73"/>
    <w:rsid w:val="00A17246"/>
    <w:rsid w:val="00A17CE0"/>
    <w:rsid w:val="00A20248"/>
    <w:rsid w:val="00A20946"/>
    <w:rsid w:val="00A21AD0"/>
    <w:rsid w:val="00A22BC1"/>
    <w:rsid w:val="00A231D1"/>
    <w:rsid w:val="00A2384B"/>
    <w:rsid w:val="00A23D48"/>
    <w:rsid w:val="00A23E7F"/>
    <w:rsid w:val="00A24CCD"/>
    <w:rsid w:val="00A26D26"/>
    <w:rsid w:val="00A31805"/>
    <w:rsid w:val="00A3574C"/>
    <w:rsid w:val="00A35C6E"/>
    <w:rsid w:val="00A3706D"/>
    <w:rsid w:val="00A3789A"/>
    <w:rsid w:val="00A41285"/>
    <w:rsid w:val="00A42306"/>
    <w:rsid w:val="00A426BF"/>
    <w:rsid w:val="00A43101"/>
    <w:rsid w:val="00A43F1D"/>
    <w:rsid w:val="00A4431A"/>
    <w:rsid w:val="00A44E8D"/>
    <w:rsid w:val="00A46EA8"/>
    <w:rsid w:val="00A50038"/>
    <w:rsid w:val="00A500EF"/>
    <w:rsid w:val="00A50704"/>
    <w:rsid w:val="00A530E4"/>
    <w:rsid w:val="00A55ACD"/>
    <w:rsid w:val="00A60231"/>
    <w:rsid w:val="00A62E6C"/>
    <w:rsid w:val="00A63326"/>
    <w:rsid w:val="00A64788"/>
    <w:rsid w:val="00A6647F"/>
    <w:rsid w:val="00A6660D"/>
    <w:rsid w:val="00A67CBD"/>
    <w:rsid w:val="00A700BC"/>
    <w:rsid w:val="00A70335"/>
    <w:rsid w:val="00A7034B"/>
    <w:rsid w:val="00A70CFB"/>
    <w:rsid w:val="00A72C3F"/>
    <w:rsid w:val="00A72F6D"/>
    <w:rsid w:val="00A73B85"/>
    <w:rsid w:val="00A73FEB"/>
    <w:rsid w:val="00A75C32"/>
    <w:rsid w:val="00A8016F"/>
    <w:rsid w:val="00A80C15"/>
    <w:rsid w:val="00A81266"/>
    <w:rsid w:val="00A81C2D"/>
    <w:rsid w:val="00A8507F"/>
    <w:rsid w:val="00A85D27"/>
    <w:rsid w:val="00A90D92"/>
    <w:rsid w:val="00A92244"/>
    <w:rsid w:val="00A92547"/>
    <w:rsid w:val="00A9326E"/>
    <w:rsid w:val="00A9398A"/>
    <w:rsid w:val="00A9434E"/>
    <w:rsid w:val="00A94952"/>
    <w:rsid w:val="00A94DAE"/>
    <w:rsid w:val="00A94F46"/>
    <w:rsid w:val="00A96FBE"/>
    <w:rsid w:val="00A978EF"/>
    <w:rsid w:val="00AA1461"/>
    <w:rsid w:val="00AA2243"/>
    <w:rsid w:val="00AA54BE"/>
    <w:rsid w:val="00AA571F"/>
    <w:rsid w:val="00AA6388"/>
    <w:rsid w:val="00AA64E2"/>
    <w:rsid w:val="00AB3F2D"/>
    <w:rsid w:val="00AB409E"/>
    <w:rsid w:val="00AB4D84"/>
    <w:rsid w:val="00AB7875"/>
    <w:rsid w:val="00AC2907"/>
    <w:rsid w:val="00AC61B1"/>
    <w:rsid w:val="00AC68EE"/>
    <w:rsid w:val="00AD0661"/>
    <w:rsid w:val="00AD1232"/>
    <w:rsid w:val="00AD1815"/>
    <w:rsid w:val="00AD2B16"/>
    <w:rsid w:val="00AD2DE7"/>
    <w:rsid w:val="00AD2FA2"/>
    <w:rsid w:val="00AD36D9"/>
    <w:rsid w:val="00AD394B"/>
    <w:rsid w:val="00AD59BC"/>
    <w:rsid w:val="00AD5D7D"/>
    <w:rsid w:val="00AD6E8F"/>
    <w:rsid w:val="00AE12C7"/>
    <w:rsid w:val="00AE46A1"/>
    <w:rsid w:val="00AE58C8"/>
    <w:rsid w:val="00AE5C43"/>
    <w:rsid w:val="00AE5D8C"/>
    <w:rsid w:val="00AE609C"/>
    <w:rsid w:val="00AF15F3"/>
    <w:rsid w:val="00AF21E4"/>
    <w:rsid w:val="00AF2255"/>
    <w:rsid w:val="00AF27F6"/>
    <w:rsid w:val="00AF6C28"/>
    <w:rsid w:val="00B01660"/>
    <w:rsid w:val="00B01F7E"/>
    <w:rsid w:val="00B025B9"/>
    <w:rsid w:val="00B03D9B"/>
    <w:rsid w:val="00B05B61"/>
    <w:rsid w:val="00B06133"/>
    <w:rsid w:val="00B1539C"/>
    <w:rsid w:val="00B15B44"/>
    <w:rsid w:val="00B16C2A"/>
    <w:rsid w:val="00B20803"/>
    <w:rsid w:val="00B2241E"/>
    <w:rsid w:val="00B24A20"/>
    <w:rsid w:val="00B24C03"/>
    <w:rsid w:val="00B25983"/>
    <w:rsid w:val="00B262A6"/>
    <w:rsid w:val="00B30685"/>
    <w:rsid w:val="00B3087D"/>
    <w:rsid w:val="00B30D2E"/>
    <w:rsid w:val="00B30ED1"/>
    <w:rsid w:val="00B31588"/>
    <w:rsid w:val="00B321AF"/>
    <w:rsid w:val="00B32AE1"/>
    <w:rsid w:val="00B33D1C"/>
    <w:rsid w:val="00B33F41"/>
    <w:rsid w:val="00B34794"/>
    <w:rsid w:val="00B351ED"/>
    <w:rsid w:val="00B356D4"/>
    <w:rsid w:val="00B36BA3"/>
    <w:rsid w:val="00B37577"/>
    <w:rsid w:val="00B4053F"/>
    <w:rsid w:val="00B41661"/>
    <w:rsid w:val="00B4193E"/>
    <w:rsid w:val="00B44C27"/>
    <w:rsid w:val="00B44D74"/>
    <w:rsid w:val="00B45F4C"/>
    <w:rsid w:val="00B46150"/>
    <w:rsid w:val="00B46AA5"/>
    <w:rsid w:val="00B4742C"/>
    <w:rsid w:val="00B47C17"/>
    <w:rsid w:val="00B47F78"/>
    <w:rsid w:val="00B52E6A"/>
    <w:rsid w:val="00B5367B"/>
    <w:rsid w:val="00B5485C"/>
    <w:rsid w:val="00B55E5E"/>
    <w:rsid w:val="00B55EBF"/>
    <w:rsid w:val="00B5744B"/>
    <w:rsid w:val="00B60421"/>
    <w:rsid w:val="00B61797"/>
    <w:rsid w:val="00B62661"/>
    <w:rsid w:val="00B640A0"/>
    <w:rsid w:val="00B668A8"/>
    <w:rsid w:val="00B669E0"/>
    <w:rsid w:val="00B6781B"/>
    <w:rsid w:val="00B6798F"/>
    <w:rsid w:val="00B70B3C"/>
    <w:rsid w:val="00B71014"/>
    <w:rsid w:val="00B725F9"/>
    <w:rsid w:val="00B7265B"/>
    <w:rsid w:val="00B73E03"/>
    <w:rsid w:val="00B73F08"/>
    <w:rsid w:val="00B76BF9"/>
    <w:rsid w:val="00B806AB"/>
    <w:rsid w:val="00B813FF"/>
    <w:rsid w:val="00B81EB6"/>
    <w:rsid w:val="00B82E4A"/>
    <w:rsid w:val="00B84C98"/>
    <w:rsid w:val="00B85672"/>
    <w:rsid w:val="00B866F3"/>
    <w:rsid w:val="00B87512"/>
    <w:rsid w:val="00B87558"/>
    <w:rsid w:val="00B90C33"/>
    <w:rsid w:val="00B9296C"/>
    <w:rsid w:val="00B929A5"/>
    <w:rsid w:val="00B93212"/>
    <w:rsid w:val="00B942A5"/>
    <w:rsid w:val="00B942FC"/>
    <w:rsid w:val="00B9755B"/>
    <w:rsid w:val="00B97A9C"/>
    <w:rsid w:val="00BA0A07"/>
    <w:rsid w:val="00BA4BC2"/>
    <w:rsid w:val="00BA5B93"/>
    <w:rsid w:val="00BA6CCB"/>
    <w:rsid w:val="00BA7227"/>
    <w:rsid w:val="00BA7F4C"/>
    <w:rsid w:val="00BB0243"/>
    <w:rsid w:val="00BB0C03"/>
    <w:rsid w:val="00BB1DDA"/>
    <w:rsid w:val="00BB2B90"/>
    <w:rsid w:val="00BB3377"/>
    <w:rsid w:val="00BB6120"/>
    <w:rsid w:val="00BC01A6"/>
    <w:rsid w:val="00BC08C1"/>
    <w:rsid w:val="00BC23F9"/>
    <w:rsid w:val="00BC4C8E"/>
    <w:rsid w:val="00BC520E"/>
    <w:rsid w:val="00BC5722"/>
    <w:rsid w:val="00BC5F90"/>
    <w:rsid w:val="00BC67B1"/>
    <w:rsid w:val="00BC7830"/>
    <w:rsid w:val="00BD22B7"/>
    <w:rsid w:val="00BD3218"/>
    <w:rsid w:val="00BD3260"/>
    <w:rsid w:val="00BD37E4"/>
    <w:rsid w:val="00BD49B0"/>
    <w:rsid w:val="00BD6B73"/>
    <w:rsid w:val="00BE2B89"/>
    <w:rsid w:val="00BE3F53"/>
    <w:rsid w:val="00BE4A67"/>
    <w:rsid w:val="00BE737C"/>
    <w:rsid w:val="00BF170F"/>
    <w:rsid w:val="00BF4A12"/>
    <w:rsid w:val="00BF64C5"/>
    <w:rsid w:val="00C014DE"/>
    <w:rsid w:val="00C024FB"/>
    <w:rsid w:val="00C02CB1"/>
    <w:rsid w:val="00C031F9"/>
    <w:rsid w:val="00C03B5E"/>
    <w:rsid w:val="00C04330"/>
    <w:rsid w:val="00C04AFC"/>
    <w:rsid w:val="00C05922"/>
    <w:rsid w:val="00C100EE"/>
    <w:rsid w:val="00C10B5F"/>
    <w:rsid w:val="00C10FA1"/>
    <w:rsid w:val="00C1159B"/>
    <w:rsid w:val="00C11F10"/>
    <w:rsid w:val="00C13073"/>
    <w:rsid w:val="00C13C48"/>
    <w:rsid w:val="00C13EC9"/>
    <w:rsid w:val="00C14770"/>
    <w:rsid w:val="00C159A0"/>
    <w:rsid w:val="00C20C7E"/>
    <w:rsid w:val="00C243F2"/>
    <w:rsid w:val="00C30177"/>
    <w:rsid w:val="00C334BE"/>
    <w:rsid w:val="00C34A6A"/>
    <w:rsid w:val="00C35721"/>
    <w:rsid w:val="00C3753D"/>
    <w:rsid w:val="00C37A35"/>
    <w:rsid w:val="00C37E43"/>
    <w:rsid w:val="00C37F95"/>
    <w:rsid w:val="00C4000C"/>
    <w:rsid w:val="00C44814"/>
    <w:rsid w:val="00C44E8B"/>
    <w:rsid w:val="00C4594E"/>
    <w:rsid w:val="00C46830"/>
    <w:rsid w:val="00C46EAC"/>
    <w:rsid w:val="00C47029"/>
    <w:rsid w:val="00C47BE3"/>
    <w:rsid w:val="00C47D14"/>
    <w:rsid w:val="00C508C3"/>
    <w:rsid w:val="00C52914"/>
    <w:rsid w:val="00C55D75"/>
    <w:rsid w:val="00C60CFC"/>
    <w:rsid w:val="00C646F1"/>
    <w:rsid w:val="00C6479A"/>
    <w:rsid w:val="00C658BD"/>
    <w:rsid w:val="00C65C53"/>
    <w:rsid w:val="00C662FC"/>
    <w:rsid w:val="00C66539"/>
    <w:rsid w:val="00C666EF"/>
    <w:rsid w:val="00C71270"/>
    <w:rsid w:val="00C73243"/>
    <w:rsid w:val="00C75FD9"/>
    <w:rsid w:val="00C77A8F"/>
    <w:rsid w:val="00C77E9C"/>
    <w:rsid w:val="00C800D4"/>
    <w:rsid w:val="00C81D77"/>
    <w:rsid w:val="00C821E3"/>
    <w:rsid w:val="00C82380"/>
    <w:rsid w:val="00C84CEF"/>
    <w:rsid w:val="00C84FDB"/>
    <w:rsid w:val="00C85D01"/>
    <w:rsid w:val="00C86719"/>
    <w:rsid w:val="00C878D5"/>
    <w:rsid w:val="00C87A81"/>
    <w:rsid w:val="00C9033B"/>
    <w:rsid w:val="00C90645"/>
    <w:rsid w:val="00C908DB"/>
    <w:rsid w:val="00C90A17"/>
    <w:rsid w:val="00C90D71"/>
    <w:rsid w:val="00C913A1"/>
    <w:rsid w:val="00C92B40"/>
    <w:rsid w:val="00C94AA4"/>
    <w:rsid w:val="00C95FBB"/>
    <w:rsid w:val="00C963BA"/>
    <w:rsid w:val="00C96E5B"/>
    <w:rsid w:val="00C978F5"/>
    <w:rsid w:val="00CA0229"/>
    <w:rsid w:val="00CA1641"/>
    <w:rsid w:val="00CA23F7"/>
    <w:rsid w:val="00CA3397"/>
    <w:rsid w:val="00CA395B"/>
    <w:rsid w:val="00CA3D01"/>
    <w:rsid w:val="00CA54E5"/>
    <w:rsid w:val="00CA625C"/>
    <w:rsid w:val="00CA7143"/>
    <w:rsid w:val="00CB0B89"/>
    <w:rsid w:val="00CB107B"/>
    <w:rsid w:val="00CB16D2"/>
    <w:rsid w:val="00CB2349"/>
    <w:rsid w:val="00CB31AF"/>
    <w:rsid w:val="00CB35E5"/>
    <w:rsid w:val="00CB3DEC"/>
    <w:rsid w:val="00CB42D8"/>
    <w:rsid w:val="00CB52A9"/>
    <w:rsid w:val="00CB7EDD"/>
    <w:rsid w:val="00CC1D05"/>
    <w:rsid w:val="00CC2948"/>
    <w:rsid w:val="00CC4267"/>
    <w:rsid w:val="00CC4AAF"/>
    <w:rsid w:val="00CC6A7A"/>
    <w:rsid w:val="00CC6A99"/>
    <w:rsid w:val="00CC7664"/>
    <w:rsid w:val="00CD07E2"/>
    <w:rsid w:val="00CD15D4"/>
    <w:rsid w:val="00CD1EED"/>
    <w:rsid w:val="00CD2CB0"/>
    <w:rsid w:val="00CD2DF8"/>
    <w:rsid w:val="00CD31C9"/>
    <w:rsid w:val="00CD606C"/>
    <w:rsid w:val="00CD626B"/>
    <w:rsid w:val="00CD6EE1"/>
    <w:rsid w:val="00CD7DB6"/>
    <w:rsid w:val="00CE22B4"/>
    <w:rsid w:val="00CE4A2D"/>
    <w:rsid w:val="00CE60C0"/>
    <w:rsid w:val="00CE69FE"/>
    <w:rsid w:val="00CE6B6D"/>
    <w:rsid w:val="00CF05D4"/>
    <w:rsid w:val="00CF353E"/>
    <w:rsid w:val="00CF577E"/>
    <w:rsid w:val="00CF5B61"/>
    <w:rsid w:val="00CF636B"/>
    <w:rsid w:val="00D00AA3"/>
    <w:rsid w:val="00D00D5A"/>
    <w:rsid w:val="00D00F9C"/>
    <w:rsid w:val="00D02A93"/>
    <w:rsid w:val="00D039DD"/>
    <w:rsid w:val="00D048B0"/>
    <w:rsid w:val="00D04FD1"/>
    <w:rsid w:val="00D0504E"/>
    <w:rsid w:val="00D05957"/>
    <w:rsid w:val="00D05CC9"/>
    <w:rsid w:val="00D069C8"/>
    <w:rsid w:val="00D070C1"/>
    <w:rsid w:val="00D07F73"/>
    <w:rsid w:val="00D10140"/>
    <w:rsid w:val="00D10391"/>
    <w:rsid w:val="00D109E2"/>
    <w:rsid w:val="00D1199E"/>
    <w:rsid w:val="00D141A2"/>
    <w:rsid w:val="00D14740"/>
    <w:rsid w:val="00D14844"/>
    <w:rsid w:val="00D14CA5"/>
    <w:rsid w:val="00D15614"/>
    <w:rsid w:val="00D16045"/>
    <w:rsid w:val="00D16473"/>
    <w:rsid w:val="00D16A25"/>
    <w:rsid w:val="00D16B5B"/>
    <w:rsid w:val="00D1783D"/>
    <w:rsid w:val="00D2037B"/>
    <w:rsid w:val="00D2041C"/>
    <w:rsid w:val="00D20994"/>
    <w:rsid w:val="00D2103B"/>
    <w:rsid w:val="00D210C0"/>
    <w:rsid w:val="00D25ADE"/>
    <w:rsid w:val="00D27AE8"/>
    <w:rsid w:val="00D30D57"/>
    <w:rsid w:val="00D30FAF"/>
    <w:rsid w:val="00D3367C"/>
    <w:rsid w:val="00D33E90"/>
    <w:rsid w:val="00D34648"/>
    <w:rsid w:val="00D35FD0"/>
    <w:rsid w:val="00D36014"/>
    <w:rsid w:val="00D4037D"/>
    <w:rsid w:val="00D417A6"/>
    <w:rsid w:val="00D41B10"/>
    <w:rsid w:val="00D42EFA"/>
    <w:rsid w:val="00D43297"/>
    <w:rsid w:val="00D4333F"/>
    <w:rsid w:val="00D43E6F"/>
    <w:rsid w:val="00D44576"/>
    <w:rsid w:val="00D44901"/>
    <w:rsid w:val="00D44DB6"/>
    <w:rsid w:val="00D46D44"/>
    <w:rsid w:val="00D50119"/>
    <w:rsid w:val="00D50662"/>
    <w:rsid w:val="00D50886"/>
    <w:rsid w:val="00D5098C"/>
    <w:rsid w:val="00D51623"/>
    <w:rsid w:val="00D534AA"/>
    <w:rsid w:val="00D53C4D"/>
    <w:rsid w:val="00D54356"/>
    <w:rsid w:val="00D54FF8"/>
    <w:rsid w:val="00D555E6"/>
    <w:rsid w:val="00D56D11"/>
    <w:rsid w:val="00D57099"/>
    <w:rsid w:val="00D57DA9"/>
    <w:rsid w:val="00D60A55"/>
    <w:rsid w:val="00D6138C"/>
    <w:rsid w:val="00D61579"/>
    <w:rsid w:val="00D63AC7"/>
    <w:rsid w:val="00D663E8"/>
    <w:rsid w:val="00D72BEC"/>
    <w:rsid w:val="00D74379"/>
    <w:rsid w:val="00D74F21"/>
    <w:rsid w:val="00D7623D"/>
    <w:rsid w:val="00D76B9E"/>
    <w:rsid w:val="00D76C0D"/>
    <w:rsid w:val="00D77C13"/>
    <w:rsid w:val="00D80AB9"/>
    <w:rsid w:val="00D82A43"/>
    <w:rsid w:val="00D83134"/>
    <w:rsid w:val="00D85CE2"/>
    <w:rsid w:val="00D869B6"/>
    <w:rsid w:val="00D86D3E"/>
    <w:rsid w:val="00D909B2"/>
    <w:rsid w:val="00D912AC"/>
    <w:rsid w:val="00D91864"/>
    <w:rsid w:val="00D918D5"/>
    <w:rsid w:val="00D9250A"/>
    <w:rsid w:val="00D9337B"/>
    <w:rsid w:val="00D93425"/>
    <w:rsid w:val="00D9390C"/>
    <w:rsid w:val="00D948D5"/>
    <w:rsid w:val="00D96930"/>
    <w:rsid w:val="00D972A2"/>
    <w:rsid w:val="00DA094E"/>
    <w:rsid w:val="00DA0C69"/>
    <w:rsid w:val="00DA113D"/>
    <w:rsid w:val="00DA1531"/>
    <w:rsid w:val="00DA2C3A"/>
    <w:rsid w:val="00DA2F0B"/>
    <w:rsid w:val="00DA3870"/>
    <w:rsid w:val="00DA4D58"/>
    <w:rsid w:val="00DA6977"/>
    <w:rsid w:val="00DA6EEA"/>
    <w:rsid w:val="00DA7B5D"/>
    <w:rsid w:val="00DB1211"/>
    <w:rsid w:val="00DB17E7"/>
    <w:rsid w:val="00DB19DD"/>
    <w:rsid w:val="00DB1F28"/>
    <w:rsid w:val="00DB2107"/>
    <w:rsid w:val="00DB32A0"/>
    <w:rsid w:val="00DB333A"/>
    <w:rsid w:val="00DB3B84"/>
    <w:rsid w:val="00DB48D8"/>
    <w:rsid w:val="00DB64D5"/>
    <w:rsid w:val="00DC1009"/>
    <w:rsid w:val="00DC196F"/>
    <w:rsid w:val="00DC2FCD"/>
    <w:rsid w:val="00DC4EC4"/>
    <w:rsid w:val="00DC4FB0"/>
    <w:rsid w:val="00DC5D15"/>
    <w:rsid w:val="00DC69EC"/>
    <w:rsid w:val="00DC7D2D"/>
    <w:rsid w:val="00DD06D1"/>
    <w:rsid w:val="00DD25D3"/>
    <w:rsid w:val="00DD2EF1"/>
    <w:rsid w:val="00DD34FA"/>
    <w:rsid w:val="00DD4098"/>
    <w:rsid w:val="00DD6BE3"/>
    <w:rsid w:val="00DD7FCB"/>
    <w:rsid w:val="00DE075E"/>
    <w:rsid w:val="00DE0983"/>
    <w:rsid w:val="00DE110D"/>
    <w:rsid w:val="00DE2592"/>
    <w:rsid w:val="00DE2C22"/>
    <w:rsid w:val="00DE2EF6"/>
    <w:rsid w:val="00DE311B"/>
    <w:rsid w:val="00DE3AF1"/>
    <w:rsid w:val="00DE4021"/>
    <w:rsid w:val="00DE47BA"/>
    <w:rsid w:val="00DE4C51"/>
    <w:rsid w:val="00DE5FE5"/>
    <w:rsid w:val="00DE616E"/>
    <w:rsid w:val="00DE61D9"/>
    <w:rsid w:val="00DE6D64"/>
    <w:rsid w:val="00DF47C8"/>
    <w:rsid w:val="00DF4F6A"/>
    <w:rsid w:val="00DF52F5"/>
    <w:rsid w:val="00DF5333"/>
    <w:rsid w:val="00DF58E7"/>
    <w:rsid w:val="00DF6D46"/>
    <w:rsid w:val="00DF7876"/>
    <w:rsid w:val="00E016D6"/>
    <w:rsid w:val="00E03B25"/>
    <w:rsid w:val="00E05710"/>
    <w:rsid w:val="00E065F1"/>
    <w:rsid w:val="00E076C1"/>
    <w:rsid w:val="00E1150E"/>
    <w:rsid w:val="00E117D1"/>
    <w:rsid w:val="00E11876"/>
    <w:rsid w:val="00E11E04"/>
    <w:rsid w:val="00E12C1B"/>
    <w:rsid w:val="00E147AE"/>
    <w:rsid w:val="00E2125A"/>
    <w:rsid w:val="00E228DE"/>
    <w:rsid w:val="00E231AA"/>
    <w:rsid w:val="00E23CBB"/>
    <w:rsid w:val="00E247EA"/>
    <w:rsid w:val="00E24F35"/>
    <w:rsid w:val="00E30377"/>
    <w:rsid w:val="00E3091E"/>
    <w:rsid w:val="00E30C6B"/>
    <w:rsid w:val="00E33085"/>
    <w:rsid w:val="00E332BA"/>
    <w:rsid w:val="00E344A6"/>
    <w:rsid w:val="00E35354"/>
    <w:rsid w:val="00E35493"/>
    <w:rsid w:val="00E35F22"/>
    <w:rsid w:val="00E37B59"/>
    <w:rsid w:val="00E40DA9"/>
    <w:rsid w:val="00E42088"/>
    <w:rsid w:val="00E4336E"/>
    <w:rsid w:val="00E434DA"/>
    <w:rsid w:val="00E44CC3"/>
    <w:rsid w:val="00E4534F"/>
    <w:rsid w:val="00E455B1"/>
    <w:rsid w:val="00E4723D"/>
    <w:rsid w:val="00E47FF5"/>
    <w:rsid w:val="00E533BF"/>
    <w:rsid w:val="00E53438"/>
    <w:rsid w:val="00E53934"/>
    <w:rsid w:val="00E539CA"/>
    <w:rsid w:val="00E54485"/>
    <w:rsid w:val="00E54C8A"/>
    <w:rsid w:val="00E55916"/>
    <w:rsid w:val="00E56FF7"/>
    <w:rsid w:val="00E61009"/>
    <w:rsid w:val="00E636E2"/>
    <w:rsid w:val="00E65122"/>
    <w:rsid w:val="00E667A3"/>
    <w:rsid w:val="00E67C78"/>
    <w:rsid w:val="00E70B49"/>
    <w:rsid w:val="00E725FC"/>
    <w:rsid w:val="00E745D6"/>
    <w:rsid w:val="00E77550"/>
    <w:rsid w:val="00E77AED"/>
    <w:rsid w:val="00E80990"/>
    <w:rsid w:val="00E820BD"/>
    <w:rsid w:val="00E825D1"/>
    <w:rsid w:val="00E82A1E"/>
    <w:rsid w:val="00E83BDF"/>
    <w:rsid w:val="00E83CDF"/>
    <w:rsid w:val="00E83FE2"/>
    <w:rsid w:val="00E85E2F"/>
    <w:rsid w:val="00E90464"/>
    <w:rsid w:val="00E905AC"/>
    <w:rsid w:val="00E92967"/>
    <w:rsid w:val="00E94EBE"/>
    <w:rsid w:val="00E959F7"/>
    <w:rsid w:val="00E97793"/>
    <w:rsid w:val="00EA0868"/>
    <w:rsid w:val="00EA1A88"/>
    <w:rsid w:val="00EA2118"/>
    <w:rsid w:val="00EA36C6"/>
    <w:rsid w:val="00EA4BD7"/>
    <w:rsid w:val="00EA6060"/>
    <w:rsid w:val="00EA77D1"/>
    <w:rsid w:val="00EB17F6"/>
    <w:rsid w:val="00EB412F"/>
    <w:rsid w:val="00EB443C"/>
    <w:rsid w:val="00EB4C45"/>
    <w:rsid w:val="00EC0281"/>
    <w:rsid w:val="00EC0BDD"/>
    <w:rsid w:val="00EC1CF5"/>
    <w:rsid w:val="00EC30F9"/>
    <w:rsid w:val="00EC699D"/>
    <w:rsid w:val="00EC6E77"/>
    <w:rsid w:val="00EC7828"/>
    <w:rsid w:val="00ED0266"/>
    <w:rsid w:val="00ED0FD7"/>
    <w:rsid w:val="00ED1B7A"/>
    <w:rsid w:val="00ED1E0E"/>
    <w:rsid w:val="00ED20A7"/>
    <w:rsid w:val="00ED2947"/>
    <w:rsid w:val="00ED3E2B"/>
    <w:rsid w:val="00ED53F2"/>
    <w:rsid w:val="00ED5492"/>
    <w:rsid w:val="00ED5725"/>
    <w:rsid w:val="00ED7031"/>
    <w:rsid w:val="00EE0D68"/>
    <w:rsid w:val="00EE19F2"/>
    <w:rsid w:val="00EE2D88"/>
    <w:rsid w:val="00EE3060"/>
    <w:rsid w:val="00EE39CF"/>
    <w:rsid w:val="00EE4315"/>
    <w:rsid w:val="00EE443D"/>
    <w:rsid w:val="00EE4581"/>
    <w:rsid w:val="00EE5413"/>
    <w:rsid w:val="00EE5BF1"/>
    <w:rsid w:val="00EE6A90"/>
    <w:rsid w:val="00EF06E8"/>
    <w:rsid w:val="00EF159F"/>
    <w:rsid w:val="00EF1814"/>
    <w:rsid w:val="00EF3302"/>
    <w:rsid w:val="00EF3898"/>
    <w:rsid w:val="00EF3941"/>
    <w:rsid w:val="00EF42E6"/>
    <w:rsid w:val="00EF47AD"/>
    <w:rsid w:val="00EF4BFF"/>
    <w:rsid w:val="00EF5928"/>
    <w:rsid w:val="00EF6266"/>
    <w:rsid w:val="00EF6925"/>
    <w:rsid w:val="00F004D2"/>
    <w:rsid w:val="00F030E5"/>
    <w:rsid w:val="00F030EA"/>
    <w:rsid w:val="00F03282"/>
    <w:rsid w:val="00F03347"/>
    <w:rsid w:val="00F03A3A"/>
    <w:rsid w:val="00F0621D"/>
    <w:rsid w:val="00F073DF"/>
    <w:rsid w:val="00F07474"/>
    <w:rsid w:val="00F11900"/>
    <w:rsid w:val="00F12118"/>
    <w:rsid w:val="00F121CA"/>
    <w:rsid w:val="00F13260"/>
    <w:rsid w:val="00F14299"/>
    <w:rsid w:val="00F16A98"/>
    <w:rsid w:val="00F17EDE"/>
    <w:rsid w:val="00F2031B"/>
    <w:rsid w:val="00F20790"/>
    <w:rsid w:val="00F2163E"/>
    <w:rsid w:val="00F22D97"/>
    <w:rsid w:val="00F24F36"/>
    <w:rsid w:val="00F2527E"/>
    <w:rsid w:val="00F26ED3"/>
    <w:rsid w:val="00F27380"/>
    <w:rsid w:val="00F27472"/>
    <w:rsid w:val="00F27C72"/>
    <w:rsid w:val="00F30E02"/>
    <w:rsid w:val="00F31135"/>
    <w:rsid w:val="00F32001"/>
    <w:rsid w:val="00F33422"/>
    <w:rsid w:val="00F34431"/>
    <w:rsid w:val="00F34D5A"/>
    <w:rsid w:val="00F35778"/>
    <w:rsid w:val="00F35C2A"/>
    <w:rsid w:val="00F368A1"/>
    <w:rsid w:val="00F37380"/>
    <w:rsid w:val="00F37519"/>
    <w:rsid w:val="00F37581"/>
    <w:rsid w:val="00F40DF9"/>
    <w:rsid w:val="00F41ECA"/>
    <w:rsid w:val="00F4258B"/>
    <w:rsid w:val="00F425AC"/>
    <w:rsid w:val="00F43DDB"/>
    <w:rsid w:val="00F440F7"/>
    <w:rsid w:val="00F46484"/>
    <w:rsid w:val="00F476F4"/>
    <w:rsid w:val="00F56088"/>
    <w:rsid w:val="00F57B95"/>
    <w:rsid w:val="00F57EEB"/>
    <w:rsid w:val="00F609D4"/>
    <w:rsid w:val="00F61292"/>
    <w:rsid w:val="00F61DCD"/>
    <w:rsid w:val="00F62B7A"/>
    <w:rsid w:val="00F6397D"/>
    <w:rsid w:val="00F65C70"/>
    <w:rsid w:val="00F66A13"/>
    <w:rsid w:val="00F66FFA"/>
    <w:rsid w:val="00F70388"/>
    <w:rsid w:val="00F704B3"/>
    <w:rsid w:val="00F70910"/>
    <w:rsid w:val="00F70BD3"/>
    <w:rsid w:val="00F714F4"/>
    <w:rsid w:val="00F72376"/>
    <w:rsid w:val="00F72687"/>
    <w:rsid w:val="00F7293E"/>
    <w:rsid w:val="00F7339C"/>
    <w:rsid w:val="00F743D3"/>
    <w:rsid w:val="00F76650"/>
    <w:rsid w:val="00F80349"/>
    <w:rsid w:val="00F804A8"/>
    <w:rsid w:val="00F80595"/>
    <w:rsid w:val="00F813BC"/>
    <w:rsid w:val="00F817DC"/>
    <w:rsid w:val="00F81B42"/>
    <w:rsid w:val="00F81CFA"/>
    <w:rsid w:val="00F82C2F"/>
    <w:rsid w:val="00F86308"/>
    <w:rsid w:val="00F8699A"/>
    <w:rsid w:val="00F86FD7"/>
    <w:rsid w:val="00F90E71"/>
    <w:rsid w:val="00F9123D"/>
    <w:rsid w:val="00F9187B"/>
    <w:rsid w:val="00F92385"/>
    <w:rsid w:val="00F9281A"/>
    <w:rsid w:val="00F92CA5"/>
    <w:rsid w:val="00F933AB"/>
    <w:rsid w:val="00F93FFF"/>
    <w:rsid w:val="00F977BC"/>
    <w:rsid w:val="00F977E9"/>
    <w:rsid w:val="00FA028B"/>
    <w:rsid w:val="00FA06E1"/>
    <w:rsid w:val="00FA0A67"/>
    <w:rsid w:val="00FA1B4F"/>
    <w:rsid w:val="00FA248B"/>
    <w:rsid w:val="00FA2DC6"/>
    <w:rsid w:val="00FA318A"/>
    <w:rsid w:val="00FA5FC4"/>
    <w:rsid w:val="00FA65DE"/>
    <w:rsid w:val="00FA69A8"/>
    <w:rsid w:val="00FA72B2"/>
    <w:rsid w:val="00FB0FF9"/>
    <w:rsid w:val="00FB1482"/>
    <w:rsid w:val="00FB2B5C"/>
    <w:rsid w:val="00FB31A5"/>
    <w:rsid w:val="00FB3321"/>
    <w:rsid w:val="00FB38FE"/>
    <w:rsid w:val="00FB46C4"/>
    <w:rsid w:val="00FB4912"/>
    <w:rsid w:val="00FC0DA2"/>
    <w:rsid w:val="00FC28D0"/>
    <w:rsid w:val="00FC2A37"/>
    <w:rsid w:val="00FC2A74"/>
    <w:rsid w:val="00FC34B4"/>
    <w:rsid w:val="00FC47F9"/>
    <w:rsid w:val="00FC5C32"/>
    <w:rsid w:val="00FD0839"/>
    <w:rsid w:val="00FD1593"/>
    <w:rsid w:val="00FD2028"/>
    <w:rsid w:val="00FD2716"/>
    <w:rsid w:val="00FD2AE8"/>
    <w:rsid w:val="00FD2B6D"/>
    <w:rsid w:val="00FD3B7E"/>
    <w:rsid w:val="00FD4DE7"/>
    <w:rsid w:val="00FD4FED"/>
    <w:rsid w:val="00FD5BD6"/>
    <w:rsid w:val="00FD5E82"/>
    <w:rsid w:val="00FD5F7F"/>
    <w:rsid w:val="00FD713B"/>
    <w:rsid w:val="00FD7646"/>
    <w:rsid w:val="00FE09AC"/>
    <w:rsid w:val="00FE09CD"/>
    <w:rsid w:val="00FE2351"/>
    <w:rsid w:val="00FE3064"/>
    <w:rsid w:val="00FE337D"/>
    <w:rsid w:val="00FE3C0A"/>
    <w:rsid w:val="00FE5580"/>
    <w:rsid w:val="00FE5726"/>
    <w:rsid w:val="00FE64CC"/>
    <w:rsid w:val="00FE711D"/>
    <w:rsid w:val="00FE7A41"/>
    <w:rsid w:val="00FF0631"/>
    <w:rsid w:val="00FF0768"/>
    <w:rsid w:val="00FF0BCB"/>
    <w:rsid w:val="00FF110C"/>
    <w:rsid w:val="00FF120E"/>
    <w:rsid w:val="00FF2421"/>
    <w:rsid w:val="00FF29A7"/>
    <w:rsid w:val="00FF3AB7"/>
    <w:rsid w:val="00FF4035"/>
    <w:rsid w:val="00FF5A2F"/>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E882C"/>
  <w15:chartTrackingRefBased/>
  <w15:docId w15:val="{55C1EF25-F945-4B07-9CEF-56897B9C02F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7"/>
      </w:numPr>
      <w:tabs>
        <w:tab w:val="clear" w:pos="1836"/>
        <w:tab w:val="num" w:pos="1656"/>
      </w:tabs>
      <w:ind w:left="1656"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E94EBE"/>
    <w:rPr>
      <w:rFonts w:ascii="Book Antiqua" w:hAnsi="Book Antiqua"/>
      <w:color w:val="auto"/>
      <w:sz w:val="22"/>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547"/>
    </w:pPr>
  </w:style>
  <w:style w:type="paragraph" w:customStyle="1" w:styleId="CoL">
    <w:name w:val="CoL"/>
    <w:basedOn w:val="Standard"/>
    <w:uiPriority w:val="7"/>
    <w:qFormat/>
    <w:rsid w:val="001E2A62"/>
    <w:pPr>
      <w:numPr>
        <w:numId w:val="3"/>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character" w:styleId="CommentReference">
    <w:name w:val="annotation reference"/>
    <w:basedOn w:val="DefaultParagraphFont"/>
    <w:uiPriority w:val="99"/>
    <w:semiHidden/>
    <w:unhideWhenUsed/>
    <w:rsid w:val="008A1A92"/>
    <w:rPr>
      <w:sz w:val="16"/>
      <w:szCs w:val="16"/>
    </w:rPr>
  </w:style>
  <w:style w:type="paragraph" w:styleId="CommentText">
    <w:name w:val="annotation text"/>
    <w:basedOn w:val="Normal"/>
    <w:link w:val="CommentTextChar"/>
    <w:uiPriority w:val="99"/>
    <w:unhideWhenUsed/>
    <w:rsid w:val="008A1A92"/>
    <w:pPr>
      <w:spacing w:line="240" w:lineRule="auto"/>
    </w:pPr>
    <w:rPr>
      <w:sz w:val="20"/>
      <w:szCs w:val="20"/>
    </w:rPr>
  </w:style>
  <w:style w:type="character" w:customStyle="1" w:styleId="CommentTextChar">
    <w:name w:val="Comment Text Char"/>
    <w:basedOn w:val="DefaultParagraphFont"/>
    <w:link w:val="CommentText"/>
    <w:uiPriority w:val="99"/>
    <w:rsid w:val="008A1A9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8A1A92"/>
    <w:rPr>
      <w:b/>
      <w:bCs/>
    </w:rPr>
  </w:style>
  <w:style w:type="character" w:customStyle="1" w:styleId="CommentSubjectChar">
    <w:name w:val="Comment Subject Char"/>
    <w:basedOn w:val="CommentTextChar"/>
    <w:link w:val="CommentSubject"/>
    <w:uiPriority w:val="99"/>
    <w:semiHidden/>
    <w:rsid w:val="008A1A92"/>
    <w:rPr>
      <w:rFonts w:ascii="Book Antiqua" w:hAnsi="Book Antiqua"/>
      <w:b/>
      <w:bCs/>
      <w:sz w:val="20"/>
      <w:szCs w:val="20"/>
    </w:rPr>
  </w:style>
  <w:style w:type="character" w:customStyle="1" w:styleId="StandardChar">
    <w:name w:val="Standard Char"/>
    <w:basedOn w:val="DefaultParagraphFont"/>
    <w:link w:val="Standard"/>
    <w:rsid w:val="00304731"/>
    <w:rPr>
      <w:rFonts w:ascii="Book Antiqua" w:hAnsi="Book Antiqua"/>
      <w:sz w:val="26"/>
    </w:rPr>
  </w:style>
  <w:style w:type="paragraph" w:styleId="ListParagraph">
    <w:name w:val="List Paragraph"/>
    <w:basedOn w:val="Normal"/>
    <w:uiPriority w:val="34"/>
    <w:rsid w:val="00B71014"/>
    <w:pPr>
      <w:ind w:left="720"/>
      <w:contextualSpacing/>
    </w:pPr>
  </w:style>
  <w:style w:type="paragraph" w:styleId="Revision">
    <w:name w:val="Revision"/>
    <w:hidden/>
    <w:uiPriority w:val="99"/>
    <w:semiHidden/>
    <w:rsid w:val="00CE69FE"/>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7C6637"/>
    <w:rPr>
      <w:color w:val="605E5C"/>
      <w:shd w:val="clear" w:color="auto" w:fill="E1DFDD"/>
    </w:rPr>
  </w:style>
  <w:style w:type="paragraph" w:customStyle="1" w:styleId="sub1">
    <w:name w:val="sub1"/>
    <w:basedOn w:val="Normal"/>
    <w:uiPriority w:val="99"/>
    <w:rsid w:val="00BA4BC2"/>
    <w:rPr>
      <w:rFonts w:ascii="Palatino" w:eastAsia="Times New Roman"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5.xml"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footer" Target="footer7.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footer" Target="footer9.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6.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8.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5.xml" Id="rId22" /><Relationship Type="http://schemas.openxmlformats.org/officeDocument/2006/relationships/footer" Target="footer10.xml" Id="rId27" /><Relationship Type="http://schemas.openxmlformats.org/officeDocument/2006/relationships/hyperlink" Target="https://docs.cpuc.ca.gov/PublishedDocs/Published/G000/M605/K512/605512394.pdf" TargetMode="External" Id="R585c8590c27f4a4a" /><Relationship Type="http://schemas.openxmlformats.org/officeDocument/2006/relationships/hyperlink" Target="https://docs.cpuc.ca.gov/PublishedDocs/Published/G000/M605/K466/605466180.pdf" TargetMode="External" Id="R3514209669694f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26B940B2-DAF4-4785-9F32-C5EE9DCA30F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71</ap:Pages>
  <ap:Words>14298</ap:Words>
  <ap:Characters>81501</ap:Characters>
  <ap:Application>Microsoft Office Word</ap:Application>
  <ap:DocSecurity>0</ap:DocSecurity>
  <ap:Lines>679</ap:Lines>
  <ap:Paragraphs>191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95608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2025-12-11T15:50:00Z</cp:lastPrinted>
  <dcterms:created xsi:type="dcterms:W3CDTF">2026-04-24T12:42:14Z</dcterms:created>
  <dcterms:modified xsi:type="dcterms:W3CDTF">2026-04-24T12:42:14Z</dcterms:modified>
</cp:coreProperties>
</file>