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E52" w:rsidP="008F5F5F" w:rsidRDefault="00580E52" w14:paraId="16C7B3CF" w14:textId="46DC68A9">
      <w:pPr>
        <w:tabs>
          <w:tab w:val="center" w:pos="4680"/>
          <w:tab w:val="right" w:pos="9360"/>
        </w:tabs>
        <w:suppressAutoHyphens/>
        <w:rPr>
          <w:b/>
          <w:bCs/>
          <w:color w:val="000000"/>
        </w:rPr>
      </w:pPr>
      <w:r>
        <w:rPr>
          <w:color w:val="000000"/>
        </w:rPr>
        <w:t>ALJ/</w:t>
      </w:r>
      <w:r w:rsidR="00587671">
        <w:rPr>
          <w:color w:val="000000"/>
        </w:rPr>
        <w:t>BG5</w:t>
      </w:r>
      <w:r>
        <w:rPr>
          <w:color w:val="000000"/>
        </w:rPr>
        <w:t>/nd3</w:t>
      </w:r>
      <w:r>
        <w:rPr>
          <w:color w:val="000000"/>
        </w:rPr>
        <w:tab/>
      </w:r>
      <w:r w:rsidRPr="00580E52">
        <w:rPr>
          <w:b/>
          <w:bCs/>
          <w:color w:val="000000"/>
        </w:rPr>
        <w:t>PROPOSED DECISION</w:t>
      </w:r>
      <w:r w:rsidRPr="00580E52">
        <w:rPr>
          <w:b/>
          <w:bCs/>
          <w:color w:val="000000"/>
        </w:rPr>
        <w:tab/>
        <w:t>Agenda ID #</w:t>
      </w:r>
      <w:r w:rsidRPr="00756687" w:rsidR="00756687">
        <w:rPr>
          <w:b/>
          <w:bCs/>
          <w:color w:val="000000"/>
        </w:rPr>
        <w:t>24103</w:t>
      </w:r>
      <w:r w:rsidR="00726AE3">
        <w:rPr>
          <w:b/>
          <w:bCs/>
          <w:color w:val="000000"/>
        </w:rPr>
        <w:t xml:space="preserve"> (Rev.1)</w:t>
      </w:r>
    </w:p>
    <w:p w:rsidR="002605BC" w:rsidP="008F5F5F" w:rsidRDefault="002605BC" w14:paraId="0AF88F4B" w14:textId="1D24EC9C">
      <w:pPr>
        <w:tabs>
          <w:tab w:val="center" w:pos="4680"/>
          <w:tab w:val="right" w:pos="9360"/>
        </w:tabs>
        <w:suppressAutoHyphens/>
        <w:jc w:val="right"/>
        <w:rPr>
          <w:b/>
          <w:bCs/>
          <w:color w:val="000000"/>
        </w:rPr>
      </w:pPr>
      <w:r>
        <w:rPr>
          <w:b/>
          <w:bCs/>
          <w:color w:val="000000"/>
        </w:rPr>
        <w:t>Ratesetting</w:t>
      </w:r>
    </w:p>
    <w:p w:rsidR="00A30F16" w:rsidP="008F5F5F" w:rsidRDefault="00A30F16" w14:paraId="3F14172A" w14:textId="1E07246F">
      <w:pPr>
        <w:tabs>
          <w:tab w:val="center" w:pos="4680"/>
          <w:tab w:val="right" w:pos="9360"/>
        </w:tabs>
        <w:suppressAutoHyphens/>
        <w:jc w:val="right"/>
        <w:rPr>
          <w:color w:val="000000"/>
        </w:rPr>
      </w:pPr>
      <w:r>
        <w:rPr>
          <w:b/>
          <w:bCs/>
          <w:color w:val="000000"/>
        </w:rPr>
        <w:t>4/30/2026  Item #</w:t>
      </w:r>
      <w:r w:rsidRPr="00A30F16">
        <w:rPr>
          <w:b/>
          <w:bCs/>
          <w:color w:val="000000"/>
        </w:rPr>
        <w:t>28</w:t>
      </w:r>
    </w:p>
    <w:p w:rsidR="00580E52" w:rsidP="008F5F5F" w:rsidRDefault="00580E52" w14:paraId="58C38511" w14:textId="77777777">
      <w:pPr>
        <w:suppressAutoHyphens/>
        <w:rPr>
          <w:color w:val="000000"/>
        </w:rPr>
      </w:pPr>
    </w:p>
    <w:p w:rsidR="00580E52" w:rsidP="008F5F5F" w:rsidRDefault="00580E52" w14:paraId="00890E98" w14:textId="77777777">
      <w:pPr>
        <w:suppressAutoHyphens/>
        <w:rPr>
          <w:color w:val="000000"/>
        </w:rPr>
      </w:pPr>
    </w:p>
    <w:p w:rsidRPr="00536F0C" w:rsidR="00A92D0B" w:rsidP="008F5F5F" w:rsidRDefault="00A92D0B" w14:paraId="5BDA9FD4" w14:textId="38C1E267">
      <w:pPr>
        <w:suppressAutoHyphens/>
        <w:rPr>
          <w:color w:val="000000"/>
        </w:rPr>
      </w:pPr>
      <w:r w:rsidRPr="00536F0C">
        <w:rPr>
          <w:color w:val="000000"/>
        </w:rPr>
        <w:t xml:space="preserve">Decision </w:t>
      </w:r>
      <w:r w:rsidRPr="0021709B" w:rsidR="00237556">
        <w:rPr>
          <w:b/>
          <w:bCs/>
          <w:u w:val="single"/>
        </w:rPr>
        <w:t xml:space="preserve">PROPOSED DECISION OF </w:t>
      </w:r>
      <w:r w:rsidR="006C1AF7">
        <w:rPr>
          <w:b/>
          <w:bCs/>
          <w:u w:val="single"/>
        </w:rPr>
        <w:t>ALJ GERSTLE</w:t>
      </w:r>
      <w:r w:rsidRPr="0021709B" w:rsidR="00237556">
        <w:rPr>
          <w:b/>
          <w:bCs/>
        </w:rPr>
        <w:t xml:space="preserve"> (</w:t>
      </w:r>
      <w:r w:rsidR="00237556">
        <w:rPr>
          <w:b/>
          <w:bCs/>
        </w:rPr>
        <w:t xml:space="preserve">Mailed </w:t>
      </w:r>
      <w:r w:rsidR="00756687">
        <w:rPr>
          <w:b/>
          <w:bCs/>
        </w:rPr>
        <w:t>3/20</w:t>
      </w:r>
      <w:r w:rsidR="00237556">
        <w:rPr>
          <w:b/>
          <w:bCs/>
        </w:rPr>
        <w:t>/2026</w:t>
      </w:r>
      <w:r w:rsidRPr="0021709B" w:rsidR="00237556">
        <w:rPr>
          <w:b/>
          <w:bCs/>
        </w:rPr>
        <w:t>)</w:t>
      </w:r>
    </w:p>
    <w:p w:rsidR="00A92D0B" w:rsidP="008F5F5F" w:rsidRDefault="00A92D0B" w14:paraId="44E03231" w14:textId="77777777">
      <w:pPr>
        <w:pStyle w:val="titlebar"/>
        <w:jc w:val="left"/>
        <w:rPr>
          <w:rFonts w:ascii="Times New Roman" w:hAnsi="Times New Roman"/>
          <w:color w:val="000000"/>
          <w:sz w:val="24"/>
          <w:szCs w:val="24"/>
        </w:rPr>
      </w:pPr>
    </w:p>
    <w:p w:rsidRPr="00536F0C" w:rsidR="00580E52" w:rsidP="008F5F5F" w:rsidRDefault="00580E52" w14:paraId="4DBEC2A0" w14:textId="77777777">
      <w:pPr>
        <w:pStyle w:val="titlebar"/>
        <w:jc w:val="left"/>
        <w:rPr>
          <w:rFonts w:ascii="Times New Roman" w:hAnsi="Times New Roman"/>
          <w:color w:val="000000"/>
          <w:sz w:val="24"/>
          <w:szCs w:val="24"/>
        </w:rPr>
      </w:pPr>
    </w:p>
    <w:p w:rsidRPr="00536F0C" w:rsidR="00A92D0B" w:rsidP="008F5F5F" w:rsidRDefault="00A92D0B" w14:paraId="67F2520C" w14:textId="77777777">
      <w:pPr>
        <w:pStyle w:val="titlebar"/>
        <w:rPr>
          <w:rFonts w:ascii="Arial" w:hAnsi="Arial"/>
          <w:color w:val="000000"/>
          <w:sz w:val="24"/>
          <w:szCs w:val="24"/>
        </w:rPr>
      </w:pPr>
      <w:r w:rsidRPr="00536F0C">
        <w:rPr>
          <w:rFonts w:ascii="Arial" w:hAnsi="Arial"/>
          <w:color w:val="000000"/>
          <w:sz w:val="24"/>
          <w:szCs w:val="24"/>
        </w:rPr>
        <w:t>BEFORE THE PUBLIC UTILITIES COMMISSION OF THE STATE OF CALIFORNIA</w:t>
      </w:r>
    </w:p>
    <w:p w:rsidRPr="00536F0C" w:rsidR="00A92D0B" w:rsidP="008F5F5F" w:rsidRDefault="00A92D0B" w14:paraId="564284CD" w14:textId="77777777">
      <w:pPr>
        <w:suppressAutoHyphens/>
        <w:rPr>
          <w:color w:val="000000"/>
        </w:rPr>
      </w:pPr>
    </w:p>
    <w:tbl>
      <w:tblPr>
        <w:tblW w:w="9360"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770"/>
        <w:gridCol w:w="4590"/>
      </w:tblGrid>
      <w:tr w:rsidRPr="00536F0C" w:rsidR="00A92D0B" w:rsidTr="000B50A2" w14:paraId="3942D7B4" w14:textId="77777777">
        <w:tc>
          <w:tcPr>
            <w:tcW w:w="4770" w:type="dxa"/>
          </w:tcPr>
          <w:p w:rsidR="00F94218" w:rsidP="008F5F5F" w:rsidRDefault="005E4F4E" w14:paraId="1F328D6D" w14:textId="36893EB4">
            <w:pPr>
              <w:rPr>
                <w:color w:val="000000"/>
              </w:rPr>
            </w:pPr>
            <w:r w:rsidRPr="005E4F4E">
              <w:rPr>
                <w:color w:val="000000"/>
              </w:rPr>
              <w:t>Application of Pacific Gas and Electric Company for Authority to Establish Its Authorized Cost of Capital for Utility Operations for 2023 and to Reset the Cost of Capital Adjustment Mechanism (U39M).</w:t>
            </w:r>
          </w:p>
          <w:p w:rsidRPr="00536F0C" w:rsidR="00771B52" w:rsidP="008F5F5F" w:rsidRDefault="00771B52" w14:paraId="47850BD9" w14:textId="72FC6AE1">
            <w:pPr>
              <w:rPr>
                <w:color w:val="000000"/>
              </w:rPr>
            </w:pPr>
          </w:p>
        </w:tc>
        <w:tc>
          <w:tcPr>
            <w:tcW w:w="4590" w:type="dxa"/>
            <w:tcBorders>
              <w:top w:val="nil"/>
              <w:bottom w:val="nil"/>
            </w:tcBorders>
            <w:vAlign w:val="center"/>
          </w:tcPr>
          <w:p w:rsidRPr="00536F0C" w:rsidR="00A92D0B" w:rsidP="008F5F5F" w:rsidRDefault="00B259F4" w14:paraId="7EC7277D" w14:textId="6281C53D">
            <w:pPr>
              <w:tabs>
                <w:tab w:val="left" w:pos="1440"/>
                <w:tab w:val="left" w:pos="3600"/>
              </w:tabs>
              <w:jc w:val="center"/>
              <w:rPr>
                <w:color w:val="000000"/>
              </w:rPr>
            </w:pPr>
            <w:r w:rsidRPr="00536F0C">
              <w:rPr>
                <w:color w:val="000000"/>
              </w:rPr>
              <w:t>A</w:t>
            </w:r>
            <w:r w:rsidR="00612735">
              <w:rPr>
                <w:color w:val="000000"/>
              </w:rPr>
              <w:t xml:space="preserve">pplication </w:t>
            </w:r>
            <w:r w:rsidRPr="00536F0C">
              <w:rPr>
                <w:color w:val="000000"/>
              </w:rPr>
              <w:t>22</w:t>
            </w:r>
            <w:r w:rsidR="00B52830">
              <w:rPr>
                <w:color w:val="000000"/>
              </w:rPr>
              <w:noBreakHyphen/>
            </w:r>
            <w:r w:rsidRPr="00536F0C">
              <w:rPr>
                <w:color w:val="000000"/>
              </w:rPr>
              <w:t>04</w:t>
            </w:r>
            <w:r w:rsidR="00B52830">
              <w:rPr>
                <w:color w:val="000000"/>
              </w:rPr>
              <w:noBreakHyphen/>
            </w:r>
            <w:r w:rsidRPr="00536F0C">
              <w:rPr>
                <w:color w:val="000000"/>
              </w:rPr>
              <w:t>008</w:t>
            </w:r>
          </w:p>
        </w:tc>
      </w:tr>
      <w:tr w:rsidRPr="00536F0C" w:rsidR="00B259F4" w:rsidTr="000B50A2" w14:paraId="189C6969" w14:textId="77777777">
        <w:tc>
          <w:tcPr>
            <w:tcW w:w="4770" w:type="dxa"/>
            <w:vAlign w:val="center"/>
          </w:tcPr>
          <w:p w:rsidRPr="00536F0C" w:rsidR="00B259F4" w:rsidP="008F5F5F" w:rsidRDefault="00B259F4" w14:paraId="5F3DCC49" w14:textId="4EE99B6C">
            <w:pPr>
              <w:rPr>
                <w:color w:val="000000"/>
              </w:rPr>
            </w:pPr>
            <w:r w:rsidRPr="00536F0C">
              <w:rPr>
                <w:color w:val="000000"/>
              </w:rPr>
              <w:t>And Related Matters</w:t>
            </w:r>
            <w:r w:rsidR="00771B52">
              <w:rPr>
                <w:color w:val="000000"/>
              </w:rPr>
              <w:t>.</w:t>
            </w:r>
          </w:p>
        </w:tc>
        <w:tc>
          <w:tcPr>
            <w:tcW w:w="4590" w:type="dxa"/>
            <w:tcBorders>
              <w:top w:val="nil"/>
              <w:bottom w:val="nil"/>
            </w:tcBorders>
          </w:tcPr>
          <w:p w:rsidR="00580E52" w:rsidP="008F5F5F" w:rsidRDefault="00580E52" w14:paraId="7A459E2C" w14:textId="77777777">
            <w:pPr>
              <w:tabs>
                <w:tab w:val="left" w:pos="1440"/>
                <w:tab w:val="left" w:pos="3600"/>
              </w:tabs>
              <w:jc w:val="center"/>
              <w:rPr>
                <w:color w:val="000000"/>
              </w:rPr>
            </w:pPr>
          </w:p>
          <w:p w:rsidRPr="00536F0C" w:rsidR="00B259F4" w:rsidP="008F5F5F" w:rsidRDefault="00612735" w14:paraId="59322072" w14:textId="7B541393">
            <w:pPr>
              <w:tabs>
                <w:tab w:val="left" w:pos="1440"/>
                <w:tab w:val="left" w:pos="3600"/>
              </w:tabs>
              <w:jc w:val="center"/>
              <w:rPr>
                <w:color w:val="000000"/>
              </w:rPr>
            </w:pPr>
            <w:r w:rsidRPr="00536F0C">
              <w:rPr>
                <w:color w:val="000000"/>
              </w:rPr>
              <w:t>A</w:t>
            </w:r>
            <w:r>
              <w:rPr>
                <w:color w:val="000000"/>
              </w:rPr>
              <w:t xml:space="preserve">pplication </w:t>
            </w:r>
            <w:r w:rsidRPr="00536F0C" w:rsidR="00B259F4">
              <w:rPr>
                <w:color w:val="000000"/>
              </w:rPr>
              <w:t>22</w:t>
            </w:r>
            <w:r w:rsidR="00B52830">
              <w:rPr>
                <w:color w:val="000000"/>
              </w:rPr>
              <w:noBreakHyphen/>
            </w:r>
            <w:r w:rsidRPr="00536F0C" w:rsidR="00B259F4">
              <w:rPr>
                <w:color w:val="000000"/>
              </w:rPr>
              <w:t>04</w:t>
            </w:r>
            <w:r w:rsidR="00B52830">
              <w:rPr>
                <w:color w:val="000000"/>
              </w:rPr>
              <w:noBreakHyphen/>
            </w:r>
            <w:r w:rsidRPr="00536F0C" w:rsidR="00B259F4">
              <w:rPr>
                <w:color w:val="000000"/>
              </w:rPr>
              <w:t>009</w:t>
            </w:r>
          </w:p>
          <w:p w:rsidRPr="00536F0C" w:rsidR="00B259F4" w:rsidP="008F5F5F" w:rsidRDefault="00612735" w14:paraId="73138848" w14:textId="7D268D5F">
            <w:pPr>
              <w:tabs>
                <w:tab w:val="left" w:pos="1440"/>
                <w:tab w:val="left" w:pos="3600"/>
              </w:tabs>
              <w:jc w:val="center"/>
              <w:rPr>
                <w:color w:val="000000"/>
              </w:rPr>
            </w:pPr>
            <w:r w:rsidRPr="00536F0C">
              <w:rPr>
                <w:color w:val="000000"/>
              </w:rPr>
              <w:t>A</w:t>
            </w:r>
            <w:r>
              <w:rPr>
                <w:color w:val="000000"/>
              </w:rPr>
              <w:t xml:space="preserve">pplication </w:t>
            </w:r>
            <w:r w:rsidRPr="00536F0C" w:rsidR="00B259F4">
              <w:rPr>
                <w:color w:val="000000"/>
              </w:rPr>
              <w:t>22</w:t>
            </w:r>
            <w:r w:rsidR="00B52830">
              <w:rPr>
                <w:color w:val="000000"/>
              </w:rPr>
              <w:noBreakHyphen/>
            </w:r>
            <w:r w:rsidRPr="00536F0C" w:rsidR="00B259F4">
              <w:rPr>
                <w:color w:val="000000"/>
              </w:rPr>
              <w:t>04</w:t>
            </w:r>
            <w:r w:rsidR="00B52830">
              <w:rPr>
                <w:color w:val="000000"/>
              </w:rPr>
              <w:noBreakHyphen/>
            </w:r>
            <w:r w:rsidRPr="00536F0C" w:rsidR="00B259F4">
              <w:rPr>
                <w:color w:val="000000"/>
              </w:rPr>
              <w:t>011</w:t>
            </w:r>
          </w:p>
          <w:p w:rsidR="00B259F4" w:rsidP="008F5F5F" w:rsidRDefault="00612735" w14:paraId="7774571A" w14:textId="3E0D92F6">
            <w:pPr>
              <w:tabs>
                <w:tab w:val="left" w:pos="1440"/>
                <w:tab w:val="left" w:pos="3600"/>
              </w:tabs>
              <w:jc w:val="center"/>
              <w:rPr>
                <w:color w:val="000000"/>
              </w:rPr>
            </w:pPr>
            <w:r w:rsidRPr="00536F0C">
              <w:rPr>
                <w:color w:val="000000"/>
              </w:rPr>
              <w:t>A</w:t>
            </w:r>
            <w:r>
              <w:rPr>
                <w:color w:val="000000"/>
              </w:rPr>
              <w:t xml:space="preserve">pplication </w:t>
            </w:r>
            <w:r w:rsidRPr="00536F0C" w:rsidR="00B259F4">
              <w:rPr>
                <w:color w:val="000000"/>
              </w:rPr>
              <w:t>22</w:t>
            </w:r>
            <w:r w:rsidR="00B52830">
              <w:rPr>
                <w:color w:val="000000"/>
              </w:rPr>
              <w:noBreakHyphen/>
            </w:r>
            <w:r w:rsidRPr="00536F0C" w:rsidR="00B259F4">
              <w:rPr>
                <w:color w:val="000000"/>
              </w:rPr>
              <w:t>04</w:t>
            </w:r>
            <w:r w:rsidR="00B52830">
              <w:rPr>
                <w:color w:val="000000"/>
              </w:rPr>
              <w:noBreakHyphen/>
            </w:r>
            <w:r w:rsidRPr="00536F0C" w:rsidR="00B259F4">
              <w:rPr>
                <w:color w:val="000000"/>
              </w:rPr>
              <w:t>012</w:t>
            </w:r>
          </w:p>
          <w:p w:rsidRPr="00536F0C" w:rsidR="00580E52" w:rsidP="008F5F5F" w:rsidRDefault="00580E52" w14:paraId="60D2F8B7" w14:textId="3356278B">
            <w:pPr>
              <w:tabs>
                <w:tab w:val="left" w:pos="1440"/>
                <w:tab w:val="left" w:pos="3600"/>
              </w:tabs>
              <w:jc w:val="center"/>
              <w:rPr>
                <w:color w:val="000000"/>
              </w:rPr>
            </w:pPr>
          </w:p>
        </w:tc>
      </w:tr>
    </w:tbl>
    <w:p w:rsidR="00FC72B7" w:rsidP="008F5F5F" w:rsidRDefault="00FC72B7" w14:paraId="5459E071" w14:textId="77777777">
      <w:pPr>
        <w:jc w:val="center"/>
        <w:rPr>
          <w:b/>
          <w:color w:val="000000"/>
        </w:rPr>
      </w:pPr>
    </w:p>
    <w:p w:rsidRPr="00536F0C" w:rsidR="0050363F" w:rsidP="008F5F5F" w:rsidRDefault="0050363F" w14:paraId="6CCD4F18" w14:textId="77777777">
      <w:pPr>
        <w:jc w:val="center"/>
        <w:rPr>
          <w:b/>
          <w:color w:val="000000"/>
        </w:rPr>
      </w:pPr>
    </w:p>
    <w:p w:rsidR="0050363F" w:rsidP="008F5F5F" w:rsidRDefault="00D47328" w14:paraId="16835A10" w14:textId="77777777">
      <w:pPr>
        <w:jc w:val="center"/>
        <w:rPr>
          <w:b/>
        </w:rPr>
      </w:pPr>
      <w:r>
        <w:rPr>
          <w:b/>
        </w:rPr>
        <w:t xml:space="preserve">DECISION GRANTING </w:t>
      </w:r>
      <w:r w:rsidRPr="00536F0C" w:rsidR="00A92D0B">
        <w:rPr>
          <w:b/>
        </w:rPr>
        <w:t xml:space="preserve">COMPENSATION </w:t>
      </w:r>
      <w:r>
        <w:rPr>
          <w:b/>
        </w:rPr>
        <w:t>TO</w:t>
      </w:r>
    </w:p>
    <w:p w:rsidR="0050363F" w:rsidP="008F5F5F" w:rsidRDefault="00D93BF1" w14:paraId="11A9781E" w14:textId="77777777">
      <w:pPr>
        <w:jc w:val="center"/>
        <w:rPr>
          <w:b/>
        </w:rPr>
      </w:pPr>
      <w:r>
        <w:rPr>
          <w:b/>
        </w:rPr>
        <w:t>THE PROTECT OUR COMMUNITIES FOUNDATION</w:t>
      </w:r>
    </w:p>
    <w:p w:rsidR="0050363F" w:rsidP="008F5F5F" w:rsidRDefault="00D93BF1" w14:paraId="4B518AC5" w14:textId="77777777">
      <w:pPr>
        <w:jc w:val="center"/>
        <w:rPr>
          <w:b/>
        </w:rPr>
      </w:pPr>
      <w:r>
        <w:rPr>
          <w:b/>
        </w:rPr>
        <w:t>FOR SUBSTANTIAL CONTRIBUTION TO</w:t>
      </w:r>
    </w:p>
    <w:p w:rsidRPr="004A16E0" w:rsidR="00A92D0B" w:rsidP="008F5F5F" w:rsidRDefault="00D93BF1" w14:paraId="17BB0C52" w14:textId="09C5052E">
      <w:pPr>
        <w:jc w:val="center"/>
        <w:rPr>
          <w:b/>
        </w:rPr>
      </w:pPr>
      <w:r>
        <w:rPr>
          <w:b/>
        </w:rPr>
        <w:t>DECISION</w:t>
      </w:r>
      <w:r w:rsidR="00282C39">
        <w:rPr>
          <w:b/>
        </w:rPr>
        <w:t xml:space="preserve"> (</w:t>
      </w:r>
      <w:r w:rsidR="007220CC">
        <w:rPr>
          <w:b/>
        </w:rPr>
        <w:t>D.)</w:t>
      </w:r>
      <w:r w:rsidR="0050363F">
        <w:rPr>
          <w:b/>
        </w:rPr>
        <w:t> </w:t>
      </w:r>
      <w:r w:rsidRPr="00536F0C">
        <w:rPr>
          <w:b/>
          <w:color w:val="000000"/>
        </w:rPr>
        <w:t>24</w:t>
      </w:r>
      <w:r w:rsidR="00B52830">
        <w:rPr>
          <w:b/>
          <w:color w:val="000000"/>
        </w:rPr>
        <w:noBreakHyphen/>
      </w:r>
      <w:r w:rsidRPr="00536F0C">
        <w:rPr>
          <w:b/>
          <w:color w:val="000000"/>
        </w:rPr>
        <w:t>10</w:t>
      </w:r>
      <w:r w:rsidR="00B52830">
        <w:rPr>
          <w:b/>
          <w:color w:val="000000"/>
        </w:rPr>
        <w:noBreakHyphen/>
      </w:r>
      <w:r w:rsidRPr="00536F0C">
        <w:rPr>
          <w:b/>
          <w:color w:val="000000"/>
        </w:rPr>
        <w:t>008</w:t>
      </w:r>
      <w:r>
        <w:rPr>
          <w:b/>
          <w:color w:val="000000"/>
        </w:rPr>
        <w:t xml:space="preserve">, </w:t>
      </w:r>
      <w:r w:rsidR="007220CC">
        <w:rPr>
          <w:b/>
          <w:color w:val="000000"/>
        </w:rPr>
        <w:t>D.</w:t>
      </w:r>
      <w:r w:rsidRPr="00536F0C">
        <w:rPr>
          <w:b/>
          <w:color w:val="000000"/>
        </w:rPr>
        <w:t>23</w:t>
      </w:r>
      <w:r w:rsidR="00B52830">
        <w:rPr>
          <w:b/>
          <w:color w:val="000000"/>
        </w:rPr>
        <w:noBreakHyphen/>
      </w:r>
      <w:r w:rsidRPr="00536F0C">
        <w:rPr>
          <w:b/>
          <w:color w:val="000000"/>
        </w:rPr>
        <w:t>08</w:t>
      </w:r>
      <w:r w:rsidR="00B52830">
        <w:rPr>
          <w:b/>
          <w:color w:val="000000"/>
        </w:rPr>
        <w:noBreakHyphen/>
      </w:r>
      <w:r w:rsidRPr="00536F0C">
        <w:rPr>
          <w:b/>
          <w:color w:val="000000"/>
        </w:rPr>
        <w:t>028</w:t>
      </w:r>
      <w:r w:rsidR="0050363F">
        <w:rPr>
          <w:b/>
          <w:color w:val="000000"/>
        </w:rPr>
        <w:t>,</w:t>
      </w:r>
      <w:r>
        <w:rPr>
          <w:b/>
          <w:color w:val="000000"/>
        </w:rPr>
        <w:t xml:space="preserve"> AND </w:t>
      </w:r>
      <w:r w:rsidR="0050363F">
        <w:rPr>
          <w:b/>
          <w:color w:val="000000"/>
        </w:rPr>
        <w:t>D.</w:t>
      </w:r>
      <w:r w:rsidRPr="00536F0C">
        <w:rPr>
          <w:b/>
          <w:color w:val="000000"/>
        </w:rPr>
        <w:t>22</w:t>
      </w:r>
      <w:r w:rsidR="00B52830">
        <w:rPr>
          <w:b/>
          <w:color w:val="000000"/>
        </w:rPr>
        <w:noBreakHyphen/>
      </w:r>
      <w:r w:rsidRPr="00536F0C">
        <w:rPr>
          <w:b/>
          <w:color w:val="000000"/>
        </w:rPr>
        <w:t>12</w:t>
      </w:r>
      <w:r w:rsidR="00B52830">
        <w:rPr>
          <w:b/>
          <w:color w:val="000000"/>
        </w:rPr>
        <w:noBreakHyphen/>
      </w:r>
      <w:r w:rsidRPr="00536F0C">
        <w:rPr>
          <w:b/>
          <w:color w:val="000000"/>
        </w:rPr>
        <w:t>031</w:t>
      </w:r>
    </w:p>
    <w:p w:rsidRPr="00536F0C" w:rsidR="00A92D0B" w:rsidP="008F5F5F" w:rsidRDefault="00A92D0B" w14:paraId="4BEAFF75" w14:textId="77777777">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4585"/>
        <w:gridCol w:w="4775"/>
      </w:tblGrid>
      <w:tr w:rsidRPr="00536F0C" w:rsidR="00A92D0B" w:rsidTr="00914B38" w14:paraId="0FE98F62" w14:textId="77777777">
        <w:tc>
          <w:tcPr>
            <w:tcW w:w="4585" w:type="dxa"/>
          </w:tcPr>
          <w:p w:rsidRPr="00536F0C" w:rsidR="00A92D0B" w:rsidP="008F5F5F" w:rsidRDefault="005A63D4" w14:paraId="11570D4A" w14:textId="411F7A67">
            <w:pPr>
              <w:tabs>
                <w:tab w:val="left" w:pos="1620"/>
                <w:tab w:val="right" w:pos="4500"/>
              </w:tabs>
              <w:rPr>
                <w:color w:val="000000"/>
              </w:rPr>
            </w:pPr>
            <w:r w:rsidRPr="00536F0C">
              <w:rPr>
                <w:b/>
                <w:color w:val="000000"/>
              </w:rPr>
              <w:t>Intervenor</w:t>
            </w:r>
            <w:r w:rsidRPr="00536F0C" w:rsidR="00F63C29">
              <w:rPr>
                <w:b/>
                <w:color w:val="000000"/>
              </w:rPr>
              <w:t>:</w:t>
            </w:r>
            <w:r w:rsidRPr="00536F0C" w:rsidR="00691528">
              <w:rPr>
                <w:b/>
                <w:color w:val="000000"/>
              </w:rPr>
              <w:t xml:space="preserve"> </w:t>
            </w:r>
            <w:bookmarkStart w:name="_Hlk198113747" w:id="0"/>
            <w:r w:rsidRPr="008D2309" w:rsidR="00DB74FF">
              <w:rPr>
                <w:bCs/>
                <w:color w:val="000000"/>
              </w:rPr>
              <w:t>The Protect Our Communities Foundation</w:t>
            </w:r>
            <w:bookmarkEnd w:id="0"/>
            <w:r w:rsidRPr="008D2309" w:rsidR="00E72892">
              <w:rPr>
                <w:bCs/>
                <w:color w:val="000000"/>
              </w:rPr>
              <w:t xml:space="preserve"> (PCF)</w:t>
            </w:r>
          </w:p>
        </w:tc>
        <w:tc>
          <w:tcPr>
            <w:tcW w:w="4775" w:type="dxa"/>
          </w:tcPr>
          <w:p w:rsidRPr="00536F0C" w:rsidR="00A92D0B" w:rsidP="008F5F5F" w:rsidRDefault="00A92D0B" w14:paraId="53A584EE" w14:textId="21685F9C">
            <w:pPr>
              <w:tabs>
                <w:tab w:val="left" w:pos="1872"/>
                <w:tab w:val="right" w:pos="3672"/>
              </w:tabs>
              <w:rPr>
                <w:b/>
                <w:color w:val="000000"/>
              </w:rPr>
            </w:pPr>
            <w:r w:rsidRPr="00536F0C">
              <w:rPr>
                <w:b/>
                <w:color w:val="000000"/>
              </w:rPr>
              <w:t xml:space="preserve">For contribution to </w:t>
            </w:r>
            <w:bookmarkStart w:name="_Hlk184908153" w:id="1"/>
            <w:r w:rsidRPr="00536F0C">
              <w:rPr>
                <w:b/>
                <w:color w:val="000000"/>
              </w:rPr>
              <w:t>D</w:t>
            </w:r>
            <w:r w:rsidRPr="00536F0C" w:rsidR="00DE3A5D">
              <w:rPr>
                <w:b/>
                <w:color w:val="000000"/>
              </w:rPr>
              <w:t>ecision (D.)</w:t>
            </w:r>
            <w:r w:rsidR="0050363F">
              <w:rPr>
                <w:b/>
                <w:color w:val="000000"/>
              </w:rPr>
              <w:t> </w:t>
            </w:r>
            <w:r w:rsidRPr="00536F0C" w:rsidR="00F05BF2">
              <w:rPr>
                <w:b/>
                <w:color w:val="000000"/>
              </w:rPr>
              <w:t>24</w:t>
            </w:r>
            <w:r w:rsidR="00B52830">
              <w:rPr>
                <w:b/>
                <w:color w:val="000000"/>
              </w:rPr>
              <w:noBreakHyphen/>
            </w:r>
            <w:r w:rsidRPr="00536F0C" w:rsidR="00F05BF2">
              <w:rPr>
                <w:b/>
                <w:color w:val="000000"/>
              </w:rPr>
              <w:t>10</w:t>
            </w:r>
            <w:r w:rsidR="00B52830">
              <w:rPr>
                <w:b/>
                <w:color w:val="000000"/>
              </w:rPr>
              <w:noBreakHyphen/>
            </w:r>
            <w:r w:rsidRPr="00536F0C" w:rsidR="00F05BF2">
              <w:rPr>
                <w:b/>
                <w:color w:val="000000"/>
              </w:rPr>
              <w:t xml:space="preserve">008, </w:t>
            </w:r>
            <w:r w:rsidRPr="00536F0C" w:rsidR="00945CBC">
              <w:rPr>
                <w:b/>
                <w:color w:val="000000"/>
              </w:rPr>
              <w:t>D.23</w:t>
            </w:r>
            <w:r w:rsidR="00B52830">
              <w:rPr>
                <w:b/>
                <w:color w:val="000000"/>
              </w:rPr>
              <w:noBreakHyphen/>
            </w:r>
            <w:r w:rsidRPr="00536F0C" w:rsidR="00945CBC">
              <w:rPr>
                <w:b/>
                <w:color w:val="000000"/>
              </w:rPr>
              <w:t>08</w:t>
            </w:r>
            <w:r w:rsidR="00B52830">
              <w:rPr>
                <w:b/>
                <w:color w:val="000000"/>
              </w:rPr>
              <w:noBreakHyphen/>
            </w:r>
            <w:r w:rsidRPr="00536F0C" w:rsidR="00945CBC">
              <w:rPr>
                <w:b/>
                <w:color w:val="000000"/>
              </w:rPr>
              <w:t>028</w:t>
            </w:r>
            <w:r w:rsidRPr="00536F0C" w:rsidR="00CB7E73">
              <w:rPr>
                <w:b/>
                <w:color w:val="000000"/>
              </w:rPr>
              <w:t xml:space="preserve">, </w:t>
            </w:r>
            <w:r w:rsidRPr="00536F0C" w:rsidR="00415B0B">
              <w:rPr>
                <w:b/>
                <w:color w:val="000000"/>
              </w:rPr>
              <w:t>D.22</w:t>
            </w:r>
            <w:r w:rsidR="00B52830">
              <w:rPr>
                <w:b/>
                <w:color w:val="000000"/>
              </w:rPr>
              <w:noBreakHyphen/>
            </w:r>
            <w:r w:rsidRPr="00536F0C" w:rsidR="00415B0B">
              <w:rPr>
                <w:b/>
                <w:color w:val="000000"/>
              </w:rPr>
              <w:t>12</w:t>
            </w:r>
            <w:r w:rsidR="00B52830">
              <w:rPr>
                <w:b/>
                <w:color w:val="000000"/>
              </w:rPr>
              <w:noBreakHyphen/>
            </w:r>
            <w:r w:rsidRPr="00536F0C" w:rsidR="00415B0B">
              <w:rPr>
                <w:b/>
                <w:color w:val="000000"/>
              </w:rPr>
              <w:t>031</w:t>
            </w:r>
            <w:bookmarkEnd w:id="1"/>
            <w:r w:rsidRPr="00536F0C" w:rsidR="00F15FFA">
              <w:rPr>
                <w:b/>
                <w:color w:val="000000"/>
              </w:rPr>
              <w:t xml:space="preserve"> (as modified by D.23</w:t>
            </w:r>
            <w:r w:rsidR="00B52830">
              <w:rPr>
                <w:b/>
                <w:color w:val="000000"/>
              </w:rPr>
              <w:noBreakHyphen/>
            </w:r>
            <w:r w:rsidRPr="00536F0C" w:rsidR="00F15FFA">
              <w:rPr>
                <w:b/>
                <w:color w:val="000000"/>
              </w:rPr>
              <w:t>01</w:t>
            </w:r>
            <w:r w:rsidR="00B52830">
              <w:rPr>
                <w:b/>
                <w:color w:val="000000"/>
              </w:rPr>
              <w:noBreakHyphen/>
            </w:r>
            <w:r w:rsidRPr="00536F0C" w:rsidR="00F15FFA">
              <w:rPr>
                <w:b/>
                <w:color w:val="000000"/>
              </w:rPr>
              <w:t>002)</w:t>
            </w:r>
          </w:p>
        </w:tc>
      </w:tr>
      <w:tr w:rsidRPr="00536F0C" w:rsidR="00A92D0B" w:rsidTr="00914B38" w14:paraId="47003B8E" w14:textId="77777777">
        <w:tc>
          <w:tcPr>
            <w:tcW w:w="4585" w:type="dxa"/>
          </w:tcPr>
          <w:p w:rsidRPr="00536F0C" w:rsidR="00A92D0B" w:rsidP="008F5F5F" w:rsidRDefault="00A92D0B" w14:paraId="0E2E4BD1" w14:textId="7C92D7C6">
            <w:pPr>
              <w:tabs>
                <w:tab w:val="left" w:pos="1620"/>
                <w:tab w:val="right" w:pos="4500"/>
              </w:tabs>
              <w:rPr>
                <w:b/>
                <w:color w:val="000000"/>
                <w:u w:val="single"/>
              </w:rPr>
            </w:pPr>
            <w:r w:rsidRPr="00536F0C">
              <w:rPr>
                <w:b/>
                <w:color w:val="000000"/>
              </w:rPr>
              <w:t>Claimed:</w:t>
            </w:r>
            <w:r w:rsidRPr="00536F0C" w:rsidR="00F63C29">
              <w:rPr>
                <w:b/>
                <w:color w:val="000000"/>
              </w:rPr>
              <w:t xml:space="preserve"> </w:t>
            </w:r>
            <w:r w:rsidRPr="00536F0C" w:rsidR="002D21CA">
              <w:rPr>
                <w:b/>
                <w:color w:val="000000"/>
              </w:rPr>
              <w:t xml:space="preserve"> </w:t>
            </w:r>
            <w:r w:rsidRPr="008D2309" w:rsidR="00FC72B7">
              <w:rPr>
                <w:bCs/>
                <w:color w:val="000000"/>
              </w:rPr>
              <w:t>$</w:t>
            </w:r>
            <w:r w:rsidRPr="008D2309" w:rsidR="00731CA9">
              <w:rPr>
                <w:bCs/>
                <w:color w:val="000000"/>
              </w:rPr>
              <w:t>596</w:t>
            </w:r>
            <w:r w:rsidRPr="008D2309" w:rsidR="005234E8">
              <w:rPr>
                <w:bCs/>
                <w:color w:val="000000"/>
              </w:rPr>
              <w:t>,</w:t>
            </w:r>
            <w:r w:rsidRPr="008D2309" w:rsidR="00731CA9">
              <w:rPr>
                <w:bCs/>
                <w:color w:val="000000"/>
              </w:rPr>
              <w:t>586</w:t>
            </w:r>
            <w:r w:rsidRPr="008D2309" w:rsidR="005234E8">
              <w:rPr>
                <w:bCs/>
                <w:color w:val="000000"/>
              </w:rPr>
              <w:t>.50</w:t>
            </w:r>
          </w:p>
        </w:tc>
        <w:tc>
          <w:tcPr>
            <w:tcW w:w="4775" w:type="dxa"/>
            <w:tcBorders>
              <w:bottom w:val="single" w:color="auto" w:sz="4" w:space="0"/>
            </w:tcBorders>
          </w:tcPr>
          <w:p w:rsidRPr="00536F0C" w:rsidR="00A92D0B" w:rsidP="008F5F5F" w:rsidRDefault="00A92D0B" w14:paraId="211F40A8" w14:textId="57A614CB">
            <w:pPr>
              <w:tabs>
                <w:tab w:val="left" w:pos="1872"/>
                <w:tab w:val="right" w:pos="3672"/>
              </w:tabs>
              <w:rPr>
                <w:b/>
                <w:color w:val="000000"/>
                <w:u w:val="single"/>
              </w:rPr>
            </w:pPr>
            <w:r w:rsidRPr="00536F0C">
              <w:rPr>
                <w:b/>
                <w:color w:val="000000"/>
              </w:rPr>
              <w:t>Awarded:</w:t>
            </w:r>
            <w:r w:rsidRPr="00536F0C" w:rsidR="00FC72B7">
              <w:rPr>
                <w:b/>
                <w:color w:val="000000"/>
              </w:rPr>
              <w:t xml:space="preserve">  </w:t>
            </w:r>
            <w:r w:rsidRPr="008D2309" w:rsidR="00FC72B7">
              <w:rPr>
                <w:bCs/>
                <w:color w:val="000000"/>
              </w:rPr>
              <w:t>$</w:t>
            </w:r>
            <w:r w:rsidRPr="006948C8" w:rsidR="00BF2EDF">
              <w:rPr>
                <w:bCs/>
                <w:iCs/>
                <w:color w:val="000000"/>
              </w:rPr>
              <w:t>230,256.75</w:t>
            </w:r>
          </w:p>
        </w:tc>
      </w:tr>
      <w:tr w:rsidRPr="00536F0C" w:rsidR="00A92D0B" w:rsidTr="00914B38" w14:paraId="5C56877D" w14:textId="77777777">
        <w:tc>
          <w:tcPr>
            <w:tcW w:w="4585" w:type="dxa"/>
          </w:tcPr>
          <w:p w:rsidRPr="00536F0C" w:rsidR="00A92D0B" w:rsidP="008F5F5F" w:rsidRDefault="00A92D0B" w14:paraId="6EF99E36" w14:textId="19CDDBD5">
            <w:pPr>
              <w:tabs>
                <w:tab w:val="left" w:pos="3060"/>
                <w:tab w:val="right" w:pos="4500"/>
              </w:tabs>
              <w:rPr>
                <w:color w:val="000000"/>
                <w:u w:val="single"/>
              </w:rPr>
            </w:pPr>
            <w:r w:rsidRPr="00536F0C">
              <w:rPr>
                <w:b/>
                <w:color w:val="000000"/>
              </w:rPr>
              <w:t xml:space="preserve">Assigned Commissioner: </w:t>
            </w:r>
            <w:r w:rsidR="00F91161">
              <w:rPr>
                <w:bCs/>
                <w:color w:val="000000"/>
              </w:rPr>
              <w:t>John Reynolds</w:t>
            </w:r>
          </w:p>
        </w:tc>
        <w:tc>
          <w:tcPr>
            <w:tcW w:w="4775" w:type="dxa"/>
          </w:tcPr>
          <w:p w:rsidRPr="00536F0C" w:rsidR="00A92D0B" w:rsidP="008F5F5F" w:rsidRDefault="00A92D0B" w14:paraId="79375F78" w14:textId="0C26B881">
            <w:pPr>
              <w:tabs>
                <w:tab w:val="left" w:pos="1872"/>
                <w:tab w:val="right" w:pos="3672"/>
              </w:tabs>
              <w:rPr>
                <w:color w:val="000000"/>
                <w:u w:val="single"/>
              </w:rPr>
            </w:pPr>
            <w:r w:rsidRPr="00536F0C">
              <w:rPr>
                <w:b/>
                <w:color w:val="000000"/>
              </w:rPr>
              <w:t>Assigned ALJ:</w:t>
            </w:r>
            <w:r w:rsidRPr="00536F0C" w:rsidR="00F63C29">
              <w:rPr>
                <w:b/>
                <w:color w:val="000000"/>
              </w:rPr>
              <w:t xml:space="preserve"> </w:t>
            </w:r>
            <w:bookmarkStart w:name="_Ref223592373" w:id="2"/>
            <w:r w:rsidRPr="00E877FA" w:rsidR="00E877FA">
              <w:rPr>
                <w:bCs/>
                <w:color w:val="000000"/>
              </w:rPr>
              <w:t>Brandon Gerstle</w:t>
            </w:r>
            <w:r w:rsidR="00927BEF">
              <w:rPr>
                <w:rStyle w:val="FootnoteReference"/>
                <w:bCs/>
                <w:color w:val="000000"/>
              </w:rPr>
              <w:footnoteReference w:id="2"/>
            </w:r>
            <w:bookmarkEnd w:id="2"/>
          </w:p>
        </w:tc>
      </w:tr>
    </w:tbl>
    <w:p w:rsidRPr="00536F0C" w:rsidR="00691528" w:rsidP="008F5F5F" w:rsidRDefault="00A92D0B" w14:paraId="3CEED871" w14:textId="62381001">
      <w:pPr>
        <w:keepNext/>
        <w:spacing w:before="480" w:after="240"/>
        <w:jc w:val="center"/>
        <w:rPr>
          <w:b/>
          <w:color w:val="000000"/>
        </w:rPr>
      </w:pPr>
      <w:r w:rsidRPr="00536F0C">
        <w:rPr>
          <w:b/>
          <w:color w:val="000000"/>
        </w:rPr>
        <w:t>PART I:</w:t>
      </w:r>
      <w:r w:rsidRPr="00536F0C" w:rsidR="008E182E">
        <w:rPr>
          <w:b/>
          <w:color w:val="000000"/>
        </w:rPr>
        <w:t xml:space="preserve">  </w:t>
      </w:r>
      <w:r w:rsidRPr="00536F0C">
        <w:rPr>
          <w:b/>
          <w:color w:val="000000"/>
        </w:rPr>
        <w:t>PROCEDURAL ISSUES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3955"/>
        <w:gridCol w:w="5405"/>
      </w:tblGrid>
      <w:tr w:rsidRPr="00536F0C" w:rsidR="00A92D0B" w:rsidTr="00914B38" w14:paraId="3C5C25ED" w14:textId="77777777">
        <w:tc>
          <w:tcPr>
            <w:tcW w:w="3955" w:type="dxa"/>
          </w:tcPr>
          <w:p w:rsidRPr="00914B38" w:rsidR="00EC3B6F" w:rsidP="00914B38" w:rsidRDefault="00A92D0B" w14:paraId="1576A0A6" w14:textId="1B118FFB">
            <w:pPr>
              <w:rPr>
                <w:b/>
                <w:color w:val="000000"/>
              </w:rPr>
            </w:pPr>
            <w:r w:rsidRPr="00536F0C">
              <w:rPr>
                <w:b/>
                <w:color w:val="000000"/>
              </w:rPr>
              <w:t xml:space="preserve">A.  Brief </w:t>
            </w:r>
            <w:r w:rsidRPr="00536F0C" w:rsidR="00A319DE">
              <w:rPr>
                <w:b/>
                <w:color w:val="000000"/>
              </w:rPr>
              <w:t>d</w:t>
            </w:r>
            <w:r w:rsidRPr="00536F0C">
              <w:rPr>
                <w:b/>
                <w:color w:val="000000"/>
              </w:rPr>
              <w:t>escription of Decision:</w:t>
            </w:r>
          </w:p>
        </w:tc>
        <w:tc>
          <w:tcPr>
            <w:tcW w:w="5405" w:type="dxa"/>
          </w:tcPr>
          <w:p w:rsidRPr="00536F0C" w:rsidR="00EA76DA" w:rsidP="008F5F5F" w:rsidRDefault="0050363F" w14:paraId="67B8ECAA" w14:textId="639C36E5">
            <w:pPr>
              <w:rPr>
                <w:color w:val="000000"/>
              </w:rPr>
            </w:pPr>
            <w:r>
              <w:rPr>
                <w:bCs/>
                <w:color w:val="000000"/>
              </w:rPr>
              <w:t>D.</w:t>
            </w:r>
            <w:r w:rsidRPr="008D2309" w:rsidR="005E588B">
              <w:rPr>
                <w:bCs/>
                <w:color w:val="000000"/>
              </w:rPr>
              <w:t>24</w:t>
            </w:r>
            <w:r w:rsidR="00B52830">
              <w:rPr>
                <w:bCs/>
                <w:color w:val="000000"/>
              </w:rPr>
              <w:noBreakHyphen/>
            </w:r>
            <w:r w:rsidRPr="008D2309" w:rsidR="005E588B">
              <w:rPr>
                <w:bCs/>
                <w:color w:val="000000"/>
              </w:rPr>
              <w:t>10</w:t>
            </w:r>
            <w:r w:rsidR="00B52830">
              <w:rPr>
                <w:bCs/>
                <w:color w:val="000000"/>
              </w:rPr>
              <w:noBreakHyphen/>
            </w:r>
            <w:r w:rsidRPr="008D2309" w:rsidR="005E588B">
              <w:rPr>
                <w:bCs/>
                <w:color w:val="000000"/>
              </w:rPr>
              <w:t>008</w:t>
            </w:r>
            <w:r w:rsidRPr="007C67FC" w:rsidR="005E588B">
              <w:rPr>
                <w:bCs/>
                <w:color w:val="000000"/>
              </w:rPr>
              <w:t xml:space="preserve"> </w:t>
            </w:r>
            <w:r w:rsidRPr="007C67FC" w:rsidR="00D172F7">
              <w:rPr>
                <w:bCs/>
                <w:color w:val="000000"/>
              </w:rPr>
              <w:t xml:space="preserve">modified the Cost of Capital Mechanism </w:t>
            </w:r>
            <w:r w:rsidRPr="007C67FC" w:rsidR="00E21A4F">
              <w:rPr>
                <w:bCs/>
                <w:color w:val="000000"/>
              </w:rPr>
              <w:t>and authorized returns on equity for each applicant</w:t>
            </w:r>
            <w:r w:rsidRPr="007C67FC" w:rsidR="00D1409D">
              <w:rPr>
                <w:bCs/>
                <w:color w:val="000000"/>
              </w:rPr>
              <w:t xml:space="preserve"> </w:t>
            </w:r>
            <w:r w:rsidRPr="007C67FC" w:rsidR="008D09A0">
              <w:rPr>
                <w:bCs/>
                <w:color w:val="000000"/>
              </w:rPr>
              <w:t xml:space="preserve">and </w:t>
            </w:r>
            <w:r w:rsidRPr="007C67FC" w:rsidR="00D1409D">
              <w:rPr>
                <w:bCs/>
                <w:color w:val="000000"/>
              </w:rPr>
              <w:t>decline</w:t>
            </w:r>
            <w:r w:rsidRPr="007C67FC" w:rsidR="008D09A0">
              <w:rPr>
                <w:bCs/>
                <w:color w:val="000000"/>
              </w:rPr>
              <w:t>d without prejudice</w:t>
            </w:r>
            <w:r w:rsidRPr="007C67FC" w:rsidR="00D1409D">
              <w:rPr>
                <w:bCs/>
                <w:color w:val="000000"/>
              </w:rPr>
              <w:t xml:space="preserve"> to implement </w:t>
            </w:r>
            <w:r w:rsidRPr="007C67FC" w:rsidR="008D09A0">
              <w:rPr>
                <w:bCs/>
                <w:color w:val="000000"/>
              </w:rPr>
              <w:t xml:space="preserve">modeling and other </w:t>
            </w:r>
            <w:r w:rsidRPr="007C67FC" w:rsidR="00D1409D">
              <w:rPr>
                <w:bCs/>
                <w:color w:val="000000"/>
              </w:rPr>
              <w:t>constraints</w:t>
            </w:r>
            <w:r w:rsidRPr="007C67FC" w:rsidR="008D09A0">
              <w:rPr>
                <w:bCs/>
                <w:color w:val="000000"/>
              </w:rPr>
              <w:t>.</w:t>
            </w:r>
            <w:r w:rsidRPr="007C67FC" w:rsidR="00BD2F90">
              <w:rPr>
                <w:bCs/>
                <w:color w:val="000000"/>
              </w:rPr>
              <w:t xml:space="preserve"> </w:t>
            </w:r>
            <w:r w:rsidRPr="008D2309" w:rsidR="00F85BCD">
              <w:rPr>
                <w:bCs/>
                <w:color w:val="000000"/>
              </w:rPr>
              <w:lastRenderedPageBreak/>
              <w:t>D.23</w:t>
            </w:r>
            <w:r w:rsidR="00B52830">
              <w:rPr>
                <w:bCs/>
                <w:color w:val="000000"/>
              </w:rPr>
              <w:noBreakHyphen/>
            </w:r>
            <w:r w:rsidRPr="008D2309" w:rsidR="00F85BCD">
              <w:rPr>
                <w:bCs/>
                <w:color w:val="000000"/>
              </w:rPr>
              <w:t>08</w:t>
            </w:r>
            <w:r w:rsidR="00B52830">
              <w:rPr>
                <w:bCs/>
                <w:color w:val="000000"/>
              </w:rPr>
              <w:noBreakHyphen/>
            </w:r>
            <w:r w:rsidRPr="008D2309" w:rsidR="00F85BCD">
              <w:rPr>
                <w:bCs/>
                <w:color w:val="000000"/>
              </w:rPr>
              <w:t>028</w:t>
            </w:r>
            <w:r w:rsidRPr="007C67FC" w:rsidR="00F85BCD">
              <w:rPr>
                <w:bCs/>
                <w:color w:val="000000"/>
              </w:rPr>
              <w:t xml:space="preserve"> denied </w:t>
            </w:r>
            <w:r w:rsidRPr="007C67FC" w:rsidR="008D09A0">
              <w:rPr>
                <w:bCs/>
                <w:color w:val="000000"/>
              </w:rPr>
              <w:t>PCF</w:t>
            </w:r>
            <w:r w:rsidR="004E6167">
              <w:rPr>
                <w:bCs/>
                <w:color w:val="000000"/>
              </w:rPr>
              <w:t>’</w:t>
            </w:r>
            <w:r w:rsidRPr="007C67FC" w:rsidR="008D09A0">
              <w:rPr>
                <w:bCs/>
                <w:color w:val="000000"/>
              </w:rPr>
              <w:t xml:space="preserve">s application for </w:t>
            </w:r>
            <w:r w:rsidRPr="007C67FC" w:rsidR="00F85BCD">
              <w:rPr>
                <w:bCs/>
                <w:color w:val="000000"/>
              </w:rPr>
              <w:t>rehearing of D.22</w:t>
            </w:r>
            <w:r w:rsidR="00B52830">
              <w:rPr>
                <w:bCs/>
                <w:color w:val="000000"/>
              </w:rPr>
              <w:noBreakHyphen/>
            </w:r>
            <w:r w:rsidRPr="007C67FC" w:rsidR="00F85BCD">
              <w:rPr>
                <w:bCs/>
                <w:color w:val="000000"/>
              </w:rPr>
              <w:t>12</w:t>
            </w:r>
            <w:r w:rsidR="00B52830">
              <w:rPr>
                <w:bCs/>
                <w:color w:val="000000"/>
              </w:rPr>
              <w:noBreakHyphen/>
            </w:r>
            <w:r w:rsidRPr="007C67FC" w:rsidR="00F85BCD">
              <w:rPr>
                <w:bCs/>
                <w:color w:val="000000"/>
              </w:rPr>
              <w:t>031</w:t>
            </w:r>
            <w:r w:rsidRPr="007C67FC" w:rsidR="0060248C">
              <w:rPr>
                <w:bCs/>
                <w:color w:val="000000"/>
              </w:rPr>
              <w:t xml:space="preserve"> and recognized </w:t>
            </w:r>
            <w:r w:rsidRPr="007C67FC" w:rsidR="00DE5FF1">
              <w:rPr>
                <w:bCs/>
                <w:color w:val="000000"/>
              </w:rPr>
              <w:t>that</w:t>
            </w:r>
            <w:r w:rsidRPr="007C67FC" w:rsidR="007E017C">
              <w:rPr>
                <w:bCs/>
                <w:color w:val="000000"/>
              </w:rPr>
              <w:t xml:space="preserve"> </w:t>
            </w:r>
            <w:r w:rsidR="004E6167">
              <w:rPr>
                <w:bCs/>
                <w:color w:val="000000"/>
              </w:rPr>
              <w:t>“</w:t>
            </w:r>
            <w:r w:rsidRPr="007C67FC" w:rsidR="0060248C">
              <w:rPr>
                <w:bCs/>
                <w:color w:val="000000"/>
              </w:rPr>
              <w:t>The cost of capital is the minimum rate of return necessary to attract capital to an investment</w:t>
            </w:r>
            <w:r w:rsidRPr="007C67FC" w:rsidR="00DE5FF1">
              <w:rPr>
                <w:bCs/>
                <w:color w:val="000000"/>
              </w:rPr>
              <w:t>.</w:t>
            </w:r>
            <w:r w:rsidR="004E6167">
              <w:rPr>
                <w:bCs/>
                <w:color w:val="000000"/>
              </w:rPr>
              <w:t>”</w:t>
            </w:r>
            <w:r w:rsidRPr="007C67FC" w:rsidR="007E017C">
              <w:rPr>
                <w:bCs/>
                <w:color w:val="000000"/>
              </w:rPr>
              <w:t xml:space="preserve"> </w:t>
            </w:r>
            <w:r w:rsidRPr="008D2309" w:rsidR="005E588B">
              <w:rPr>
                <w:bCs/>
                <w:color w:val="000000"/>
              </w:rPr>
              <w:t>D.22</w:t>
            </w:r>
            <w:r w:rsidR="00B52830">
              <w:rPr>
                <w:bCs/>
                <w:color w:val="000000"/>
              </w:rPr>
              <w:noBreakHyphen/>
            </w:r>
            <w:r w:rsidRPr="008D2309" w:rsidR="005E588B">
              <w:rPr>
                <w:bCs/>
                <w:color w:val="000000"/>
              </w:rPr>
              <w:t>12</w:t>
            </w:r>
            <w:r w:rsidR="00B52830">
              <w:rPr>
                <w:bCs/>
                <w:color w:val="000000"/>
              </w:rPr>
              <w:noBreakHyphen/>
            </w:r>
            <w:r w:rsidRPr="008D2309" w:rsidR="005E588B">
              <w:rPr>
                <w:bCs/>
                <w:color w:val="000000"/>
              </w:rPr>
              <w:t>031</w:t>
            </w:r>
            <w:r w:rsidRPr="007C67FC" w:rsidR="00EE3EE8">
              <w:rPr>
                <w:bCs/>
                <w:color w:val="000000"/>
              </w:rPr>
              <w:t xml:space="preserve"> </w:t>
            </w:r>
            <w:r w:rsidRPr="007C67FC" w:rsidR="00A87F1C">
              <w:rPr>
                <w:bCs/>
                <w:color w:val="000000"/>
              </w:rPr>
              <w:t>established the 2023 ratemaking cost of capital for PG&amp;E, SCE, SoCalGas, and SDG&amp;E</w:t>
            </w:r>
            <w:r w:rsidRPr="007C67FC" w:rsidR="00F15FFA">
              <w:rPr>
                <w:bCs/>
                <w:color w:val="000000"/>
              </w:rPr>
              <w:t xml:space="preserve"> and kept the proceeding open to conduct a second phase. D.22</w:t>
            </w:r>
            <w:r w:rsidR="00B52830">
              <w:rPr>
                <w:bCs/>
                <w:color w:val="000000"/>
              </w:rPr>
              <w:noBreakHyphen/>
            </w:r>
            <w:r w:rsidRPr="007C67FC" w:rsidR="00F15FFA">
              <w:rPr>
                <w:bCs/>
                <w:color w:val="000000"/>
              </w:rPr>
              <w:t>12</w:t>
            </w:r>
            <w:r w:rsidR="00B52830">
              <w:rPr>
                <w:bCs/>
                <w:color w:val="000000"/>
              </w:rPr>
              <w:noBreakHyphen/>
            </w:r>
            <w:r w:rsidRPr="007C67FC" w:rsidR="00F15FFA">
              <w:rPr>
                <w:bCs/>
                <w:color w:val="000000"/>
              </w:rPr>
              <w:t xml:space="preserve">031 was modified by </w:t>
            </w:r>
            <w:r w:rsidRPr="008D2309" w:rsidR="00F15FFA">
              <w:rPr>
                <w:bCs/>
                <w:color w:val="000000"/>
              </w:rPr>
              <w:t>D.23</w:t>
            </w:r>
            <w:r w:rsidR="00B52830">
              <w:rPr>
                <w:bCs/>
                <w:color w:val="000000"/>
              </w:rPr>
              <w:noBreakHyphen/>
            </w:r>
            <w:r w:rsidRPr="008D2309" w:rsidR="00F15FFA">
              <w:rPr>
                <w:bCs/>
                <w:color w:val="000000"/>
              </w:rPr>
              <w:t>01</w:t>
            </w:r>
            <w:r w:rsidR="00B52830">
              <w:rPr>
                <w:bCs/>
                <w:color w:val="000000"/>
              </w:rPr>
              <w:noBreakHyphen/>
            </w:r>
            <w:r w:rsidRPr="008D2309" w:rsidR="00F15FFA">
              <w:rPr>
                <w:bCs/>
                <w:color w:val="000000"/>
              </w:rPr>
              <w:t>002</w:t>
            </w:r>
            <w:r w:rsidRPr="007C67FC" w:rsidR="00F15FFA">
              <w:rPr>
                <w:bCs/>
                <w:color w:val="000000"/>
              </w:rPr>
              <w:t xml:space="preserve"> which corrected several inadvertent errors in D.22</w:t>
            </w:r>
            <w:r w:rsidR="00B52830">
              <w:rPr>
                <w:bCs/>
                <w:color w:val="000000"/>
              </w:rPr>
              <w:noBreakHyphen/>
            </w:r>
            <w:r w:rsidRPr="007C67FC" w:rsidR="00F15FFA">
              <w:rPr>
                <w:bCs/>
                <w:color w:val="000000"/>
              </w:rPr>
              <w:t>12</w:t>
            </w:r>
            <w:r w:rsidR="00B52830">
              <w:rPr>
                <w:bCs/>
                <w:color w:val="000000"/>
              </w:rPr>
              <w:noBreakHyphen/>
            </w:r>
            <w:r w:rsidRPr="007C67FC" w:rsidR="00F15FFA">
              <w:rPr>
                <w:bCs/>
                <w:color w:val="000000"/>
              </w:rPr>
              <w:t>031</w:t>
            </w:r>
            <w:r w:rsidRPr="00536F0C" w:rsidR="00F15FFA">
              <w:rPr>
                <w:bCs/>
                <w:color w:val="000000"/>
              </w:rPr>
              <w:t>.</w:t>
            </w:r>
            <w:r w:rsidRPr="00536F0C" w:rsidR="00F15FFA">
              <w:rPr>
                <w:rStyle w:val="FootnoteReference"/>
                <w:bCs/>
                <w:color w:val="000000"/>
              </w:rPr>
              <w:footnoteReference w:id="3"/>
            </w:r>
          </w:p>
        </w:tc>
      </w:tr>
    </w:tbl>
    <w:p w:rsidRPr="00536F0C" w:rsidR="00A92D0B" w:rsidP="008F5F5F" w:rsidRDefault="005A63D4" w14:paraId="2FBF046C" w14:textId="52E85D9B">
      <w:pPr>
        <w:keepNext/>
        <w:numPr>
          <w:ilvl w:val="0"/>
          <w:numId w:val="5"/>
        </w:numPr>
        <w:spacing w:before="240" w:after="240"/>
        <w:rPr>
          <w:b/>
          <w:color w:val="000000"/>
        </w:rPr>
      </w:pPr>
      <w:r w:rsidRPr="00536F0C">
        <w:rPr>
          <w:b/>
          <w:color w:val="000000"/>
        </w:rPr>
        <w:lastRenderedPageBreak/>
        <w:t xml:space="preserve">Intervenor </w:t>
      </w:r>
      <w:r w:rsidRPr="00536F0C" w:rsidR="00A92D0B">
        <w:rPr>
          <w:b/>
          <w:color w:val="000000"/>
        </w:rPr>
        <w:t xml:space="preserve">must satisfy intervenor compensation </w:t>
      </w:r>
      <w:r w:rsidRPr="00536F0C" w:rsidR="00DE3A5D">
        <w:rPr>
          <w:b/>
          <w:color w:val="000000"/>
        </w:rPr>
        <w:t xml:space="preserve">requirements set forth in </w:t>
      </w:r>
      <w:r w:rsidR="004E6167">
        <w:rPr>
          <w:b/>
          <w:color w:val="000000"/>
        </w:rPr>
        <w:t>Pub. Util.</w:t>
      </w:r>
      <w:r w:rsidRPr="00536F0C" w:rsidR="00A92D0B">
        <w:rPr>
          <w:b/>
          <w:color w:val="000000"/>
        </w:rPr>
        <w:t xml:space="preserve"> Code </w:t>
      </w:r>
      <w:r w:rsidR="004E6167">
        <w:rPr>
          <w:b/>
          <w:color w:val="000000"/>
        </w:rPr>
        <w:t>§§ </w:t>
      </w:r>
      <w:r w:rsidRPr="00536F0C" w:rsidR="00A92D0B">
        <w:rPr>
          <w:b/>
          <w:color w:val="000000"/>
        </w:rPr>
        <w:t>1801</w:t>
      </w:r>
      <w:r w:rsidR="00B52830">
        <w:rPr>
          <w:b/>
          <w:color w:val="000000"/>
        </w:rPr>
        <w:noBreakHyphen/>
      </w:r>
      <w:r w:rsidRPr="00536F0C" w:rsidR="00A92D0B">
        <w:rPr>
          <w:b/>
          <w:color w:val="000000"/>
        </w:rPr>
        <w:t>1812</w:t>
      </w:r>
      <w:r w:rsidRPr="00536F0C" w:rsidR="003B6A1B">
        <w:rPr>
          <w:rStyle w:val="FootnoteReference"/>
          <w:b/>
          <w:color w:val="000000"/>
        </w:rPr>
        <w:footnoteReference w:id="4"/>
      </w:r>
      <w:r w:rsidRPr="00536F0C"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4817"/>
        <w:gridCol w:w="2267"/>
        <w:gridCol w:w="2276"/>
      </w:tblGrid>
      <w:tr w:rsidRPr="00536F0C" w:rsidR="00A92D0B" w:rsidTr="00B46081" w14:paraId="640CF70A" w14:textId="77777777">
        <w:trPr>
          <w:tblHeader/>
        </w:trPr>
        <w:tc>
          <w:tcPr>
            <w:tcW w:w="4817" w:type="dxa"/>
            <w:tcBorders>
              <w:bottom w:val="single" w:color="auto" w:sz="4" w:space="0"/>
            </w:tcBorders>
            <w:shd w:val="clear" w:color="auto" w:fill="D9D9D9" w:themeFill="background1" w:themeFillShade="D9"/>
            <w:vAlign w:val="bottom"/>
          </w:tcPr>
          <w:p w:rsidRPr="00536F0C" w:rsidR="00A92D0B" w:rsidP="00B46081" w:rsidRDefault="00A92D0B" w14:paraId="409E4D92" w14:textId="77777777">
            <w:pPr>
              <w:keepNext/>
              <w:tabs>
                <w:tab w:val="left" w:pos="360"/>
              </w:tabs>
              <w:jc w:val="center"/>
              <w:rPr>
                <w:color w:val="000000"/>
              </w:rPr>
            </w:pPr>
          </w:p>
        </w:tc>
        <w:tc>
          <w:tcPr>
            <w:tcW w:w="2267" w:type="dxa"/>
            <w:tcBorders>
              <w:bottom w:val="single" w:color="auto" w:sz="4" w:space="0"/>
            </w:tcBorders>
            <w:shd w:val="clear" w:color="auto" w:fill="D9D9D9" w:themeFill="background1" w:themeFillShade="D9"/>
            <w:vAlign w:val="bottom"/>
          </w:tcPr>
          <w:p w:rsidRPr="00536F0C" w:rsidR="00A92D0B" w:rsidP="00B46081" w:rsidRDefault="005A63D4" w14:paraId="1412A3C6" w14:textId="77777777">
            <w:pPr>
              <w:keepNext/>
              <w:tabs>
                <w:tab w:val="left" w:pos="360"/>
              </w:tabs>
              <w:jc w:val="center"/>
              <w:rPr>
                <w:b/>
                <w:color w:val="000000"/>
              </w:rPr>
            </w:pPr>
            <w:r w:rsidRPr="00536F0C">
              <w:rPr>
                <w:b/>
                <w:color w:val="000000"/>
              </w:rPr>
              <w:t>Intervenor</w:t>
            </w:r>
          </w:p>
        </w:tc>
        <w:tc>
          <w:tcPr>
            <w:tcW w:w="2276" w:type="dxa"/>
            <w:tcBorders>
              <w:bottom w:val="single" w:color="auto" w:sz="4" w:space="0"/>
            </w:tcBorders>
            <w:shd w:val="clear" w:color="auto" w:fill="D9D9D9" w:themeFill="background1" w:themeFillShade="D9"/>
            <w:vAlign w:val="bottom"/>
          </w:tcPr>
          <w:p w:rsidRPr="00536F0C" w:rsidR="00A92D0B" w:rsidP="00B46081" w:rsidRDefault="00A92D0B" w14:paraId="2A218C38" w14:textId="386C9A6A">
            <w:pPr>
              <w:keepNext/>
              <w:tabs>
                <w:tab w:val="left" w:pos="360"/>
              </w:tabs>
              <w:jc w:val="center"/>
              <w:rPr>
                <w:b/>
                <w:color w:val="000000"/>
              </w:rPr>
            </w:pPr>
            <w:r w:rsidRPr="00536F0C">
              <w:rPr>
                <w:b/>
                <w:color w:val="000000"/>
              </w:rPr>
              <w:t xml:space="preserve">CPUC </w:t>
            </w:r>
            <w:r w:rsidRPr="00536F0C" w:rsidR="0081626F">
              <w:rPr>
                <w:b/>
                <w:color w:val="000000"/>
              </w:rPr>
              <w:t>Verification</w:t>
            </w:r>
          </w:p>
        </w:tc>
      </w:tr>
      <w:tr w:rsidRPr="00536F0C" w:rsidR="00A92D0B" w:rsidTr="00B46081"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536F0C" w:rsidR="00A92D0B" w:rsidP="00B46081" w:rsidRDefault="00A92D0B" w14:paraId="606E2B66" w14:textId="0C9A8628">
            <w:pPr>
              <w:keepNext/>
              <w:tabs>
                <w:tab w:val="left" w:pos="360"/>
              </w:tabs>
              <w:jc w:val="center"/>
              <w:rPr>
                <w:b/>
              </w:rPr>
            </w:pPr>
            <w:r w:rsidRPr="00536F0C">
              <w:rPr>
                <w:b/>
              </w:rPr>
              <w:t>Timely filing of notice of intent to claim compensation (NOI) (</w:t>
            </w:r>
            <w:r w:rsidR="004E6167">
              <w:rPr>
                <w:b/>
              </w:rPr>
              <w:t>§ </w:t>
            </w:r>
            <w:r w:rsidRPr="00536F0C">
              <w:rPr>
                <w:b/>
              </w:rPr>
              <w:t>1804(a)):</w:t>
            </w:r>
          </w:p>
        </w:tc>
      </w:tr>
      <w:tr w:rsidRPr="00536F0C" w:rsidR="00A92D0B" w:rsidTr="00914B38" w14:paraId="160E284A" w14:textId="77777777">
        <w:tc>
          <w:tcPr>
            <w:tcW w:w="4817" w:type="dxa"/>
            <w:tcBorders>
              <w:top w:val="single" w:color="auto" w:sz="4" w:space="0"/>
            </w:tcBorders>
          </w:tcPr>
          <w:p w:rsidRPr="00536F0C" w:rsidR="00A92D0B" w:rsidP="008F5F5F" w:rsidRDefault="00A92D0B" w14:paraId="44D1876C" w14:textId="478A95F3">
            <w:pPr>
              <w:keepNext/>
              <w:tabs>
                <w:tab w:val="left" w:pos="360"/>
              </w:tabs>
              <w:ind w:left="360" w:hanging="360"/>
              <w:rPr>
                <w:color w:val="000000"/>
              </w:rPr>
            </w:pPr>
            <w:r w:rsidRPr="00536F0C">
              <w:rPr>
                <w:color w:val="000000"/>
              </w:rPr>
              <w:t>1.</w:t>
            </w:r>
            <w:r w:rsidRPr="00536F0C" w:rsidR="001E7EE2">
              <w:rPr>
                <w:color w:val="000000"/>
              </w:rPr>
              <w:tab/>
            </w:r>
            <w:r w:rsidRPr="00536F0C">
              <w:rPr>
                <w:color w:val="000000"/>
              </w:rPr>
              <w:t>Date of Prehearing Conference:</w:t>
            </w:r>
          </w:p>
        </w:tc>
        <w:tc>
          <w:tcPr>
            <w:tcW w:w="2267" w:type="dxa"/>
            <w:tcBorders>
              <w:top w:val="single" w:color="auto" w:sz="4" w:space="0"/>
            </w:tcBorders>
          </w:tcPr>
          <w:p w:rsidRPr="00536F0C" w:rsidR="00A92D0B" w:rsidP="008F5F5F" w:rsidRDefault="001B121B" w14:paraId="35450816" w14:textId="48F5DC8E">
            <w:pPr>
              <w:keepNext/>
              <w:tabs>
                <w:tab w:val="left" w:pos="360"/>
              </w:tabs>
              <w:ind w:left="360" w:hanging="360"/>
              <w:rPr>
                <w:color w:val="000000"/>
              </w:rPr>
            </w:pPr>
            <w:r w:rsidRPr="00536F0C">
              <w:rPr>
                <w:color w:val="000000"/>
              </w:rPr>
              <w:t>07/06/</w:t>
            </w:r>
            <w:r w:rsidRPr="00536F0C" w:rsidR="00BC34EB">
              <w:rPr>
                <w:color w:val="000000"/>
              </w:rPr>
              <w:t>2022</w:t>
            </w:r>
          </w:p>
        </w:tc>
        <w:tc>
          <w:tcPr>
            <w:tcW w:w="2276" w:type="dxa"/>
            <w:tcBorders>
              <w:top w:val="single" w:color="auto" w:sz="4" w:space="0"/>
            </w:tcBorders>
          </w:tcPr>
          <w:p w:rsidRPr="00536F0C" w:rsidR="00A92D0B" w:rsidP="008F5F5F" w:rsidRDefault="0026522E" w14:paraId="34540344" w14:textId="2203E3FA">
            <w:pPr>
              <w:keepNext/>
              <w:tabs>
                <w:tab w:val="left" w:pos="360"/>
              </w:tabs>
              <w:jc w:val="both"/>
              <w:rPr>
                <w:color w:val="000000"/>
              </w:rPr>
            </w:pPr>
            <w:r>
              <w:rPr>
                <w:color w:val="000000"/>
              </w:rPr>
              <w:t>Verified</w:t>
            </w:r>
          </w:p>
        </w:tc>
      </w:tr>
      <w:tr w:rsidRPr="00536F0C" w:rsidR="00A92D0B" w:rsidTr="00914B38" w14:paraId="24C85564" w14:textId="77777777">
        <w:tc>
          <w:tcPr>
            <w:tcW w:w="4817" w:type="dxa"/>
          </w:tcPr>
          <w:p w:rsidRPr="00536F0C" w:rsidR="00A92D0B" w:rsidP="008F5F5F" w:rsidRDefault="00A92D0B" w14:paraId="382C5788" w14:textId="49F0E39E">
            <w:pPr>
              <w:tabs>
                <w:tab w:val="left" w:pos="360"/>
              </w:tabs>
              <w:ind w:left="360" w:hanging="360"/>
              <w:rPr>
                <w:color w:val="000000"/>
              </w:rPr>
            </w:pPr>
            <w:r w:rsidRPr="00536F0C">
              <w:rPr>
                <w:color w:val="000000"/>
              </w:rPr>
              <w:t>2.</w:t>
            </w:r>
            <w:r w:rsidRPr="00536F0C" w:rsidR="001E7EE2">
              <w:rPr>
                <w:color w:val="000000"/>
              </w:rPr>
              <w:tab/>
            </w:r>
            <w:r w:rsidRPr="00536F0C">
              <w:rPr>
                <w:color w:val="000000"/>
              </w:rPr>
              <w:t xml:space="preserve">Other </w:t>
            </w:r>
            <w:r w:rsidRPr="00536F0C" w:rsidR="00A319DE">
              <w:rPr>
                <w:color w:val="000000"/>
              </w:rPr>
              <w:t>s</w:t>
            </w:r>
            <w:r w:rsidRPr="00536F0C">
              <w:rPr>
                <w:color w:val="000000"/>
              </w:rPr>
              <w:t xml:space="preserve">pecified </w:t>
            </w:r>
            <w:r w:rsidRPr="00536F0C" w:rsidR="00A319DE">
              <w:rPr>
                <w:color w:val="000000"/>
              </w:rPr>
              <w:t>d</w:t>
            </w:r>
            <w:r w:rsidRPr="00536F0C">
              <w:rPr>
                <w:color w:val="000000"/>
              </w:rPr>
              <w:t>ate for NOI:</w:t>
            </w:r>
          </w:p>
        </w:tc>
        <w:tc>
          <w:tcPr>
            <w:tcW w:w="2267" w:type="dxa"/>
          </w:tcPr>
          <w:p w:rsidRPr="00536F0C" w:rsidR="00A92D0B" w:rsidP="008F5F5F" w:rsidRDefault="003E1B45" w14:paraId="1826BC2C" w14:textId="6D92C8B0">
            <w:pPr>
              <w:keepNext/>
              <w:tabs>
                <w:tab w:val="left" w:pos="360"/>
              </w:tabs>
              <w:ind w:left="360" w:hanging="360"/>
              <w:rPr>
                <w:color w:val="000000"/>
              </w:rPr>
            </w:pPr>
            <w:r w:rsidRPr="00536F0C">
              <w:rPr>
                <w:color w:val="000000"/>
              </w:rPr>
              <w:t>n/a</w:t>
            </w:r>
          </w:p>
        </w:tc>
        <w:tc>
          <w:tcPr>
            <w:tcW w:w="2276" w:type="dxa"/>
          </w:tcPr>
          <w:p w:rsidRPr="00536F0C" w:rsidR="00A92D0B" w:rsidP="008F5F5F" w:rsidRDefault="00A92D0B" w14:paraId="210DAD91" w14:textId="77777777">
            <w:pPr>
              <w:tabs>
                <w:tab w:val="left" w:pos="360"/>
              </w:tabs>
              <w:jc w:val="both"/>
              <w:rPr>
                <w:color w:val="000000"/>
              </w:rPr>
            </w:pPr>
          </w:p>
        </w:tc>
      </w:tr>
      <w:tr w:rsidRPr="00536F0C" w:rsidR="00A92D0B" w:rsidTr="00914B38" w14:paraId="4836EEA6" w14:textId="77777777">
        <w:tc>
          <w:tcPr>
            <w:tcW w:w="4817" w:type="dxa"/>
          </w:tcPr>
          <w:p w:rsidRPr="00536F0C" w:rsidR="00A92D0B" w:rsidP="008F5F5F" w:rsidRDefault="00A92D0B" w14:paraId="34809C45" w14:textId="2501A8A3">
            <w:pPr>
              <w:tabs>
                <w:tab w:val="left" w:pos="360"/>
              </w:tabs>
              <w:ind w:left="360" w:hanging="360"/>
              <w:rPr>
                <w:color w:val="000000"/>
              </w:rPr>
            </w:pPr>
            <w:r w:rsidRPr="00536F0C">
              <w:rPr>
                <w:color w:val="000000"/>
              </w:rPr>
              <w:t>3.</w:t>
            </w:r>
            <w:r w:rsidRPr="00536F0C" w:rsidR="001E7EE2">
              <w:rPr>
                <w:color w:val="000000"/>
              </w:rPr>
              <w:tab/>
            </w:r>
            <w:r w:rsidRPr="00536F0C">
              <w:rPr>
                <w:color w:val="000000"/>
              </w:rPr>
              <w:t xml:space="preserve">Date NOI </w:t>
            </w:r>
            <w:r w:rsidRPr="00536F0C" w:rsidR="00A319DE">
              <w:rPr>
                <w:color w:val="000000"/>
              </w:rPr>
              <w:t>f</w:t>
            </w:r>
            <w:r w:rsidRPr="00536F0C">
              <w:rPr>
                <w:color w:val="000000"/>
              </w:rPr>
              <w:t>iled:</w:t>
            </w:r>
          </w:p>
        </w:tc>
        <w:tc>
          <w:tcPr>
            <w:tcW w:w="2267" w:type="dxa"/>
            <w:tcBorders>
              <w:bottom w:val="single" w:color="auto" w:sz="4" w:space="0"/>
            </w:tcBorders>
          </w:tcPr>
          <w:p w:rsidRPr="00536F0C" w:rsidR="006B3F47" w:rsidP="008F5F5F" w:rsidRDefault="001B121B" w14:paraId="44F7CCB9" w14:textId="7AF83C93">
            <w:pPr>
              <w:keepNext/>
              <w:tabs>
                <w:tab w:val="left" w:pos="360"/>
              </w:tabs>
              <w:ind w:left="360" w:hanging="360"/>
              <w:rPr>
                <w:color w:val="000000"/>
              </w:rPr>
            </w:pPr>
            <w:r w:rsidRPr="00536F0C">
              <w:rPr>
                <w:color w:val="000000"/>
              </w:rPr>
              <w:t>0</w:t>
            </w:r>
            <w:r w:rsidRPr="00536F0C" w:rsidR="003B1E34">
              <w:rPr>
                <w:color w:val="000000"/>
              </w:rPr>
              <w:t>8/</w:t>
            </w:r>
            <w:r w:rsidRPr="00536F0C">
              <w:rPr>
                <w:color w:val="000000"/>
              </w:rPr>
              <w:t>0</w:t>
            </w:r>
            <w:r w:rsidRPr="00536F0C" w:rsidR="006B3F47">
              <w:rPr>
                <w:color w:val="000000"/>
              </w:rPr>
              <w:t>4/2022</w:t>
            </w:r>
          </w:p>
        </w:tc>
        <w:tc>
          <w:tcPr>
            <w:tcW w:w="2276" w:type="dxa"/>
            <w:tcBorders>
              <w:bottom w:val="single" w:color="auto" w:sz="4" w:space="0"/>
            </w:tcBorders>
          </w:tcPr>
          <w:p w:rsidRPr="00536F0C" w:rsidR="00A92D0B" w:rsidP="008F5F5F" w:rsidRDefault="0026522E" w14:paraId="71759DE3" w14:textId="4B9393EE">
            <w:pPr>
              <w:tabs>
                <w:tab w:val="left" w:pos="360"/>
              </w:tabs>
              <w:jc w:val="both"/>
              <w:rPr>
                <w:color w:val="000000"/>
              </w:rPr>
            </w:pPr>
            <w:r>
              <w:rPr>
                <w:color w:val="000000"/>
              </w:rPr>
              <w:t xml:space="preserve">Verified </w:t>
            </w:r>
          </w:p>
        </w:tc>
      </w:tr>
      <w:tr w:rsidRPr="00536F0C" w:rsidR="00A92D0B" w:rsidTr="00914B38" w14:paraId="22BBCDE3" w14:textId="77777777">
        <w:tc>
          <w:tcPr>
            <w:tcW w:w="7084" w:type="dxa"/>
            <w:gridSpan w:val="2"/>
            <w:tcBorders>
              <w:bottom w:val="single" w:color="auto" w:sz="4" w:space="0"/>
            </w:tcBorders>
          </w:tcPr>
          <w:p w:rsidRPr="00536F0C" w:rsidR="00A92D0B" w:rsidP="008F5F5F" w:rsidRDefault="00A92D0B" w14:paraId="7E6E2068" w14:textId="1D4DD6B8">
            <w:pPr>
              <w:tabs>
                <w:tab w:val="left" w:pos="360"/>
              </w:tabs>
              <w:ind w:left="360" w:hanging="360"/>
              <w:rPr>
                <w:color w:val="000000"/>
              </w:rPr>
            </w:pPr>
            <w:r w:rsidRPr="00536F0C">
              <w:rPr>
                <w:color w:val="000000"/>
              </w:rPr>
              <w:t>4.</w:t>
            </w:r>
            <w:r w:rsidRPr="00536F0C" w:rsidR="001E7EE2">
              <w:rPr>
                <w:color w:val="000000"/>
              </w:rPr>
              <w:tab/>
            </w:r>
            <w:r w:rsidRPr="00536F0C">
              <w:rPr>
                <w:color w:val="000000"/>
              </w:rPr>
              <w:t>Was the NOI timely filed?</w:t>
            </w:r>
          </w:p>
        </w:tc>
        <w:tc>
          <w:tcPr>
            <w:tcW w:w="2276" w:type="dxa"/>
            <w:tcBorders>
              <w:bottom w:val="single" w:color="auto" w:sz="4" w:space="0"/>
            </w:tcBorders>
          </w:tcPr>
          <w:p w:rsidRPr="00536F0C" w:rsidR="00A92D0B" w:rsidP="008F5F5F" w:rsidRDefault="0026522E" w14:paraId="61DE2845" w14:textId="2A1D7A47">
            <w:pPr>
              <w:tabs>
                <w:tab w:val="left" w:pos="360"/>
              </w:tabs>
              <w:rPr>
                <w:color w:val="000000"/>
              </w:rPr>
            </w:pPr>
            <w:r>
              <w:rPr>
                <w:color w:val="000000"/>
              </w:rPr>
              <w:t>Yes</w:t>
            </w:r>
          </w:p>
        </w:tc>
      </w:tr>
      <w:tr w:rsidRPr="00536F0C" w:rsidR="00A92D0B" w:rsidTr="00B46081"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536F0C" w:rsidR="00F028C8" w:rsidP="00B46081" w:rsidRDefault="00A92D0B" w14:paraId="003AB151" w14:textId="2E8492DD">
            <w:pPr>
              <w:keepNext/>
              <w:tabs>
                <w:tab w:val="left" w:pos="360"/>
              </w:tabs>
              <w:jc w:val="center"/>
              <w:rPr>
                <w:b/>
                <w:color w:val="000000"/>
              </w:rPr>
            </w:pPr>
            <w:r w:rsidRPr="00536F0C">
              <w:rPr>
                <w:b/>
                <w:color w:val="000000"/>
              </w:rPr>
              <w:t xml:space="preserve">Showing of </w:t>
            </w:r>
            <w:r w:rsidRPr="00536F0C" w:rsidR="00F63C29">
              <w:rPr>
                <w:b/>
                <w:color w:val="000000"/>
              </w:rPr>
              <w:t xml:space="preserve">eligible </w:t>
            </w:r>
            <w:r w:rsidRPr="00536F0C">
              <w:rPr>
                <w:b/>
                <w:color w:val="000000"/>
              </w:rPr>
              <w:t xml:space="preserve">customer </w:t>
            </w:r>
            <w:r w:rsidRPr="00536F0C" w:rsidR="00F63C29">
              <w:rPr>
                <w:b/>
                <w:color w:val="000000"/>
              </w:rPr>
              <w:t>status (</w:t>
            </w:r>
            <w:r w:rsidR="004E6167">
              <w:rPr>
                <w:b/>
                <w:color w:val="000000"/>
              </w:rPr>
              <w:t>§ </w:t>
            </w:r>
            <w:r w:rsidRPr="00536F0C" w:rsidR="00F63C29">
              <w:rPr>
                <w:b/>
                <w:color w:val="000000"/>
              </w:rPr>
              <w:t>1802(b)</w:t>
            </w:r>
            <w:r w:rsidRPr="00536F0C" w:rsidR="00F028C8">
              <w:rPr>
                <w:b/>
                <w:color w:val="000000"/>
              </w:rPr>
              <w:t>)</w:t>
            </w:r>
          </w:p>
          <w:p w:rsidRPr="00536F0C" w:rsidR="00A92D0B" w:rsidP="00B46081" w:rsidRDefault="00F63C29" w14:paraId="19D649BF" w14:textId="50D355A8">
            <w:pPr>
              <w:keepNext/>
              <w:tabs>
                <w:tab w:val="left" w:pos="360"/>
              </w:tabs>
              <w:jc w:val="center"/>
              <w:rPr>
                <w:b/>
                <w:color w:val="000000"/>
              </w:rPr>
            </w:pPr>
            <w:r w:rsidRPr="00536F0C">
              <w:rPr>
                <w:b/>
                <w:color w:val="000000"/>
              </w:rPr>
              <w:t xml:space="preserve">or eligible local government entity </w:t>
            </w:r>
            <w:r w:rsidRPr="00536F0C" w:rsidR="00ED6B6B">
              <w:rPr>
                <w:b/>
                <w:color w:val="000000"/>
              </w:rPr>
              <w:t>status</w:t>
            </w:r>
            <w:r w:rsidRPr="00536F0C" w:rsidR="00F028C8">
              <w:rPr>
                <w:b/>
                <w:color w:val="000000"/>
              </w:rPr>
              <w:t xml:space="preserve"> </w:t>
            </w:r>
            <w:r w:rsidRPr="00536F0C">
              <w:rPr>
                <w:b/>
                <w:color w:val="000000"/>
              </w:rPr>
              <w:t>(</w:t>
            </w:r>
            <w:r w:rsidR="004E6167">
              <w:rPr>
                <w:b/>
                <w:color w:val="000000"/>
              </w:rPr>
              <w:t>§§ </w:t>
            </w:r>
            <w:r w:rsidRPr="00536F0C">
              <w:rPr>
                <w:b/>
                <w:color w:val="000000"/>
              </w:rPr>
              <w:t>1802(d), 1802.4)</w:t>
            </w:r>
            <w:r w:rsidRPr="00536F0C" w:rsidR="00A92D0B">
              <w:rPr>
                <w:b/>
                <w:color w:val="000000"/>
              </w:rPr>
              <w:t>:</w:t>
            </w:r>
          </w:p>
        </w:tc>
      </w:tr>
      <w:tr w:rsidRPr="00536F0C" w:rsidR="00A92D0B" w:rsidTr="00914B38" w14:paraId="259EC227" w14:textId="77777777">
        <w:tc>
          <w:tcPr>
            <w:tcW w:w="4817" w:type="dxa"/>
            <w:tcBorders>
              <w:top w:val="single" w:color="auto" w:sz="4" w:space="0"/>
            </w:tcBorders>
          </w:tcPr>
          <w:p w:rsidRPr="00536F0C" w:rsidR="00A92D0B" w:rsidP="008F5F5F" w:rsidRDefault="00A92D0B" w14:paraId="0EFCD0E9" w14:textId="3FB6651A">
            <w:pPr>
              <w:keepNext/>
              <w:ind w:left="360" w:hanging="360"/>
              <w:rPr>
                <w:color w:val="000000"/>
              </w:rPr>
            </w:pPr>
            <w:r w:rsidRPr="00536F0C">
              <w:rPr>
                <w:color w:val="000000"/>
              </w:rPr>
              <w:t>5.</w:t>
            </w:r>
            <w:r w:rsidRPr="00536F0C" w:rsidR="001E7EE2">
              <w:rPr>
                <w:color w:val="000000"/>
              </w:rPr>
              <w:tab/>
            </w:r>
            <w:r w:rsidRPr="00536F0C">
              <w:rPr>
                <w:color w:val="000000"/>
              </w:rPr>
              <w:t>Based on ALJ ruling issued in proceeding number:</w:t>
            </w:r>
          </w:p>
        </w:tc>
        <w:tc>
          <w:tcPr>
            <w:tcW w:w="2267" w:type="dxa"/>
            <w:tcBorders>
              <w:top w:val="single" w:color="auto" w:sz="4" w:space="0"/>
            </w:tcBorders>
          </w:tcPr>
          <w:p w:rsidRPr="00536F0C" w:rsidR="00A92D0B" w:rsidP="004E6167" w:rsidRDefault="00C34C03" w14:paraId="13E72B6D" w14:textId="698252BA">
            <w:pPr>
              <w:keepNext/>
              <w:tabs>
                <w:tab w:val="left" w:pos="360"/>
              </w:tabs>
              <w:ind w:left="360" w:hanging="360"/>
              <w:rPr>
                <w:color w:val="000000"/>
              </w:rPr>
            </w:pPr>
            <w:r w:rsidRPr="00536F0C">
              <w:rPr>
                <w:color w:val="000000"/>
              </w:rPr>
              <w:t>A.21</w:t>
            </w:r>
            <w:r w:rsidR="00B52830">
              <w:rPr>
                <w:color w:val="000000"/>
              </w:rPr>
              <w:noBreakHyphen/>
            </w:r>
            <w:r w:rsidRPr="00536F0C">
              <w:rPr>
                <w:color w:val="000000"/>
              </w:rPr>
              <w:t>05</w:t>
            </w:r>
            <w:r w:rsidR="00B52830">
              <w:rPr>
                <w:color w:val="000000"/>
              </w:rPr>
              <w:noBreakHyphen/>
            </w:r>
            <w:r w:rsidRPr="00536F0C">
              <w:rPr>
                <w:color w:val="000000"/>
              </w:rPr>
              <w:t xml:space="preserve">011, </w:t>
            </w:r>
            <w:r w:rsidR="00B52830">
              <w:rPr>
                <w:color w:val="000000"/>
              </w:rPr>
              <w:noBreakHyphen/>
            </w:r>
            <w:r w:rsidRPr="00536F0C">
              <w:rPr>
                <w:color w:val="000000"/>
              </w:rPr>
              <w:t>014</w:t>
            </w:r>
          </w:p>
        </w:tc>
        <w:tc>
          <w:tcPr>
            <w:tcW w:w="2276" w:type="dxa"/>
            <w:tcBorders>
              <w:top w:val="single" w:color="auto" w:sz="4" w:space="0"/>
            </w:tcBorders>
          </w:tcPr>
          <w:p w:rsidRPr="00536F0C" w:rsidR="00A92D0B" w:rsidP="008F5F5F" w:rsidRDefault="001152B5" w14:paraId="2679B197" w14:textId="35A0A773">
            <w:pPr>
              <w:keepNext/>
              <w:tabs>
                <w:tab w:val="left" w:pos="360"/>
              </w:tabs>
              <w:rPr>
                <w:color w:val="000000"/>
              </w:rPr>
            </w:pPr>
            <w:r>
              <w:rPr>
                <w:color w:val="000000"/>
              </w:rPr>
              <w:t>Verified</w:t>
            </w:r>
          </w:p>
        </w:tc>
      </w:tr>
      <w:tr w:rsidRPr="00536F0C" w:rsidR="00A92D0B" w:rsidTr="00914B38" w14:paraId="4E0FB3B6" w14:textId="77777777">
        <w:tc>
          <w:tcPr>
            <w:tcW w:w="4817" w:type="dxa"/>
          </w:tcPr>
          <w:p w:rsidRPr="00536F0C" w:rsidR="00A92D0B" w:rsidP="008F5F5F" w:rsidRDefault="00A92D0B" w14:paraId="568B12E8" w14:textId="6121FC05">
            <w:pPr>
              <w:tabs>
                <w:tab w:val="left" w:pos="360"/>
              </w:tabs>
              <w:ind w:left="360" w:hanging="360"/>
              <w:rPr>
                <w:color w:val="000000"/>
              </w:rPr>
            </w:pPr>
            <w:r w:rsidRPr="00536F0C">
              <w:rPr>
                <w:color w:val="000000"/>
              </w:rPr>
              <w:t>6.</w:t>
            </w:r>
            <w:r w:rsidRPr="00536F0C" w:rsidR="001E7EE2">
              <w:rPr>
                <w:color w:val="000000"/>
              </w:rPr>
              <w:tab/>
            </w:r>
            <w:r w:rsidRPr="00536F0C">
              <w:rPr>
                <w:color w:val="000000"/>
              </w:rPr>
              <w:t>Date of ALJ ruling:</w:t>
            </w:r>
          </w:p>
        </w:tc>
        <w:tc>
          <w:tcPr>
            <w:tcW w:w="2267" w:type="dxa"/>
          </w:tcPr>
          <w:p w:rsidRPr="00536F0C" w:rsidR="00A92D0B" w:rsidP="008F5F5F" w:rsidRDefault="00C34C03" w14:paraId="306125B9" w14:textId="7BA7E22C">
            <w:pPr>
              <w:tabs>
                <w:tab w:val="left" w:pos="360"/>
              </w:tabs>
              <w:ind w:left="360" w:hanging="360"/>
              <w:rPr>
                <w:color w:val="000000"/>
              </w:rPr>
            </w:pPr>
            <w:r w:rsidRPr="00536F0C">
              <w:rPr>
                <w:color w:val="000000"/>
              </w:rPr>
              <w:t>10/28/2021</w:t>
            </w:r>
          </w:p>
        </w:tc>
        <w:tc>
          <w:tcPr>
            <w:tcW w:w="2276" w:type="dxa"/>
          </w:tcPr>
          <w:p w:rsidRPr="00536F0C" w:rsidR="00A92D0B" w:rsidP="008F5F5F" w:rsidRDefault="001152B5" w14:paraId="19F10313" w14:textId="0099A11E">
            <w:pPr>
              <w:tabs>
                <w:tab w:val="left" w:pos="360"/>
              </w:tabs>
              <w:rPr>
                <w:color w:val="000000"/>
              </w:rPr>
            </w:pPr>
            <w:r>
              <w:rPr>
                <w:color w:val="000000"/>
              </w:rPr>
              <w:t>Verified</w:t>
            </w:r>
          </w:p>
        </w:tc>
      </w:tr>
      <w:tr w:rsidRPr="00536F0C" w:rsidR="00A92D0B" w:rsidTr="00914B38" w14:paraId="7F6C1E54" w14:textId="77777777">
        <w:tc>
          <w:tcPr>
            <w:tcW w:w="4817" w:type="dxa"/>
          </w:tcPr>
          <w:p w:rsidRPr="00536F0C" w:rsidR="00A92D0B" w:rsidP="008F5F5F" w:rsidRDefault="00A92D0B" w14:paraId="4B6E35B7" w14:textId="56E59D65">
            <w:pPr>
              <w:tabs>
                <w:tab w:val="left" w:pos="360"/>
              </w:tabs>
              <w:ind w:left="360" w:hanging="360"/>
              <w:rPr>
                <w:color w:val="000000"/>
              </w:rPr>
            </w:pPr>
            <w:r w:rsidRPr="00536F0C">
              <w:rPr>
                <w:color w:val="000000"/>
              </w:rPr>
              <w:t>7.</w:t>
            </w:r>
            <w:r w:rsidRPr="00536F0C" w:rsidR="001E7EE2">
              <w:rPr>
                <w:color w:val="000000"/>
              </w:rPr>
              <w:tab/>
            </w:r>
            <w:r w:rsidRPr="00536F0C">
              <w:rPr>
                <w:color w:val="000000"/>
              </w:rPr>
              <w:t>Based on another CPUC determination (specify):</w:t>
            </w:r>
          </w:p>
        </w:tc>
        <w:tc>
          <w:tcPr>
            <w:tcW w:w="2267" w:type="dxa"/>
            <w:tcBorders>
              <w:bottom w:val="single" w:color="auto" w:sz="4" w:space="0"/>
            </w:tcBorders>
          </w:tcPr>
          <w:p w:rsidRPr="00536F0C" w:rsidR="00A92D0B" w:rsidP="008F5F5F" w:rsidRDefault="00C34C03" w14:paraId="5E0F9D32" w14:textId="2C5900B9">
            <w:pPr>
              <w:tabs>
                <w:tab w:val="left" w:pos="360"/>
              </w:tabs>
              <w:ind w:left="360" w:hanging="360"/>
              <w:rPr>
                <w:color w:val="000000"/>
              </w:rPr>
            </w:pPr>
            <w:r w:rsidRPr="00536F0C">
              <w:rPr>
                <w:color w:val="000000"/>
              </w:rPr>
              <w:t>n/a</w:t>
            </w:r>
          </w:p>
        </w:tc>
        <w:tc>
          <w:tcPr>
            <w:tcW w:w="2276" w:type="dxa"/>
            <w:tcBorders>
              <w:bottom w:val="single" w:color="auto" w:sz="4" w:space="0"/>
            </w:tcBorders>
          </w:tcPr>
          <w:p w:rsidRPr="00536F0C" w:rsidR="00A92D0B" w:rsidP="008F5F5F" w:rsidRDefault="00A92D0B" w14:paraId="180E80B3" w14:textId="77777777">
            <w:pPr>
              <w:tabs>
                <w:tab w:val="left" w:pos="360"/>
              </w:tabs>
              <w:rPr>
                <w:color w:val="000000"/>
              </w:rPr>
            </w:pPr>
          </w:p>
        </w:tc>
      </w:tr>
      <w:tr w:rsidRPr="00536F0C" w:rsidR="00A92D0B" w:rsidTr="00914B38" w14:paraId="397CC4AD" w14:textId="77777777">
        <w:tc>
          <w:tcPr>
            <w:tcW w:w="7084" w:type="dxa"/>
            <w:gridSpan w:val="2"/>
            <w:tcBorders>
              <w:bottom w:val="single" w:color="auto" w:sz="4" w:space="0"/>
            </w:tcBorders>
          </w:tcPr>
          <w:p w:rsidRPr="00536F0C" w:rsidR="00A92D0B" w:rsidP="008F5F5F" w:rsidRDefault="00A92D0B" w14:paraId="71D46B68" w14:textId="56857D2E">
            <w:pPr>
              <w:tabs>
                <w:tab w:val="left" w:pos="360"/>
              </w:tabs>
              <w:ind w:left="360" w:hanging="360"/>
              <w:rPr>
                <w:color w:val="000000"/>
              </w:rPr>
            </w:pPr>
            <w:r w:rsidRPr="00536F0C">
              <w:rPr>
                <w:color w:val="000000"/>
              </w:rPr>
              <w:t>8.</w:t>
            </w:r>
            <w:r w:rsidRPr="00536F0C" w:rsidR="001E7EE2">
              <w:rPr>
                <w:color w:val="000000"/>
              </w:rPr>
              <w:tab/>
            </w:r>
            <w:r w:rsidRPr="00536F0C">
              <w:rPr>
                <w:color w:val="000000"/>
              </w:rPr>
              <w:t xml:space="preserve">Has the </w:t>
            </w:r>
            <w:r w:rsidRPr="00536F0C" w:rsidR="005A63D4">
              <w:rPr>
                <w:color w:val="000000"/>
              </w:rPr>
              <w:t xml:space="preserve">Intervenor </w:t>
            </w:r>
            <w:r w:rsidRPr="00536F0C">
              <w:rPr>
                <w:color w:val="000000"/>
              </w:rPr>
              <w:t xml:space="preserve">demonstrated </w:t>
            </w:r>
            <w:r w:rsidRPr="00536F0C">
              <w:t>customer</w:t>
            </w:r>
            <w:r w:rsidRPr="00536F0C">
              <w:rPr>
                <w:color w:val="000000"/>
              </w:rPr>
              <w:t xml:space="preserve"> </w:t>
            </w:r>
            <w:r w:rsidRPr="00536F0C" w:rsidR="00ED6B6B">
              <w:rPr>
                <w:color w:val="000000"/>
              </w:rPr>
              <w:t>status or eligible government entity status</w:t>
            </w:r>
            <w:r w:rsidRPr="00536F0C">
              <w:rPr>
                <w:color w:val="000000"/>
              </w:rPr>
              <w:t>?</w:t>
            </w:r>
          </w:p>
        </w:tc>
        <w:tc>
          <w:tcPr>
            <w:tcW w:w="2276" w:type="dxa"/>
            <w:tcBorders>
              <w:bottom w:val="single" w:color="auto" w:sz="4" w:space="0"/>
            </w:tcBorders>
          </w:tcPr>
          <w:p w:rsidRPr="00536F0C" w:rsidR="00A92D0B" w:rsidP="008F5F5F" w:rsidRDefault="001152B5" w14:paraId="7D296E63" w14:textId="1D231CC2">
            <w:pPr>
              <w:tabs>
                <w:tab w:val="left" w:pos="360"/>
              </w:tabs>
              <w:rPr>
                <w:color w:val="000000"/>
              </w:rPr>
            </w:pPr>
            <w:r>
              <w:rPr>
                <w:color w:val="000000"/>
              </w:rPr>
              <w:t>Yes</w:t>
            </w:r>
          </w:p>
        </w:tc>
      </w:tr>
      <w:tr w:rsidRPr="00536F0C" w:rsidR="00A92D0B" w:rsidTr="00B46081"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536F0C" w:rsidR="00A92D0B" w:rsidP="00B46081" w:rsidRDefault="00A92D0B" w14:paraId="0291EC4E" w14:textId="1D1962DB">
            <w:pPr>
              <w:keepNext/>
              <w:tabs>
                <w:tab w:val="left" w:pos="360"/>
              </w:tabs>
              <w:jc w:val="center"/>
              <w:rPr>
                <w:color w:val="000000"/>
              </w:rPr>
            </w:pPr>
            <w:r w:rsidRPr="00536F0C">
              <w:rPr>
                <w:b/>
                <w:color w:val="000000"/>
              </w:rPr>
              <w:t xml:space="preserve">Showing of </w:t>
            </w:r>
            <w:r w:rsidR="004E6167">
              <w:rPr>
                <w:b/>
                <w:color w:val="000000"/>
              </w:rPr>
              <w:t>“</w:t>
            </w:r>
            <w:r w:rsidRPr="00536F0C">
              <w:rPr>
                <w:b/>
                <w:color w:val="000000"/>
              </w:rPr>
              <w:t>significant</w:t>
            </w:r>
            <w:r w:rsidRPr="00536F0C" w:rsidR="00F63C29">
              <w:rPr>
                <w:b/>
                <w:color w:val="000000"/>
              </w:rPr>
              <w:t xml:space="preserve"> financial hardship</w:t>
            </w:r>
            <w:r w:rsidR="004E6167">
              <w:rPr>
                <w:b/>
                <w:color w:val="000000"/>
              </w:rPr>
              <w:t>”</w:t>
            </w:r>
            <w:r w:rsidRPr="00536F0C" w:rsidR="00F63C29">
              <w:rPr>
                <w:b/>
                <w:color w:val="000000"/>
              </w:rPr>
              <w:t xml:space="preserve"> (</w:t>
            </w:r>
            <w:r w:rsidR="004E6167">
              <w:rPr>
                <w:b/>
                <w:color w:val="000000"/>
              </w:rPr>
              <w:t>§ </w:t>
            </w:r>
            <w:r w:rsidRPr="00536F0C" w:rsidR="00F63C29">
              <w:rPr>
                <w:b/>
                <w:color w:val="000000"/>
              </w:rPr>
              <w:t>1802(</w:t>
            </w:r>
            <w:r w:rsidRPr="00536F0C" w:rsidR="00175865">
              <w:rPr>
                <w:b/>
                <w:color w:val="000000"/>
              </w:rPr>
              <w:t>h</w:t>
            </w:r>
            <w:r w:rsidRPr="00536F0C" w:rsidR="00F63C29">
              <w:rPr>
                <w:b/>
                <w:color w:val="000000"/>
              </w:rPr>
              <w:t xml:space="preserve">) or </w:t>
            </w:r>
            <w:r w:rsidR="004E6167">
              <w:rPr>
                <w:b/>
                <w:color w:val="000000"/>
              </w:rPr>
              <w:t>§ </w:t>
            </w:r>
            <w:r w:rsidRPr="00536F0C" w:rsidR="00F63C29">
              <w:rPr>
                <w:b/>
                <w:color w:val="000000"/>
              </w:rPr>
              <w:t>1803.1(b))</w:t>
            </w:r>
            <w:r w:rsidRPr="00536F0C" w:rsidR="00C02649">
              <w:rPr>
                <w:b/>
                <w:color w:val="000000"/>
              </w:rPr>
              <w:t>:</w:t>
            </w:r>
          </w:p>
        </w:tc>
      </w:tr>
      <w:tr w:rsidRPr="00536F0C" w:rsidR="00A92D0B" w:rsidTr="00914B38" w14:paraId="77F91856" w14:textId="77777777">
        <w:tc>
          <w:tcPr>
            <w:tcW w:w="4817" w:type="dxa"/>
            <w:tcBorders>
              <w:top w:val="single" w:color="auto" w:sz="4" w:space="0"/>
            </w:tcBorders>
          </w:tcPr>
          <w:p w:rsidRPr="00536F0C" w:rsidR="00A92D0B" w:rsidP="008F5F5F" w:rsidRDefault="00A92D0B" w14:paraId="6506E60E" w14:textId="7F0FF6A0">
            <w:pPr>
              <w:tabs>
                <w:tab w:val="left" w:pos="315"/>
              </w:tabs>
              <w:ind w:left="360" w:hanging="360"/>
              <w:rPr>
                <w:color w:val="000000"/>
              </w:rPr>
            </w:pPr>
            <w:r w:rsidRPr="00536F0C">
              <w:rPr>
                <w:color w:val="000000"/>
              </w:rPr>
              <w:t>9.</w:t>
            </w:r>
            <w:r w:rsidRPr="00536F0C" w:rsidR="001E7EE2">
              <w:rPr>
                <w:color w:val="000000"/>
              </w:rPr>
              <w:tab/>
            </w:r>
            <w:r w:rsidRPr="00536F0C">
              <w:rPr>
                <w:color w:val="000000"/>
              </w:rPr>
              <w:t>Based on ALJ ruling issued in proceeding number:</w:t>
            </w:r>
          </w:p>
        </w:tc>
        <w:tc>
          <w:tcPr>
            <w:tcW w:w="2267" w:type="dxa"/>
            <w:tcBorders>
              <w:top w:val="single" w:color="auto" w:sz="4" w:space="0"/>
            </w:tcBorders>
          </w:tcPr>
          <w:p w:rsidRPr="00536F0C" w:rsidR="00A92D0B" w:rsidP="008F5F5F" w:rsidRDefault="003E7EF3" w14:paraId="54B4911C" w14:textId="0B7D77FE">
            <w:pPr>
              <w:tabs>
                <w:tab w:val="left" w:pos="360"/>
              </w:tabs>
              <w:ind w:left="360" w:hanging="360"/>
              <w:rPr>
                <w:color w:val="000000"/>
              </w:rPr>
            </w:pPr>
            <w:r w:rsidRPr="00536F0C">
              <w:rPr>
                <w:color w:val="000000"/>
              </w:rPr>
              <w:t>A.21</w:t>
            </w:r>
            <w:r w:rsidR="00B52830">
              <w:rPr>
                <w:color w:val="000000"/>
              </w:rPr>
              <w:noBreakHyphen/>
            </w:r>
            <w:r w:rsidRPr="00536F0C">
              <w:rPr>
                <w:color w:val="000000"/>
              </w:rPr>
              <w:t>05</w:t>
            </w:r>
            <w:r w:rsidR="00B52830">
              <w:rPr>
                <w:color w:val="000000"/>
              </w:rPr>
              <w:noBreakHyphen/>
            </w:r>
            <w:r w:rsidRPr="00536F0C">
              <w:rPr>
                <w:color w:val="000000"/>
              </w:rPr>
              <w:t>011</w:t>
            </w:r>
            <w:r w:rsidRPr="00536F0C" w:rsidR="007F71DC">
              <w:rPr>
                <w:color w:val="000000"/>
              </w:rPr>
              <w:t xml:space="preserve">, </w:t>
            </w:r>
            <w:r w:rsidR="00B52830">
              <w:rPr>
                <w:color w:val="000000"/>
              </w:rPr>
              <w:noBreakHyphen/>
            </w:r>
            <w:r w:rsidRPr="00536F0C" w:rsidR="007F71DC">
              <w:rPr>
                <w:color w:val="000000"/>
              </w:rPr>
              <w:t>014</w:t>
            </w:r>
          </w:p>
        </w:tc>
        <w:tc>
          <w:tcPr>
            <w:tcW w:w="2276" w:type="dxa"/>
            <w:tcBorders>
              <w:top w:val="single" w:color="auto" w:sz="4" w:space="0"/>
            </w:tcBorders>
          </w:tcPr>
          <w:p w:rsidRPr="00536F0C" w:rsidR="00A92D0B" w:rsidP="008F5F5F" w:rsidRDefault="001152B5" w14:paraId="2E2FB9D6" w14:textId="5E404892">
            <w:pPr>
              <w:tabs>
                <w:tab w:val="left" w:pos="360"/>
              </w:tabs>
              <w:rPr>
                <w:color w:val="000000"/>
              </w:rPr>
            </w:pPr>
            <w:r>
              <w:rPr>
                <w:color w:val="000000"/>
              </w:rPr>
              <w:t>Verified</w:t>
            </w:r>
          </w:p>
        </w:tc>
      </w:tr>
      <w:tr w:rsidRPr="00536F0C" w:rsidR="00A92D0B" w:rsidTr="00914B38" w14:paraId="4AD750C1" w14:textId="77777777">
        <w:tc>
          <w:tcPr>
            <w:tcW w:w="4817" w:type="dxa"/>
          </w:tcPr>
          <w:p w:rsidRPr="00536F0C" w:rsidR="00A92D0B" w:rsidP="008F5F5F" w:rsidRDefault="00A92D0B" w14:paraId="2A279407" w14:textId="1E831EEE">
            <w:pPr>
              <w:ind w:left="360" w:hanging="360"/>
              <w:rPr>
                <w:color w:val="000000"/>
              </w:rPr>
            </w:pPr>
            <w:r w:rsidRPr="00536F0C">
              <w:rPr>
                <w:color w:val="000000"/>
              </w:rPr>
              <w:t>10.</w:t>
            </w:r>
            <w:r w:rsidRPr="00536F0C" w:rsidR="001E7EE2">
              <w:rPr>
                <w:color w:val="000000"/>
              </w:rPr>
              <w:tab/>
            </w:r>
            <w:r w:rsidRPr="00536F0C">
              <w:rPr>
                <w:color w:val="000000"/>
              </w:rPr>
              <w:t>Date of ALJ ruling:</w:t>
            </w:r>
          </w:p>
        </w:tc>
        <w:tc>
          <w:tcPr>
            <w:tcW w:w="2267" w:type="dxa"/>
          </w:tcPr>
          <w:p w:rsidRPr="00536F0C" w:rsidR="009411EB" w:rsidP="008F5F5F" w:rsidRDefault="0069581F" w14:paraId="4B66A2E4" w14:textId="3F64FEE2">
            <w:pPr>
              <w:tabs>
                <w:tab w:val="left" w:pos="360"/>
              </w:tabs>
              <w:ind w:left="360" w:hanging="360"/>
              <w:rPr>
                <w:color w:val="000000"/>
              </w:rPr>
            </w:pPr>
            <w:r w:rsidRPr="00536F0C">
              <w:rPr>
                <w:color w:val="000000"/>
              </w:rPr>
              <w:t>10/28/202</w:t>
            </w:r>
            <w:r w:rsidRPr="00536F0C" w:rsidR="009411EB">
              <w:rPr>
                <w:color w:val="000000"/>
              </w:rPr>
              <w:t>1</w:t>
            </w:r>
          </w:p>
        </w:tc>
        <w:tc>
          <w:tcPr>
            <w:tcW w:w="2276" w:type="dxa"/>
          </w:tcPr>
          <w:p w:rsidRPr="00536F0C" w:rsidR="00A92D0B" w:rsidP="008F5F5F" w:rsidRDefault="001152B5" w14:paraId="3B83D035" w14:textId="63D93BF1">
            <w:pPr>
              <w:tabs>
                <w:tab w:val="left" w:pos="360"/>
              </w:tabs>
              <w:rPr>
                <w:color w:val="000000"/>
              </w:rPr>
            </w:pPr>
            <w:r>
              <w:rPr>
                <w:color w:val="000000"/>
              </w:rPr>
              <w:t>Verified</w:t>
            </w:r>
          </w:p>
        </w:tc>
      </w:tr>
      <w:tr w:rsidRPr="00536F0C" w:rsidR="00357F1A" w:rsidTr="00914B38" w14:paraId="7C183C5E" w14:textId="77777777">
        <w:tc>
          <w:tcPr>
            <w:tcW w:w="4817" w:type="dxa"/>
          </w:tcPr>
          <w:p w:rsidRPr="00536F0C" w:rsidR="00357F1A" w:rsidP="008F5F5F" w:rsidRDefault="00357F1A" w14:paraId="4141CB3D" w14:textId="2DCA8797">
            <w:pPr>
              <w:ind w:left="360" w:hanging="360"/>
              <w:rPr>
                <w:color w:val="000000"/>
              </w:rPr>
            </w:pPr>
            <w:r w:rsidRPr="00536F0C">
              <w:rPr>
                <w:color w:val="000000"/>
              </w:rPr>
              <w:t>11.</w:t>
            </w:r>
            <w:r w:rsidRPr="00536F0C" w:rsidR="001E7EE2">
              <w:rPr>
                <w:color w:val="000000"/>
              </w:rPr>
              <w:tab/>
            </w:r>
            <w:r w:rsidRPr="00536F0C">
              <w:rPr>
                <w:color w:val="000000"/>
              </w:rPr>
              <w:t>Based on another CPUC determination (specify):</w:t>
            </w:r>
          </w:p>
        </w:tc>
        <w:tc>
          <w:tcPr>
            <w:tcW w:w="2267" w:type="dxa"/>
          </w:tcPr>
          <w:p w:rsidRPr="00536F0C" w:rsidR="00357F1A" w:rsidP="008F5F5F" w:rsidRDefault="0069581F" w14:paraId="141EB5CF" w14:textId="46CAA0D2">
            <w:pPr>
              <w:tabs>
                <w:tab w:val="left" w:pos="360"/>
              </w:tabs>
              <w:ind w:left="360" w:hanging="360"/>
              <w:rPr>
                <w:color w:val="000000"/>
              </w:rPr>
            </w:pPr>
            <w:r w:rsidRPr="00536F0C">
              <w:rPr>
                <w:color w:val="000000"/>
              </w:rPr>
              <w:t>n/a</w:t>
            </w:r>
          </w:p>
        </w:tc>
        <w:tc>
          <w:tcPr>
            <w:tcW w:w="2276" w:type="dxa"/>
          </w:tcPr>
          <w:p w:rsidRPr="00536F0C" w:rsidR="00357F1A" w:rsidP="008F5F5F" w:rsidRDefault="00357F1A" w14:paraId="79318715" w14:textId="6DABE97E">
            <w:pPr>
              <w:tabs>
                <w:tab w:val="left" w:pos="360"/>
              </w:tabs>
              <w:rPr>
                <w:color w:val="000000"/>
              </w:rPr>
            </w:pPr>
          </w:p>
        </w:tc>
      </w:tr>
      <w:tr w:rsidRPr="00536F0C" w:rsidR="00A92D0B" w:rsidTr="00914B38" w14:paraId="4E8D20BF" w14:textId="77777777">
        <w:tc>
          <w:tcPr>
            <w:tcW w:w="7084" w:type="dxa"/>
            <w:gridSpan w:val="2"/>
            <w:tcBorders>
              <w:bottom w:val="single" w:color="auto" w:sz="4" w:space="0"/>
            </w:tcBorders>
          </w:tcPr>
          <w:p w:rsidRPr="00536F0C" w:rsidR="00A92D0B" w:rsidP="008F5F5F" w:rsidRDefault="00180E8C" w14:paraId="48D0D936" w14:textId="6A3DF8B8">
            <w:pPr>
              <w:tabs>
                <w:tab w:val="left" w:pos="360"/>
              </w:tabs>
              <w:ind w:left="360" w:hanging="360"/>
              <w:rPr>
                <w:color w:val="000000"/>
              </w:rPr>
            </w:pPr>
            <w:r w:rsidRPr="00536F0C">
              <w:rPr>
                <w:color w:val="000000"/>
              </w:rPr>
              <w:lastRenderedPageBreak/>
              <w:t>12</w:t>
            </w:r>
            <w:r w:rsidRPr="00536F0C" w:rsidR="00A92D0B">
              <w:rPr>
                <w:color w:val="000000"/>
              </w:rPr>
              <w:t>.</w:t>
            </w:r>
            <w:r w:rsidRPr="00536F0C" w:rsidR="001E7EE2">
              <w:rPr>
                <w:color w:val="000000"/>
              </w:rPr>
              <w:tab/>
            </w:r>
            <w:r w:rsidRPr="00536F0C" w:rsidR="00A92D0B">
              <w:rPr>
                <w:color w:val="000000"/>
              </w:rPr>
              <w:t>Has the</w:t>
            </w:r>
            <w:r w:rsidRPr="00536F0C" w:rsidR="00A319DE">
              <w:rPr>
                <w:color w:val="000000"/>
              </w:rPr>
              <w:t xml:space="preserve"> </w:t>
            </w:r>
            <w:r w:rsidRPr="00536F0C" w:rsidR="005A63D4">
              <w:rPr>
                <w:color w:val="000000"/>
              </w:rPr>
              <w:t>Intervenor</w:t>
            </w:r>
            <w:r w:rsidRPr="00536F0C" w:rsidR="00A92D0B">
              <w:rPr>
                <w:color w:val="000000"/>
              </w:rPr>
              <w:t xml:space="preserve"> demonstrated significant financial hardship?</w:t>
            </w:r>
          </w:p>
        </w:tc>
        <w:tc>
          <w:tcPr>
            <w:tcW w:w="2276" w:type="dxa"/>
            <w:tcBorders>
              <w:bottom w:val="single" w:color="auto" w:sz="4" w:space="0"/>
            </w:tcBorders>
          </w:tcPr>
          <w:p w:rsidRPr="00536F0C" w:rsidR="00A92D0B" w:rsidP="008F5F5F" w:rsidRDefault="001152B5" w14:paraId="0F29B839" w14:textId="0D4FD3EB">
            <w:pPr>
              <w:tabs>
                <w:tab w:val="left" w:pos="360"/>
              </w:tabs>
              <w:rPr>
                <w:color w:val="000000"/>
              </w:rPr>
            </w:pPr>
            <w:r>
              <w:rPr>
                <w:color w:val="000000"/>
              </w:rPr>
              <w:t>Yes</w:t>
            </w:r>
          </w:p>
        </w:tc>
      </w:tr>
      <w:tr w:rsidRPr="00536F0C" w:rsidR="00A92D0B" w:rsidTr="00B46081"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36F0C" w:rsidR="00A92D0B" w:rsidP="008F5F5F" w:rsidRDefault="00A92D0B" w14:paraId="172E2884" w14:textId="72D6CC42">
            <w:pPr>
              <w:keepNext/>
              <w:tabs>
                <w:tab w:val="left" w:pos="360"/>
              </w:tabs>
              <w:jc w:val="center"/>
              <w:rPr>
                <w:color w:val="000000"/>
              </w:rPr>
            </w:pPr>
            <w:r w:rsidRPr="00536F0C">
              <w:rPr>
                <w:b/>
                <w:color w:val="000000"/>
              </w:rPr>
              <w:t>Timely request for compensation (</w:t>
            </w:r>
            <w:r w:rsidR="004E6167">
              <w:rPr>
                <w:b/>
                <w:color w:val="000000"/>
              </w:rPr>
              <w:t>§ </w:t>
            </w:r>
            <w:r w:rsidRPr="00536F0C">
              <w:rPr>
                <w:b/>
                <w:color w:val="000000"/>
              </w:rPr>
              <w:t>1804(c)):</w:t>
            </w:r>
          </w:p>
        </w:tc>
      </w:tr>
      <w:tr w:rsidRPr="00536F0C" w:rsidR="00A92D0B" w:rsidTr="00914B38" w14:paraId="3E7938B0" w14:textId="77777777">
        <w:tc>
          <w:tcPr>
            <w:tcW w:w="4817" w:type="dxa"/>
            <w:tcBorders>
              <w:top w:val="single" w:color="auto" w:sz="4" w:space="0"/>
            </w:tcBorders>
          </w:tcPr>
          <w:p w:rsidRPr="00536F0C" w:rsidR="00A92D0B" w:rsidP="008F5F5F" w:rsidRDefault="00A92D0B" w14:paraId="66088F1B" w14:textId="2DB4A731">
            <w:pPr>
              <w:keepNext/>
              <w:tabs>
                <w:tab w:val="left" w:pos="612"/>
              </w:tabs>
              <w:ind w:left="360" w:hanging="360"/>
              <w:rPr>
                <w:color w:val="000000"/>
              </w:rPr>
            </w:pPr>
            <w:r w:rsidRPr="00536F0C">
              <w:rPr>
                <w:color w:val="000000"/>
              </w:rPr>
              <w:t>13.</w:t>
            </w:r>
            <w:r w:rsidRPr="00536F0C" w:rsidR="001E7EE2">
              <w:rPr>
                <w:color w:val="000000"/>
              </w:rPr>
              <w:tab/>
            </w:r>
            <w:r w:rsidRPr="00536F0C">
              <w:rPr>
                <w:color w:val="000000"/>
              </w:rPr>
              <w:t>Identify Final Decision:</w:t>
            </w:r>
          </w:p>
        </w:tc>
        <w:tc>
          <w:tcPr>
            <w:tcW w:w="2267" w:type="dxa"/>
            <w:tcBorders>
              <w:top w:val="single" w:color="auto" w:sz="4" w:space="0"/>
            </w:tcBorders>
          </w:tcPr>
          <w:p w:rsidRPr="00536F0C" w:rsidR="00A92D0B" w:rsidP="008F5F5F" w:rsidRDefault="00EA4852" w14:paraId="7166F318" w14:textId="674EDAA8">
            <w:pPr>
              <w:tabs>
                <w:tab w:val="left" w:pos="360"/>
              </w:tabs>
              <w:rPr>
                <w:color w:val="000000"/>
              </w:rPr>
            </w:pPr>
            <w:r w:rsidRPr="00536F0C">
              <w:rPr>
                <w:color w:val="000000"/>
              </w:rPr>
              <w:t>D.24</w:t>
            </w:r>
            <w:r w:rsidR="00B52830">
              <w:rPr>
                <w:color w:val="000000"/>
              </w:rPr>
              <w:noBreakHyphen/>
            </w:r>
            <w:r w:rsidRPr="00536F0C">
              <w:rPr>
                <w:color w:val="000000"/>
              </w:rPr>
              <w:t>10</w:t>
            </w:r>
            <w:r w:rsidR="00B52830">
              <w:rPr>
                <w:color w:val="000000"/>
              </w:rPr>
              <w:noBreakHyphen/>
            </w:r>
            <w:r w:rsidRPr="00536F0C">
              <w:rPr>
                <w:color w:val="000000"/>
              </w:rPr>
              <w:t>008</w:t>
            </w:r>
          </w:p>
        </w:tc>
        <w:tc>
          <w:tcPr>
            <w:tcW w:w="2276" w:type="dxa"/>
            <w:tcBorders>
              <w:top w:val="single" w:color="auto" w:sz="4" w:space="0"/>
            </w:tcBorders>
          </w:tcPr>
          <w:p w:rsidRPr="00536F0C" w:rsidR="001152B5" w:rsidP="008F5F5F" w:rsidRDefault="001152B5" w14:paraId="1588DC54" w14:textId="499F26BC">
            <w:pPr>
              <w:tabs>
                <w:tab w:val="left" w:pos="360"/>
              </w:tabs>
              <w:rPr>
                <w:color w:val="000000"/>
              </w:rPr>
            </w:pPr>
            <w:r>
              <w:rPr>
                <w:color w:val="000000"/>
              </w:rPr>
              <w:t>Verified</w:t>
            </w:r>
          </w:p>
        </w:tc>
      </w:tr>
      <w:tr w:rsidRPr="00536F0C" w:rsidR="00A92D0B" w:rsidTr="00914B38" w14:paraId="6360DE59" w14:textId="77777777">
        <w:tc>
          <w:tcPr>
            <w:tcW w:w="4817" w:type="dxa"/>
          </w:tcPr>
          <w:p w:rsidRPr="00536F0C" w:rsidR="00A92D0B" w:rsidP="008F5F5F" w:rsidRDefault="00A92D0B" w14:paraId="4B809E4A" w14:textId="37485E51">
            <w:pPr>
              <w:tabs>
                <w:tab w:val="left" w:pos="612"/>
              </w:tabs>
              <w:ind w:left="360" w:hanging="360"/>
              <w:rPr>
                <w:color w:val="000000"/>
              </w:rPr>
            </w:pPr>
            <w:r w:rsidRPr="00536F0C">
              <w:rPr>
                <w:color w:val="000000"/>
              </w:rPr>
              <w:t>14.</w:t>
            </w:r>
            <w:r w:rsidRPr="00536F0C" w:rsidR="001E7EE2">
              <w:rPr>
                <w:color w:val="000000"/>
              </w:rPr>
              <w:tab/>
            </w:r>
            <w:r w:rsidRPr="00536F0C">
              <w:rPr>
                <w:color w:val="000000"/>
              </w:rPr>
              <w:t xml:space="preserve">Date of </w:t>
            </w:r>
            <w:r w:rsidRPr="00536F0C" w:rsidR="00A319DE">
              <w:rPr>
                <w:color w:val="000000"/>
              </w:rPr>
              <w:t>i</w:t>
            </w:r>
            <w:r w:rsidRPr="00536F0C">
              <w:rPr>
                <w:color w:val="000000"/>
              </w:rPr>
              <w:t>ssuance of Final Order or Decision:</w:t>
            </w:r>
          </w:p>
        </w:tc>
        <w:tc>
          <w:tcPr>
            <w:tcW w:w="2267" w:type="dxa"/>
          </w:tcPr>
          <w:p w:rsidRPr="00536F0C" w:rsidR="00A92D0B" w:rsidP="008F5F5F" w:rsidRDefault="00D6494D" w14:paraId="20455B5F" w14:textId="70D94D1F">
            <w:pPr>
              <w:tabs>
                <w:tab w:val="left" w:pos="360"/>
              </w:tabs>
              <w:rPr>
                <w:color w:val="000000"/>
              </w:rPr>
            </w:pPr>
            <w:r w:rsidRPr="00536F0C">
              <w:rPr>
                <w:color w:val="000000"/>
              </w:rPr>
              <w:t>10/22/2024</w:t>
            </w:r>
          </w:p>
        </w:tc>
        <w:tc>
          <w:tcPr>
            <w:tcW w:w="2276" w:type="dxa"/>
          </w:tcPr>
          <w:p w:rsidRPr="00536F0C" w:rsidR="00A92D0B" w:rsidP="008F5F5F" w:rsidRDefault="001152B5" w14:paraId="1FCF00DD" w14:textId="61890608">
            <w:pPr>
              <w:tabs>
                <w:tab w:val="left" w:pos="360"/>
              </w:tabs>
              <w:rPr>
                <w:color w:val="000000"/>
              </w:rPr>
            </w:pPr>
            <w:r>
              <w:rPr>
                <w:color w:val="000000"/>
              </w:rPr>
              <w:t>Verified</w:t>
            </w:r>
          </w:p>
        </w:tc>
      </w:tr>
      <w:tr w:rsidRPr="00536F0C" w:rsidR="00A92D0B" w:rsidTr="00914B38" w14:paraId="723259E3" w14:textId="77777777">
        <w:tc>
          <w:tcPr>
            <w:tcW w:w="4817" w:type="dxa"/>
          </w:tcPr>
          <w:p w:rsidRPr="00536F0C" w:rsidR="00A92D0B" w:rsidP="008F5F5F" w:rsidRDefault="00A92D0B" w14:paraId="163EE1CA" w14:textId="2B64EB9E">
            <w:pPr>
              <w:tabs>
                <w:tab w:val="left" w:pos="612"/>
              </w:tabs>
              <w:ind w:left="360" w:hanging="360"/>
              <w:rPr>
                <w:color w:val="000000"/>
              </w:rPr>
            </w:pPr>
            <w:r w:rsidRPr="00536F0C">
              <w:rPr>
                <w:color w:val="000000"/>
              </w:rPr>
              <w:t>15.</w:t>
            </w:r>
            <w:r w:rsidRPr="00536F0C" w:rsidR="001E7EE2">
              <w:rPr>
                <w:color w:val="000000"/>
              </w:rPr>
              <w:tab/>
            </w:r>
            <w:r w:rsidRPr="00536F0C">
              <w:rPr>
                <w:color w:val="000000"/>
              </w:rPr>
              <w:t>File date of compensation request:</w:t>
            </w:r>
          </w:p>
        </w:tc>
        <w:tc>
          <w:tcPr>
            <w:tcW w:w="2267" w:type="dxa"/>
          </w:tcPr>
          <w:p w:rsidRPr="00536F0C" w:rsidR="00A92D0B" w:rsidP="008F5F5F" w:rsidRDefault="00EA4852" w14:paraId="0568B39D" w14:textId="406AFDB2">
            <w:pPr>
              <w:tabs>
                <w:tab w:val="left" w:pos="360"/>
              </w:tabs>
              <w:rPr>
                <w:color w:val="000000"/>
              </w:rPr>
            </w:pPr>
            <w:r w:rsidRPr="00536F0C">
              <w:rPr>
                <w:color w:val="000000"/>
              </w:rPr>
              <w:t>12/23/2024</w:t>
            </w:r>
          </w:p>
        </w:tc>
        <w:tc>
          <w:tcPr>
            <w:tcW w:w="2276" w:type="dxa"/>
          </w:tcPr>
          <w:p w:rsidRPr="00536F0C" w:rsidR="00A92D0B" w:rsidP="008F5F5F" w:rsidRDefault="001152B5" w14:paraId="1CBF4E7A" w14:textId="5C074563">
            <w:pPr>
              <w:tabs>
                <w:tab w:val="left" w:pos="360"/>
              </w:tabs>
              <w:rPr>
                <w:color w:val="000000"/>
              </w:rPr>
            </w:pPr>
            <w:r>
              <w:rPr>
                <w:color w:val="000000"/>
              </w:rPr>
              <w:t>Verified</w:t>
            </w:r>
          </w:p>
        </w:tc>
      </w:tr>
      <w:tr w:rsidRPr="00536F0C" w:rsidR="00A92D0B" w:rsidTr="00914B38" w14:paraId="406BCA3A" w14:textId="77777777">
        <w:tc>
          <w:tcPr>
            <w:tcW w:w="7084" w:type="dxa"/>
            <w:gridSpan w:val="2"/>
          </w:tcPr>
          <w:p w:rsidRPr="00536F0C" w:rsidR="00A92D0B" w:rsidP="008F5F5F" w:rsidRDefault="00A92D0B" w14:paraId="10AF42D1" w14:textId="67695104">
            <w:pPr>
              <w:tabs>
                <w:tab w:val="left" w:pos="360"/>
              </w:tabs>
              <w:ind w:left="360" w:hanging="360"/>
              <w:rPr>
                <w:color w:val="000000"/>
              </w:rPr>
            </w:pPr>
            <w:r w:rsidRPr="00536F0C">
              <w:rPr>
                <w:color w:val="000000"/>
              </w:rPr>
              <w:t>16</w:t>
            </w:r>
            <w:r w:rsidRPr="00536F0C" w:rsidR="001E7EE2">
              <w:rPr>
                <w:color w:val="000000"/>
              </w:rPr>
              <w:t>.</w:t>
            </w:r>
            <w:r w:rsidRPr="00536F0C" w:rsidR="001E7EE2">
              <w:rPr>
                <w:color w:val="000000"/>
              </w:rPr>
              <w:tab/>
            </w:r>
            <w:r w:rsidRPr="00536F0C">
              <w:rPr>
                <w:color w:val="000000"/>
              </w:rPr>
              <w:t>Was the request for compensation timely?</w:t>
            </w:r>
          </w:p>
        </w:tc>
        <w:tc>
          <w:tcPr>
            <w:tcW w:w="2276" w:type="dxa"/>
          </w:tcPr>
          <w:p w:rsidRPr="00536F0C" w:rsidR="00A92D0B" w:rsidP="008F5F5F" w:rsidRDefault="001152B5" w14:paraId="2EA30E63" w14:textId="6B4B9854">
            <w:pPr>
              <w:tabs>
                <w:tab w:val="left" w:pos="360"/>
              </w:tabs>
              <w:rPr>
                <w:color w:val="000000"/>
              </w:rPr>
            </w:pPr>
            <w:r>
              <w:rPr>
                <w:color w:val="000000"/>
              </w:rPr>
              <w:t>Yes</w:t>
            </w:r>
          </w:p>
        </w:tc>
      </w:tr>
    </w:tbl>
    <w:p w:rsidRPr="00536F0C" w:rsidR="00A92D0B" w:rsidP="008F5F5F" w:rsidRDefault="00A92D0B" w14:paraId="0068592B" w14:textId="7B14CFB4">
      <w:pPr>
        <w:keepNext/>
        <w:numPr>
          <w:ilvl w:val="0"/>
          <w:numId w:val="5"/>
        </w:numPr>
        <w:spacing w:before="240" w:after="240"/>
        <w:rPr>
          <w:b/>
          <w:color w:val="000000"/>
        </w:rPr>
      </w:pPr>
      <w:r w:rsidRPr="00536F0C">
        <w:rPr>
          <w:b/>
          <w:color w:val="000000"/>
        </w:rPr>
        <w:t>Additional Comments on Part I</w:t>
      </w:r>
      <w:r w:rsidRPr="00536F0C" w:rsidR="00C02649">
        <w:rPr>
          <w:b/>
          <w:color w:val="000000"/>
        </w:rPr>
        <w:t>:</w:t>
      </w:r>
      <w:r w:rsidRPr="00536F0C">
        <w:rPr>
          <w:b/>
          <w:color w:val="000000"/>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860"/>
        <w:gridCol w:w="6425"/>
        <w:gridCol w:w="2075"/>
      </w:tblGrid>
      <w:tr w:rsidRPr="00536F0C" w:rsidR="003C608A" w:rsidTr="00644ECF" w14:paraId="046F77BA" w14:textId="77777777">
        <w:trPr>
          <w:tblHeader/>
        </w:trPr>
        <w:tc>
          <w:tcPr>
            <w:tcW w:w="860" w:type="dxa"/>
            <w:tcBorders>
              <w:bottom w:val="single" w:color="auto" w:sz="4" w:space="0"/>
            </w:tcBorders>
            <w:shd w:val="clear" w:color="auto" w:fill="D9D9D9" w:themeFill="background1" w:themeFillShade="D9"/>
            <w:vAlign w:val="bottom"/>
          </w:tcPr>
          <w:p w:rsidRPr="00536F0C" w:rsidR="003C608A" w:rsidP="00F372F1" w:rsidRDefault="003C608A" w14:paraId="0CB867A6" w14:textId="77777777">
            <w:pPr>
              <w:keepNext/>
              <w:tabs>
                <w:tab w:val="left" w:pos="360"/>
              </w:tabs>
              <w:jc w:val="center"/>
              <w:rPr>
                <w:b/>
                <w:color w:val="000000"/>
              </w:rPr>
            </w:pPr>
            <w:r w:rsidRPr="00536F0C">
              <w:rPr>
                <w:b/>
                <w:color w:val="000000"/>
              </w:rPr>
              <w:t>#</w:t>
            </w:r>
          </w:p>
        </w:tc>
        <w:tc>
          <w:tcPr>
            <w:tcW w:w="6425" w:type="dxa"/>
            <w:tcBorders>
              <w:bottom w:val="single" w:color="auto" w:sz="4" w:space="0"/>
            </w:tcBorders>
            <w:shd w:val="clear" w:color="auto" w:fill="D9D9D9" w:themeFill="background1" w:themeFillShade="D9"/>
            <w:vAlign w:val="bottom"/>
          </w:tcPr>
          <w:p w:rsidRPr="00536F0C" w:rsidR="003C608A" w:rsidP="00E117B8" w:rsidRDefault="003C608A" w14:paraId="196D09DF" w14:textId="509514A2">
            <w:pPr>
              <w:keepNext/>
              <w:tabs>
                <w:tab w:val="left" w:pos="360"/>
              </w:tabs>
              <w:jc w:val="center"/>
              <w:rPr>
                <w:b/>
                <w:color w:val="000000"/>
              </w:rPr>
            </w:pPr>
            <w:r w:rsidRPr="00536F0C">
              <w:rPr>
                <w:b/>
                <w:color w:val="000000"/>
              </w:rPr>
              <w:t>Intervenor</w:t>
            </w:r>
            <w:r w:rsidR="004E6167">
              <w:rPr>
                <w:b/>
                <w:color w:val="000000"/>
              </w:rPr>
              <w:t>’</w:t>
            </w:r>
            <w:r w:rsidRPr="00536F0C">
              <w:rPr>
                <w:b/>
                <w:color w:val="000000"/>
              </w:rPr>
              <w:t>s Comment(s)</w:t>
            </w:r>
          </w:p>
        </w:tc>
        <w:tc>
          <w:tcPr>
            <w:tcW w:w="2075" w:type="dxa"/>
            <w:shd w:val="clear" w:color="auto" w:fill="D9D9D9" w:themeFill="background1" w:themeFillShade="D9"/>
            <w:vAlign w:val="bottom"/>
          </w:tcPr>
          <w:p w:rsidRPr="00536F0C" w:rsidR="003C608A" w:rsidP="00E117B8" w:rsidRDefault="003C608A" w14:paraId="07207D31" w14:textId="77777777">
            <w:pPr>
              <w:keepNext/>
              <w:tabs>
                <w:tab w:val="left" w:pos="360"/>
              </w:tabs>
              <w:jc w:val="center"/>
              <w:rPr>
                <w:b/>
                <w:color w:val="000000"/>
              </w:rPr>
            </w:pPr>
            <w:r w:rsidRPr="00536F0C">
              <w:rPr>
                <w:b/>
                <w:color w:val="000000"/>
              </w:rPr>
              <w:t>CPUC Discussion</w:t>
            </w:r>
          </w:p>
        </w:tc>
      </w:tr>
      <w:tr w:rsidRPr="00536F0C" w:rsidR="00D82C19" w:rsidTr="00644ECF" w14:paraId="1C6180A4" w14:textId="77777777">
        <w:tc>
          <w:tcPr>
            <w:tcW w:w="860" w:type="dxa"/>
            <w:tcBorders>
              <w:top w:val="single" w:color="auto" w:sz="4" w:space="0"/>
              <w:left w:val="single" w:color="auto" w:sz="4" w:space="0"/>
              <w:bottom w:val="single" w:color="auto" w:sz="4" w:space="0"/>
              <w:right w:val="single" w:color="auto" w:sz="4" w:space="0"/>
            </w:tcBorders>
          </w:tcPr>
          <w:p w:rsidRPr="00536F0C" w:rsidR="00D82C19" w:rsidP="00F372F1" w:rsidRDefault="00D82C19" w14:paraId="4350D384" w14:textId="1C1B96DE">
            <w:pPr>
              <w:tabs>
                <w:tab w:val="left" w:pos="360"/>
              </w:tabs>
              <w:jc w:val="center"/>
              <w:rPr>
                <w:color w:val="000000"/>
              </w:rPr>
            </w:pPr>
            <w:r w:rsidRPr="00536F0C">
              <w:t>5</w:t>
            </w:r>
            <w:r w:rsidR="00B52830">
              <w:noBreakHyphen/>
            </w:r>
            <w:r w:rsidRPr="00536F0C">
              <w:t>7</w:t>
            </w:r>
          </w:p>
        </w:tc>
        <w:tc>
          <w:tcPr>
            <w:tcW w:w="6425" w:type="dxa"/>
            <w:tcBorders>
              <w:top w:val="single" w:color="auto" w:sz="4" w:space="0"/>
              <w:left w:val="single" w:color="auto" w:sz="4" w:space="0"/>
              <w:bottom w:val="single" w:color="auto" w:sz="4" w:space="0"/>
              <w:right w:val="single" w:color="auto" w:sz="4" w:space="0"/>
            </w:tcBorders>
          </w:tcPr>
          <w:p w:rsidRPr="00536F0C" w:rsidR="00D46B64" w:rsidP="00392623" w:rsidRDefault="00D82C19" w14:paraId="126090B3" w14:textId="2AAA50E1">
            <w:pPr>
              <w:tabs>
                <w:tab w:val="left" w:pos="360"/>
              </w:tabs>
              <w:spacing w:after="240"/>
              <w:ind w:firstLine="360"/>
            </w:pPr>
            <w:r w:rsidRPr="00536F0C">
              <w:t>The Protect Our Communities Foundation (</w:t>
            </w:r>
            <w:r w:rsidR="004E6167">
              <w:t>“</w:t>
            </w:r>
            <w:r w:rsidRPr="00536F0C">
              <w:t>PCF</w:t>
            </w:r>
            <w:r w:rsidR="004E6167">
              <w:t>”</w:t>
            </w:r>
            <w:r w:rsidRPr="00536F0C">
              <w:t xml:space="preserve">) meets the definition of a Category 3 customer under the Public Utilities Code as a </w:t>
            </w:r>
            <w:r w:rsidR="004E6167">
              <w:t>“</w:t>
            </w:r>
            <w:r w:rsidRPr="00536F0C">
              <w:t>representative of a group or organization authorized pursuant to its articles of incorporation or bylaws to represent the interests of residential customers…</w:t>
            </w:r>
            <w:r w:rsidR="004E6167">
              <w:t>”</w:t>
            </w:r>
            <w:r w:rsidRPr="00536F0C">
              <w:t xml:space="preserve"> (</w:t>
            </w:r>
            <w:r w:rsidR="004E6167">
              <w:t>Pub. Util.</w:t>
            </w:r>
            <w:r w:rsidRPr="00536F0C">
              <w:t xml:space="preserve"> Code </w:t>
            </w:r>
            <w:r w:rsidR="004E6167">
              <w:t>§ </w:t>
            </w:r>
            <w:r w:rsidRPr="00536F0C">
              <w:t>1802, subd. (b)(1)(C).) Article 3, Section 3.3 of PCF</w:t>
            </w:r>
            <w:r w:rsidR="004E6167">
              <w:t>’</w:t>
            </w:r>
            <w:r w:rsidRPr="00536F0C">
              <w:t>s Bylaws specifically authorizes the organization to represent the interests of Southern California residential utility ratepayers in proceedings before the Commission and to seek intervenor compensation for doing so. PCF advocates for just and reasonable rates and against unreasonably costly or unnecessary utility projects. PCF advocates for fair and reasonable energy practices, policies, rules, and laws, for the protection of natural resources from the impacts of largescale energy and industrial infrastructure projects, and in support of sustainable, clean, locally</w:t>
            </w:r>
            <w:r w:rsidR="00B52830">
              <w:noBreakHyphen/>
            </w:r>
            <w:r w:rsidRPr="00536F0C">
              <w:t xml:space="preserve">based energy systems. PCF is a San Diego, California based nonprofit public benefit corporation organized for charitable and public purposes within the meaning of Section 501(c)(3) of the Internal Revenue Service Code. </w:t>
            </w:r>
          </w:p>
          <w:p w:rsidRPr="00536F0C" w:rsidR="00D46B64" w:rsidP="00392623" w:rsidRDefault="00D82C19" w14:paraId="476C600A" w14:textId="77777777">
            <w:pPr>
              <w:tabs>
                <w:tab w:val="left" w:pos="360"/>
              </w:tabs>
              <w:spacing w:after="240"/>
              <w:ind w:firstLine="360"/>
            </w:pPr>
            <w:r w:rsidRPr="00536F0C">
              <w:t>PCF also qualifies as an environmental group within the scope of Section 1802(b)(1)(C) because it represents the interests of customers with a concern for the environment.</w:t>
            </w:r>
          </w:p>
          <w:p w:rsidRPr="00536F0C" w:rsidR="00D82C19" w:rsidP="00392623" w:rsidRDefault="00D82C19" w14:paraId="0ECF4A98" w14:textId="678E47AF">
            <w:pPr>
              <w:tabs>
                <w:tab w:val="left" w:pos="360"/>
              </w:tabs>
              <w:spacing w:after="240"/>
              <w:ind w:firstLine="360"/>
              <w:rPr>
                <w:color w:val="000000"/>
              </w:rPr>
            </w:pPr>
            <w:r w:rsidRPr="00536F0C">
              <w:t>A copy of PCF</w:t>
            </w:r>
            <w:r w:rsidR="004E6167">
              <w:t>’</w:t>
            </w:r>
            <w:r w:rsidRPr="00536F0C">
              <w:t>s current Bylaws are on file with the Commission in R.13</w:t>
            </w:r>
            <w:r w:rsidR="00B52830">
              <w:noBreakHyphen/>
            </w:r>
            <w:r w:rsidRPr="00536F0C">
              <w:t>12</w:t>
            </w:r>
            <w:r w:rsidR="00B52830">
              <w:noBreakHyphen/>
            </w:r>
            <w:r w:rsidRPr="00536F0C">
              <w:t>010. In R.13</w:t>
            </w:r>
            <w:r w:rsidR="00B52830">
              <w:noBreakHyphen/>
            </w:r>
            <w:r w:rsidRPr="00536F0C">
              <w:t xml:space="preserve"> 12</w:t>
            </w:r>
            <w:r w:rsidR="00B52830">
              <w:noBreakHyphen/>
            </w:r>
            <w:r w:rsidRPr="00536F0C">
              <w:t>010, PCF was found to have satisfied eligibility requirements in the September 26, 2014, Administrative Law Judge</w:t>
            </w:r>
            <w:r w:rsidR="004E6167">
              <w:t>’</w:t>
            </w:r>
            <w:r w:rsidRPr="00536F0C">
              <w:t>s Ruling on Protect Our Communities Foundation</w:t>
            </w:r>
            <w:r w:rsidR="004E6167">
              <w:t>’</w:t>
            </w:r>
            <w:r w:rsidRPr="00536F0C">
              <w:t>s Amended Showing of Significant Financial Hardship. A copy of PCF</w:t>
            </w:r>
            <w:r w:rsidR="004E6167">
              <w:t>’</w:t>
            </w:r>
            <w:r w:rsidRPr="00536F0C">
              <w:t xml:space="preserve">s current Bylaws, as well as </w:t>
            </w:r>
            <w:r w:rsidRPr="00536F0C">
              <w:lastRenderedPageBreak/>
              <w:t>a copy of PCF</w:t>
            </w:r>
            <w:r w:rsidR="004E6167">
              <w:t>’</w:t>
            </w:r>
            <w:r w:rsidRPr="00536F0C">
              <w:t>s current Articles of Incorporation, is also on file in A.15</w:t>
            </w:r>
            <w:r w:rsidR="00B52830">
              <w:noBreakHyphen/>
            </w:r>
            <w:r w:rsidRPr="00536F0C">
              <w:t>09</w:t>
            </w:r>
            <w:r w:rsidR="00B52830">
              <w:noBreakHyphen/>
            </w:r>
            <w:r w:rsidRPr="00536F0C">
              <w:t>013. In A.15</w:t>
            </w:r>
            <w:r w:rsidR="00B52830">
              <w:noBreakHyphen/>
            </w:r>
            <w:r w:rsidRPr="00536F0C">
              <w:t>09</w:t>
            </w:r>
            <w:r w:rsidR="00B52830">
              <w:noBreakHyphen/>
            </w:r>
            <w:r w:rsidRPr="00536F0C">
              <w:t>013, PCF was found to have satisfied eligibility requirements in D.19</w:t>
            </w:r>
            <w:r w:rsidR="00B52830">
              <w:noBreakHyphen/>
            </w:r>
            <w:r w:rsidRPr="00536F0C">
              <w:t>04</w:t>
            </w:r>
            <w:r w:rsidR="00B52830">
              <w:noBreakHyphen/>
            </w:r>
            <w:r w:rsidRPr="00536F0C">
              <w:t>031, Decision Granting Compensation to Protect Our Communities for Substantial Contribution to Decision 18</w:t>
            </w:r>
            <w:r w:rsidR="00B52830">
              <w:noBreakHyphen/>
            </w:r>
            <w:r w:rsidRPr="00536F0C">
              <w:t>06</w:t>
            </w:r>
            <w:r w:rsidR="00B52830">
              <w:noBreakHyphen/>
            </w:r>
            <w:r w:rsidRPr="00536F0C">
              <w:t>028 (April 25, 2019).</w:t>
            </w:r>
          </w:p>
        </w:tc>
        <w:tc>
          <w:tcPr>
            <w:tcW w:w="2075" w:type="dxa"/>
          </w:tcPr>
          <w:p w:rsidRPr="00536F0C" w:rsidR="00D82C19" w:rsidP="008F5F5F" w:rsidRDefault="00084B23" w14:paraId="416D6250" w14:textId="22B4FFAA">
            <w:pPr>
              <w:tabs>
                <w:tab w:val="left" w:pos="360"/>
              </w:tabs>
              <w:rPr>
                <w:color w:val="000000"/>
              </w:rPr>
            </w:pPr>
            <w:r>
              <w:rPr>
                <w:color w:val="000000"/>
              </w:rPr>
              <w:lastRenderedPageBreak/>
              <w:t>Noted</w:t>
            </w:r>
          </w:p>
        </w:tc>
      </w:tr>
      <w:tr w:rsidRPr="00536F0C" w:rsidR="00D82C19" w:rsidTr="00644ECF" w14:paraId="289F17C7" w14:textId="77777777">
        <w:tc>
          <w:tcPr>
            <w:tcW w:w="860" w:type="dxa"/>
            <w:tcBorders>
              <w:top w:val="single" w:color="auto" w:sz="4" w:space="0"/>
              <w:left w:val="single" w:color="auto" w:sz="4" w:space="0"/>
              <w:bottom w:val="single" w:color="auto" w:sz="4" w:space="0"/>
              <w:right w:val="single" w:color="auto" w:sz="4" w:space="0"/>
            </w:tcBorders>
          </w:tcPr>
          <w:p w:rsidRPr="00536F0C" w:rsidR="00D82C19" w:rsidP="00F372F1" w:rsidRDefault="00D82C19" w14:paraId="6390C46E" w14:textId="19A59EA3">
            <w:pPr>
              <w:tabs>
                <w:tab w:val="left" w:pos="360"/>
              </w:tabs>
              <w:jc w:val="center"/>
              <w:rPr>
                <w:color w:val="000000"/>
              </w:rPr>
            </w:pPr>
            <w:r w:rsidRPr="00536F0C">
              <w:t>9</w:t>
            </w:r>
            <w:r w:rsidR="00B52830">
              <w:noBreakHyphen/>
            </w:r>
            <w:r w:rsidRPr="00536F0C">
              <w:t>11</w:t>
            </w:r>
          </w:p>
        </w:tc>
        <w:tc>
          <w:tcPr>
            <w:tcW w:w="6425" w:type="dxa"/>
            <w:tcBorders>
              <w:top w:val="single" w:color="auto" w:sz="4" w:space="0"/>
              <w:left w:val="single" w:color="auto" w:sz="4" w:space="0"/>
              <w:bottom w:val="single" w:color="auto" w:sz="4" w:space="0"/>
              <w:right w:val="single" w:color="auto" w:sz="4" w:space="0"/>
            </w:tcBorders>
          </w:tcPr>
          <w:p w:rsidRPr="00536F0C" w:rsidR="00D46B64" w:rsidP="00392623" w:rsidRDefault="00D82C19" w14:paraId="202759BA" w14:textId="6F945598">
            <w:pPr>
              <w:tabs>
                <w:tab w:val="left" w:pos="360"/>
              </w:tabs>
              <w:spacing w:after="240"/>
              <w:ind w:firstLine="360"/>
            </w:pPr>
            <w:r w:rsidRPr="00536F0C">
              <w:t>PCF continues to meet the Commission</w:t>
            </w:r>
            <w:r w:rsidR="004E6167">
              <w:t>’</w:t>
            </w:r>
            <w:r w:rsidRPr="00536F0C">
              <w:t>s longstanding definition of significant financial hardship. PCF is a nonprofit public benefit corporation organized exclusively for charitable, educational and public purposes within the meaning of Section 501(c)(3) of the Internal Revenue Code. PCF represents the interests of a specific constituency: San Diego and other Southern California area residential utility ratepayers, the majority of whom do not have the financial ability to represent themselves in the application, and whose interests are often not adequately represented in Commission proceedings. Although PCF</w:t>
            </w:r>
            <w:r w:rsidR="004E6167">
              <w:t>’</w:t>
            </w:r>
            <w:r w:rsidRPr="00536F0C">
              <w:t>s constituents</w:t>
            </w:r>
            <w:r w:rsidR="004E6167">
              <w:t>’</w:t>
            </w:r>
            <w:r w:rsidRPr="00536F0C">
              <w:t xml:space="preserve"> rates are among the highest in the nation, the rates for any one household remains small when compared to the resources necessary to participate effectively before this Commission. Pursuant to Public Utilities Code section 1802(h), PCF certifies that the economic interest in the proceeding of any individual PCF constituent is small compared to the cost of effective participation in this proceeding. </w:t>
            </w:r>
          </w:p>
          <w:p w:rsidRPr="00536F0C" w:rsidR="00D82C19" w:rsidP="00392623" w:rsidRDefault="00D82C19" w14:paraId="43CC9A49" w14:textId="25817737">
            <w:pPr>
              <w:tabs>
                <w:tab w:val="left" w:pos="360"/>
              </w:tabs>
              <w:spacing w:after="240"/>
              <w:ind w:firstLine="360"/>
            </w:pPr>
            <w:r w:rsidRPr="00536F0C">
              <w:t>Moreover, the Commission has repeatedly determined that PCF</w:t>
            </w:r>
            <w:r w:rsidR="004E6167">
              <w:t>’</w:t>
            </w:r>
            <w:r w:rsidRPr="00536F0C">
              <w:t>s participation without an award of intervenor compensation imposes a significant financial hardship, including in proceeding A.21</w:t>
            </w:r>
            <w:r w:rsidR="00B52830">
              <w:noBreakHyphen/>
            </w:r>
            <w:r w:rsidRPr="00536F0C">
              <w:t>05</w:t>
            </w:r>
            <w:r w:rsidR="00B52830">
              <w:noBreakHyphen/>
            </w:r>
            <w:r w:rsidRPr="00536F0C">
              <w:t>011/014 on October 28, 2021. PCF</w:t>
            </w:r>
            <w:r w:rsidR="004E6167">
              <w:t>’</w:t>
            </w:r>
            <w:r w:rsidRPr="00536F0C">
              <w:t xml:space="preserve">s circumstances have not changed in any relevant respect since the above determination was made. </w:t>
            </w:r>
            <w:r w:rsidR="004E6167">
              <w:t>Pub. Util.</w:t>
            </w:r>
            <w:r w:rsidRPr="00536F0C">
              <w:t xml:space="preserve"> Code, </w:t>
            </w:r>
            <w:r w:rsidR="004E6167">
              <w:t>§ </w:t>
            </w:r>
            <w:r w:rsidRPr="00536F0C">
              <w:t>1803, subd. (b)(1) (</w:t>
            </w:r>
            <w:r w:rsidR="004E6167">
              <w:t>“</w:t>
            </w:r>
            <w:r w:rsidRPr="00536F0C">
              <w:t>A finding of significant financial hardship shall create a rebuttable presumption of eligibility for compensation in other commission proceedings commencing within one year of the date of that finding.</w:t>
            </w:r>
            <w:r w:rsidR="004E6167">
              <w:t>”</w:t>
            </w:r>
            <w:r w:rsidRPr="00536F0C">
              <w:t>).</w:t>
            </w:r>
          </w:p>
        </w:tc>
        <w:tc>
          <w:tcPr>
            <w:tcW w:w="2075" w:type="dxa"/>
          </w:tcPr>
          <w:p w:rsidRPr="00536F0C" w:rsidR="00D82C19" w:rsidP="008F5F5F" w:rsidRDefault="00084B23" w14:paraId="1B47B2B2" w14:textId="698B301D">
            <w:pPr>
              <w:tabs>
                <w:tab w:val="left" w:pos="360"/>
              </w:tabs>
              <w:rPr>
                <w:color w:val="000000"/>
              </w:rPr>
            </w:pPr>
            <w:r>
              <w:rPr>
                <w:color w:val="000000"/>
              </w:rPr>
              <w:t>Noted</w:t>
            </w:r>
          </w:p>
        </w:tc>
      </w:tr>
    </w:tbl>
    <w:p w:rsidRPr="00536F0C" w:rsidR="003B6A1B" w:rsidP="008F5F5F" w:rsidRDefault="00A92D0B" w14:paraId="501B5F3D" w14:textId="4F8FB93B">
      <w:pPr>
        <w:keepNext/>
        <w:spacing w:before="480" w:after="240"/>
        <w:jc w:val="center"/>
        <w:rPr>
          <w:b/>
          <w:color w:val="000000"/>
        </w:rPr>
      </w:pPr>
      <w:r w:rsidRPr="00536F0C">
        <w:rPr>
          <w:b/>
          <w:color w:val="000000"/>
        </w:rPr>
        <w:lastRenderedPageBreak/>
        <w:t>PART II:</w:t>
      </w:r>
      <w:r w:rsidRPr="00536F0C" w:rsidR="00D1778A">
        <w:rPr>
          <w:b/>
          <w:color w:val="000000"/>
        </w:rPr>
        <w:t xml:space="preserve">  </w:t>
      </w:r>
      <w:r w:rsidRPr="00536F0C">
        <w:rPr>
          <w:b/>
          <w:color w:val="000000"/>
        </w:rPr>
        <w:t>SUBSTANTIAL CONTRIBUTION</w:t>
      </w:r>
    </w:p>
    <w:p w:rsidRPr="00A81B42" w:rsidR="00D93BF1" w:rsidP="008F5F5F" w:rsidRDefault="00D075B1" w14:paraId="190EFE28" w14:textId="1A4B45FB">
      <w:pPr>
        <w:keepNext/>
        <w:numPr>
          <w:ilvl w:val="0"/>
          <w:numId w:val="28"/>
        </w:numPr>
        <w:spacing w:before="240" w:after="240"/>
        <w:rPr>
          <w:color w:val="000000"/>
        </w:rPr>
      </w:pPr>
      <w:r w:rsidRPr="00A81B42">
        <w:rPr>
          <w:b/>
          <w:color w:val="000000"/>
        </w:rPr>
        <w:t xml:space="preserve">Did the </w:t>
      </w:r>
      <w:r w:rsidRPr="00A81B42" w:rsidR="005A63D4">
        <w:rPr>
          <w:b/>
          <w:color w:val="000000"/>
        </w:rPr>
        <w:t>Intervenor</w:t>
      </w:r>
      <w:r w:rsidRPr="00A81B42">
        <w:rPr>
          <w:b/>
          <w:color w:val="000000"/>
        </w:rPr>
        <w:t xml:space="preserve"> substantially contribute to the final decision</w:t>
      </w:r>
      <w:r w:rsidRPr="00A81B42" w:rsidR="00A92D0B">
        <w:rPr>
          <w:b/>
          <w:color w:val="000000"/>
        </w:rPr>
        <w:t xml:space="preserve"> (</w:t>
      </w:r>
      <w:r w:rsidRPr="00A81B42" w:rsidR="00A92D0B">
        <w:rPr>
          <w:b/>
          <w:i/>
          <w:color w:val="000000"/>
        </w:rPr>
        <w:t>see</w:t>
      </w:r>
      <w:r w:rsidRPr="00A81B42" w:rsidR="00A92D0B">
        <w:rPr>
          <w:b/>
          <w:color w:val="000000"/>
        </w:rPr>
        <w:t xml:space="preserve"> </w:t>
      </w:r>
      <w:r w:rsidR="004E6167">
        <w:rPr>
          <w:b/>
          <w:color w:val="000000"/>
        </w:rPr>
        <w:t>§ </w:t>
      </w:r>
      <w:r w:rsidRPr="00A81B42" w:rsidR="00A92D0B">
        <w:rPr>
          <w:b/>
          <w:color w:val="000000"/>
        </w:rPr>
        <w:t>1802(</w:t>
      </w:r>
      <w:r w:rsidRPr="00A81B42" w:rsidR="00ED6B6B">
        <w:rPr>
          <w:b/>
          <w:color w:val="000000"/>
        </w:rPr>
        <w:t>j</w:t>
      </w:r>
      <w:r w:rsidRPr="00A81B42" w:rsidR="00A92D0B">
        <w:rPr>
          <w:b/>
          <w:color w:val="000000"/>
        </w:rPr>
        <w:t xml:space="preserve">), </w:t>
      </w:r>
      <w:r w:rsidRPr="00A81B42" w:rsidR="001E77CF">
        <w:rPr>
          <w:b/>
          <w:color w:val="000000"/>
        </w:rPr>
        <w:br/>
      </w:r>
      <w:r w:rsidR="004E6167">
        <w:rPr>
          <w:b/>
          <w:color w:val="000000"/>
        </w:rPr>
        <w:t>§ </w:t>
      </w:r>
      <w:r w:rsidRPr="00A81B42" w:rsidR="00A92D0B">
        <w:rPr>
          <w:b/>
          <w:color w:val="000000"/>
        </w:rPr>
        <w:t>1803(a)</w:t>
      </w:r>
      <w:r w:rsidRPr="00A81B42" w:rsidR="00F30DA8">
        <w:rPr>
          <w:b/>
          <w:color w:val="000000"/>
        </w:rPr>
        <w:t>,</w:t>
      </w:r>
      <w:r w:rsidRPr="00A81B42" w:rsidR="00A92D0B">
        <w:rPr>
          <w:b/>
          <w:color w:val="000000"/>
        </w:rPr>
        <w:t xml:space="preserve"> </w:t>
      </w:r>
      <w:r w:rsidRPr="00A81B42" w:rsidR="00ED6B6B">
        <w:rPr>
          <w:b/>
          <w:color w:val="000000"/>
        </w:rPr>
        <w:t xml:space="preserve">1803.1(a) </w:t>
      </w:r>
      <w:r w:rsidRPr="00A81B42" w:rsidR="00F30DA8">
        <w:rPr>
          <w:b/>
          <w:color w:val="000000"/>
        </w:rPr>
        <w:t>and</w:t>
      </w:r>
      <w:r w:rsidRPr="00A81B42" w:rsidR="00A92D0B">
        <w:rPr>
          <w:b/>
          <w:color w:val="000000"/>
        </w:rPr>
        <w:t xml:space="preserve"> D.98</w:t>
      </w:r>
      <w:r w:rsidR="00B52830">
        <w:rPr>
          <w:b/>
          <w:color w:val="000000"/>
        </w:rPr>
        <w:noBreakHyphen/>
      </w:r>
      <w:r w:rsidRPr="00A81B42" w:rsidR="00A92D0B">
        <w:rPr>
          <w:b/>
          <w:color w:val="000000"/>
        </w:rPr>
        <w:t>04</w:t>
      </w:r>
      <w:r w:rsidR="00B52830">
        <w:rPr>
          <w:b/>
          <w:color w:val="000000"/>
        </w:rPr>
        <w:noBreakHyphen/>
      </w:r>
      <w:r w:rsidRPr="00A81B42" w:rsidR="00A92D0B">
        <w:rPr>
          <w:b/>
          <w:color w:val="000000"/>
        </w:rPr>
        <w:t>059)</w:t>
      </w:r>
      <w:r w:rsidRPr="00A81B42" w:rsidR="00C02649">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2785"/>
        <w:gridCol w:w="4500"/>
        <w:gridCol w:w="2075"/>
      </w:tblGrid>
      <w:tr w:rsidRPr="00536F0C" w:rsidR="002160DE" w:rsidTr="0015516F" w14:paraId="291368EA" w14:textId="77777777">
        <w:trPr>
          <w:tblHeader/>
        </w:trPr>
        <w:tc>
          <w:tcPr>
            <w:tcW w:w="2785" w:type="dxa"/>
            <w:shd w:val="clear" w:color="auto" w:fill="D9D9D9" w:themeFill="background1" w:themeFillShade="D9"/>
            <w:vAlign w:val="bottom"/>
          </w:tcPr>
          <w:p w:rsidR="00326381" w:rsidP="00E117B8" w:rsidRDefault="002160DE" w14:paraId="2EB607C3" w14:textId="77777777">
            <w:pPr>
              <w:keepNext/>
              <w:jc w:val="center"/>
              <w:rPr>
                <w:b/>
                <w:bCs/>
                <w:color w:val="000000"/>
              </w:rPr>
            </w:pPr>
            <w:r w:rsidRPr="00536F0C">
              <w:rPr>
                <w:b/>
                <w:bCs/>
                <w:color w:val="000000"/>
              </w:rPr>
              <w:t>Intervenor</w:t>
            </w:r>
            <w:r w:rsidR="004E6167">
              <w:rPr>
                <w:b/>
                <w:bCs/>
                <w:color w:val="000000"/>
              </w:rPr>
              <w:t>’</w:t>
            </w:r>
            <w:r w:rsidRPr="00536F0C">
              <w:rPr>
                <w:b/>
                <w:bCs/>
                <w:color w:val="000000"/>
              </w:rPr>
              <w:t xml:space="preserve">s </w:t>
            </w:r>
          </w:p>
          <w:p w:rsidRPr="00536F0C" w:rsidR="002160DE" w:rsidP="00E117B8" w:rsidRDefault="002160DE" w14:paraId="1CBFB7B4" w14:textId="3197FC47">
            <w:pPr>
              <w:keepNext/>
              <w:jc w:val="center"/>
              <w:rPr>
                <w:b/>
                <w:bCs/>
                <w:color w:val="000000"/>
                <w:u w:val="single"/>
              </w:rPr>
            </w:pPr>
            <w:r w:rsidRPr="00536F0C">
              <w:rPr>
                <w:b/>
                <w:bCs/>
                <w:color w:val="000000"/>
              </w:rPr>
              <w:t>Claimed Contribution(s)</w:t>
            </w:r>
          </w:p>
        </w:tc>
        <w:tc>
          <w:tcPr>
            <w:tcW w:w="4500" w:type="dxa"/>
            <w:shd w:val="clear" w:color="auto" w:fill="D9D9D9" w:themeFill="background1" w:themeFillShade="D9"/>
            <w:vAlign w:val="bottom"/>
          </w:tcPr>
          <w:p w:rsidR="00326381" w:rsidP="00E117B8" w:rsidRDefault="002160DE" w14:paraId="59F799C1" w14:textId="77777777">
            <w:pPr>
              <w:keepNext/>
              <w:jc w:val="center"/>
              <w:rPr>
                <w:b/>
                <w:bCs/>
                <w:color w:val="000000"/>
              </w:rPr>
            </w:pPr>
            <w:r w:rsidRPr="00536F0C">
              <w:rPr>
                <w:b/>
                <w:bCs/>
                <w:color w:val="000000"/>
              </w:rPr>
              <w:t>Specific References to Intervenor</w:t>
            </w:r>
            <w:r w:rsidR="004E6167">
              <w:rPr>
                <w:b/>
                <w:bCs/>
                <w:color w:val="000000"/>
              </w:rPr>
              <w:t>’</w:t>
            </w:r>
            <w:r w:rsidRPr="00536F0C">
              <w:rPr>
                <w:b/>
                <w:bCs/>
                <w:color w:val="000000"/>
              </w:rPr>
              <w:t xml:space="preserve">s </w:t>
            </w:r>
          </w:p>
          <w:p w:rsidRPr="00536F0C" w:rsidR="002160DE" w:rsidP="00E117B8" w:rsidRDefault="002160DE" w14:paraId="01F725FF" w14:textId="7DB31348">
            <w:pPr>
              <w:keepNext/>
              <w:jc w:val="center"/>
              <w:rPr>
                <w:color w:val="000000"/>
              </w:rPr>
            </w:pPr>
            <w:r w:rsidRPr="00536F0C">
              <w:rPr>
                <w:b/>
                <w:bCs/>
                <w:color w:val="000000"/>
              </w:rPr>
              <w:t>Claimed Contribution(s)</w:t>
            </w:r>
          </w:p>
        </w:tc>
        <w:tc>
          <w:tcPr>
            <w:tcW w:w="2075" w:type="dxa"/>
            <w:shd w:val="clear" w:color="auto" w:fill="D9D9D9" w:themeFill="background1" w:themeFillShade="D9"/>
            <w:vAlign w:val="bottom"/>
          </w:tcPr>
          <w:p w:rsidR="002160DE" w:rsidP="00E117B8" w:rsidRDefault="002160DE" w14:paraId="0179648F" w14:textId="1F7E5104">
            <w:pPr>
              <w:keepNext/>
              <w:jc w:val="center"/>
              <w:rPr>
                <w:color w:val="000000"/>
              </w:rPr>
            </w:pPr>
            <w:r w:rsidRPr="00536F0C">
              <w:rPr>
                <w:b/>
                <w:bCs/>
                <w:color w:val="000000"/>
              </w:rPr>
              <w:t>CPUC Discussion</w:t>
            </w:r>
          </w:p>
        </w:tc>
      </w:tr>
      <w:tr w:rsidRPr="00536F0C" w:rsidR="007C745B" w:rsidTr="0015516F" w14:paraId="1AB9D7C1" w14:textId="77777777">
        <w:tc>
          <w:tcPr>
            <w:tcW w:w="2785" w:type="dxa"/>
          </w:tcPr>
          <w:p w:rsidRPr="00536F0C" w:rsidR="00294A0F" w:rsidP="00221B30" w:rsidRDefault="00766EE8" w14:paraId="597B75B5" w14:textId="385FAE6E">
            <w:pPr>
              <w:pStyle w:val="ListParagraph"/>
              <w:spacing w:after="240"/>
              <w:ind w:left="0"/>
              <w:rPr>
                <w:rFonts w:ascii="Times New Roman" w:hAnsi="Times New Roman"/>
                <w:color w:val="000000"/>
                <w:sz w:val="24"/>
                <w:szCs w:val="24"/>
              </w:rPr>
            </w:pPr>
            <w:r w:rsidRPr="00536F0C">
              <w:rPr>
                <w:rFonts w:ascii="Times New Roman" w:hAnsi="Times New Roman"/>
                <w:b/>
                <w:bCs/>
                <w:color w:val="000000"/>
                <w:sz w:val="24"/>
                <w:szCs w:val="24"/>
                <w:u w:val="single"/>
              </w:rPr>
              <w:t>RO</w:t>
            </w:r>
            <w:r w:rsidRPr="00536F0C" w:rsidR="0084135F">
              <w:rPr>
                <w:rFonts w:ascii="Times New Roman" w:hAnsi="Times New Roman"/>
                <w:b/>
                <w:bCs/>
                <w:color w:val="000000"/>
                <w:sz w:val="24"/>
                <w:szCs w:val="24"/>
                <w:u w:val="single"/>
              </w:rPr>
              <w:t>E</w:t>
            </w:r>
            <w:r w:rsidRPr="00536F0C">
              <w:rPr>
                <w:rFonts w:ascii="Times New Roman" w:hAnsi="Times New Roman"/>
                <w:b/>
                <w:bCs/>
                <w:color w:val="000000"/>
                <w:sz w:val="24"/>
                <w:szCs w:val="24"/>
                <w:u w:val="single"/>
              </w:rPr>
              <w:t xml:space="preserve">s </w:t>
            </w:r>
            <w:r w:rsidRPr="00536F0C" w:rsidR="002027D5">
              <w:rPr>
                <w:rFonts w:ascii="Times New Roman" w:hAnsi="Times New Roman"/>
                <w:b/>
                <w:bCs/>
                <w:color w:val="000000"/>
                <w:sz w:val="24"/>
                <w:szCs w:val="24"/>
                <w:u w:val="single"/>
              </w:rPr>
              <w:t>Should Not Continue to Spiral Upward</w:t>
            </w:r>
            <w:r w:rsidRPr="00536F0C" w:rsidR="002027D5">
              <w:rPr>
                <w:rFonts w:ascii="Times New Roman" w:hAnsi="Times New Roman"/>
                <w:b/>
                <w:bCs/>
                <w:color w:val="000000"/>
                <w:sz w:val="24"/>
                <w:szCs w:val="24"/>
              </w:rPr>
              <w:t>.</w:t>
            </w:r>
            <w:r w:rsidR="00221B30">
              <w:rPr>
                <w:rFonts w:ascii="Times New Roman" w:hAnsi="Times New Roman"/>
                <w:b/>
                <w:bCs/>
                <w:color w:val="000000"/>
                <w:sz w:val="24"/>
                <w:szCs w:val="24"/>
              </w:rPr>
              <w:t xml:space="preserve"> </w:t>
            </w:r>
            <w:r w:rsidRPr="00536F0C" w:rsidR="00F85BCD">
              <w:rPr>
                <w:rFonts w:ascii="Times New Roman" w:hAnsi="Times New Roman"/>
                <w:color w:val="000000"/>
                <w:sz w:val="24"/>
                <w:szCs w:val="24"/>
              </w:rPr>
              <w:t>D.2</w:t>
            </w:r>
            <w:r w:rsidRPr="00536F0C" w:rsidR="00DC6F3A">
              <w:rPr>
                <w:rFonts w:ascii="Times New Roman" w:hAnsi="Times New Roman"/>
                <w:color w:val="000000"/>
                <w:sz w:val="24"/>
                <w:szCs w:val="24"/>
              </w:rPr>
              <w:t>2</w:t>
            </w:r>
            <w:r w:rsidR="00B52830">
              <w:rPr>
                <w:rFonts w:ascii="Times New Roman" w:hAnsi="Times New Roman"/>
                <w:color w:val="000000"/>
                <w:sz w:val="24"/>
                <w:szCs w:val="24"/>
              </w:rPr>
              <w:noBreakHyphen/>
            </w:r>
            <w:r w:rsidRPr="00536F0C" w:rsidR="00F85BCD">
              <w:rPr>
                <w:rFonts w:ascii="Times New Roman" w:hAnsi="Times New Roman"/>
                <w:color w:val="000000"/>
                <w:sz w:val="24"/>
                <w:szCs w:val="24"/>
              </w:rPr>
              <w:t>12</w:t>
            </w:r>
            <w:r w:rsidR="00B52830">
              <w:rPr>
                <w:rFonts w:ascii="Times New Roman" w:hAnsi="Times New Roman"/>
                <w:color w:val="000000"/>
                <w:sz w:val="24"/>
                <w:szCs w:val="24"/>
              </w:rPr>
              <w:noBreakHyphen/>
            </w:r>
            <w:r w:rsidRPr="00536F0C" w:rsidR="00F85BCD">
              <w:rPr>
                <w:rFonts w:ascii="Times New Roman" w:hAnsi="Times New Roman"/>
                <w:color w:val="000000"/>
                <w:sz w:val="24"/>
                <w:szCs w:val="24"/>
              </w:rPr>
              <w:t>031 adopted PCF</w:t>
            </w:r>
            <w:r w:rsidR="004E6167">
              <w:rPr>
                <w:rFonts w:ascii="Times New Roman" w:hAnsi="Times New Roman"/>
                <w:color w:val="000000"/>
                <w:sz w:val="24"/>
                <w:szCs w:val="24"/>
              </w:rPr>
              <w:t>’</w:t>
            </w:r>
            <w:r w:rsidRPr="00536F0C" w:rsidR="00F85BCD">
              <w:rPr>
                <w:rFonts w:ascii="Times New Roman" w:hAnsi="Times New Roman"/>
                <w:color w:val="000000"/>
                <w:sz w:val="24"/>
                <w:szCs w:val="24"/>
              </w:rPr>
              <w:t>s and other parties</w:t>
            </w:r>
            <w:r w:rsidR="004E6167">
              <w:rPr>
                <w:rFonts w:ascii="Times New Roman" w:hAnsi="Times New Roman"/>
                <w:color w:val="000000"/>
                <w:sz w:val="24"/>
                <w:szCs w:val="24"/>
              </w:rPr>
              <w:t>’</w:t>
            </w:r>
            <w:r w:rsidRPr="00536F0C" w:rsidR="00F85BCD">
              <w:rPr>
                <w:rFonts w:ascii="Times New Roman" w:hAnsi="Times New Roman"/>
                <w:color w:val="000000"/>
                <w:sz w:val="24"/>
                <w:szCs w:val="24"/>
              </w:rPr>
              <w:t xml:space="preserve"> position </w:t>
            </w:r>
            <w:r w:rsidRPr="00536F0C" w:rsidR="00054AB9">
              <w:rPr>
                <w:rFonts w:ascii="Times New Roman" w:hAnsi="Times New Roman"/>
                <w:color w:val="000000"/>
                <w:sz w:val="24"/>
                <w:szCs w:val="24"/>
              </w:rPr>
              <w:t xml:space="preserve">that shareholders are not entitled to </w:t>
            </w:r>
            <w:r w:rsidRPr="00536F0C" w:rsidR="00EE1D06">
              <w:rPr>
                <w:rFonts w:ascii="Times New Roman" w:hAnsi="Times New Roman"/>
                <w:color w:val="000000"/>
                <w:sz w:val="24"/>
                <w:szCs w:val="24"/>
              </w:rPr>
              <w:t>ever</w:t>
            </w:r>
            <w:r w:rsidR="00B52830">
              <w:rPr>
                <w:rFonts w:ascii="Times New Roman" w:hAnsi="Times New Roman"/>
                <w:color w:val="000000"/>
                <w:sz w:val="24"/>
                <w:szCs w:val="24"/>
              </w:rPr>
              <w:noBreakHyphen/>
            </w:r>
            <w:r w:rsidRPr="00536F0C" w:rsidR="00EE1D06">
              <w:rPr>
                <w:rFonts w:ascii="Times New Roman" w:hAnsi="Times New Roman"/>
                <w:color w:val="000000"/>
                <w:sz w:val="24"/>
                <w:szCs w:val="24"/>
              </w:rPr>
              <w:t>increasing authorized Returns on Equity (ROEs)</w:t>
            </w:r>
            <w:r w:rsidRPr="00536F0C" w:rsidR="004B3125">
              <w:rPr>
                <w:rFonts w:ascii="Times New Roman" w:hAnsi="Times New Roman"/>
                <w:color w:val="000000"/>
                <w:sz w:val="24"/>
                <w:szCs w:val="24"/>
              </w:rPr>
              <w:t>;</w:t>
            </w:r>
            <w:r w:rsidRPr="00536F0C" w:rsidR="00745FDC">
              <w:rPr>
                <w:rFonts w:ascii="Times New Roman" w:hAnsi="Times New Roman"/>
                <w:color w:val="000000"/>
                <w:sz w:val="24"/>
                <w:szCs w:val="24"/>
              </w:rPr>
              <w:t xml:space="preserve"> reduced authorized ROEs from those authorized in </w:t>
            </w:r>
            <w:r w:rsidRPr="00536F0C" w:rsidR="00A27D02">
              <w:rPr>
                <w:rFonts w:ascii="Times New Roman" w:hAnsi="Times New Roman"/>
                <w:color w:val="000000"/>
                <w:sz w:val="24"/>
                <w:szCs w:val="24"/>
              </w:rPr>
              <w:t>the previous COC proceeding</w:t>
            </w:r>
            <w:r w:rsidRPr="00536F0C" w:rsidR="00063C66">
              <w:rPr>
                <w:rFonts w:ascii="Times New Roman" w:hAnsi="Times New Roman"/>
                <w:color w:val="000000"/>
                <w:sz w:val="24"/>
                <w:szCs w:val="24"/>
              </w:rPr>
              <w:t>;</w:t>
            </w:r>
            <w:r w:rsidRPr="00536F0C" w:rsidR="00A27D02">
              <w:rPr>
                <w:rFonts w:ascii="Times New Roman" w:hAnsi="Times New Roman"/>
                <w:color w:val="000000"/>
                <w:sz w:val="24"/>
                <w:szCs w:val="24"/>
              </w:rPr>
              <w:t xml:space="preserve"> </w:t>
            </w:r>
            <w:r w:rsidRPr="00536F0C" w:rsidR="00AC4A49">
              <w:rPr>
                <w:rFonts w:ascii="Times New Roman" w:hAnsi="Times New Roman"/>
                <w:color w:val="000000"/>
                <w:sz w:val="24"/>
                <w:szCs w:val="24"/>
              </w:rPr>
              <w:t>and</w:t>
            </w:r>
            <w:r w:rsidRPr="00536F0C" w:rsidR="00555666">
              <w:rPr>
                <w:rFonts w:ascii="Times New Roman" w:hAnsi="Times New Roman"/>
                <w:color w:val="000000"/>
                <w:sz w:val="24"/>
                <w:szCs w:val="24"/>
              </w:rPr>
              <w:t xml:space="preserve"> </w:t>
            </w:r>
            <w:r w:rsidRPr="00536F0C" w:rsidR="00F4687F">
              <w:rPr>
                <w:rFonts w:ascii="Times New Roman" w:hAnsi="Times New Roman"/>
                <w:color w:val="000000"/>
                <w:sz w:val="24"/>
                <w:szCs w:val="24"/>
              </w:rPr>
              <w:t>concluded</w:t>
            </w:r>
            <w:r w:rsidRPr="00536F0C" w:rsidR="00054AB9">
              <w:rPr>
                <w:rFonts w:ascii="Times New Roman" w:hAnsi="Times New Roman"/>
                <w:color w:val="000000"/>
                <w:sz w:val="24"/>
                <w:szCs w:val="24"/>
              </w:rPr>
              <w:t xml:space="preserve"> </w:t>
            </w:r>
            <w:r w:rsidRPr="00536F0C" w:rsidR="00F85BCD">
              <w:rPr>
                <w:rFonts w:ascii="Times New Roman" w:hAnsi="Times New Roman"/>
                <w:color w:val="000000"/>
                <w:sz w:val="24"/>
                <w:szCs w:val="24"/>
              </w:rPr>
              <w:t>that SDGE</w:t>
            </w:r>
            <w:r w:rsidR="004E6167">
              <w:rPr>
                <w:rFonts w:ascii="Times New Roman" w:hAnsi="Times New Roman"/>
                <w:color w:val="000000"/>
                <w:sz w:val="24"/>
                <w:szCs w:val="24"/>
              </w:rPr>
              <w:t>’</w:t>
            </w:r>
            <w:r w:rsidRPr="00536F0C" w:rsidR="00F85BCD">
              <w:rPr>
                <w:rFonts w:ascii="Times New Roman" w:hAnsi="Times New Roman"/>
                <w:color w:val="000000"/>
                <w:sz w:val="24"/>
                <w:szCs w:val="24"/>
              </w:rPr>
              <w:t>s and SoCalGas</w:t>
            </w:r>
            <w:r w:rsidR="004E6167">
              <w:rPr>
                <w:rFonts w:ascii="Times New Roman" w:hAnsi="Times New Roman"/>
                <w:color w:val="000000"/>
                <w:sz w:val="24"/>
                <w:szCs w:val="24"/>
              </w:rPr>
              <w:t>’</w:t>
            </w:r>
            <w:r w:rsidRPr="00536F0C" w:rsidR="00F85BCD">
              <w:rPr>
                <w:rFonts w:ascii="Times New Roman" w:hAnsi="Times New Roman"/>
                <w:color w:val="000000"/>
                <w:sz w:val="24"/>
                <w:szCs w:val="24"/>
              </w:rPr>
              <w:t xml:space="preserve">s requested </w:t>
            </w:r>
            <w:r w:rsidRPr="00536F0C" w:rsidR="0084135F">
              <w:rPr>
                <w:rFonts w:ascii="Times New Roman" w:hAnsi="Times New Roman"/>
                <w:color w:val="000000"/>
                <w:sz w:val="24"/>
                <w:szCs w:val="24"/>
              </w:rPr>
              <w:t>ROEs</w:t>
            </w:r>
            <w:r w:rsidRPr="00536F0C" w:rsidR="00F85BCD">
              <w:rPr>
                <w:rFonts w:ascii="Times New Roman" w:hAnsi="Times New Roman"/>
                <w:color w:val="000000"/>
                <w:sz w:val="24"/>
                <w:szCs w:val="24"/>
              </w:rPr>
              <w:t xml:space="preserve"> were </w:t>
            </w:r>
            <w:r w:rsidRPr="00536F0C" w:rsidR="00B27EC9">
              <w:rPr>
                <w:rFonts w:ascii="Times New Roman" w:hAnsi="Times New Roman"/>
                <w:color w:val="000000"/>
                <w:sz w:val="24"/>
                <w:szCs w:val="24"/>
              </w:rPr>
              <w:t>higher than the ROEs that should be approved</w:t>
            </w:r>
            <w:r w:rsidRPr="00536F0C" w:rsidR="00CC47E2">
              <w:rPr>
                <w:rFonts w:ascii="Times New Roman" w:hAnsi="Times New Roman"/>
                <w:color w:val="000000"/>
                <w:sz w:val="24"/>
                <w:szCs w:val="24"/>
              </w:rPr>
              <w:t>.</w:t>
            </w:r>
          </w:p>
        </w:tc>
        <w:tc>
          <w:tcPr>
            <w:tcW w:w="4500" w:type="dxa"/>
          </w:tcPr>
          <w:p w:rsidRPr="00536F0C" w:rsidR="00E0611C" w:rsidP="00105DB8" w:rsidRDefault="004E6167" w14:paraId="1B2755E1" w14:textId="22BF2B82">
            <w:pPr>
              <w:spacing w:after="240"/>
              <w:rPr>
                <w:color w:val="000000"/>
              </w:rPr>
            </w:pPr>
            <w:r>
              <w:rPr>
                <w:color w:val="000000"/>
              </w:rPr>
              <w:t>“</w:t>
            </w:r>
            <w:r w:rsidRPr="00536F0C" w:rsidR="00E0611C">
              <w:rPr>
                <w:color w:val="000000"/>
              </w:rPr>
              <w:t>SoCalGas seeks a Test Year 2023 ROE authorization of 10.75%.</w:t>
            </w:r>
            <w:r>
              <w:rPr>
                <w:color w:val="000000"/>
              </w:rPr>
              <w:t>”</w:t>
            </w:r>
            <w:r w:rsidRPr="00536F0C" w:rsidR="00E0611C">
              <w:rPr>
                <w:color w:val="000000"/>
              </w:rPr>
              <w:t xml:space="preserve"> D.2</w:t>
            </w:r>
            <w:r w:rsidRPr="00536F0C" w:rsidR="00DC6F3A">
              <w:rPr>
                <w:color w:val="000000"/>
              </w:rPr>
              <w:t>2</w:t>
            </w:r>
            <w:r w:rsidR="00B52830">
              <w:rPr>
                <w:color w:val="000000"/>
              </w:rPr>
              <w:noBreakHyphen/>
            </w:r>
            <w:r w:rsidRPr="00536F0C" w:rsidR="00E0611C">
              <w:rPr>
                <w:color w:val="000000"/>
              </w:rPr>
              <w:t>12</w:t>
            </w:r>
            <w:r w:rsidR="00B52830">
              <w:rPr>
                <w:color w:val="000000"/>
              </w:rPr>
              <w:noBreakHyphen/>
            </w:r>
            <w:r w:rsidRPr="00536F0C" w:rsidR="00E0611C">
              <w:rPr>
                <w:color w:val="000000"/>
              </w:rPr>
              <w:t>031,</w:t>
            </w:r>
            <w:r w:rsidR="0015516F">
              <w:rPr>
                <w:color w:val="000000"/>
              </w:rPr>
              <w:t xml:space="preserve"> p. </w:t>
            </w:r>
            <w:r w:rsidRPr="00536F0C" w:rsidR="00E0611C">
              <w:rPr>
                <w:color w:val="000000"/>
              </w:rPr>
              <w:t>46 (FOF 17).</w:t>
            </w:r>
          </w:p>
          <w:p w:rsidRPr="00536F0C" w:rsidR="00E0611C" w:rsidP="00105DB8" w:rsidRDefault="004E6167" w14:paraId="022CAC1F" w14:textId="25E0AF9A">
            <w:pPr>
              <w:spacing w:after="240"/>
              <w:rPr>
                <w:color w:val="000000"/>
              </w:rPr>
            </w:pPr>
            <w:r>
              <w:rPr>
                <w:color w:val="000000"/>
              </w:rPr>
              <w:t>“</w:t>
            </w:r>
            <w:r w:rsidRPr="00536F0C" w:rsidR="00E0611C">
              <w:rPr>
                <w:color w:val="000000"/>
              </w:rPr>
              <w:t>SDG&amp;E seeks a Test Year 2023 ROE authorization of 10.55%.</w:t>
            </w:r>
            <w:r>
              <w:rPr>
                <w:color w:val="000000"/>
              </w:rPr>
              <w:t>”</w:t>
            </w:r>
            <w:r w:rsidRPr="00536F0C" w:rsidR="00E0611C">
              <w:rPr>
                <w:color w:val="000000"/>
              </w:rPr>
              <w:t xml:space="preserve"> D.2</w:t>
            </w:r>
            <w:r w:rsidRPr="00536F0C" w:rsidR="00DC6F3A">
              <w:rPr>
                <w:color w:val="000000"/>
              </w:rPr>
              <w:t>2</w:t>
            </w:r>
            <w:r w:rsidR="00B52830">
              <w:rPr>
                <w:color w:val="000000"/>
              </w:rPr>
              <w:noBreakHyphen/>
            </w:r>
            <w:r w:rsidRPr="00536F0C" w:rsidR="00E0611C">
              <w:rPr>
                <w:color w:val="000000"/>
              </w:rPr>
              <w:t>12</w:t>
            </w:r>
            <w:r w:rsidR="00B52830">
              <w:rPr>
                <w:color w:val="000000"/>
              </w:rPr>
              <w:noBreakHyphen/>
            </w:r>
            <w:r w:rsidRPr="00536F0C" w:rsidR="00E0611C">
              <w:rPr>
                <w:color w:val="000000"/>
              </w:rPr>
              <w:t>031,</w:t>
            </w:r>
            <w:r w:rsidR="0015516F">
              <w:rPr>
                <w:color w:val="000000"/>
              </w:rPr>
              <w:t xml:space="preserve"> p. </w:t>
            </w:r>
            <w:r w:rsidRPr="00536F0C" w:rsidR="00E0611C">
              <w:rPr>
                <w:color w:val="000000"/>
              </w:rPr>
              <w:t>46 (FOF 18).</w:t>
            </w:r>
          </w:p>
          <w:p w:rsidRPr="00536F0C" w:rsidR="00E0611C" w:rsidP="00105DB8" w:rsidRDefault="004E6167" w14:paraId="386871D7" w14:textId="3980631B">
            <w:pPr>
              <w:spacing w:after="240"/>
              <w:rPr>
                <w:color w:val="000000"/>
              </w:rPr>
            </w:pPr>
            <w:r>
              <w:rPr>
                <w:color w:val="000000"/>
              </w:rPr>
              <w:t>“</w:t>
            </w:r>
            <w:r w:rsidRPr="00536F0C" w:rsidR="00E0611C">
              <w:rPr>
                <w:color w:val="000000"/>
              </w:rPr>
              <w:t>The intervenors generally sought Test Year 2023 ROE authorizations for the applicants that were lower than the ROE authorizations the utilities proposed.</w:t>
            </w:r>
            <w:r>
              <w:rPr>
                <w:color w:val="000000"/>
              </w:rPr>
              <w:t>”</w:t>
            </w:r>
            <w:r w:rsidRPr="00536F0C" w:rsidR="00E0611C">
              <w:rPr>
                <w:color w:val="000000"/>
              </w:rPr>
              <w:t xml:space="preserve"> D.2</w:t>
            </w:r>
            <w:r w:rsidRPr="00536F0C" w:rsidR="00DC6F3A">
              <w:rPr>
                <w:color w:val="000000"/>
              </w:rPr>
              <w:t>2</w:t>
            </w:r>
            <w:r w:rsidR="00B52830">
              <w:rPr>
                <w:color w:val="000000"/>
              </w:rPr>
              <w:noBreakHyphen/>
            </w:r>
            <w:r w:rsidRPr="00536F0C" w:rsidR="00E0611C">
              <w:rPr>
                <w:color w:val="000000"/>
              </w:rPr>
              <w:t>12</w:t>
            </w:r>
            <w:r w:rsidR="00B52830">
              <w:rPr>
                <w:color w:val="000000"/>
              </w:rPr>
              <w:noBreakHyphen/>
            </w:r>
            <w:r w:rsidRPr="00536F0C" w:rsidR="00E0611C">
              <w:rPr>
                <w:color w:val="000000"/>
              </w:rPr>
              <w:t>031,</w:t>
            </w:r>
            <w:r w:rsidR="0015516F">
              <w:rPr>
                <w:color w:val="000000"/>
              </w:rPr>
              <w:t xml:space="preserve"> p. </w:t>
            </w:r>
            <w:r w:rsidRPr="00536F0C" w:rsidR="00E0611C">
              <w:rPr>
                <w:color w:val="000000"/>
              </w:rPr>
              <w:t>46 (FOF 19).</w:t>
            </w:r>
          </w:p>
          <w:p w:rsidRPr="00536F0C" w:rsidR="00223522" w:rsidP="00105DB8" w:rsidRDefault="00223522" w14:paraId="60ADC5CB" w14:textId="3FA1564F">
            <w:pPr>
              <w:spacing w:after="240"/>
              <w:rPr>
                <w:color w:val="000000"/>
              </w:rPr>
            </w:pPr>
            <w:r w:rsidRPr="00536F0C">
              <w:rPr>
                <w:color w:val="000000"/>
              </w:rPr>
              <w:t>A test year 2023 ROE of 9.80% and ROR of 7.10% is just and reasonable for SoCalGas. D.22</w:t>
            </w:r>
            <w:r w:rsidR="00B52830">
              <w:rPr>
                <w:color w:val="000000"/>
              </w:rPr>
              <w:noBreakHyphen/>
            </w:r>
            <w:r w:rsidRPr="00536F0C">
              <w:rPr>
                <w:color w:val="000000"/>
              </w:rPr>
              <w:t>12</w:t>
            </w:r>
            <w:r w:rsidR="00B52830">
              <w:rPr>
                <w:color w:val="000000"/>
              </w:rPr>
              <w:noBreakHyphen/>
            </w:r>
            <w:r w:rsidRPr="00536F0C">
              <w:rPr>
                <w:color w:val="000000"/>
              </w:rPr>
              <w:t>031,</w:t>
            </w:r>
            <w:r w:rsidR="0015516F">
              <w:rPr>
                <w:color w:val="000000"/>
              </w:rPr>
              <w:t xml:space="preserve"> p. </w:t>
            </w:r>
            <w:r w:rsidRPr="00536F0C">
              <w:rPr>
                <w:color w:val="000000"/>
              </w:rPr>
              <w:t>52 (COL 22).</w:t>
            </w:r>
          </w:p>
          <w:p w:rsidRPr="00536F0C" w:rsidR="00223522" w:rsidP="00105DB8" w:rsidRDefault="004E6167" w14:paraId="0589DF48" w14:textId="7FC53103">
            <w:pPr>
              <w:spacing w:after="240"/>
              <w:rPr>
                <w:color w:val="000000"/>
              </w:rPr>
            </w:pPr>
            <w:r>
              <w:rPr>
                <w:color w:val="000000"/>
              </w:rPr>
              <w:t>“</w:t>
            </w:r>
            <w:r w:rsidRPr="00536F0C" w:rsidR="00223522">
              <w:rPr>
                <w:color w:val="000000"/>
              </w:rPr>
              <w:t>A test year 2023 ROE of 9.95% and ROR of 7.18% is just and reasonable for SDG&amp;E. D.22</w:t>
            </w:r>
            <w:r w:rsidR="00B52830">
              <w:rPr>
                <w:color w:val="000000"/>
              </w:rPr>
              <w:noBreakHyphen/>
            </w:r>
            <w:r w:rsidRPr="00536F0C" w:rsidR="00223522">
              <w:rPr>
                <w:color w:val="000000"/>
              </w:rPr>
              <w:t>12</w:t>
            </w:r>
            <w:r w:rsidR="00B52830">
              <w:rPr>
                <w:color w:val="000000"/>
              </w:rPr>
              <w:noBreakHyphen/>
            </w:r>
            <w:r w:rsidRPr="00536F0C" w:rsidR="00223522">
              <w:rPr>
                <w:color w:val="000000"/>
              </w:rPr>
              <w:t>031,</w:t>
            </w:r>
            <w:r w:rsidR="0015516F">
              <w:rPr>
                <w:color w:val="000000"/>
              </w:rPr>
              <w:t xml:space="preserve"> p. </w:t>
            </w:r>
            <w:r w:rsidRPr="00536F0C" w:rsidR="00223522">
              <w:rPr>
                <w:color w:val="000000"/>
              </w:rPr>
              <w:t>52 (COL 23).</w:t>
            </w:r>
          </w:p>
          <w:p w:rsidRPr="00536F0C" w:rsidR="00223522" w:rsidP="00105DB8" w:rsidRDefault="00263241" w14:paraId="338C6928" w14:textId="61CE68DB">
            <w:pPr>
              <w:spacing w:after="240"/>
              <w:rPr>
                <w:color w:val="000000"/>
              </w:rPr>
            </w:pPr>
            <w:r w:rsidRPr="00536F0C">
              <w:rPr>
                <w:color w:val="000000"/>
              </w:rPr>
              <w:t xml:space="preserve">May 27, 2022 </w:t>
            </w:r>
            <w:r w:rsidRPr="00536F0C" w:rsidR="00223522">
              <w:rPr>
                <w:color w:val="000000"/>
              </w:rPr>
              <w:t>PCF Protest</w:t>
            </w:r>
            <w:r w:rsidRPr="00536F0C">
              <w:rPr>
                <w:color w:val="000000"/>
              </w:rPr>
              <w:t>,</w:t>
            </w:r>
            <w:r w:rsidR="0015516F">
              <w:rPr>
                <w:color w:val="000000"/>
              </w:rPr>
              <w:t xml:space="preserve"> p. </w:t>
            </w:r>
            <w:r w:rsidRPr="00536F0C" w:rsidR="0047253B">
              <w:rPr>
                <w:color w:val="000000"/>
              </w:rPr>
              <w:t>2</w:t>
            </w:r>
            <w:r w:rsidR="00B52830">
              <w:rPr>
                <w:color w:val="000000"/>
              </w:rPr>
              <w:noBreakHyphen/>
            </w:r>
            <w:r w:rsidRPr="00536F0C" w:rsidR="0047253B">
              <w:rPr>
                <w:color w:val="000000"/>
              </w:rPr>
              <w:t>3</w:t>
            </w:r>
            <w:r w:rsidRPr="00536F0C" w:rsidR="00925DE0">
              <w:rPr>
                <w:color w:val="000000"/>
              </w:rPr>
              <w:t>.</w:t>
            </w:r>
          </w:p>
          <w:p w:rsidRPr="00536F0C" w:rsidR="00925DE0" w:rsidP="00105DB8" w:rsidRDefault="00925DE0" w14:paraId="70B8D589" w14:textId="4F432085">
            <w:pPr>
              <w:spacing w:after="240"/>
              <w:rPr>
                <w:color w:val="000000"/>
              </w:rPr>
            </w:pPr>
            <w:r w:rsidRPr="00536F0C">
              <w:rPr>
                <w:color w:val="000000"/>
              </w:rPr>
              <w:t>PCF</w:t>
            </w:r>
            <w:r w:rsidR="00B52830">
              <w:rPr>
                <w:color w:val="000000"/>
              </w:rPr>
              <w:noBreakHyphen/>
            </w:r>
            <w:r w:rsidRPr="00536F0C">
              <w:rPr>
                <w:color w:val="000000"/>
              </w:rPr>
              <w:t>01 (Ellis Testimony),</w:t>
            </w:r>
            <w:r w:rsidR="0015516F">
              <w:rPr>
                <w:color w:val="000000"/>
              </w:rPr>
              <w:t xml:space="preserve"> p. </w:t>
            </w:r>
            <w:r w:rsidRPr="00536F0C" w:rsidR="00F22D04">
              <w:rPr>
                <w:color w:val="000000"/>
              </w:rPr>
              <w:t>7</w:t>
            </w:r>
            <w:r w:rsidR="00B52830">
              <w:rPr>
                <w:color w:val="000000"/>
              </w:rPr>
              <w:noBreakHyphen/>
            </w:r>
            <w:r w:rsidRPr="00536F0C" w:rsidR="00123B39">
              <w:rPr>
                <w:color w:val="000000"/>
              </w:rPr>
              <w:t>78</w:t>
            </w:r>
            <w:r w:rsidRPr="00536F0C" w:rsidR="00646891">
              <w:rPr>
                <w:color w:val="000000"/>
              </w:rPr>
              <w:t xml:space="preserve">; </w:t>
            </w:r>
            <w:r w:rsidRPr="00536F0C" w:rsidR="00646891">
              <w:rPr>
                <w:i/>
                <w:iCs/>
                <w:color w:val="000000"/>
              </w:rPr>
              <w:t>id.</w:t>
            </w:r>
            <w:r w:rsidRPr="00536F0C" w:rsidR="00646891">
              <w:rPr>
                <w:color w:val="000000"/>
              </w:rPr>
              <w:t xml:space="preserve"> at</w:t>
            </w:r>
            <w:r w:rsidR="0015516F">
              <w:rPr>
                <w:color w:val="000000"/>
              </w:rPr>
              <w:t xml:space="preserve"> p. </w:t>
            </w:r>
            <w:r w:rsidRPr="00536F0C" w:rsidR="00646891">
              <w:rPr>
                <w:color w:val="000000"/>
              </w:rPr>
              <w:t>23 (</w:t>
            </w:r>
            <w:r w:rsidR="004E6167">
              <w:rPr>
                <w:color w:val="000000"/>
              </w:rPr>
              <w:t>“</w:t>
            </w:r>
            <w:r w:rsidRPr="00536F0C" w:rsidR="00646891">
              <w:rPr>
                <w:color w:val="000000"/>
              </w:rPr>
              <w:t>The executive management teams of the California Utilities, like the leadership of all publicly traded companies, seek to maximize shareholder value. The primary driver of the value of a utility stock its expected future earnings. Earnings, in turn, are directly linked to the authorized ROE. So the most straightforward way to sustain or increase a utility</w:t>
            </w:r>
            <w:r w:rsidR="004E6167">
              <w:rPr>
                <w:color w:val="000000"/>
              </w:rPr>
              <w:t>’</w:t>
            </w:r>
            <w:r w:rsidRPr="00536F0C" w:rsidR="00646891">
              <w:rPr>
                <w:color w:val="000000"/>
              </w:rPr>
              <w:t>s stock price is to sustain or increase its ROE.</w:t>
            </w:r>
            <w:r w:rsidR="004E6167">
              <w:rPr>
                <w:color w:val="000000"/>
              </w:rPr>
              <w:t>”</w:t>
            </w:r>
            <w:r w:rsidRPr="00536F0C" w:rsidR="00646891">
              <w:rPr>
                <w:color w:val="000000"/>
              </w:rPr>
              <w:t>)(citations omitted).</w:t>
            </w:r>
          </w:p>
          <w:p w:rsidRPr="00536F0C" w:rsidR="00925DE0" w:rsidP="00105DB8" w:rsidRDefault="00925DE0" w14:paraId="69E3806F" w14:textId="44F2B84A">
            <w:pPr>
              <w:spacing w:after="240"/>
              <w:rPr>
                <w:color w:val="000000"/>
              </w:rPr>
            </w:pPr>
            <w:r w:rsidRPr="00536F0C">
              <w:rPr>
                <w:color w:val="000000"/>
              </w:rPr>
              <w:t>PCF</w:t>
            </w:r>
            <w:r w:rsidR="00B52830">
              <w:rPr>
                <w:color w:val="000000"/>
              </w:rPr>
              <w:noBreakHyphen/>
            </w:r>
            <w:r w:rsidRPr="00536F0C">
              <w:rPr>
                <w:color w:val="000000"/>
              </w:rPr>
              <w:t xml:space="preserve">02 (Ellis </w:t>
            </w:r>
            <w:r w:rsidRPr="00536F0C" w:rsidR="0004020A">
              <w:rPr>
                <w:color w:val="000000"/>
              </w:rPr>
              <w:t xml:space="preserve">Rebuttal </w:t>
            </w:r>
            <w:r w:rsidRPr="00536F0C">
              <w:rPr>
                <w:color w:val="000000"/>
              </w:rPr>
              <w:t>Testimony),</w:t>
            </w:r>
            <w:r w:rsidR="0015516F">
              <w:rPr>
                <w:color w:val="000000"/>
              </w:rPr>
              <w:t xml:space="preserve"> p. </w:t>
            </w:r>
            <w:r w:rsidRPr="00536F0C" w:rsidR="00854FA4">
              <w:rPr>
                <w:color w:val="000000"/>
              </w:rPr>
              <w:t>1</w:t>
            </w:r>
            <w:r w:rsidR="00B52830">
              <w:rPr>
                <w:color w:val="000000"/>
              </w:rPr>
              <w:noBreakHyphen/>
            </w:r>
            <w:r w:rsidRPr="00536F0C" w:rsidR="00854FA4">
              <w:rPr>
                <w:color w:val="000000"/>
              </w:rPr>
              <w:t>25</w:t>
            </w:r>
            <w:r w:rsidRPr="00536F0C">
              <w:rPr>
                <w:color w:val="000000"/>
              </w:rPr>
              <w:t>.</w:t>
            </w:r>
          </w:p>
          <w:p w:rsidRPr="00536F0C" w:rsidR="00835A09" w:rsidP="00105DB8" w:rsidRDefault="00835A09" w14:paraId="23707998" w14:textId="3FBFDCD1">
            <w:pPr>
              <w:spacing w:after="240"/>
              <w:rPr>
                <w:color w:val="000000"/>
              </w:rPr>
            </w:pPr>
            <w:r w:rsidRPr="00536F0C">
              <w:rPr>
                <w:color w:val="000000"/>
              </w:rPr>
              <w:lastRenderedPageBreak/>
              <w:t>September 12, 2022 Evidentiary Hearing Transcript,</w:t>
            </w:r>
            <w:r w:rsidR="0015516F">
              <w:rPr>
                <w:color w:val="000000"/>
              </w:rPr>
              <w:t xml:space="preserve"> p. </w:t>
            </w:r>
            <w:r w:rsidRPr="00536F0C">
              <w:rPr>
                <w:color w:val="000000"/>
              </w:rPr>
              <w:t>89</w:t>
            </w:r>
            <w:r w:rsidR="00B52830">
              <w:rPr>
                <w:color w:val="000000"/>
              </w:rPr>
              <w:noBreakHyphen/>
            </w:r>
            <w:r w:rsidRPr="00536F0C">
              <w:rPr>
                <w:color w:val="000000"/>
              </w:rPr>
              <w:t>91, 93</w:t>
            </w:r>
            <w:r w:rsidR="00B52830">
              <w:rPr>
                <w:color w:val="000000"/>
              </w:rPr>
              <w:noBreakHyphen/>
            </w:r>
            <w:r w:rsidRPr="00536F0C">
              <w:rPr>
                <w:color w:val="000000"/>
              </w:rPr>
              <w:t>94, 104</w:t>
            </w:r>
            <w:r w:rsidR="00B52830">
              <w:rPr>
                <w:color w:val="000000"/>
              </w:rPr>
              <w:noBreakHyphen/>
            </w:r>
            <w:r w:rsidRPr="00536F0C">
              <w:rPr>
                <w:color w:val="000000"/>
              </w:rPr>
              <w:t>105, 109</w:t>
            </w:r>
            <w:r w:rsidR="00B52830">
              <w:rPr>
                <w:color w:val="000000"/>
              </w:rPr>
              <w:noBreakHyphen/>
            </w:r>
            <w:r w:rsidRPr="00536F0C">
              <w:rPr>
                <w:color w:val="000000"/>
              </w:rPr>
              <w:t>110.</w:t>
            </w:r>
          </w:p>
          <w:p w:rsidRPr="00536F0C" w:rsidR="00263241" w:rsidP="00105DB8" w:rsidRDefault="00263241" w14:paraId="0ECBE8A4" w14:textId="602BC5ED">
            <w:pPr>
              <w:spacing w:after="240"/>
              <w:rPr>
                <w:color w:val="000000"/>
              </w:rPr>
            </w:pPr>
            <w:r w:rsidRPr="00536F0C">
              <w:rPr>
                <w:color w:val="000000"/>
              </w:rPr>
              <w:t>September 23, 2022 PCF Opening Brief,</w:t>
            </w:r>
            <w:r w:rsidR="0015516F">
              <w:rPr>
                <w:color w:val="000000"/>
              </w:rPr>
              <w:t xml:space="preserve"> p. </w:t>
            </w:r>
            <w:r w:rsidRPr="00536F0C" w:rsidR="006D7742">
              <w:rPr>
                <w:color w:val="000000"/>
              </w:rPr>
              <w:t>3</w:t>
            </w:r>
            <w:r w:rsidR="00B52830">
              <w:rPr>
                <w:color w:val="000000"/>
              </w:rPr>
              <w:noBreakHyphen/>
            </w:r>
            <w:r w:rsidRPr="00536F0C" w:rsidR="00064C80">
              <w:rPr>
                <w:color w:val="000000"/>
              </w:rPr>
              <w:t>16</w:t>
            </w:r>
            <w:r w:rsidRPr="00536F0C" w:rsidR="00EA5B4E">
              <w:rPr>
                <w:color w:val="000000"/>
              </w:rPr>
              <w:t>;</w:t>
            </w:r>
          </w:p>
          <w:p w:rsidRPr="00536F0C" w:rsidR="00263241" w:rsidP="00105DB8" w:rsidRDefault="00263241" w14:paraId="5A0262DB" w14:textId="6378EB3A">
            <w:pPr>
              <w:spacing w:after="240"/>
              <w:rPr>
                <w:color w:val="000000"/>
              </w:rPr>
            </w:pPr>
            <w:r w:rsidRPr="00536F0C">
              <w:rPr>
                <w:color w:val="000000"/>
              </w:rPr>
              <w:t>September 30, 2022 PCF Reply Brief,</w:t>
            </w:r>
            <w:r w:rsidR="0015516F">
              <w:rPr>
                <w:color w:val="000000"/>
              </w:rPr>
              <w:t xml:space="preserve"> p. </w:t>
            </w:r>
            <w:r w:rsidRPr="00536F0C" w:rsidR="00221020">
              <w:rPr>
                <w:color w:val="000000"/>
              </w:rPr>
              <w:t>4</w:t>
            </w:r>
            <w:r w:rsidR="00B52830">
              <w:rPr>
                <w:color w:val="000000"/>
              </w:rPr>
              <w:noBreakHyphen/>
            </w:r>
            <w:r w:rsidRPr="00536F0C" w:rsidR="00955730">
              <w:rPr>
                <w:color w:val="000000"/>
              </w:rPr>
              <w:t>5</w:t>
            </w:r>
            <w:r w:rsidRPr="00536F0C" w:rsidR="001071BE">
              <w:rPr>
                <w:color w:val="000000"/>
              </w:rPr>
              <w:t>,</w:t>
            </w:r>
            <w:r w:rsidRPr="00536F0C">
              <w:rPr>
                <w:color w:val="000000"/>
              </w:rPr>
              <w:t xml:space="preserve"> </w:t>
            </w:r>
            <w:r w:rsidRPr="00536F0C" w:rsidR="008532C9">
              <w:rPr>
                <w:color w:val="000000"/>
              </w:rPr>
              <w:t>9</w:t>
            </w:r>
            <w:r w:rsidR="00B52830">
              <w:rPr>
                <w:color w:val="000000"/>
              </w:rPr>
              <w:noBreakHyphen/>
            </w:r>
            <w:r w:rsidRPr="00536F0C" w:rsidR="004775DB">
              <w:rPr>
                <w:color w:val="000000"/>
              </w:rPr>
              <w:t>1</w:t>
            </w:r>
            <w:r w:rsidRPr="00536F0C" w:rsidR="008532C9">
              <w:rPr>
                <w:color w:val="000000"/>
              </w:rPr>
              <w:t>2</w:t>
            </w:r>
            <w:r w:rsidRPr="00536F0C" w:rsidR="00BC6274">
              <w:rPr>
                <w:color w:val="000000"/>
              </w:rPr>
              <w:t>, 20</w:t>
            </w:r>
            <w:r w:rsidRPr="00536F0C" w:rsidR="007D22EA">
              <w:rPr>
                <w:color w:val="000000"/>
              </w:rPr>
              <w:t xml:space="preserve">; </w:t>
            </w:r>
            <w:r w:rsidRPr="00536F0C" w:rsidR="007D22EA">
              <w:rPr>
                <w:i/>
                <w:iCs/>
                <w:color w:val="000000"/>
              </w:rPr>
              <w:t>id.</w:t>
            </w:r>
            <w:r w:rsidRPr="00536F0C" w:rsidR="007D22EA">
              <w:rPr>
                <w:color w:val="000000"/>
              </w:rPr>
              <w:t xml:space="preserve"> at</w:t>
            </w:r>
            <w:r w:rsidR="0015516F">
              <w:rPr>
                <w:color w:val="000000"/>
              </w:rPr>
              <w:t xml:space="preserve"> p. </w:t>
            </w:r>
            <w:r w:rsidRPr="00536F0C" w:rsidR="00AB0A7C">
              <w:rPr>
                <w:color w:val="000000"/>
              </w:rPr>
              <w:t>11</w:t>
            </w:r>
            <w:r w:rsidRPr="00536F0C" w:rsidR="007D22EA">
              <w:rPr>
                <w:color w:val="000000"/>
              </w:rPr>
              <w:t>(</w:t>
            </w:r>
            <w:r w:rsidR="004E6167">
              <w:rPr>
                <w:color w:val="000000"/>
              </w:rPr>
              <w:t>“</w:t>
            </w:r>
            <w:r w:rsidRPr="00536F0C" w:rsidR="00B91FCF">
              <w:rPr>
                <w:color w:val="000000"/>
              </w:rPr>
              <w:t xml:space="preserve">SoCalGas does not and cannot refute the fact that </w:t>
            </w:r>
            <w:r w:rsidR="004E6167">
              <w:rPr>
                <w:color w:val="000000"/>
              </w:rPr>
              <w:t>Mr. </w:t>
            </w:r>
            <w:r w:rsidRPr="00536F0C" w:rsidR="00B91FCF">
              <w:rPr>
                <w:color w:val="000000"/>
              </w:rPr>
              <w:t>Ellis</w:t>
            </w:r>
            <w:r w:rsidR="004E6167">
              <w:rPr>
                <w:color w:val="000000"/>
              </w:rPr>
              <w:t>’</w:t>
            </w:r>
            <w:r w:rsidRPr="00536F0C" w:rsidR="00B91FCF">
              <w:rPr>
                <w:color w:val="000000"/>
              </w:rPr>
              <w:t xml:space="preserve"> recommended ROE of 5.45 for SDG&amp;E and ROE of 5.40 for SoCalGas exceed even the Utilities</w:t>
            </w:r>
            <w:r w:rsidR="004E6167">
              <w:rPr>
                <w:color w:val="000000"/>
              </w:rPr>
              <w:t>’</w:t>
            </w:r>
            <w:r w:rsidRPr="00536F0C" w:rsidR="00B91FCF">
              <w:rPr>
                <w:color w:val="000000"/>
              </w:rPr>
              <w:t xml:space="preserve"> own inflated claims about their costs of debt.</w:t>
            </w:r>
            <w:r w:rsidR="004E6167">
              <w:rPr>
                <w:color w:val="000000"/>
              </w:rPr>
              <w:t>”</w:t>
            </w:r>
            <w:r w:rsidRPr="00536F0C" w:rsidR="007D22EA">
              <w:rPr>
                <w:color w:val="000000"/>
              </w:rPr>
              <w:t>)</w:t>
            </w:r>
            <w:r w:rsidRPr="00536F0C" w:rsidR="00AB0A7C">
              <w:rPr>
                <w:color w:val="000000"/>
              </w:rPr>
              <w:t>(citation omitted)</w:t>
            </w:r>
            <w:r w:rsidRPr="00536F0C" w:rsidR="007D22EA">
              <w:rPr>
                <w:color w:val="000000"/>
              </w:rPr>
              <w:t>.</w:t>
            </w:r>
          </w:p>
          <w:p w:rsidRPr="00536F0C" w:rsidR="00263241" w:rsidP="00105DB8" w:rsidRDefault="00263241" w14:paraId="4BB0935B" w14:textId="5C74F8B5">
            <w:pPr>
              <w:spacing w:after="240"/>
              <w:rPr>
                <w:color w:val="000000"/>
              </w:rPr>
            </w:pPr>
            <w:r w:rsidRPr="00536F0C">
              <w:rPr>
                <w:color w:val="000000"/>
              </w:rPr>
              <w:t>November 29, 2022 PCF Comments on PD,</w:t>
            </w:r>
            <w:r w:rsidR="0015516F">
              <w:rPr>
                <w:color w:val="000000"/>
              </w:rPr>
              <w:t xml:space="preserve"> p. </w:t>
            </w:r>
            <w:r w:rsidRPr="00536F0C" w:rsidR="00862E47">
              <w:rPr>
                <w:color w:val="000000"/>
              </w:rPr>
              <w:t>1</w:t>
            </w:r>
            <w:r w:rsidR="00B52830">
              <w:rPr>
                <w:color w:val="000000"/>
              </w:rPr>
              <w:noBreakHyphen/>
            </w:r>
            <w:r w:rsidRPr="00536F0C" w:rsidR="00862BCA">
              <w:rPr>
                <w:color w:val="000000"/>
              </w:rPr>
              <w:t>7</w:t>
            </w:r>
            <w:r w:rsidRPr="00536F0C" w:rsidR="00616D8E">
              <w:rPr>
                <w:color w:val="000000"/>
              </w:rPr>
              <w:t>; id. at</w:t>
            </w:r>
            <w:r w:rsidR="0015516F">
              <w:rPr>
                <w:color w:val="000000"/>
              </w:rPr>
              <w:t xml:space="preserve"> p. </w:t>
            </w:r>
            <w:r w:rsidRPr="00536F0C" w:rsidR="00616D8E">
              <w:rPr>
                <w:color w:val="000000"/>
              </w:rPr>
              <w:t>4 (</w:t>
            </w:r>
            <w:r w:rsidR="004E6167">
              <w:rPr>
                <w:color w:val="000000"/>
              </w:rPr>
              <w:t>“</w:t>
            </w:r>
            <w:r w:rsidRPr="00536F0C" w:rsidR="00616D8E">
              <w:rPr>
                <w:color w:val="000000"/>
              </w:rPr>
              <w:t>Additional undisputed evidence establishes that authorized ROEs far exceed the Utilities</w:t>
            </w:r>
            <w:r w:rsidR="004E6167">
              <w:rPr>
                <w:color w:val="000000"/>
              </w:rPr>
              <w:t>’</w:t>
            </w:r>
            <w:r w:rsidRPr="00536F0C" w:rsidR="00616D8E">
              <w:rPr>
                <w:color w:val="000000"/>
              </w:rPr>
              <w:t xml:space="preserve"> cost of equity consists of the divergence between authorized ROEs and interest rates. </w:t>
            </w:r>
            <w:r w:rsidR="004E6167">
              <w:rPr>
                <w:color w:val="000000"/>
              </w:rPr>
              <w:t>Mr. </w:t>
            </w:r>
            <w:r w:rsidRPr="00536F0C" w:rsidR="00616D8E">
              <w:rPr>
                <w:color w:val="000000"/>
              </w:rPr>
              <w:t>Ellis</w:t>
            </w:r>
            <w:r w:rsidR="004E6167">
              <w:rPr>
                <w:color w:val="000000"/>
              </w:rPr>
              <w:t>’</w:t>
            </w:r>
            <w:r w:rsidRPr="00536F0C" w:rsidR="00616D8E">
              <w:rPr>
                <w:color w:val="000000"/>
              </w:rPr>
              <w:t xml:space="preserve"> testimony establishes that the gap between authorized ROEs and investors</w:t>
            </w:r>
            <w:r w:rsidR="004E6167">
              <w:rPr>
                <w:color w:val="000000"/>
              </w:rPr>
              <w:t>’</w:t>
            </w:r>
            <w:r w:rsidRPr="00536F0C" w:rsidR="00616D8E">
              <w:rPr>
                <w:color w:val="000000"/>
              </w:rPr>
              <w:t xml:space="preserve"> expected returns has nearly tripled since the 1980s.</w:t>
            </w:r>
            <w:r w:rsidR="004E6167">
              <w:rPr>
                <w:color w:val="000000"/>
              </w:rPr>
              <w:t>”</w:t>
            </w:r>
            <w:r w:rsidRPr="00536F0C" w:rsidR="00616D8E">
              <w:rPr>
                <w:color w:val="000000"/>
              </w:rPr>
              <w:t>)(citations omitted).</w:t>
            </w:r>
          </w:p>
          <w:p w:rsidRPr="00536F0C" w:rsidR="00263241" w:rsidP="00105DB8" w:rsidRDefault="00263241" w14:paraId="1E046B39" w14:textId="640934D1">
            <w:pPr>
              <w:spacing w:after="240"/>
              <w:rPr>
                <w:color w:val="000000"/>
              </w:rPr>
            </w:pPr>
            <w:r w:rsidRPr="00536F0C">
              <w:rPr>
                <w:color w:val="000000"/>
              </w:rPr>
              <w:t>December 5, 2022 PCF Reply Comments on PD,</w:t>
            </w:r>
            <w:r w:rsidR="0015516F">
              <w:rPr>
                <w:color w:val="000000"/>
              </w:rPr>
              <w:t xml:space="preserve"> p. </w:t>
            </w:r>
            <w:r w:rsidRPr="00536F0C" w:rsidR="008E657E">
              <w:rPr>
                <w:color w:val="000000"/>
              </w:rPr>
              <w:t>1</w:t>
            </w:r>
            <w:r w:rsidR="00B52830">
              <w:rPr>
                <w:color w:val="000000"/>
              </w:rPr>
              <w:noBreakHyphen/>
            </w:r>
            <w:r w:rsidRPr="00536F0C" w:rsidR="008E657E">
              <w:rPr>
                <w:color w:val="000000"/>
              </w:rPr>
              <w:t>5</w:t>
            </w:r>
            <w:r w:rsidRPr="00536F0C">
              <w:rPr>
                <w:color w:val="000000"/>
              </w:rPr>
              <w:t>.</w:t>
            </w:r>
          </w:p>
          <w:p w:rsidRPr="00536F0C" w:rsidR="00265E0C" w:rsidP="00105DB8" w:rsidRDefault="00265E0C" w14:paraId="727BB38C" w14:textId="457ED02B">
            <w:pPr>
              <w:spacing w:after="240"/>
              <w:rPr>
                <w:color w:val="000000"/>
              </w:rPr>
            </w:pPr>
            <w:r w:rsidRPr="00536F0C">
              <w:rPr>
                <w:color w:val="000000"/>
              </w:rPr>
              <w:t>December 5, 2022 Oral Argument Transcript,</w:t>
            </w:r>
            <w:r w:rsidR="0015516F">
              <w:rPr>
                <w:color w:val="000000"/>
              </w:rPr>
              <w:t xml:space="preserve"> p. </w:t>
            </w:r>
            <w:r w:rsidRPr="00536F0C" w:rsidR="004C4198">
              <w:rPr>
                <w:color w:val="000000"/>
              </w:rPr>
              <w:t xml:space="preserve">292, </w:t>
            </w:r>
            <w:r w:rsidRPr="00536F0C">
              <w:rPr>
                <w:color w:val="000000"/>
              </w:rPr>
              <w:t>295.</w:t>
            </w:r>
          </w:p>
          <w:p w:rsidRPr="00536F0C" w:rsidR="001309ED" w:rsidP="00105DB8" w:rsidRDefault="001309ED" w14:paraId="32E42CA2" w14:textId="57A05E5F">
            <w:pPr>
              <w:spacing w:after="240"/>
              <w:rPr>
                <w:color w:val="000000"/>
              </w:rPr>
            </w:pPr>
            <w:r w:rsidRPr="00536F0C">
              <w:rPr>
                <w:color w:val="000000"/>
              </w:rPr>
              <w:t>PCF</w:t>
            </w:r>
            <w:r w:rsidR="00B52830">
              <w:rPr>
                <w:color w:val="000000"/>
              </w:rPr>
              <w:noBreakHyphen/>
            </w:r>
            <w:r w:rsidRPr="00536F0C">
              <w:rPr>
                <w:color w:val="000000"/>
              </w:rPr>
              <w:t>09 (Ellis Phase 2 Testimony),</w:t>
            </w:r>
            <w:r w:rsidR="0015516F">
              <w:rPr>
                <w:color w:val="000000"/>
              </w:rPr>
              <w:t xml:space="preserve"> p. </w:t>
            </w:r>
            <w:r w:rsidRPr="00536F0C" w:rsidR="003D6261">
              <w:rPr>
                <w:color w:val="000000"/>
              </w:rPr>
              <w:t xml:space="preserve">2, </w:t>
            </w:r>
            <w:r w:rsidRPr="00536F0C" w:rsidR="00153139">
              <w:rPr>
                <w:color w:val="000000"/>
              </w:rPr>
              <w:t>7</w:t>
            </w:r>
            <w:r w:rsidR="00B52830">
              <w:rPr>
                <w:color w:val="000000"/>
              </w:rPr>
              <w:noBreakHyphen/>
            </w:r>
            <w:r w:rsidRPr="00536F0C" w:rsidR="00153139">
              <w:rPr>
                <w:color w:val="000000"/>
              </w:rPr>
              <w:t>34</w:t>
            </w:r>
            <w:r w:rsidRPr="00536F0C">
              <w:rPr>
                <w:color w:val="000000"/>
              </w:rPr>
              <w:t>.</w:t>
            </w:r>
          </w:p>
          <w:p w:rsidRPr="00536F0C" w:rsidR="001309ED" w:rsidP="00105DB8" w:rsidRDefault="001309ED" w14:paraId="34073204" w14:textId="21149AA7">
            <w:pPr>
              <w:spacing w:after="240"/>
              <w:rPr>
                <w:color w:val="000000"/>
              </w:rPr>
            </w:pPr>
            <w:r w:rsidRPr="00536F0C">
              <w:rPr>
                <w:color w:val="000000"/>
              </w:rPr>
              <w:t>PCF</w:t>
            </w:r>
            <w:r w:rsidR="00B52830">
              <w:rPr>
                <w:color w:val="000000"/>
              </w:rPr>
              <w:noBreakHyphen/>
            </w:r>
            <w:r w:rsidRPr="00536F0C">
              <w:rPr>
                <w:color w:val="000000"/>
              </w:rPr>
              <w:t>10 (Ellis Phase 2 Rebuttal Testimony),</w:t>
            </w:r>
            <w:r w:rsidR="0015516F">
              <w:rPr>
                <w:color w:val="000000"/>
              </w:rPr>
              <w:t xml:space="preserve"> p. </w:t>
            </w:r>
            <w:r w:rsidRPr="00536F0C" w:rsidR="00DD5F1A">
              <w:rPr>
                <w:color w:val="000000"/>
              </w:rPr>
              <w:t>9,</w:t>
            </w:r>
            <w:r w:rsidRPr="00536F0C" w:rsidR="004052EF">
              <w:rPr>
                <w:color w:val="000000"/>
              </w:rPr>
              <w:t xml:space="preserve"> </w:t>
            </w:r>
            <w:r w:rsidRPr="00536F0C" w:rsidR="008E5F3B">
              <w:rPr>
                <w:color w:val="000000"/>
              </w:rPr>
              <w:t>15</w:t>
            </w:r>
            <w:r w:rsidR="00B52830">
              <w:rPr>
                <w:color w:val="000000"/>
              </w:rPr>
              <w:noBreakHyphen/>
            </w:r>
            <w:r w:rsidRPr="00536F0C" w:rsidR="008E5F3B">
              <w:rPr>
                <w:color w:val="000000"/>
              </w:rPr>
              <w:t>18</w:t>
            </w:r>
            <w:r w:rsidRPr="00536F0C">
              <w:rPr>
                <w:color w:val="000000"/>
              </w:rPr>
              <w:t>.</w:t>
            </w:r>
          </w:p>
          <w:p w:rsidRPr="00536F0C" w:rsidR="001309ED" w:rsidP="00105DB8" w:rsidRDefault="001309ED" w14:paraId="61364A9D" w14:textId="08F16808">
            <w:pPr>
              <w:spacing w:after="240"/>
              <w:rPr>
                <w:color w:val="000000"/>
              </w:rPr>
            </w:pPr>
            <w:r w:rsidRPr="00536F0C">
              <w:rPr>
                <w:color w:val="000000"/>
              </w:rPr>
              <w:t>April 22, 2024 PCF Phase 2 Opening Brief,</w:t>
            </w:r>
            <w:r w:rsidR="0015516F">
              <w:rPr>
                <w:color w:val="000000"/>
              </w:rPr>
              <w:t xml:space="preserve"> p. </w:t>
            </w:r>
            <w:r w:rsidRPr="00536F0C" w:rsidR="004674B6">
              <w:rPr>
                <w:color w:val="000000"/>
              </w:rPr>
              <w:t>11</w:t>
            </w:r>
            <w:r w:rsidR="00B52830">
              <w:rPr>
                <w:color w:val="000000"/>
              </w:rPr>
              <w:noBreakHyphen/>
            </w:r>
            <w:r w:rsidRPr="00536F0C" w:rsidR="006D4D1A">
              <w:rPr>
                <w:color w:val="000000"/>
              </w:rPr>
              <w:t>20</w:t>
            </w:r>
            <w:r w:rsidRPr="00536F0C" w:rsidR="00D2286F">
              <w:rPr>
                <w:color w:val="000000"/>
              </w:rPr>
              <w:t>, 36</w:t>
            </w:r>
            <w:r w:rsidR="00B52830">
              <w:rPr>
                <w:color w:val="000000"/>
              </w:rPr>
              <w:noBreakHyphen/>
            </w:r>
            <w:r w:rsidRPr="00536F0C" w:rsidR="00D2286F">
              <w:rPr>
                <w:color w:val="000000"/>
              </w:rPr>
              <w:t>37</w:t>
            </w:r>
            <w:r w:rsidRPr="00536F0C" w:rsidR="0013627C">
              <w:rPr>
                <w:color w:val="000000"/>
              </w:rPr>
              <w:t>.</w:t>
            </w:r>
          </w:p>
          <w:p w:rsidRPr="00536F0C" w:rsidR="001309ED" w:rsidP="00105DB8" w:rsidRDefault="001309ED" w14:paraId="7C771694" w14:textId="16326286">
            <w:pPr>
              <w:spacing w:after="240"/>
              <w:rPr>
                <w:color w:val="000000"/>
              </w:rPr>
            </w:pPr>
            <w:r w:rsidRPr="00536F0C">
              <w:rPr>
                <w:color w:val="000000"/>
              </w:rPr>
              <w:t>May 6, 2024 PCF Phase 2 Reply Brief,</w:t>
            </w:r>
            <w:r w:rsidR="0015516F">
              <w:rPr>
                <w:color w:val="000000"/>
              </w:rPr>
              <w:t xml:space="preserve"> p. </w:t>
            </w:r>
            <w:r w:rsidRPr="00536F0C" w:rsidR="002008FA">
              <w:rPr>
                <w:color w:val="000000"/>
              </w:rPr>
              <w:t>4</w:t>
            </w:r>
            <w:r w:rsidR="00B52830">
              <w:rPr>
                <w:color w:val="000000"/>
              </w:rPr>
              <w:noBreakHyphen/>
            </w:r>
            <w:r w:rsidRPr="00536F0C" w:rsidR="002008FA">
              <w:rPr>
                <w:color w:val="000000"/>
              </w:rPr>
              <w:t>6</w:t>
            </w:r>
            <w:r w:rsidRPr="00536F0C" w:rsidR="00BC07DC">
              <w:rPr>
                <w:color w:val="000000"/>
              </w:rPr>
              <w:t>, 11</w:t>
            </w:r>
            <w:r w:rsidR="00B52830">
              <w:rPr>
                <w:color w:val="000000"/>
              </w:rPr>
              <w:noBreakHyphen/>
            </w:r>
            <w:r w:rsidRPr="00536F0C" w:rsidR="00BC07DC">
              <w:rPr>
                <w:color w:val="000000"/>
              </w:rPr>
              <w:t>1</w:t>
            </w:r>
            <w:r w:rsidRPr="00536F0C" w:rsidR="00B075A1">
              <w:rPr>
                <w:color w:val="000000"/>
              </w:rPr>
              <w:t>3</w:t>
            </w:r>
            <w:r w:rsidRPr="00536F0C">
              <w:rPr>
                <w:color w:val="000000"/>
              </w:rPr>
              <w:t>.</w:t>
            </w:r>
          </w:p>
          <w:p w:rsidRPr="00536F0C" w:rsidR="001309ED" w:rsidP="00105DB8" w:rsidRDefault="001309ED" w14:paraId="3C323430" w14:textId="10A8CBD0">
            <w:pPr>
              <w:spacing w:after="240"/>
              <w:rPr>
                <w:color w:val="000000"/>
              </w:rPr>
            </w:pPr>
            <w:r w:rsidRPr="00536F0C">
              <w:rPr>
                <w:color w:val="000000"/>
              </w:rPr>
              <w:lastRenderedPageBreak/>
              <w:t>September 30, 2024 PCF Comments on Phase 2 PD,</w:t>
            </w:r>
            <w:r w:rsidR="0015516F">
              <w:rPr>
                <w:color w:val="000000"/>
              </w:rPr>
              <w:t xml:space="preserve"> p. </w:t>
            </w:r>
            <w:r w:rsidRPr="00536F0C" w:rsidR="00B90A64">
              <w:rPr>
                <w:color w:val="000000"/>
              </w:rPr>
              <w:t>9</w:t>
            </w:r>
            <w:r w:rsidR="00B52830">
              <w:rPr>
                <w:color w:val="000000"/>
              </w:rPr>
              <w:noBreakHyphen/>
            </w:r>
            <w:r w:rsidRPr="00536F0C" w:rsidR="000514D3">
              <w:rPr>
                <w:color w:val="000000"/>
              </w:rPr>
              <w:t>11</w:t>
            </w:r>
            <w:r w:rsidRPr="00536F0C">
              <w:rPr>
                <w:color w:val="000000"/>
              </w:rPr>
              <w:t>.</w:t>
            </w:r>
          </w:p>
          <w:p w:rsidRPr="00536F0C" w:rsidR="00583A4B" w:rsidP="00105DB8" w:rsidRDefault="001309ED" w14:paraId="705F8F92" w14:textId="27B7B231">
            <w:pPr>
              <w:spacing w:after="240"/>
              <w:rPr>
                <w:color w:val="000000"/>
              </w:rPr>
            </w:pPr>
            <w:r w:rsidRPr="00536F0C">
              <w:rPr>
                <w:color w:val="000000"/>
              </w:rPr>
              <w:t>October 7, 2024 PCF Reply Comments on Phase 2 PD,</w:t>
            </w:r>
            <w:r w:rsidR="0015516F">
              <w:rPr>
                <w:color w:val="000000"/>
              </w:rPr>
              <w:t xml:space="preserve"> p. </w:t>
            </w:r>
            <w:r w:rsidRPr="00536F0C" w:rsidR="00E078A5">
              <w:rPr>
                <w:color w:val="000000"/>
              </w:rPr>
              <w:t>4</w:t>
            </w:r>
            <w:r w:rsidR="00B52830">
              <w:rPr>
                <w:color w:val="000000"/>
              </w:rPr>
              <w:noBreakHyphen/>
            </w:r>
            <w:r w:rsidRPr="00536F0C" w:rsidR="00E078A5">
              <w:rPr>
                <w:color w:val="000000"/>
              </w:rPr>
              <w:t>5</w:t>
            </w:r>
            <w:r w:rsidRPr="00536F0C">
              <w:rPr>
                <w:color w:val="000000"/>
              </w:rPr>
              <w:t>.</w:t>
            </w:r>
          </w:p>
        </w:tc>
        <w:tc>
          <w:tcPr>
            <w:tcW w:w="2075" w:type="dxa"/>
          </w:tcPr>
          <w:p w:rsidRPr="000229E6" w:rsidR="002E3C20" w:rsidP="009C3C07" w:rsidRDefault="00CC58CF" w14:paraId="1D13C6AF" w14:textId="40ADEDB1">
            <w:pPr>
              <w:spacing w:after="240"/>
              <w:rPr>
                <w:b/>
                <w:color w:val="000000"/>
              </w:rPr>
            </w:pPr>
            <w:r>
              <w:rPr>
                <w:color w:val="000000"/>
              </w:rPr>
              <w:lastRenderedPageBreak/>
              <w:t>Verified</w:t>
            </w:r>
            <w:r w:rsidR="00114BDA">
              <w:rPr>
                <w:color w:val="000000"/>
              </w:rPr>
              <w:t>. Ho</w:t>
            </w:r>
            <w:r w:rsidR="00806377">
              <w:rPr>
                <w:color w:val="000000"/>
              </w:rPr>
              <w:t xml:space="preserve">wever, </w:t>
            </w:r>
            <w:r w:rsidR="00806377">
              <w:t>w</w:t>
            </w:r>
            <w:r w:rsidRPr="00114BDA" w:rsidR="00114BDA">
              <w:t xml:space="preserve">e note that </w:t>
            </w:r>
            <w:r w:rsidR="008B75D2">
              <w:t xml:space="preserve">for many of these claimed contributions, </w:t>
            </w:r>
            <w:r w:rsidRPr="00114BDA" w:rsidR="00114BDA">
              <w:t>P</w:t>
            </w:r>
            <w:r w:rsidR="00114BDA">
              <w:t>CF</w:t>
            </w:r>
            <w:r w:rsidRPr="00114BDA" w:rsidR="00114BDA">
              <w:t xml:space="preserve"> primarily cites to its own comments, briefs, and testimony, rather than identifying specific portions of the decisions where the Commission expressly references P</w:t>
            </w:r>
            <w:r w:rsidR="00114BDA">
              <w:t>CF</w:t>
            </w:r>
            <w:r w:rsidRPr="00114BDA" w:rsidR="00114BDA">
              <w:t xml:space="preserve"> or </w:t>
            </w:r>
            <w:r w:rsidR="00806377">
              <w:t xml:space="preserve">states that it </w:t>
            </w:r>
            <w:r w:rsidRPr="00114BDA" w:rsidR="00114BDA">
              <w:t>adopt</w:t>
            </w:r>
            <w:r w:rsidR="00806377">
              <w:t>ed</w:t>
            </w:r>
            <w:r w:rsidRPr="00114BDA" w:rsidR="00114BDA">
              <w:t xml:space="preserve"> or relie</w:t>
            </w:r>
            <w:r w:rsidR="00806377">
              <w:t>d</w:t>
            </w:r>
            <w:r w:rsidRPr="00114BDA" w:rsidR="00114BDA">
              <w:t xml:space="preserve"> on P</w:t>
            </w:r>
            <w:r w:rsidR="00114BDA">
              <w:t>CF</w:t>
            </w:r>
            <w:r w:rsidR="004E6167">
              <w:t>’</w:t>
            </w:r>
            <w:r w:rsidRPr="00114BDA" w:rsidR="00114BDA">
              <w:t>s arguments</w:t>
            </w:r>
            <w:r w:rsidR="00896CBD">
              <w:t xml:space="preserve"> </w:t>
            </w:r>
            <w:r w:rsidR="00020789">
              <w:t>in making its decision</w:t>
            </w:r>
            <w:r w:rsidRPr="00114BDA" w:rsidR="00114BDA">
              <w:t>.</w:t>
            </w:r>
          </w:p>
        </w:tc>
      </w:tr>
      <w:tr w:rsidRPr="00536F0C" w:rsidR="007C745B" w:rsidTr="0015516F" w14:paraId="144CB141" w14:textId="77777777">
        <w:tc>
          <w:tcPr>
            <w:tcW w:w="2785" w:type="dxa"/>
          </w:tcPr>
          <w:p w:rsidRPr="00536F0C" w:rsidR="00AE3FCF" w:rsidP="00A12187" w:rsidRDefault="003C2D52" w14:paraId="7238A8B9" w14:textId="17012684">
            <w:pPr>
              <w:pStyle w:val="ListParagraph"/>
              <w:spacing w:after="240"/>
              <w:ind w:left="0"/>
              <w:rPr>
                <w:rFonts w:ascii="Times New Roman" w:hAnsi="Times New Roman"/>
                <w:color w:val="000000"/>
                <w:sz w:val="24"/>
                <w:szCs w:val="24"/>
              </w:rPr>
            </w:pPr>
            <w:r w:rsidRPr="00536F0C">
              <w:rPr>
                <w:rFonts w:ascii="Times New Roman" w:hAnsi="Times New Roman"/>
                <w:b/>
                <w:bCs/>
                <w:color w:val="000000"/>
                <w:sz w:val="24"/>
                <w:szCs w:val="24"/>
                <w:u w:val="single"/>
              </w:rPr>
              <w:lastRenderedPageBreak/>
              <w:t>ROEs</w:t>
            </w:r>
            <w:r w:rsidRPr="00536F0C" w:rsidR="00817781">
              <w:rPr>
                <w:rFonts w:ascii="Times New Roman" w:hAnsi="Times New Roman"/>
                <w:b/>
                <w:bCs/>
                <w:color w:val="000000"/>
                <w:sz w:val="24"/>
                <w:szCs w:val="24"/>
                <w:u w:val="single"/>
              </w:rPr>
              <w:t xml:space="preserve"> Exceed the Utilities</w:t>
            </w:r>
            <w:r w:rsidR="004E6167">
              <w:rPr>
                <w:rFonts w:ascii="Times New Roman" w:hAnsi="Times New Roman"/>
                <w:b/>
                <w:bCs/>
                <w:color w:val="000000"/>
                <w:sz w:val="24"/>
                <w:szCs w:val="24"/>
                <w:u w:val="single"/>
              </w:rPr>
              <w:t>’</w:t>
            </w:r>
            <w:r w:rsidRPr="00536F0C" w:rsidR="00817781">
              <w:rPr>
                <w:rFonts w:ascii="Times New Roman" w:hAnsi="Times New Roman"/>
                <w:b/>
                <w:bCs/>
                <w:color w:val="000000"/>
                <w:sz w:val="24"/>
                <w:szCs w:val="24"/>
                <w:u w:val="single"/>
              </w:rPr>
              <w:t xml:space="preserve"> Costs of Capital</w:t>
            </w:r>
            <w:r w:rsidRPr="005338FB" w:rsidR="00817781">
              <w:rPr>
                <w:rFonts w:ascii="Times New Roman" w:hAnsi="Times New Roman"/>
                <w:b/>
                <w:bCs/>
                <w:color w:val="000000"/>
                <w:sz w:val="24"/>
                <w:szCs w:val="24"/>
              </w:rPr>
              <w:t>.</w:t>
            </w:r>
            <w:r w:rsidRPr="00536F0C" w:rsidR="00817781">
              <w:rPr>
                <w:rFonts w:ascii="Times New Roman" w:hAnsi="Times New Roman"/>
                <w:color w:val="000000"/>
                <w:sz w:val="24"/>
                <w:szCs w:val="24"/>
              </w:rPr>
              <w:t xml:space="preserve"> </w:t>
            </w:r>
            <w:r w:rsidRPr="00536F0C" w:rsidR="00612E19">
              <w:rPr>
                <w:rFonts w:ascii="Times New Roman" w:hAnsi="Times New Roman"/>
                <w:color w:val="000000"/>
                <w:sz w:val="24"/>
                <w:szCs w:val="24"/>
              </w:rPr>
              <w:t xml:space="preserve">PCF enriched the record </w:t>
            </w:r>
            <w:r w:rsidRPr="00536F0C" w:rsidR="0033047D">
              <w:rPr>
                <w:rFonts w:ascii="Times New Roman" w:hAnsi="Times New Roman"/>
                <w:color w:val="000000"/>
                <w:sz w:val="24"/>
                <w:szCs w:val="24"/>
              </w:rPr>
              <w:t xml:space="preserve">and deliberations </w:t>
            </w:r>
            <w:r w:rsidRPr="00536F0C" w:rsidR="00612E19">
              <w:rPr>
                <w:rFonts w:ascii="Times New Roman" w:hAnsi="Times New Roman"/>
                <w:color w:val="000000"/>
                <w:sz w:val="24"/>
                <w:szCs w:val="24"/>
              </w:rPr>
              <w:t xml:space="preserve">by </w:t>
            </w:r>
            <w:r w:rsidRPr="00536F0C" w:rsidR="0033047D">
              <w:rPr>
                <w:rFonts w:ascii="Times New Roman" w:hAnsi="Times New Roman"/>
                <w:color w:val="000000"/>
                <w:sz w:val="24"/>
                <w:szCs w:val="24"/>
              </w:rPr>
              <w:t>presenting detailed evidence and analysis</w:t>
            </w:r>
            <w:r w:rsidRPr="00536F0C" w:rsidR="00612E19">
              <w:rPr>
                <w:rFonts w:ascii="Times New Roman" w:hAnsi="Times New Roman"/>
                <w:color w:val="000000"/>
                <w:sz w:val="24"/>
                <w:szCs w:val="24"/>
              </w:rPr>
              <w:t xml:space="preserve"> that </w:t>
            </w:r>
            <w:r w:rsidRPr="00536F0C" w:rsidR="00054AB9">
              <w:rPr>
                <w:rFonts w:ascii="Times New Roman" w:hAnsi="Times New Roman"/>
                <w:color w:val="000000"/>
                <w:sz w:val="24"/>
                <w:szCs w:val="24"/>
              </w:rPr>
              <w:t xml:space="preserve">authorized </w:t>
            </w:r>
            <w:r w:rsidRPr="00536F0C" w:rsidR="00612E19">
              <w:rPr>
                <w:rFonts w:ascii="Times New Roman" w:hAnsi="Times New Roman"/>
                <w:color w:val="000000"/>
                <w:sz w:val="24"/>
                <w:szCs w:val="24"/>
              </w:rPr>
              <w:t xml:space="preserve">ROEs </w:t>
            </w:r>
            <w:r w:rsidRPr="00536F0C" w:rsidR="00015746">
              <w:rPr>
                <w:rFonts w:ascii="Times New Roman" w:hAnsi="Times New Roman"/>
                <w:color w:val="000000"/>
                <w:sz w:val="24"/>
                <w:szCs w:val="24"/>
              </w:rPr>
              <w:t>exceed the Utilities</w:t>
            </w:r>
            <w:r w:rsidR="004E6167">
              <w:rPr>
                <w:rFonts w:ascii="Times New Roman" w:hAnsi="Times New Roman"/>
                <w:color w:val="000000"/>
                <w:sz w:val="24"/>
                <w:szCs w:val="24"/>
              </w:rPr>
              <w:t>’</w:t>
            </w:r>
            <w:r w:rsidRPr="00536F0C" w:rsidR="00015746">
              <w:rPr>
                <w:rFonts w:ascii="Times New Roman" w:hAnsi="Times New Roman"/>
                <w:color w:val="000000"/>
                <w:sz w:val="24"/>
                <w:szCs w:val="24"/>
              </w:rPr>
              <w:t xml:space="preserve"> </w:t>
            </w:r>
            <w:r w:rsidRPr="00536F0C" w:rsidR="00CC47E2">
              <w:rPr>
                <w:rFonts w:ascii="Times New Roman" w:hAnsi="Times New Roman"/>
                <w:color w:val="000000"/>
                <w:sz w:val="24"/>
                <w:szCs w:val="24"/>
              </w:rPr>
              <w:t>COC</w:t>
            </w:r>
            <w:r w:rsidRPr="00536F0C" w:rsidR="00581EF0">
              <w:rPr>
                <w:rFonts w:ascii="Times New Roman" w:hAnsi="Times New Roman"/>
                <w:color w:val="000000"/>
                <w:sz w:val="24"/>
                <w:szCs w:val="24"/>
              </w:rPr>
              <w:t>s</w:t>
            </w:r>
            <w:r w:rsidRPr="00536F0C" w:rsidR="00DA30FF">
              <w:rPr>
                <w:rFonts w:ascii="Times New Roman" w:hAnsi="Times New Roman"/>
                <w:color w:val="000000"/>
                <w:sz w:val="24"/>
                <w:szCs w:val="24"/>
              </w:rPr>
              <w:t xml:space="preserve"> throughout the nation, </w:t>
            </w:r>
            <w:r w:rsidRPr="00536F0C" w:rsidR="00612E19">
              <w:rPr>
                <w:rFonts w:ascii="Times New Roman" w:hAnsi="Times New Roman"/>
                <w:color w:val="000000"/>
                <w:sz w:val="24"/>
                <w:szCs w:val="24"/>
              </w:rPr>
              <w:t>and that the C</w:t>
            </w:r>
            <w:r w:rsidRPr="00536F0C" w:rsidR="00563682">
              <w:rPr>
                <w:rFonts w:ascii="Times New Roman" w:hAnsi="Times New Roman"/>
                <w:color w:val="000000"/>
                <w:sz w:val="24"/>
                <w:szCs w:val="24"/>
              </w:rPr>
              <w:t xml:space="preserve">A </w:t>
            </w:r>
            <w:r w:rsidRPr="00536F0C" w:rsidR="00612E19">
              <w:rPr>
                <w:rFonts w:ascii="Times New Roman" w:hAnsi="Times New Roman"/>
                <w:color w:val="000000"/>
                <w:sz w:val="24"/>
                <w:szCs w:val="24"/>
              </w:rPr>
              <w:t>utilities</w:t>
            </w:r>
            <w:r w:rsidR="004E6167">
              <w:rPr>
                <w:rFonts w:ascii="Times New Roman" w:hAnsi="Times New Roman"/>
                <w:color w:val="000000"/>
                <w:sz w:val="24"/>
                <w:szCs w:val="24"/>
              </w:rPr>
              <w:t>’</w:t>
            </w:r>
            <w:r w:rsidRPr="00536F0C" w:rsidR="00612E19">
              <w:rPr>
                <w:rFonts w:ascii="Times New Roman" w:hAnsi="Times New Roman"/>
                <w:color w:val="000000"/>
                <w:sz w:val="24"/>
                <w:szCs w:val="24"/>
              </w:rPr>
              <w:t xml:space="preserve"> ROEs are even higher</w:t>
            </w:r>
            <w:r w:rsidRPr="00536F0C" w:rsidR="00E00628">
              <w:rPr>
                <w:rFonts w:ascii="Times New Roman" w:hAnsi="Times New Roman"/>
                <w:color w:val="000000"/>
                <w:sz w:val="24"/>
                <w:szCs w:val="24"/>
              </w:rPr>
              <w:t>, including presenting evidence about high market to book rations and citing to Alfred Kahn</w:t>
            </w:r>
            <w:r w:rsidRPr="00536F0C" w:rsidR="00DA30FF">
              <w:rPr>
                <w:rFonts w:ascii="Times New Roman" w:hAnsi="Times New Roman"/>
                <w:color w:val="000000"/>
                <w:sz w:val="24"/>
                <w:szCs w:val="24"/>
              </w:rPr>
              <w:t>. PCF</w:t>
            </w:r>
            <w:r w:rsidRPr="00536F0C" w:rsidR="00D664CA">
              <w:rPr>
                <w:rFonts w:ascii="Times New Roman" w:hAnsi="Times New Roman"/>
                <w:color w:val="000000"/>
                <w:sz w:val="24"/>
                <w:szCs w:val="24"/>
              </w:rPr>
              <w:t xml:space="preserve"> thus</w:t>
            </w:r>
            <w:r w:rsidRPr="00536F0C" w:rsidR="00DA30FF">
              <w:rPr>
                <w:rFonts w:ascii="Times New Roman" w:hAnsi="Times New Roman"/>
                <w:color w:val="000000"/>
                <w:sz w:val="24"/>
                <w:szCs w:val="24"/>
              </w:rPr>
              <w:t xml:space="preserve"> recommended</w:t>
            </w:r>
            <w:r w:rsidRPr="00536F0C" w:rsidR="00D664CA">
              <w:rPr>
                <w:rFonts w:ascii="Times New Roman" w:hAnsi="Times New Roman"/>
                <w:color w:val="000000"/>
                <w:sz w:val="24"/>
                <w:szCs w:val="24"/>
              </w:rPr>
              <w:t xml:space="preserve"> major</w:t>
            </w:r>
            <w:r w:rsidRPr="00536F0C" w:rsidR="00DA30FF">
              <w:rPr>
                <w:rFonts w:ascii="Times New Roman" w:hAnsi="Times New Roman"/>
                <w:color w:val="000000"/>
                <w:sz w:val="24"/>
                <w:szCs w:val="24"/>
              </w:rPr>
              <w:t xml:space="preserve"> </w:t>
            </w:r>
            <w:r w:rsidRPr="00536F0C" w:rsidR="00621AE6">
              <w:rPr>
                <w:rFonts w:ascii="Times New Roman" w:hAnsi="Times New Roman"/>
                <w:color w:val="000000"/>
                <w:sz w:val="24"/>
                <w:szCs w:val="24"/>
              </w:rPr>
              <w:t>adjustments</w:t>
            </w:r>
            <w:r w:rsidRPr="00536F0C" w:rsidR="00D664CA">
              <w:rPr>
                <w:rFonts w:ascii="Times New Roman" w:hAnsi="Times New Roman"/>
                <w:color w:val="000000"/>
                <w:sz w:val="24"/>
                <w:szCs w:val="24"/>
              </w:rPr>
              <w:t xml:space="preserve"> </w:t>
            </w:r>
            <w:r w:rsidRPr="00536F0C" w:rsidR="00621AE6">
              <w:rPr>
                <w:rFonts w:ascii="Times New Roman" w:hAnsi="Times New Roman"/>
                <w:color w:val="000000"/>
                <w:sz w:val="24"/>
                <w:szCs w:val="24"/>
              </w:rPr>
              <w:t xml:space="preserve">and </w:t>
            </w:r>
            <w:r w:rsidRPr="00536F0C" w:rsidR="00D664CA">
              <w:rPr>
                <w:rFonts w:ascii="Times New Roman" w:hAnsi="Times New Roman"/>
                <w:color w:val="000000"/>
                <w:sz w:val="24"/>
                <w:szCs w:val="24"/>
              </w:rPr>
              <w:t xml:space="preserve">that </w:t>
            </w:r>
            <w:r w:rsidRPr="00536F0C" w:rsidR="00621AE6">
              <w:rPr>
                <w:rFonts w:ascii="Times New Roman" w:hAnsi="Times New Roman"/>
                <w:color w:val="000000"/>
                <w:sz w:val="24"/>
                <w:szCs w:val="24"/>
              </w:rPr>
              <w:t>the Utilities</w:t>
            </w:r>
            <w:r w:rsidR="004E6167">
              <w:rPr>
                <w:rFonts w:ascii="Times New Roman" w:hAnsi="Times New Roman"/>
                <w:color w:val="000000"/>
                <w:sz w:val="24"/>
                <w:szCs w:val="24"/>
              </w:rPr>
              <w:t>’</w:t>
            </w:r>
            <w:r w:rsidRPr="00536F0C" w:rsidR="00621AE6">
              <w:rPr>
                <w:rFonts w:ascii="Times New Roman" w:hAnsi="Times New Roman"/>
                <w:color w:val="000000"/>
                <w:sz w:val="24"/>
                <w:szCs w:val="24"/>
              </w:rPr>
              <w:t xml:space="preserve"> </w:t>
            </w:r>
            <w:r w:rsidRPr="00536F0C" w:rsidR="00054AB9">
              <w:rPr>
                <w:rFonts w:ascii="Times New Roman" w:hAnsi="Times New Roman"/>
                <w:color w:val="000000"/>
                <w:sz w:val="24"/>
                <w:szCs w:val="24"/>
              </w:rPr>
              <w:t xml:space="preserve">authorized </w:t>
            </w:r>
            <w:r w:rsidRPr="00536F0C" w:rsidR="00621AE6">
              <w:rPr>
                <w:rFonts w:ascii="Times New Roman" w:hAnsi="Times New Roman"/>
                <w:color w:val="000000"/>
                <w:sz w:val="24"/>
                <w:szCs w:val="24"/>
              </w:rPr>
              <w:t xml:space="preserve">ROEs should not be based on </w:t>
            </w:r>
            <w:r w:rsidRPr="00536F0C" w:rsidR="00054AB9">
              <w:rPr>
                <w:rFonts w:ascii="Times New Roman" w:hAnsi="Times New Roman"/>
                <w:color w:val="000000"/>
                <w:sz w:val="24"/>
                <w:szCs w:val="24"/>
              </w:rPr>
              <w:t xml:space="preserve">ROEs </w:t>
            </w:r>
            <w:r w:rsidRPr="00536F0C" w:rsidR="00621AE6">
              <w:rPr>
                <w:rFonts w:ascii="Times New Roman" w:hAnsi="Times New Roman"/>
                <w:color w:val="000000"/>
                <w:sz w:val="24"/>
                <w:szCs w:val="24"/>
              </w:rPr>
              <w:t>nationwide</w:t>
            </w:r>
            <w:r w:rsidRPr="00536F0C" w:rsidR="00054AB9">
              <w:rPr>
                <w:rFonts w:ascii="Times New Roman" w:hAnsi="Times New Roman"/>
                <w:color w:val="000000"/>
                <w:sz w:val="24"/>
                <w:szCs w:val="24"/>
              </w:rPr>
              <w:t xml:space="preserve">. </w:t>
            </w:r>
            <w:r w:rsidRPr="00536F0C" w:rsidR="00621AE6">
              <w:rPr>
                <w:rFonts w:ascii="Times New Roman" w:hAnsi="Times New Roman"/>
                <w:color w:val="000000"/>
                <w:sz w:val="24"/>
                <w:szCs w:val="24"/>
              </w:rPr>
              <w:t>The Commission acknowledged that ROEs for the C</w:t>
            </w:r>
            <w:r w:rsidRPr="00536F0C" w:rsidR="00563682">
              <w:rPr>
                <w:rFonts w:ascii="Times New Roman" w:hAnsi="Times New Roman"/>
                <w:color w:val="000000"/>
                <w:sz w:val="24"/>
                <w:szCs w:val="24"/>
              </w:rPr>
              <w:t>A</w:t>
            </w:r>
            <w:r w:rsidRPr="00536F0C" w:rsidR="00621AE6">
              <w:rPr>
                <w:rFonts w:ascii="Times New Roman" w:hAnsi="Times New Roman"/>
                <w:color w:val="000000"/>
                <w:sz w:val="24"/>
                <w:szCs w:val="24"/>
              </w:rPr>
              <w:t xml:space="preserve"> Utilities are even higher than ROEs nationwide. Although the Commission did not adopt PCF</w:t>
            </w:r>
            <w:r w:rsidR="004E6167">
              <w:rPr>
                <w:rFonts w:ascii="Times New Roman" w:hAnsi="Times New Roman"/>
                <w:color w:val="000000"/>
                <w:sz w:val="24"/>
                <w:szCs w:val="24"/>
              </w:rPr>
              <w:t>’</w:t>
            </w:r>
            <w:r w:rsidRPr="00536F0C" w:rsidR="00621AE6">
              <w:rPr>
                <w:rFonts w:ascii="Times New Roman" w:hAnsi="Times New Roman"/>
                <w:color w:val="000000"/>
                <w:sz w:val="24"/>
                <w:szCs w:val="24"/>
              </w:rPr>
              <w:t xml:space="preserve">s </w:t>
            </w:r>
            <w:r w:rsidRPr="00536F0C" w:rsidR="00054AB9">
              <w:rPr>
                <w:rFonts w:ascii="Times New Roman" w:hAnsi="Times New Roman"/>
                <w:color w:val="000000"/>
                <w:sz w:val="24"/>
                <w:szCs w:val="24"/>
              </w:rPr>
              <w:t xml:space="preserve">point </w:t>
            </w:r>
            <w:r w:rsidRPr="00536F0C" w:rsidR="00621AE6">
              <w:rPr>
                <w:rFonts w:ascii="Times New Roman" w:hAnsi="Times New Roman"/>
                <w:color w:val="000000"/>
                <w:sz w:val="24"/>
                <w:szCs w:val="24"/>
              </w:rPr>
              <w:t>that ROEs are too high nationwide, the Commission revised the PD to avoid suggesting that the Utilities</w:t>
            </w:r>
            <w:r w:rsidR="004E6167">
              <w:rPr>
                <w:rFonts w:ascii="Times New Roman" w:hAnsi="Times New Roman"/>
                <w:color w:val="000000"/>
                <w:sz w:val="24"/>
                <w:szCs w:val="24"/>
              </w:rPr>
              <w:t>’</w:t>
            </w:r>
            <w:r w:rsidRPr="00536F0C" w:rsidR="00621AE6">
              <w:rPr>
                <w:rFonts w:ascii="Times New Roman" w:hAnsi="Times New Roman"/>
                <w:color w:val="000000"/>
                <w:sz w:val="24"/>
                <w:szCs w:val="24"/>
              </w:rPr>
              <w:t xml:space="preserve"> ROEs should be based on the national average ROEs.</w:t>
            </w:r>
            <w:r w:rsidRPr="00536F0C" w:rsidR="00571598">
              <w:rPr>
                <w:rFonts w:ascii="Times New Roman" w:hAnsi="Times New Roman"/>
                <w:color w:val="000000"/>
                <w:sz w:val="24"/>
                <w:szCs w:val="24"/>
              </w:rPr>
              <w:t xml:space="preserve"> </w:t>
            </w:r>
            <w:r w:rsidRPr="00536F0C" w:rsidR="004D02A6">
              <w:rPr>
                <w:rFonts w:ascii="Times New Roman" w:hAnsi="Times New Roman"/>
                <w:color w:val="000000" w:themeColor="text1"/>
                <w:sz w:val="24"/>
                <w:szCs w:val="24"/>
              </w:rPr>
              <w:t>D.24</w:t>
            </w:r>
            <w:r w:rsidR="00B52830">
              <w:rPr>
                <w:rFonts w:ascii="Times New Roman" w:hAnsi="Times New Roman"/>
                <w:color w:val="000000" w:themeColor="text1"/>
                <w:sz w:val="24"/>
                <w:szCs w:val="24"/>
              </w:rPr>
              <w:noBreakHyphen/>
            </w:r>
            <w:r w:rsidRPr="00536F0C" w:rsidR="004D02A6">
              <w:rPr>
                <w:rFonts w:ascii="Times New Roman" w:hAnsi="Times New Roman"/>
                <w:color w:val="000000" w:themeColor="text1"/>
                <w:sz w:val="24"/>
                <w:szCs w:val="24"/>
              </w:rPr>
              <w:t>10</w:t>
            </w:r>
            <w:r w:rsidR="00B52830">
              <w:rPr>
                <w:rFonts w:ascii="Times New Roman" w:hAnsi="Times New Roman"/>
                <w:color w:val="000000" w:themeColor="text1"/>
                <w:sz w:val="24"/>
                <w:szCs w:val="24"/>
              </w:rPr>
              <w:noBreakHyphen/>
            </w:r>
            <w:r w:rsidRPr="00536F0C" w:rsidR="004D02A6">
              <w:rPr>
                <w:rFonts w:ascii="Times New Roman" w:hAnsi="Times New Roman"/>
                <w:color w:val="000000" w:themeColor="text1"/>
                <w:sz w:val="24"/>
                <w:szCs w:val="24"/>
              </w:rPr>
              <w:t xml:space="preserve">008 allows the Commission to consider </w:t>
            </w:r>
            <w:r w:rsidRPr="00536F0C" w:rsidR="004D02A6">
              <w:rPr>
                <w:rFonts w:ascii="Times New Roman" w:hAnsi="Times New Roman"/>
                <w:color w:val="000000" w:themeColor="text1"/>
                <w:sz w:val="24"/>
                <w:szCs w:val="24"/>
              </w:rPr>
              <w:lastRenderedPageBreak/>
              <w:t>PCF</w:t>
            </w:r>
            <w:r w:rsidR="004E6167">
              <w:rPr>
                <w:rFonts w:ascii="Times New Roman" w:hAnsi="Times New Roman"/>
                <w:color w:val="000000" w:themeColor="text1"/>
                <w:sz w:val="24"/>
                <w:szCs w:val="24"/>
              </w:rPr>
              <w:t>’</w:t>
            </w:r>
            <w:r w:rsidRPr="00536F0C" w:rsidR="004D02A6">
              <w:rPr>
                <w:rFonts w:ascii="Times New Roman" w:hAnsi="Times New Roman"/>
                <w:color w:val="000000" w:themeColor="text1"/>
                <w:sz w:val="24"/>
                <w:szCs w:val="24"/>
              </w:rPr>
              <w:t>s recommendations in future COC proceedings</w:t>
            </w:r>
            <w:r w:rsidRPr="00536F0C" w:rsidR="00BB4124">
              <w:rPr>
                <w:rFonts w:ascii="Times New Roman" w:hAnsi="Times New Roman"/>
                <w:color w:val="000000" w:themeColor="text1"/>
                <w:sz w:val="24"/>
                <w:szCs w:val="24"/>
              </w:rPr>
              <w:t xml:space="preserve">, and Commissioners </w:t>
            </w:r>
            <w:r w:rsidRPr="00536F0C" w:rsidR="00124FE0">
              <w:rPr>
                <w:rFonts w:ascii="Times New Roman" w:hAnsi="Times New Roman"/>
                <w:color w:val="000000" w:themeColor="text1"/>
                <w:sz w:val="24"/>
                <w:szCs w:val="24"/>
              </w:rPr>
              <w:t xml:space="preserve">considered and commented on </w:t>
            </w:r>
            <w:r w:rsidRPr="00536F0C" w:rsidR="00DA2A23">
              <w:rPr>
                <w:rFonts w:ascii="Times New Roman" w:hAnsi="Times New Roman"/>
                <w:color w:val="000000" w:themeColor="text1"/>
                <w:sz w:val="24"/>
                <w:szCs w:val="24"/>
              </w:rPr>
              <w:t>PCF</w:t>
            </w:r>
            <w:r w:rsidR="004E6167">
              <w:rPr>
                <w:rFonts w:ascii="Times New Roman" w:hAnsi="Times New Roman"/>
                <w:color w:val="000000" w:themeColor="text1"/>
                <w:sz w:val="24"/>
                <w:szCs w:val="24"/>
              </w:rPr>
              <w:t>’</w:t>
            </w:r>
            <w:r w:rsidRPr="00536F0C" w:rsidR="00DA2A23">
              <w:rPr>
                <w:rFonts w:ascii="Times New Roman" w:hAnsi="Times New Roman"/>
                <w:color w:val="000000" w:themeColor="text1"/>
                <w:sz w:val="24"/>
                <w:szCs w:val="24"/>
              </w:rPr>
              <w:t>s evidence</w:t>
            </w:r>
            <w:r w:rsidRPr="00536F0C" w:rsidR="00E56D4F">
              <w:rPr>
                <w:rFonts w:ascii="Times New Roman" w:hAnsi="Times New Roman"/>
                <w:color w:val="000000" w:themeColor="text1"/>
                <w:sz w:val="24"/>
                <w:szCs w:val="24"/>
              </w:rPr>
              <w:t xml:space="preserve"> that ROEs are higher than the Utilities</w:t>
            </w:r>
            <w:r w:rsidR="004E6167">
              <w:rPr>
                <w:rFonts w:ascii="Times New Roman" w:hAnsi="Times New Roman"/>
                <w:color w:val="000000" w:themeColor="text1"/>
                <w:sz w:val="24"/>
                <w:szCs w:val="24"/>
              </w:rPr>
              <w:t>’</w:t>
            </w:r>
            <w:r w:rsidRPr="00536F0C" w:rsidR="00E56D4F">
              <w:rPr>
                <w:rFonts w:ascii="Times New Roman" w:hAnsi="Times New Roman"/>
                <w:color w:val="000000" w:themeColor="text1"/>
                <w:sz w:val="24"/>
                <w:szCs w:val="24"/>
              </w:rPr>
              <w:t xml:space="preserve"> costs of capital</w:t>
            </w:r>
            <w:r w:rsidRPr="00536F0C" w:rsidR="00A675D0">
              <w:rPr>
                <w:rFonts w:ascii="Times New Roman" w:hAnsi="Times New Roman"/>
                <w:color w:val="000000" w:themeColor="text1"/>
                <w:sz w:val="24"/>
                <w:szCs w:val="24"/>
              </w:rPr>
              <w:t>, including referring to Alfred Kahn as PCF had cited</w:t>
            </w:r>
            <w:r w:rsidRPr="00536F0C" w:rsidR="009C4214">
              <w:rPr>
                <w:rFonts w:ascii="Times New Roman" w:hAnsi="Times New Roman"/>
                <w:color w:val="000000" w:themeColor="text1"/>
                <w:sz w:val="24"/>
                <w:szCs w:val="24"/>
              </w:rPr>
              <w:t xml:space="preserve">. </w:t>
            </w:r>
            <w:r w:rsidRPr="00536F0C" w:rsidR="006C32AD">
              <w:rPr>
                <w:rFonts w:ascii="Times New Roman" w:hAnsi="Times New Roman"/>
                <w:color w:val="000000" w:themeColor="text1"/>
                <w:sz w:val="24"/>
                <w:szCs w:val="24"/>
              </w:rPr>
              <w:t>At the hearing w</w:t>
            </w:r>
            <w:r w:rsidRPr="00536F0C" w:rsidR="002D1485">
              <w:rPr>
                <w:rFonts w:ascii="Times New Roman" w:hAnsi="Times New Roman"/>
                <w:color w:val="000000" w:themeColor="text1"/>
                <w:sz w:val="24"/>
                <w:szCs w:val="24"/>
              </w:rPr>
              <w:t>hen the Commission decided D.24</w:t>
            </w:r>
            <w:r w:rsidR="00B52830">
              <w:rPr>
                <w:rFonts w:ascii="Times New Roman" w:hAnsi="Times New Roman"/>
                <w:color w:val="000000" w:themeColor="text1"/>
                <w:sz w:val="24"/>
                <w:szCs w:val="24"/>
              </w:rPr>
              <w:noBreakHyphen/>
            </w:r>
            <w:r w:rsidRPr="00536F0C" w:rsidR="002D1485">
              <w:rPr>
                <w:rFonts w:ascii="Times New Roman" w:hAnsi="Times New Roman"/>
                <w:color w:val="000000" w:themeColor="text1"/>
                <w:sz w:val="24"/>
                <w:szCs w:val="24"/>
              </w:rPr>
              <w:t>10</w:t>
            </w:r>
            <w:r w:rsidR="00B52830">
              <w:rPr>
                <w:rFonts w:ascii="Times New Roman" w:hAnsi="Times New Roman"/>
                <w:color w:val="000000" w:themeColor="text1"/>
                <w:sz w:val="24"/>
                <w:szCs w:val="24"/>
              </w:rPr>
              <w:noBreakHyphen/>
            </w:r>
            <w:r w:rsidRPr="00536F0C" w:rsidR="002D1485">
              <w:rPr>
                <w:rFonts w:ascii="Times New Roman" w:hAnsi="Times New Roman"/>
                <w:color w:val="000000" w:themeColor="text1"/>
                <w:sz w:val="24"/>
                <w:szCs w:val="24"/>
              </w:rPr>
              <w:t>008, PCF</w:t>
            </w:r>
            <w:r w:rsidR="004E6167">
              <w:rPr>
                <w:rFonts w:ascii="Times New Roman" w:hAnsi="Times New Roman"/>
                <w:color w:val="000000" w:themeColor="text1"/>
                <w:sz w:val="24"/>
                <w:szCs w:val="24"/>
              </w:rPr>
              <w:t>’</w:t>
            </w:r>
            <w:r w:rsidRPr="00536F0C" w:rsidR="002D1485">
              <w:rPr>
                <w:rFonts w:ascii="Times New Roman" w:hAnsi="Times New Roman"/>
                <w:color w:val="000000" w:themeColor="text1"/>
                <w:sz w:val="24"/>
                <w:szCs w:val="24"/>
              </w:rPr>
              <w:t>s evidence and arguments</w:t>
            </w:r>
            <w:r w:rsidRPr="00536F0C" w:rsidR="00745E41">
              <w:rPr>
                <w:rFonts w:ascii="Times New Roman" w:hAnsi="Times New Roman"/>
                <w:color w:val="000000" w:themeColor="text1"/>
                <w:sz w:val="24"/>
                <w:szCs w:val="24"/>
              </w:rPr>
              <w:t xml:space="preserve"> about </w:t>
            </w:r>
            <w:r w:rsidRPr="00536F0C" w:rsidR="00646337">
              <w:rPr>
                <w:rFonts w:ascii="Times New Roman" w:hAnsi="Times New Roman"/>
                <w:color w:val="000000" w:themeColor="text1"/>
                <w:sz w:val="24"/>
                <w:szCs w:val="24"/>
              </w:rPr>
              <w:t>ROEs exceeding COCs</w:t>
            </w:r>
            <w:r w:rsidRPr="00536F0C" w:rsidR="00081DF5">
              <w:rPr>
                <w:rFonts w:ascii="Times New Roman" w:hAnsi="Times New Roman"/>
                <w:color w:val="000000" w:themeColor="text1"/>
                <w:sz w:val="24"/>
                <w:szCs w:val="24"/>
              </w:rPr>
              <w:t xml:space="preserve"> (</w:t>
            </w:r>
            <w:r w:rsidRPr="00536F0C" w:rsidR="002B5ABE">
              <w:rPr>
                <w:rFonts w:ascii="Times New Roman" w:hAnsi="Times New Roman"/>
                <w:color w:val="000000" w:themeColor="text1"/>
                <w:sz w:val="24"/>
                <w:szCs w:val="24"/>
              </w:rPr>
              <w:t>including regarding market</w:t>
            </w:r>
            <w:r w:rsidR="00B52830">
              <w:rPr>
                <w:rFonts w:ascii="Times New Roman" w:hAnsi="Times New Roman"/>
                <w:color w:val="000000" w:themeColor="text1"/>
                <w:sz w:val="24"/>
                <w:szCs w:val="24"/>
              </w:rPr>
              <w:noBreakHyphen/>
            </w:r>
            <w:r w:rsidRPr="00536F0C" w:rsidR="002B5ABE">
              <w:rPr>
                <w:rFonts w:ascii="Times New Roman" w:hAnsi="Times New Roman"/>
                <w:color w:val="000000" w:themeColor="text1"/>
                <w:sz w:val="24"/>
                <w:szCs w:val="24"/>
              </w:rPr>
              <w:t>to</w:t>
            </w:r>
            <w:r w:rsidR="00B52830">
              <w:rPr>
                <w:rFonts w:ascii="Times New Roman" w:hAnsi="Times New Roman"/>
                <w:color w:val="000000" w:themeColor="text1"/>
                <w:sz w:val="24"/>
                <w:szCs w:val="24"/>
              </w:rPr>
              <w:noBreakHyphen/>
            </w:r>
            <w:r w:rsidRPr="00536F0C" w:rsidR="002B5ABE">
              <w:rPr>
                <w:rFonts w:ascii="Times New Roman" w:hAnsi="Times New Roman"/>
                <w:color w:val="000000" w:themeColor="text1"/>
                <w:sz w:val="24"/>
                <w:szCs w:val="24"/>
              </w:rPr>
              <w:t>book ratios and profit incentives</w:t>
            </w:r>
            <w:r w:rsidRPr="00536F0C" w:rsidR="00081DF5">
              <w:rPr>
                <w:rFonts w:ascii="Times New Roman" w:hAnsi="Times New Roman"/>
                <w:color w:val="000000" w:themeColor="text1"/>
                <w:sz w:val="24"/>
                <w:szCs w:val="24"/>
              </w:rPr>
              <w:t xml:space="preserve">) were discussed </w:t>
            </w:r>
            <w:r w:rsidRPr="00536F0C" w:rsidR="005E0E50">
              <w:rPr>
                <w:rFonts w:ascii="Times New Roman" w:hAnsi="Times New Roman"/>
                <w:color w:val="000000" w:themeColor="text1"/>
                <w:sz w:val="24"/>
                <w:szCs w:val="24"/>
              </w:rPr>
              <w:t>and flagged for consideration in future proceedings</w:t>
            </w:r>
            <w:r w:rsidRPr="00536F0C" w:rsidR="006F240D">
              <w:rPr>
                <w:rFonts w:ascii="Times New Roman" w:hAnsi="Times New Roman"/>
                <w:color w:val="000000" w:themeColor="text1"/>
                <w:sz w:val="24"/>
                <w:szCs w:val="24"/>
              </w:rPr>
              <w:t>.</w:t>
            </w:r>
          </w:p>
        </w:tc>
        <w:tc>
          <w:tcPr>
            <w:tcW w:w="4500" w:type="dxa"/>
          </w:tcPr>
          <w:p w:rsidRPr="00536F0C" w:rsidR="00621AE6" w:rsidP="00AD09FF" w:rsidRDefault="004E6167" w14:paraId="54A94782" w14:textId="2597D65E">
            <w:pPr>
              <w:spacing w:after="240"/>
              <w:rPr>
                <w:strike/>
                <w:color w:val="000000"/>
              </w:rPr>
            </w:pPr>
            <w:r>
              <w:lastRenderedPageBreak/>
              <w:t>“</w:t>
            </w:r>
            <w:r w:rsidRPr="00536F0C" w:rsidR="00621AE6">
              <w:rPr>
                <w:strike/>
                <w:color w:val="FF0000"/>
              </w:rPr>
              <w:t>Recognizing the interests of California ratepayers, this decision attempts to work towards the goal of bringing the returns on equity for California utilities closer to the national average over …</w:t>
            </w:r>
            <w:r>
              <w:t>”</w:t>
            </w:r>
            <w:r w:rsidRPr="00536F0C" w:rsidR="00621AE6">
              <w:t xml:space="preserve"> PD Rev. 1 (Redline) (Dec. 13, 2022),</w:t>
            </w:r>
            <w:r w:rsidR="0015516F">
              <w:t xml:space="preserve"> p. </w:t>
            </w:r>
            <w:r w:rsidRPr="00536F0C" w:rsidR="00621AE6">
              <w:t>33.</w:t>
            </w:r>
          </w:p>
          <w:p w:rsidRPr="00536F0C" w:rsidR="00621AE6" w:rsidP="00AD09FF" w:rsidRDefault="004E6167" w14:paraId="22AAC64A" w14:textId="395D2396">
            <w:pPr>
              <w:spacing w:after="240"/>
            </w:pPr>
            <w:r>
              <w:rPr>
                <w:color w:val="000000"/>
              </w:rPr>
              <w:t>“</w:t>
            </w:r>
            <w:r w:rsidRPr="00536F0C" w:rsidR="00621AE6">
              <w:rPr>
                <w:color w:val="4F6228" w:themeColor="accent3" w:themeShade="80"/>
                <w:u w:val="single"/>
              </w:rPr>
              <w:t>Having addressed the generic factors used in setting an ROE we now address a fair and reasonable return for the individual utilities.</w:t>
            </w:r>
            <w:r>
              <w:rPr>
                <w:color w:val="000000"/>
              </w:rPr>
              <w:t>”</w:t>
            </w:r>
            <w:r w:rsidRPr="00536F0C" w:rsidR="00621AE6">
              <w:t xml:space="preserve"> PD Rev. 1 (Redline) (Dec. 13, 2022),</w:t>
            </w:r>
            <w:r w:rsidR="0015516F">
              <w:t xml:space="preserve"> p. </w:t>
            </w:r>
            <w:r w:rsidRPr="00536F0C" w:rsidR="00621AE6">
              <w:t>34.</w:t>
            </w:r>
          </w:p>
          <w:p w:rsidRPr="00536F0C" w:rsidR="00DC6F3A" w:rsidP="00AD09FF" w:rsidRDefault="004E6167" w14:paraId="31C5CC76" w14:textId="55FBD525">
            <w:pPr>
              <w:spacing w:after="240"/>
              <w:rPr>
                <w:color w:val="000000"/>
              </w:rPr>
            </w:pPr>
            <w:r>
              <w:rPr>
                <w:color w:val="000000"/>
              </w:rPr>
              <w:t>“</w:t>
            </w:r>
            <w:r w:rsidRPr="00536F0C" w:rsidR="00DC6F3A">
              <w:rPr>
                <w:color w:val="000000"/>
              </w:rPr>
              <w:t>There has been a general downward trend in the authorization of ROE for similarly situated electric and gas utilities in the United States for the past decade.</w:t>
            </w:r>
            <w:r>
              <w:rPr>
                <w:color w:val="000000"/>
              </w:rPr>
              <w:t>”</w:t>
            </w:r>
            <w:r w:rsidRPr="00536F0C" w:rsidR="00DC6F3A">
              <w:rPr>
                <w:color w:val="000000"/>
              </w:rPr>
              <w:t xml:space="preserve"> D.22</w:t>
            </w:r>
            <w:r w:rsidR="00B52830">
              <w:rPr>
                <w:color w:val="000000"/>
              </w:rPr>
              <w:noBreakHyphen/>
            </w:r>
            <w:r w:rsidRPr="00536F0C" w:rsidR="00DC6F3A">
              <w:rPr>
                <w:color w:val="000000"/>
              </w:rPr>
              <w:t>12</w:t>
            </w:r>
            <w:r w:rsidR="00B52830">
              <w:rPr>
                <w:color w:val="000000"/>
              </w:rPr>
              <w:noBreakHyphen/>
            </w:r>
            <w:r w:rsidRPr="00536F0C" w:rsidR="00DC6F3A">
              <w:rPr>
                <w:color w:val="000000"/>
              </w:rPr>
              <w:t>031,</w:t>
            </w:r>
            <w:r w:rsidR="0015516F">
              <w:rPr>
                <w:color w:val="000000"/>
              </w:rPr>
              <w:t xml:space="preserve"> p. </w:t>
            </w:r>
            <w:r w:rsidRPr="00536F0C" w:rsidR="00DC6F3A">
              <w:rPr>
                <w:color w:val="000000"/>
              </w:rPr>
              <w:t>49 (FOF 49).</w:t>
            </w:r>
          </w:p>
          <w:p w:rsidRPr="00536F0C" w:rsidR="0031088E" w:rsidP="00AD09FF" w:rsidRDefault="0031088E" w14:paraId="4FE28EB0" w14:textId="06DEFCE6">
            <w:pPr>
              <w:spacing w:after="240"/>
            </w:pPr>
            <w:r w:rsidRPr="00536F0C">
              <w:t xml:space="preserve">Commissioner Houck: </w:t>
            </w:r>
            <w:r w:rsidR="004E6167">
              <w:t>“</w:t>
            </w:r>
            <w:r w:rsidRPr="00536F0C">
              <w:t>…turning back to the record in the preceding several parties recommend changes to the Commission</w:t>
            </w:r>
            <w:r w:rsidR="004E6167">
              <w:t>’</w:t>
            </w:r>
            <w:r w:rsidRPr="00536F0C">
              <w:t>s cost of capital proceeding and among those recommendations was a suggestion that the Commission consider price to book ratios while setting authorized ROEs. A price to book ratio is a simple comparison of a utility share price to its book value per share. These data are publicly available and some parties, including Environmental Defense Fund and Protect Our Communities Foundation argued that price to book ratios above 1.0 indicate that authorized ROE</w:t>
            </w:r>
            <w:r w:rsidR="004E6167">
              <w:t>’</w:t>
            </w:r>
            <w:r w:rsidRPr="00536F0C">
              <w:t xml:space="preserve">s have been set above cost of equity. So, quoting from Alfred Kahn, </w:t>
            </w:r>
            <w:r w:rsidR="004E6167">
              <w:t>‘</w:t>
            </w:r>
            <w:r w:rsidRPr="00536F0C">
              <w:t xml:space="preserve">The source of the discrepancy between market and book value has been that commissions have been </w:t>
            </w:r>
            <w:r w:rsidRPr="00536F0C">
              <w:lastRenderedPageBreak/>
              <w:t>allowing ROEs in excess of cost of equity. If instead they had set ROEs equal to cost of equity, the discrepancy between market and book value would never have arisen. Setting ROEs above the cost of equity has led to prolonged periods of utilities maintaining price to book ratios above 1.0.</w:t>
            </w:r>
            <w:r w:rsidR="004E6167">
              <w:t>’</w:t>
            </w:r>
            <w:r w:rsidRPr="00536F0C">
              <w:t xml:space="preserve"> And, as was true in 1970 when Kahn published this book, share prices are now well above book values. When we take up cost of capital again, I would encourage my colleagues to look closely at these ratios as one factor of consideration among the others that that we examine in the cost of capital proceeding.</w:t>
            </w:r>
            <w:r w:rsidR="004E6167">
              <w:t>”</w:t>
            </w:r>
            <w:r w:rsidRPr="00536F0C">
              <w:t xml:space="preserve"> </w:t>
            </w:r>
            <w:r w:rsidRPr="00536F0C">
              <w:rPr>
                <w:i/>
                <w:iCs/>
              </w:rPr>
              <w:t xml:space="preserve">See </w:t>
            </w:r>
            <w:r w:rsidRPr="00536F0C">
              <w:t xml:space="preserve">Attachment </w:t>
            </w:r>
            <w:r w:rsidRPr="00536F0C" w:rsidR="006F4AA4">
              <w:t>2</w:t>
            </w:r>
            <w:r w:rsidRPr="00536F0C">
              <w:t xml:space="preserve"> (exce</w:t>
            </w:r>
            <w:r w:rsidRPr="00536F0C" w:rsidR="006F4AA4">
              <w:t>r</w:t>
            </w:r>
            <w:r w:rsidRPr="00536F0C">
              <w:t>pt of October 17, 2024 Commission Meeting, Item 14</w:t>
            </w:r>
            <w:r w:rsidRPr="00536F0C" w:rsidR="005B0457">
              <w:t>)</w:t>
            </w:r>
            <w:r w:rsidRPr="00536F0C">
              <w:t>,</w:t>
            </w:r>
            <w:r w:rsidR="0015516F">
              <w:t xml:space="preserve"> p. </w:t>
            </w:r>
            <w:r w:rsidRPr="00536F0C">
              <w:t>1</w:t>
            </w:r>
            <w:r w:rsidR="00B52830">
              <w:noBreakHyphen/>
            </w:r>
            <w:r w:rsidRPr="00536F0C">
              <w:t>2.</w:t>
            </w:r>
          </w:p>
          <w:p w:rsidRPr="00536F0C" w:rsidR="0031088E" w:rsidP="00AD09FF" w:rsidRDefault="004E6167" w14:paraId="2418725C" w14:textId="0AA82B16">
            <w:pPr>
              <w:spacing w:after="240"/>
            </w:pPr>
            <w:r>
              <w:t>“</w:t>
            </w:r>
            <w:r w:rsidRPr="00536F0C" w:rsidR="0031088E">
              <w:t>And then one final consideration is that setting ROEs well above the cost of equity distorts utility profit incentives. So basically, utilities have an extra incentive to acquire additional capital if the allowable rate of return exceeds the cost of capital. The utilities in this proceeding are all decoupled, which means their sole way to increase profits year to year is to add to rate base, and this creates incentives for utilities to expand rate base as much as possible to benefit shareholders. And we know this because increasing profits is the fiduciary duty of the firm</w:t>
            </w:r>
            <w:r>
              <w:t>’</w:t>
            </w:r>
            <w:r w:rsidRPr="00536F0C" w:rsidR="0031088E">
              <w:t>s management, and it</w:t>
            </w:r>
            <w:r>
              <w:t>’</w:t>
            </w:r>
            <w:r w:rsidRPr="00536F0C" w:rsidR="0031088E">
              <w:t>s our job to ensure that these returns are fair and rates are just and reasonable.</w:t>
            </w:r>
            <w:r>
              <w:t>”</w:t>
            </w:r>
            <w:r w:rsidRPr="00536F0C" w:rsidR="0031088E">
              <w:t xml:space="preserve"> </w:t>
            </w:r>
            <w:r w:rsidRPr="00536F0C" w:rsidR="0031088E">
              <w:rPr>
                <w:i/>
                <w:iCs/>
              </w:rPr>
              <w:t>See</w:t>
            </w:r>
            <w:r w:rsidRPr="00536F0C" w:rsidR="0031088E">
              <w:t xml:space="preserve"> Attachment </w:t>
            </w:r>
            <w:r w:rsidRPr="00536F0C" w:rsidR="004967C7">
              <w:t>2</w:t>
            </w:r>
            <w:r w:rsidRPr="00536F0C" w:rsidR="0031088E">
              <w:t xml:space="preserve"> (exce</w:t>
            </w:r>
            <w:r w:rsidRPr="00536F0C" w:rsidR="00200C00">
              <w:t>r</w:t>
            </w:r>
            <w:r w:rsidRPr="00536F0C" w:rsidR="0031088E">
              <w:t>pt of October 17, 2024 Commission Meeting, Item 14),</w:t>
            </w:r>
            <w:r w:rsidR="0015516F">
              <w:t xml:space="preserve"> p. </w:t>
            </w:r>
            <w:r w:rsidRPr="00536F0C" w:rsidR="0031088E">
              <w:t>2.</w:t>
            </w:r>
          </w:p>
          <w:p w:rsidRPr="00536F0C" w:rsidR="0031088E" w:rsidP="00AD09FF" w:rsidRDefault="004E6167" w14:paraId="57B0C7C3" w14:textId="6AA5525C">
            <w:pPr>
              <w:spacing w:after="240"/>
            </w:pPr>
            <w:r>
              <w:t>“</w:t>
            </w:r>
            <w:r w:rsidRPr="00536F0C" w:rsidR="0031088E">
              <w:t>For example, cumulatively, across the four IOU</w:t>
            </w:r>
            <w:r>
              <w:t>’</w:t>
            </w:r>
            <w:r w:rsidRPr="00536F0C" w:rsidR="0031088E">
              <w:t>s, the impact of each basis point of ROE above cost of equity is $6</w:t>
            </w:r>
            <w:r>
              <w:t> million</w:t>
            </w:r>
            <w:r w:rsidRPr="00536F0C" w:rsidR="0031088E">
              <w:t xml:space="preserve">. So we need to be clear in our understanding that while the utilities have ROEs set above their cost of equity, which is strongly </w:t>
            </w:r>
            <w:r w:rsidRPr="00536F0C" w:rsidR="0031088E">
              <w:lastRenderedPageBreak/>
              <w:t>supported by their current price to book ratios, they will be strongly incentivized to add as much capital as they can, which increases the difficulty for all of us in dispensing with GRC applications.</w:t>
            </w:r>
            <w:r>
              <w:t>”</w:t>
            </w:r>
            <w:r w:rsidRPr="00536F0C" w:rsidR="0031088E">
              <w:t xml:space="preserve"> </w:t>
            </w:r>
            <w:r w:rsidRPr="00536F0C" w:rsidR="0031088E">
              <w:rPr>
                <w:i/>
                <w:iCs/>
              </w:rPr>
              <w:t xml:space="preserve">See </w:t>
            </w:r>
            <w:r w:rsidRPr="00536F0C" w:rsidR="0031088E">
              <w:t xml:space="preserve">Attachment </w:t>
            </w:r>
            <w:r w:rsidRPr="00536F0C" w:rsidR="004967C7">
              <w:t>2</w:t>
            </w:r>
            <w:r w:rsidRPr="00536F0C" w:rsidR="0031088E">
              <w:t xml:space="preserve"> (exce</w:t>
            </w:r>
            <w:r w:rsidRPr="00536F0C" w:rsidR="004967C7">
              <w:t>r</w:t>
            </w:r>
            <w:r w:rsidRPr="00536F0C" w:rsidR="0031088E">
              <w:t>pt of October 17, 2024 Commission Meeting, Item 14),</w:t>
            </w:r>
            <w:r w:rsidR="0015516F">
              <w:t xml:space="preserve"> p. </w:t>
            </w:r>
            <w:r w:rsidRPr="00536F0C" w:rsidR="0031088E">
              <w:t>2.</w:t>
            </w:r>
          </w:p>
          <w:p w:rsidRPr="00536F0C" w:rsidR="0031088E" w:rsidP="00AD09FF" w:rsidRDefault="004E6167" w14:paraId="11116883" w14:textId="60AC253B">
            <w:pPr>
              <w:spacing w:after="240"/>
            </w:pPr>
            <w:r>
              <w:t>“</w:t>
            </w:r>
            <w:r w:rsidRPr="00536F0C" w:rsidR="00595543">
              <w:t>…</w:t>
            </w:r>
            <w:r w:rsidRPr="00536F0C" w:rsidR="0031088E">
              <w:t>the evidence in front of us suggests that we have more to do as we examine cost of capital in future proceedings, and I encourage the Commission to consider in more depth some of the suggestions of the parties that were not addressed in the decision. . . .</w:t>
            </w:r>
            <w:r>
              <w:t>”</w:t>
            </w:r>
            <w:r w:rsidRPr="00536F0C" w:rsidR="0031088E">
              <w:t xml:space="preserve"> </w:t>
            </w:r>
            <w:r w:rsidRPr="00536F0C" w:rsidR="0031088E">
              <w:rPr>
                <w:i/>
                <w:iCs/>
              </w:rPr>
              <w:t>See</w:t>
            </w:r>
            <w:r w:rsidRPr="00536F0C" w:rsidR="0031088E">
              <w:t xml:space="preserve"> Attachment </w:t>
            </w:r>
            <w:r w:rsidRPr="00536F0C" w:rsidR="004967C7">
              <w:t>2</w:t>
            </w:r>
            <w:r w:rsidRPr="00536F0C" w:rsidR="0031088E">
              <w:t xml:space="preserve"> (exce</w:t>
            </w:r>
            <w:r w:rsidRPr="00536F0C" w:rsidR="004967C7">
              <w:t>r</w:t>
            </w:r>
            <w:r w:rsidRPr="00536F0C" w:rsidR="0031088E">
              <w:t>pt of October 17, 2024 Commission Meeting, Item 14),</w:t>
            </w:r>
            <w:r w:rsidR="0015516F">
              <w:t xml:space="preserve"> p. </w:t>
            </w:r>
            <w:r w:rsidRPr="00536F0C" w:rsidR="0031088E">
              <w:t>2.</w:t>
            </w:r>
          </w:p>
          <w:p w:rsidRPr="00536F0C" w:rsidR="000B2ABB" w:rsidP="00AD09FF" w:rsidRDefault="000B2ABB" w14:paraId="6AEA5F4E" w14:textId="061CAF49">
            <w:pPr>
              <w:spacing w:after="240"/>
              <w:rPr>
                <w:color w:val="000000"/>
              </w:rPr>
            </w:pPr>
            <w:r w:rsidRPr="00536F0C">
              <w:rPr>
                <w:color w:val="000000"/>
              </w:rPr>
              <w:t>May 27, 2022 PCF Protest,</w:t>
            </w:r>
            <w:r w:rsidR="0015516F">
              <w:rPr>
                <w:color w:val="000000"/>
              </w:rPr>
              <w:t xml:space="preserve"> p. </w:t>
            </w:r>
            <w:r w:rsidRPr="00536F0C">
              <w:rPr>
                <w:color w:val="000000"/>
              </w:rPr>
              <w:t>2</w:t>
            </w:r>
            <w:r w:rsidR="00B52830">
              <w:rPr>
                <w:color w:val="000000"/>
              </w:rPr>
              <w:noBreakHyphen/>
            </w:r>
            <w:r w:rsidRPr="00536F0C" w:rsidR="0028386D">
              <w:rPr>
                <w:color w:val="000000"/>
              </w:rPr>
              <w:t>3</w:t>
            </w:r>
            <w:r w:rsidRPr="00536F0C">
              <w:rPr>
                <w:color w:val="000000"/>
              </w:rPr>
              <w:t>, 8.</w:t>
            </w:r>
          </w:p>
          <w:p w:rsidRPr="00536F0C" w:rsidR="00747A3C" w:rsidP="00AD09FF" w:rsidRDefault="000B2ABB" w14:paraId="2D65439C" w14:textId="771C3DAB">
            <w:pPr>
              <w:spacing w:after="240"/>
              <w:rPr>
                <w:color w:val="000000"/>
              </w:rPr>
            </w:pPr>
            <w:r w:rsidRPr="00536F0C">
              <w:rPr>
                <w:color w:val="000000"/>
              </w:rPr>
              <w:t>PCF</w:t>
            </w:r>
            <w:r w:rsidR="00B52830">
              <w:rPr>
                <w:color w:val="000000"/>
              </w:rPr>
              <w:noBreakHyphen/>
            </w:r>
            <w:r w:rsidRPr="00536F0C">
              <w:rPr>
                <w:color w:val="000000"/>
              </w:rPr>
              <w:t>01 (Ellis Testimony),</w:t>
            </w:r>
            <w:r w:rsidR="0015516F">
              <w:rPr>
                <w:color w:val="000000"/>
              </w:rPr>
              <w:t xml:space="preserve"> p. </w:t>
            </w:r>
            <w:r w:rsidRPr="00536F0C" w:rsidR="004D47AD">
              <w:rPr>
                <w:color w:val="000000"/>
              </w:rPr>
              <w:t>7</w:t>
            </w:r>
            <w:r w:rsidR="00B52830">
              <w:rPr>
                <w:color w:val="000000"/>
              </w:rPr>
              <w:noBreakHyphen/>
            </w:r>
            <w:r w:rsidRPr="00536F0C" w:rsidR="004D47AD">
              <w:rPr>
                <w:color w:val="000000"/>
              </w:rPr>
              <w:t>9, 1</w:t>
            </w:r>
            <w:r w:rsidRPr="00536F0C" w:rsidR="0024623F">
              <w:rPr>
                <w:color w:val="000000"/>
              </w:rPr>
              <w:t>1</w:t>
            </w:r>
            <w:r w:rsidR="00B52830">
              <w:rPr>
                <w:color w:val="000000"/>
              </w:rPr>
              <w:noBreakHyphen/>
            </w:r>
            <w:r w:rsidRPr="00536F0C" w:rsidR="003D1CD8">
              <w:rPr>
                <w:color w:val="000000"/>
              </w:rPr>
              <w:t>26</w:t>
            </w:r>
            <w:r w:rsidRPr="00536F0C" w:rsidR="000D6266">
              <w:rPr>
                <w:color w:val="000000"/>
              </w:rPr>
              <w:t>;</w:t>
            </w:r>
            <w:r w:rsidRPr="00536F0C" w:rsidR="000D6266">
              <w:rPr>
                <w:i/>
                <w:iCs/>
                <w:color w:val="000000"/>
              </w:rPr>
              <w:t xml:space="preserve"> id. </w:t>
            </w:r>
            <w:r w:rsidRPr="00536F0C" w:rsidR="000D6266">
              <w:rPr>
                <w:color w:val="000000"/>
              </w:rPr>
              <w:t>at</w:t>
            </w:r>
            <w:r w:rsidR="0015516F">
              <w:rPr>
                <w:color w:val="000000"/>
              </w:rPr>
              <w:t xml:space="preserve"> p. </w:t>
            </w:r>
            <w:r w:rsidRPr="00536F0C" w:rsidR="00F472F7">
              <w:rPr>
                <w:color w:val="000000"/>
              </w:rPr>
              <w:t>16</w:t>
            </w:r>
            <w:r w:rsidRPr="00536F0C" w:rsidR="000D6266">
              <w:rPr>
                <w:color w:val="000000"/>
              </w:rPr>
              <w:t xml:space="preserve"> </w:t>
            </w:r>
            <w:r w:rsidRPr="00536F0C" w:rsidR="00F472F7">
              <w:rPr>
                <w:color w:val="000000"/>
              </w:rPr>
              <w:t>(</w:t>
            </w:r>
            <w:r w:rsidR="004E6167">
              <w:rPr>
                <w:color w:val="000000"/>
              </w:rPr>
              <w:t>“</w:t>
            </w:r>
            <w:r w:rsidRPr="00536F0C" w:rsidR="00747A3C">
              <w:rPr>
                <w:color w:val="000000"/>
              </w:rPr>
              <w:t xml:space="preserve">Kahn was referring to the period of the late 1940s to 1965, but the observation that utilities trade above book value is equally valid today. As seen in Figure 3, the utility sector average M/B ratio has exceeded 1.0 for nearly thirty years and, except for a short period after the global financial crisis, has exceeded 1.5 since 1995. The current average M/B ratio of </w:t>
            </w:r>
            <w:r w:rsidR="004E6167">
              <w:rPr>
                <w:color w:val="000000"/>
              </w:rPr>
              <w:t>Mr. </w:t>
            </w:r>
            <w:r w:rsidRPr="00536F0C" w:rsidR="00747A3C">
              <w:rPr>
                <w:color w:val="000000"/>
              </w:rPr>
              <w:t>Coyne</w:t>
            </w:r>
            <w:r w:rsidR="004E6167">
              <w:rPr>
                <w:color w:val="000000"/>
              </w:rPr>
              <w:t>’</w:t>
            </w:r>
            <w:r w:rsidRPr="00536F0C" w:rsidR="00747A3C">
              <w:rPr>
                <w:color w:val="000000"/>
              </w:rPr>
              <w:t xml:space="preserve">s proxy groups for SDG&amp;E and SoCalGas are even higher, at 2.0 and 1.9, respectively. As Kahn observed, the utility sector trading at 1.5 to 2.0 times book value for decades clearly demonstrates that utilities have once again been </w:t>
            </w:r>
            <w:r w:rsidR="004E6167">
              <w:rPr>
                <w:color w:val="000000"/>
              </w:rPr>
              <w:t>‘</w:t>
            </w:r>
            <w:r w:rsidRPr="00536F0C" w:rsidR="00747A3C">
              <w:rPr>
                <w:color w:val="000000"/>
              </w:rPr>
              <w:t>permitted to earn considerably more than their cost of capital.</w:t>
            </w:r>
            <w:r w:rsidR="004E6167">
              <w:rPr>
                <w:color w:val="000000"/>
              </w:rPr>
              <w:t>’”</w:t>
            </w:r>
            <w:r w:rsidRPr="00536F0C" w:rsidR="00F472F7">
              <w:rPr>
                <w:color w:val="000000"/>
              </w:rPr>
              <w:t>)(citations omitted)</w:t>
            </w:r>
            <w:r w:rsidRPr="00536F0C" w:rsidR="00747A3C">
              <w:rPr>
                <w:color w:val="000000"/>
              </w:rPr>
              <w:t>.</w:t>
            </w:r>
          </w:p>
          <w:p w:rsidRPr="00536F0C" w:rsidR="000B2ABB" w:rsidP="00AD09FF" w:rsidRDefault="000B2ABB" w14:paraId="376D9AF3" w14:textId="161ED435">
            <w:pPr>
              <w:spacing w:after="240"/>
              <w:rPr>
                <w:color w:val="000000"/>
              </w:rPr>
            </w:pPr>
            <w:r w:rsidRPr="00536F0C">
              <w:rPr>
                <w:color w:val="000000"/>
              </w:rPr>
              <w:t>PCF</w:t>
            </w:r>
            <w:r w:rsidR="00B52830">
              <w:rPr>
                <w:color w:val="000000"/>
              </w:rPr>
              <w:noBreakHyphen/>
            </w:r>
            <w:r w:rsidRPr="00536F0C">
              <w:rPr>
                <w:color w:val="000000"/>
              </w:rPr>
              <w:t>02 (Ellis Rebuttal Testimony),</w:t>
            </w:r>
            <w:r w:rsidR="0015516F">
              <w:rPr>
                <w:color w:val="000000"/>
              </w:rPr>
              <w:t xml:space="preserve"> p. </w:t>
            </w:r>
            <w:r w:rsidRPr="00536F0C" w:rsidR="00514BD6">
              <w:rPr>
                <w:color w:val="000000"/>
              </w:rPr>
              <w:t>5</w:t>
            </w:r>
            <w:r w:rsidR="00B52830">
              <w:rPr>
                <w:color w:val="000000"/>
              </w:rPr>
              <w:noBreakHyphen/>
            </w:r>
            <w:r w:rsidRPr="00536F0C" w:rsidR="00514BD6">
              <w:rPr>
                <w:color w:val="000000"/>
              </w:rPr>
              <w:t xml:space="preserve">6, </w:t>
            </w:r>
            <w:r w:rsidRPr="00536F0C" w:rsidR="008405FE">
              <w:rPr>
                <w:color w:val="000000"/>
              </w:rPr>
              <w:t>8</w:t>
            </w:r>
            <w:r w:rsidR="00B52830">
              <w:rPr>
                <w:color w:val="000000"/>
              </w:rPr>
              <w:noBreakHyphen/>
            </w:r>
            <w:r w:rsidRPr="00536F0C" w:rsidR="003D758D">
              <w:rPr>
                <w:color w:val="000000"/>
              </w:rPr>
              <w:t xml:space="preserve">10, </w:t>
            </w:r>
            <w:r w:rsidRPr="00536F0C" w:rsidR="00C914FC">
              <w:rPr>
                <w:color w:val="000000"/>
              </w:rPr>
              <w:t>22.</w:t>
            </w:r>
          </w:p>
          <w:p w:rsidRPr="00536F0C" w:rsidR="002C1A44" w:rsidP="00AD09FF" w:rsidRDefault="00D573FC" w14:paraId="42B569E2" w14:textId="5750D70A">
            <w:pPr>
              <w:spacing w:after="240"/>
              <w:rPr>
                <w:color w:val="000000"/>
              </w:rPr>
            </w:pPr>
            <w:r w:rsidRPr="00536F0C">
              <w:rPr>
                <w:color w:val="000000"/>
              </w:rPr>
              <w:lastRenderedPageBreak/>
              <w:t>September 12, 2022 Evidentiary Hearing Transcript,</w:t>
            </w:r>
            <w:r w:rsidR="0015516F">
              <w:rPr>
                <w:color w:val="000000"/>
              </w:rPr>
              <w:t xml:space="preserve"> p. </w:t>
            </w:r>
            <w:r w:rsidRPr="00536F0C" w:rsidR="002D4A20">
              <w:rPr>
                <w:color w:val="000000"/>
              </w:rPr>
              <w:t>89</w:t>
            </w:r>
            <w:r w:rsidR="00B52830">
              <w:rPr>
                <w:color w:val="000000"/>
              </w:rPr>
              <w:noBreakHyphen/>
            </w:r>
            <w:r w:rsidRPr="00536F0C" w:rsidR="00E40732">
              <w:rPr>
                <w:color w:val="000000"/>
              </w:rPr>
              <w:t>91, 93</w:t>
            </w:r>
            <w:r w:rsidR="00B52830">
              <w:rPr>
                <w:color w:val="000000"/>
              </w:rPr>
              <w:noBreakHyphen/>
            </w:r>
            <w:r w:rsidRPr="00536F0C" w:rsidR="00E40732">
              <w:rPr>
                <w:color w:val="000000"/>
              </w:rPr>
              <w:t>94</w:t>
            </w:r>
            <w:r w:rsidRPr="00536F0C" w:rsidR="00AC516F">
              <w:rPr>
                <w:color w:val="000000"/>
              </w:rPr>
              <w:t>, 104</w:t>
            </w:r>
            <w:r w:rsidR="00B52830">
              <w:rPr>
                <w:color w:val="000000"/>
              </w:rPr>
              <w:noBreakHyphen/>
            </w:r>
            <w:r w:rsidRPr="00536F0C" w:rsidR="0012038B">
              <w:rPr>
                <w:color w:val="000000"/>
              </w:rPr>
              <w:t>105, 109</w:t>
            </w:r>
            <w:r w:rsidR="00B52830">
              <w:rPr>
                <w:color w:val="000000"/>
              </w:rPr>
              <w:noBreakHyphen/>
            </w:r>
            <w:r w:rsidRPr="00536F0C" w:rsidR="0012038B">
              <w:rPr>
                <w:color w:val="000000"/>
              </w:rPr>
              <w:t>110</w:t>
            </w:r>
            <w:r w:rsidRPr="00536F0C" w:rsidR="00DB4426">
              <w:rPr>
                <w:color w:val="000000"/>
              </w:rPr>
              <w:t>;</w:t>
            </w:r>
            <w:r w:rsidRPr="00536F0C" w:rsidR="00DB4426">
              <w:rPr>
                <w:i/>
                <w:iCs/>
                <w:color w:val="000000"/>
              </w:rPr>
              <w:t xml:space="preserve"> id.</w:t>
            </w:r>
            <w:r w:rsidRPr="00536F0C" w:rsidR="00DB4426">
              <w:rPr>
                <w:color w:val="000000"/>
              </w:rPr>
              <w:t xml:space="preserve"> at</w:t>
            </w:r>
            <w:r w:rsidR="0015516F">
              <w:rPr>
                <w:color w:val="000000"/>
              </w:rPr>
              <w:t xml:space="preserve"> p. </w:t>
            </w:r>
            <w:r w:rsidRPr="00536F0C" w:rsidR="002C1A44">
              <w:rPr>
                <w:color w:val="000000"/>
              </w:rPr>
              <w:t>72</w:t>
            </w:r>
            <w:r w:rsidR="00B52830">
              <w:rPr>
                <w:color w:val="000000"/>
              </w:rPr>
              <w:noBreakHyphen/>
            </w:r>
            <w:r w:rsidRPr="00536F0C" w:rsidR="002C1A44">
              <w:rPr>
                <w:color w:val="000000"/>
              </w:rPr>
              <w:t>73, l. 21</w:t>
            </w:r>
            <w:r w:rsidR="00B52830">
              <w:rPr>
                <w:color w:val="000000"/>
              </w:rPr>
              <w:noBreakHyphen/>
            </w:r>
            <w:r w:rsidRPr="00536F0C" w:rsidR="002C1A44">
              <w:rPr>
                <w:color w:val="000000"/>
              </w:rPr>
              <w:t xml:space="preserve">24 (Dickenson: </w:t>
            </w:r>
            <w:r w:rsidR="004E6167">
              <w:rPr>
                <w:color w:val="000000"/>
              </w:rPr>
              <w:t>“</w:t>
            </w:r>
            <w:r w:rsidRPr="00536F0C" w:rsidR="002C1A44">
              <w:rPr>
                <w:color w:val="000000"/>
              </w:rPr>
              <w:t>Can you think of any company in your sample that does not have a market value greater than book value?</w:t>
            </w:r>
            <w:r w:rsidR="004E6167">
              <w:rPr>
                <w:color w:val="000000"/>
              </w:rPr>
              <w:t>”</w:t>
            </w:r>
            <w:r w:rsidRPr="00536F0C" w:rsidR="002C1A44">
              <w:rPr>
                <w:color w:val="000000"/>
              </w:rPr>
              <w:t xml:space="preserve"> Coyne: </w:t>
            </w:r>
            <w:r w:rsidR="004E6167">
              <w:rPr>
                <w:color w:val="000000"/>
              </w:rPr>
              <w:t>“</w:t>
            </w:r>
            <w:r w:rsidRPr="00536F0C" w:rsidR="002C1A44">
              <w:rPr>
                <w:color w:val="000000"/>
              </w:rPr>
              <w:t>No.</w:t>
            </w:r>
            <w:r w:rsidR="004E6167">
              <w:rPr>
                <w:color w:val="000000"/>
              </w:rPr>
              <w:t>”</w:t>
            </w:r>
            <w:r w:rsidRPr="00536F0C" w:rsidR="002C1A44">
              <w:rPr>
                <w:color w:val="000000"/>
              </w:rPr>
              <w:t>).</w:t>
            </w:r>
          </w:p>
          <w:p w:rsidRPr="00536F0C" w:rsidR="000B2ABB" w:rsidP="00AD09FF" w:rsidRDefault="000B2ABB" w14:paraId="20FFF7E2" w14:textId="6C2AFBD8">
            <w:pPr>
              <w:spacing w:after="240"/>
              <w:rPr>
                <w:color w:val="000000"/>
              </w:rPr>
            </w:pPr>
            <w:r w:rsidRPr="00536F0C">
              <w:rPr>
                <w:color w:val="000000"/>
              </w:rPr>
              <w:t>September 23, 2022 PCF Opening Brief,</w:t>
            </w:r>
            <w:r w:rsidR="0015516F">
              <w:rPr>
                <w:color w:val="000000"/>
              </w:rPr>
              <w:t xml:space="preserve"> p. </w:t>
            </w:r>
            <w:r w:rsidRPr="00536F0C" w:rsidR="00EB3145">
              <w:rPr>
                <w:color w:val="000000"/>
              </w:rPr>
              <w:t>2</w:t>
            </w:r>
            <w:r w:rsidR="00B52830">
              <w:rPr>
                <w:color w:val="000000"/>
              </w:rPr>
              <w:noBreakHyphen/>
            </w:r>
            <w:r w:rsidRPr="00536F0C" w:rsidR="00EB3145">
              <w:rPr>
                <w:color w:val="000000"/>
              </w:rPr>
              <w:t>3,</w:t>
            </w:r>
            <w:r w:rsidRPr="00536F0C">
              <w:rPr>
                <w:color w:val="000000"/>
              </w:rPr>
              <w:t xml:space="preserve"> </w:t>
            </w:r>
            <w:r w:rsidRPr="00536F0C" w:rsidR="00CF4DA2">
              <w:rPr>
                <w:color w:val="000000"/>
              </w:rPr>
              <w:t>7</w:t>
            </w:r>
            <w:r w:rsidR="00B52830">
              <w:rPr>
                <w:color w:val="000000"/>
              </w:rPr>
              <w:noBreakHyphen/>
            </w:r>
            <w:r w:rsidRPr="00536F0C" w:rsidR="00E5168A">
              <w:rPr>
                <w:color w:val="000000"/>
              </w:rPr>
              <w:t>20</w:t>
            </w:r>
            <w:r w:rsidRPr="00536F0C" w:rsidR="006A0256">
              <w:rPr>
                <w:color w:val="000000"/>
              </w:rPr>
              <w:t xml:space="preserve">; </w:t>
            </w:r>
            <w:r w:rsidRPr="00536F0C" w:rsidR="006A0256">
              <w:rPr>
                <w:i/>
                <w:iCs/>
                <w:color w:val="000000"/>
              </w:rPr>
              <w:t>id.</w:t>
            </w:r>
            <w:r w:rsidRPr="00536F0C" w:rsidR="006A0256">
              <w:rPr>
                <w:color w:val="000000"/>
              </w:rPr>
              <w:t xml:space="preserve"> at</w:t>
            </w:r>
            <w:r w:rsidR="0015516F">
              <w:rPr>
                <w:color w:val="000000"/>
              </w:rPr>
              <w:t xml:space="preserve"> p. </w:t>
            </w:r>
            <w:r w:rsidRPr="00536F0C" w:rsidR="006A0256">
              <w:rPr>
                <w:color w:val="000000"/>
              </w:rPr>
              <w:t>18 (</w:t>
            </w:r>
            <w:r w:rsidR="004E6167">
              <w:rPr>
                <w:color w:val="000000"/>
              </w:rPr>
              <w:t>“</w:t>
            </w:r>
            <w:r w:rsidRPr="00536F0C" w:rsidR="006A0256">
              <w:rPr>
                <w:color w:val="000000"/>
              </w:rPr>
              <w:t>The observation that utilities trade above book value is now even more pronounced. The utility sector average market</w:t>
            </w:r>
            <w:r w:rsidR="00B52830">
              <w:rPr>
                <w:color w:val="000000"/>
              </w:rPr>
              <w:noBreakHyphen/>
            </w:r>
            <w:r w:rsidRPr="00536F0C" w:rsidR="006A0256">
              <w:rPr>
                <w:color w:val="000000"/>
              </w:rPr>
              <w:t>to</w:t>
            </w:r>
            <w:r w:rsidR="00B52830">
              <w:rPr>
                <w:color w:val="000000"/>
              </w:rPr>
              <w:noBreakHyphen/>
            </w:r>
            <w:r w:rsidRPr="00536F0C" w:rsidR="006A0256">
              <w:rPr>
                <w:color w:val="000000"/>
              </w:rPr>
              <w:t>book ratio has exceeded 1.0 for nearly thirty years and, except for a short period after the global financial crisis, has exceeded 1.5 since 1995. The current average market</w:t>
            </w:r>
            <w:r w:rsidR="00B52830">
              <w:rPr>
                <w:color w:val="000000"/>
              </w:rPr>
              <w:noBreakHyphen/>
            </w:r>
            <w:r w:rsidRPr="00536F0C" w:rsidR="006A0256">
              <w:rPr>
                <w:color w:val="000000"/>
              </w:rPr>
              <w:t>to</w:t>
            </w:r>
            <w:r w:rsidR="00B52830">
              <w:rPr>
                <w:color w:val="000000"/>
              </w:rPr>
              <w:noBreakHyphen/>
            </w:r>
            <w:r w:rsidRPr="00536F0C" w:rsidR="006A0256">
              <w:rPr>
                <w:color w:val="000000"/>
              </w:rPr>
              <w:t xml:space="preserve">book ratio of </w:t>
            </w:r>
            <w:r w:rsidR="004E6167">
              <w:rPr>
                <w:color w:val="000000"/>
              </w:rPr>
              <w:t>Mr. </w:t>
            </w:r>
            <w:r w:rsidRPr="00536F0C" w:rsidR="006A0256">
              <w:rPr>
                <w:color w:val="000000"/>
              </w:rPr>
              <w:t>Coyne</w:t>
            </w:r>
            <w:r w:rsidR="004E6167">
              <w:rPr>
                <w:color w:val="000000"/>
              </w:rPr>
              <w:t>’</w:t>
            </w:r>
            <w:r w:rsidRPr="00536F0C" w:rsidR="006A0256">
              <w:rPr>
                <w:color w:val="000000"/>
              </w:rPr>
              <w:t xml:space="preserve">s proxy groups for SDG&amp;E and SoCalGas are even higher, at 2.0 and 1.9, respectively. Utility sector trading at 1.5 to 2.0 times book value for decades clearly demonstrates that utilities have been </w:t>
            </w:r>
            <w:r w:rsidR="004E6167">
              <w:rPr>
                <w:color w:val="000000"/>
              </w:rPr>
              <w:t>“</w:t>
            </w:r>
            <w:r w:rsidRPr="00536F0C" w:rsidR="006A0256">
              <w:rPr>
                <w:color w:val="000000"/>
              </w:rPr>
              <w:t>permitted to earn considerably more than their cost of capital.</w:t>
            </w:r>
            <w:r w:rsidR="004E6167">
              <w:rPr>
                <w:color w:val="000000"/>
              </w:rPr>
              <w:t>’”</w:t>
            </w:r>
            <w:r w:rsidRPr="00536F0C" w:rsidR="006A0256">
              <w:rPr>
                <w:color w:val="000000"/>
              </w:rPr>
              <w:t>)</w:t>
            </w:r>
            <w:r w:rsidR="00AD09FF">
              <w:rPr>
                <w:color w:val="000000"/>
              </w:rPr>
              <w:t xml:space="preserve"> </w:t>
            </w:r>
            <w:r w:rsidRPr="00536F0C" w:rsidR="006A0256">
              <w:rPr>
                <w:color w:val="000000"/>
              </w:rPr>
              <w:t>(citations omitted).</w:t>
            </w:r>
          </w:p>
          <w:p w:rsidRPr="00536F0C" w:rsidR="000B2ABB" w:rsidP="00AD09FF" w:rsidRDefault="000B2ABB" w14:paraId="140F4298" w14:textId="241417B3">
            <w:pPr>
              <w:spacing w:after="240"/>
              <w:rPr>
                <w:color w:val="000000"/>
              </w:rPr>
            </w:pPr>
            <w:r w:rsidRPr="00536F0C">
              <w:rPr>
                <w:color w:val="000000"/>
              </w:rPr>
              <w:t>September 30, 2022 PCF Reply Brief,</w:t>
            </w:r>
            <w:r w:rsidR="0015516F">
              <w:rPr>
                <w:color w:val="000000"/>
              </w:rPr>
              <w:t xml:space="preserve"> p. </w:t>
            </w:r>
            <w:r w:rsidRPr="00536F0C" w:rsidR="001B58F3">
              <w:rPr>
                <w:color w:val="000000"/>
              </w:rPr>
              <w:t>5</w:t>
            </w:r>
            <w:r w:rsidR="00B52830">
              <w:rPr>
                <w:color w:val="000000"/>
              </w:rPr>
              <w:noBreakHyphen/>
            </w:r>
            <w:r w:rsidRPr="00536F0C" w:rsidR="00AA2436">
              <w:rPr>
                <w:color w:val="000000"/>
              </w:rPr>
              <w:t>1</w:t>
            </w:r>
            <w:r w:rsidRPr="00536F0C" w:rsidR="00CA7A37">
              <w:rPr>
                <w:color w:val="000000"/>
              </w:rPr>
              <w:t>3</w:t>
            </w:r>
            <w:r w:rsidRPr="00536F0C">
              <w:rPr>
                <w:color w:val="000000"/>
              </w:rPr>
              <w:t>.</w:t>
            </w:r>
          </w:p>
          <w:p w:rsidRPr="00536F0C" w:rsidR="000B2ABB" w:rsidP="00AD09FF" w:rsidRDefault="000B2ABB" w14:paraId="7CE441F2" w14:textId="2B3D1FB7">
            <w:pPr>
              <w:spacing w:after="240"/>
              <w:rPr>
                <w:color w:val="000000"/>
              </w:rPr>
            </w:pPr>
            <w:r w:rsidRPr="00536F0C">
              <w:rPr>
                <w:color w:val="000000"/>
              </w:rPr>
              <w:t>November 29, 2022 PCF Comments on PD,</w:t>
            </w:r>
            <w:r w:rsidR="0015516F">
              <w:rPr>
                <w:color w:val="000000"/>
              </w:rPr>
              <w:t xml:space="preserve"> p. </w:t>
            </w:r>
            <w:r w:rsidRPr="00536F0C" w:rsidR="00420597">
              <w:rPr>
                <w:color w:val="000000"/>
              </w:rPr>
              <w:t>2</w:t>
            </w:r>
            <w:r w:rsidR="00B52830">
              <w:rPr>
                <w:color w:val="000000"/>
              </w:rPr>
              <w:noBreakHyphen/>
            </w:r>
            <w:r w:rsidRPr="00536F0C" w:rsidR="00C20CA2">
              <w:rPr>
                <w:color w:val="000000"/>
              </w:rPr>
              <w:t>6</w:t>
            </w:r>
            <w:r w:rsidRPr="00536F0C" w:rsidR="00C25494">
              <w:rPr>
                <w:color w:val="000000"/>
              </w:rPr>
              <w:t>;</w:t>
            </w:r>
            <w:r w:rsidRPr="00536F0C">
              <w:rPr>
                <w:color w:val="000000"/>
              </w:rPr>
              <w:t xml:space="preserve"> </w:t>
            </w:r>
            <w:r w:rsidRPr="00536F0C" w:rsidR="00245337">
              <w:rPr>
                <w:color w:val="000000"/>
              </w:rPr>
              <w:t>Appendix</w:t>
            </w:r>
            <w:r w:rsidRPr="00536F0C" w:rsidR="006E3A52">
              <w:rPr>
                <w:color w:val="000000"/>
              </w:rPr>
              <w:t>,</w:t>
            </w:r>
            <w:r w:rsidR="0015516F">
              <w:rPr>
                <w:color w:val="000000"/>
              </w:rPr>
              <w:t xml:space="preserve"> p. </w:t>
            </w:r>
            <w:r w:rsidRPr="00536F0C" w:rsidR="008E5E6D">
              <w:rPr>
                <w:color w:val="000000"/>
              </w:rPr>
              <w:t>4</w:t>
            </w:r>
            <w:r w:rsidRPr="00536F0C" w:rsidR="001278B6">
              <w:rPr>
                <w:color w:val="000000"/>
              </w:rPr>
              <w:t>, 5</w:t>
            </w:r>
            <w:r w:rsidRPr="00536F0C">
              <w:rPr>
                <w:color w:val="000000"/>
              </w:rPr>
              <w:t>.</w:t>
            </w:r>
          </w:p>
          <w:p w:rsidRPr="00536F0C" w:rsidR="000B2ABB" w:rsidP="00AD09FF" w:rsidRDefault="000B2ABB" w14:paraId="5C5783AF" w14:textId="2295334A">
            <w:pPr>
              <w:spacing w:after="240"/>
              <w:rPr>
                <w:color w:val="000000"/>
              </w:rPr>
            </w:pPr>
            <w:r w:rsidRPr="00536F0C">
              <w:rPr>
                <w:color w:val="000000"/>
              </w:rPr>
              <w:t>December 5, 2022 PCF Reply Comments on PD,</w:t>
            </w:r>
            <w:r w:rsidR="0015516F">
              <w:rPr>
                <w:color w:val="000000"/>
              </w:rPr>
              <w:t xml:space="preserve"> p. </w:t>
            </w:r>
            <w:r w:rsidRPr="00536F0C" w:rsidR="00931840">
              <w:rPr>
                <w:color w:val="000000"/>
              </w:rPr>
              <w:t>1</w:t>
            </w:r>
            <w:r w:rsidR="00B52830">
              <w:rPr>
                <w:color w:val="000000"/>
              </w:rPr>
              <w:noBreakHyphen/>
            </w:r>
            <w:r w:rsidRPr="00536F0C" w:rsidR="00ED0351">
              <w:rPr>
                <w:color w:val="000000"/>
              </w:rPr>
              <w:t>4</w:t>
            </w:r>
            <w:r w:rsidRPr="00536F0C" w:rsidR="00C736F0">
              <w:rPr>
                <w:color w:val="000000"/>
              </w:rPr>
              <w:t>;</w:t>
            </w:r>
            <w:r w:rsidRPr="00536F0C" w:rsidR="00C736F0">
              <w:rPr>
                <w:i/>
                <w:iCs/>
                <w:color w:val="000000"/>
              </w:rPr>
              <w:t xml:space="preserve"> id.</w:t>
            </w:r>
            <w:r w:rsidRPr="00536F0C" w:rsidR="00C736F0">
              <w:rPr>
                <w:color w:val="000000"/>
              </w:rPr>
              <w:t xml:space="preserve"> at</w:t>
            </w:r>
            <w:r w:rsidR="0015516F">
              <w:rPr>
                <w:color w:val="000000"/>
              </w:rPr>
              <w:t xml:space="preserve"> p. </w:t>
            </w:r>
            <w:r w:rsidRPr="00536F0C" w:rsidR="00C736F0">
              <w:rPr>
                <w:color w:val="000000"/>
              </w:rPr>
              <w:t>4. (</w:t>
            </w:r>
            <w:r w:rsidR="004E6167">
              <w:rPr>
                <w:color w:val="000000"/>
              </w:rPr>
              <w:t>“</w:t>
            </w:r>
            <w:r w:rsidRPr="00536F0C" w:rsidR="00C736F0">
              <w:rPr>
                <w:color w:val="000000"/>
              </w:rPr>
              <w:t>While the PD claims to seek alignment with national trends, the PD sets the Utilities</w:t>
            </w:r>
            <w:r w:rsidR="004E6167">
              <w:rPr>
                <w:color w:val="000000"/>
              </w:rPr>
              <w:t>’</w:t>
            </w:r>
            <w:r w:rsidRPr="00536F0C" w:rsidR="00C736F0">
              <w:rPr>
                <w:color w:val="000000"/>
              </w:rPr>
              <w:t xml:space="preserve"> ROEs above national trends. Multiple parties agree with PCF that the Commission should not rely on national trends, including the utilities. Reliance on national trends reflects what other regulatory agencies are awarding – it does not reflect investor</w:t>
            </w:r>
            <w:r w:rsidR="004E6167">
              <w:rPr>
                <w:color w:val="000000"/>
              </w:rPr>
              <w:t>’</w:t>
            </w:r>
            <w:r w:rsidRPr="00536F0C" w:rsidR="00C736F0">
              <w:rPr>
                <w:color w:val="000000"/>
              </w:rPr>
              <w:t>s expectations.</w:t>
            </w:r>
            <w:r w:rsidR="004E6167">
              <w:rPr>
                <w:color w:val="000000"/>
              </w:rPr>
              <w:t>”</w:t>
            </w:r>
            <w:r w:rsidRPr="00536F0C" w:rsidR="0014015B">
              <w:rPr>
                <w:color w:val="000000"/>
              </w:rPr>
              <w:t>).</w:t>
            </w:r>
          </w:p>
          <w:p w:rsidRPr="00536F0C" w:rsidR="000B2ABB" w:rsidP="00AD09FF" w:rsidRDefault="000B2ABB" w14:paraId="209B7E84" w14:textId="36A7B7A9">
            <w:pPr>
              <w:spacing w:after="240"/>
              <w:rPr>
                <w:color w:val="000000"/>
              </w:rPr>
            </w:pPr>
            <w:r w:rsidRPr="00536F0C">
              <w:rPr>
                <w:color w:val="000000"/>
              </w:rPr>
              <w:lastRenderedPageBreak/>
              <w:t>December 5, 2022 Oral Argument Transcript,</w:t>
            </w:r>
            <w:r w:rsidR="0015516F">
              <w:rPr>
                <w:color w:val="000000"/>
              </w:rPr>
              <w:t xml:space="preserve"> p. </w:t>
            </w:r>
            <w:r w:rsidRPr="00536F0C">
              <w:rPr>
                <w:color w:val="000000"/>
              </w:rPr>
              <w:t>293.</w:t>
            </w:r>
          </w:p>
          <w:p w:rsidRPr="00536F0C" w:rsidR="0031088E" w:rsidP="00AD09FF" w:rsidRDefault="0031088E" w14:paraId="1A8B8A9A" w14:textId="0B3097B1">
            <w:pPr>
              <w:spacing w:after="240"/>
              <w:rPr>
                <w:color w:val="000000"/>
              </w:rPr>
            </w:pPr>
            <w:r w:rsidRPr="00536F0C">
              <w:rPr>
                <w:color w:val="000000"/>
              </w:rPr>
              <w:t>PCF</w:t>
            </w:r>
            <w:r w:rsidR="00B52830">
              <w:rPr>
                <w:color w:val="000000"/>
              </w:rPr>
              <w:noBreakHyphen/>
            </w:r>
            <w:r w:rsidRPr="00536F0C">
              <w:rPr>
                <w:color w:val="000000"/>
              </w:rPr>
              <w:t>09 (Ellis Phase 2 Testimony),</w:t>
            </w:r>
            <w:r w:rsidR="0015516F">
              <w:rPr>
                <w:color w:val="000000"/>
              </w:rPr>
              <w:t xml:space="preserve"> p. </w:t>
            </w:r>
            <w:r w:rsidRPr="00536F0C" w:rsidR="0086673A">
              <w:rPr>
                <w:color w:val="000000"/>
              </w:rPr>
              <w:t>7</w:t>
            </w:r>
            <w:r w:rsidR="00B52830">
              <w:rPr>
                <w:color w:val="000000"/>
              </w:rPr>
              <w:noBreakHyphen/>
            </w:r>
            <w:r w:rsidRPr="00536F0C" w:rsidR="004A02B9">
              <w:rPr>
                <w:color w:val="000000"/>
              </w:rPr>
              <w:t>3</w:t>
            </w:r>
            <w:r w:rsidRPr="00536F0C" w:rsidR="00B5389D">
              <w:rPr>
                <w:color w:val="000000"/>
              </w:rPr>
              <w:t>4</w:t>
            </w:r>
            <w:r w:rsidRPr="00536F0C" w:rsidR="00C45397">
              <w:rPr>
                <w:color w:val="000000"/>
              </w:rPr>
              <w:t xml:space="preserve">; </w:t>
            </w:r>
            <w:r w:rsidRPr="00536F0C" w:rsidR="00C45397">
              <w:rPr>
                <w:i/>
                <w:iCs/>
                <w:color w:val="000000"/>
              </w:rPr>
              <w:t xml:space="preserve">id. </w:t>
            </w:r>
            <w:r w:rsidRPr="00536F0C" w:rsidR="00C45397">
              <w:rPr>
                <w:color w:val="000000"/>
              </w:rPr>
              <w:t>at</w:t>
            </w:r>
            <w:r w:rsidR="0015516F">
              <w:rPr>
                <w:color w:val="000000"/>
              </w:rPr>
              <w:t xml:space="preserve"> p. </w:t>
            </w:r>
            <w:r w:rsidRPr="00536F0C" w:rsidR="00C45397">
              <w:rPr>
                <w:color w:val="000000"/>
              </w:rPr>
              <w:t>16 (</w:t>
            </w:r>
            <w:r w:rsidR="004E6167">
              <w:rPr>
                <w:color w:val="000000"/>
              </w:rPr>
              <w:t>“</w:t>
            </w:r>
            <w:r w:rsidRPr="00536F0C" w:rsidR="00C45397">
              <w:rPr>
                <w:color w:val="000000"/>
              </w:rPr>
              <w:t xml:space="preserve">Just as legendary regulatory economist Alfred Kahn observed in 1970, M/B ratios consistently above 1.0 indicates that utilities have been </w:t>
            </w:r>
            <w:r w:rsidR="004E6167">
              <w:rPr>
                <w:color w:val="000000"/>
              </w:rPr>
              <w:t>“</w:t>
            </w:r>
            <w:r w:rsidRPr="00536F0C" w:rsidR="00C45397">
              <w:rPr>
                <w:color w:val="000000"/>
              </w:rPr>
              <w:t>permitted to earn considerably more than their cost of capital</w:t>
            </w:r>
            <w:r w:rsidR="004E6167">
              <w:rPr>
                <w:color w:val="000000"/>
              </w:rPr>
              <w:t>”</w:t>
            </w:r>
            <w:r w:rsidRPr="00536F0C" w:rsidR="00C45397">
              <w:rPr>
                <w:color w:val="000000"/>
              </w:rPr>
              <w:t xml:space="preserve"> for decades.</w:t>
            </w:r>
            <w:r w:rsidR="004E6167">
              <w:rPr>
                <w:color w:val="000000"/>
              </w:rPr>
              <w:t>”</w:t>
            </w:r>
            <w:r w:rsidRPr="00536F0C" w:rsidR="00C45397">
              <w:rPr>
                <w:color w:val="000000"/>
              </w:rPr>
              <w:t>)(citations omitted).</w:t>
            </w:r>
          </w:p>
          <w:p w:rsidRPr="00536F0C" w:rsidR="0031088E" w:rsidP="00AD09FF" w:rsidRDefault="0031088E" w14:paraId="19AFFF0E" w14:textId="0FFECF80">
            <w:pPr>
              <w:spacing w:after="240"/>
              <w:rPr>
                <w:color w:val="000000"/>
              </w:rPr>
            </w:pPr>
            <w:r w:rsidRPr="00536F0C">
              <w:rPr>
                <w:color w:val="000000"/>
              </w:rPr>
              <w:t>PCF</w:t>
            </w:r>
            <w:r w:rsidR="00B52830">
              <w:rPr>
                <w:color w:val="000000"/>
              </w:rPr>
              <w:noBreakHyphen/>
            </w:r>
            <w:r w:rsidRPr="00536F0C">
              <w:rPr>
                <w:color w:val="000000"/>
              </w:rPr>
              <w:t>10 (Ellis Phase 2 Rebuttal Testimony),</w:t>
            </w:r>
            <w:r w:rsidR="0015516F">
              <w:rPr>
                <w:color w:val="000000"/>
              </w:rPr>
              <w:t xml:space="preserve"> p. </w:t>
            </w:r>
            <w:r w:rsidRPr="00536F0C" w:rsidR="00F86376">
              <w:rPr>
                <w:color w:val="000000"/>
              </w:rPr>
              <w:t>2</w:t>
            </w:r>
            <w:r w:rsidR="00B52830">
              <w:rPr>
                <w:color w:val="000000"/>
              </w:rPr>
              <w:noBreakHyphen/>
            </w:r>
            <w:r w:rsidRPr="00536F0C" w:rsidR="00453AE0">
              <w:rPr>
                <w:color w:val="000000"/>
              </w:rPr>
              <w:t>4</w:t>
            </w:r>
            <w:r w:rsidRPr="00536F0C" w:rsidR="000D08E6">
              <w:rPr>
                <w:color w:val="000000"/>
              </w:rPr>
              <w:t>, 9,</w:t>
            </w:r>
            <w:r w:rsidRPr="00536F0C" w:rsidR="00657DD5">
              <w:rPr>
                <w:color w:val="000000"/>
              </w:rPr>
              <w:t xml:space="preserve"> 11,</w:t>
            </w:r>
            <w:r w:rsidRPr="00536F0C">
              <w:rPr>
                <w:color w:val="000000"/>
              </w:rPr>
              <w:t xml:space="preserve"> </w:t>
            </w:r>
            <w:r w:rsidRPr="00536F0C" w:rsidR="00155FEB">
              <w:rPr>
                <w:color w:val="000000"/>
              </w:rPr>
              <w:t>1</w:t>
            </w:r>
            <w:r w:rsidRPr="00536F0C" w:rsidR="00BD10AE">
              <w:rPr>
                <w:color w:val="000000"/>
              </w:rPr>
              <w:t>5</w:t>
            </w:r>
            <w:r w:rsidR="00B52830">
              <w:rPr>
                <w:color w:val="000000"/>
              </w:rPr>
              <w:noBreakHyphen/>
            </w:r>
            <w:r w:rsidRPr="00536F0C" w:rsidR="007D7801">
              <w:rPr>
                <w:color w:val="000000"/>
              </w:rPr>
              <w:t>18</w:t>
            </w:r>
            <w:r w:rsidRPr="00536F0C">
              <w:rPr>
                <w:color w:val="000000"/>
              </w:rPr>
              <w:t>.</w:t>
            </w:r>
          </w:p>
          <w:p w:rsidRPr="00536F0C" w:rsidR="0031088E" w:rsidP="00AD09FF" w:rsidRDefault="0031088E" w14:paraId="7EF1A553" w14:textId="1FF2099E">
            <w:pPr>
              <w:spacing w:after="240"/>
              <w:rPr>
                <w:color w:val="000000"/>
              </w:rPr>
            </w:pPr>
            <w:r w:rsidRPr="00536F0C">
              <w:rPr>
                <w:color w:val="000000"/>
              </w:rPr>
              <w:t>April 22, 2024 PCF Phase 2 Opening Brief,</w:t>
            </w:r>
            <w:r w:rsidR="0015516F">
              <w:rPr>
                <w:color w:val="000000"/>
              </w:rPr>
              <w:t xml:space="preserve"> p. </w:t>
            </w:r>
            <w:r w:rsidRPr="00536F0C" w:rsidR="007B66E8">
              <w:rPr>
                <w:color w:val="000000"/>
              </w:rPr>
              <w:t>1</w:t>
            </w:r>
            <w:r w:rsidRPr="00536F0C" w:rsidR="00BF119C">
              <w:rPr>
                <w:color w:val="000000"/>
              </w:rPr>
              <w:t>1</w:t>
            </w:r>
            <w:r w:rsidR="00B52830">
              <w:rPr>
                <w:color w:val="000000"/>
              </w:rPr>
              <w:noBreakHyphen/>
            </w:r>
            <w:r w:rsidRPr="00536F0C" w:rsidR="007B66E8">
              <w:rPr>
                <w:color w:val="000000"/>
              </w:rPr>
              <w:t>16</w:t>
            </w:r>
            <w:r w:rsidRPr="00536F0C" w:rsidR="00A853FF">
              <w:rPr>
                <w:color w:val="000000"/>
              </w:rPr>
              <w:t>, 21</w:t>
            </w:r>
            <w:r w:rsidR="00B52830">
              <w:rPr>
                <w:color w:val="000000"/>
              </w:rPr>
              <w:noBreakHyphen/>
            </w:r>
            <w:r w:rsidRPr="00536F0C" w:rsidR="00664B5C">
              <w:rPr>
                <w:color w:val="000000"/>
              </w:rPr>
              <w:t>2</w:t>
            </w:r>
            <w:r w:rsidRPr="00536F0C" w:rsidR="007D7D85">
              <w:rPr>
                <w:color w:val="000000"/>
              </w:rPr>
              <w:t>7</w:t>
            </w:r>
            <w:r w:rsidRPr="00536F0C" w:rsidR="007164EE">
              <w:rPr>
                <w:color w:val="000000"/>
              </w:rPr>
              <w:t>, 35</w:t>
            </w:r>
            <w:r w:rsidR="00B52830">
              <w:rPr>
                <w:color w:val="000000"/>
              </w:rPr>
              <w:noBreakHyphen/>
            </w:r>
            <w:r w:rsidRPr="00536F0C" w:rsidR="00E30145">
              <w:rPr>
                <w:color w:val="000000"/>
              </w:rPr>
              <w:t>37</w:t>
            </w:r>
            <w:r w:rsidRPr="00536F0C">
              <w:rPr>
                <w:color w:val="000000"/>
              </w:rPr>
              <w:t>.</w:t>
            </w:r>
          </w:p>
          <w:p w:rsidRPr="00536F0C" w:rsidR="0031088E" w:rsidP="00AD09FF" w:rsidRDefault="0031088E" w14:paraId="658F884E" w14:textId="25F32254">
            <w:pPr>
              <w:spacing w:after="240"/>
              <w:rPr>
                <w:color w:val="000000"/>
              </w:rPr>
            </w:pPr>
            <w:r w:rsidRPr="00536F0C">
              <w:rPr>
                <w:color w:val="000000"/>
              </w:rPr>
              <w:t>May 6, 2024 PCF Phase 2 Reply Brief,</w:t>
            </w:r>
            <w:r w:rsidR="0015516F">
              <w:rPr>
                <w:color w:val="000000"/>
              </w:rPr>
              <w:t xml:space="preserve"> p. </w:t>
            </w:r>
            <w:r w:rsidRPr="00536F0C" w:rsidR="00FC647B">
              <w:rPr>
                <w:color w:val="000000"/>
              </w:rPr>
              <w:t>4</w:t>
            </w:r>
            <w:r w:rsidR="00B52830">
              <w:rPr>
                <w:color w:val="000000"/>
              </w:rPr>
              <w:noBreakHyphen/>
            </w:r>
            <w:r w:rsidRPr="00536F0C" w:rsidR="00B62920">
              <w:rPr>
                <w:color w:val="000000"/>
              </w:rPr>
              <w:t>1</w:t>
            </w:r>
            <w:r w:rsidRPr="00536F0C" w:rsidR="00957B5E">
              <w:rPr>
                <w:color w:val="000000"/>
              </w:rPr>
              <w:t>8</w:t>
            </w:r>
            <w:r w:rsidRPr="00536F0C" w:rsidR="007B46FA">
              <w:rPr>
                <w:color w:val="000000"/>
              </w:rPr>
              <w:t>;</w:t>
            </w:r>
            <w:r w:rsidRPr="00536F0C" w:rsidR="007B46FA">
              <w:rPr>
                <w:i/>
                <w:iCs/>
                <w:color w:val="000000"/>
              </w:rPr>
              <w:t xml:space="preserve"> id. </w:t>
            </w:r>
            <w:r w:rsidRPr="00536F0C" w:rsidR="007B46FA">
              <w:rPr>
                <w:color w:val="000000"/>
              </w:rPr>
              <w:t>at</w:t>
            </w:r>
            <w:r w:rsidR="0015516F">
              <w:rPr>
                <w:color w:val="000000"/>
              </w:rPr>
              <w:t xml:space="preserve"> p. </w:t>
            </w:r>
            <w:r w:rsidRPr="00536F0C" w:rsidR="007B46FA">
              <w:rPr>
                <w:color w:val="000000"/>
              </w:rPr>
              <w:t>6 (</w:t>
            </w:r>
            <w:r w:rsidR="004E6167">
              <w:rPr>
                <w:color w:val="000000"/>
              </w:rPr>
              <w:t>“</w:t>
            </w:r>
            <w:r w:rsidRPr="00536F0C" w:rsidR="007B46FA">
              <w:rPr>
                <w:color w:val="000000"/>
              </w:rPr>
              <w:t>In particular, PCF</w:t>
            </w:r>
            <w:r w:rsidR="004E6167">
              <w:rPr>
                <w:color w:val="000000"/>
              </w:rPr>
              <w:t>’</w:t>
            </w:r>
            <w:r w:rsidRPr="00536F0C" w:rsidR="007B46FA">
              <w:rPr>
                <w:color w:val="000000"/>
              </w:rPr>
              <w:t>s expert witness Mark Ellis (</w:t>
            </w:r>
            <w:r w:rsidR="004E6167">
              <w:rPr>
                <w:color w:val="000000"/>
              </w:rPr>
              <w:t>Mr. </w:t>
            </w:r>
            <w:r w:rsidRPr="00536F0C" w:rsidR="007B46FA">
              <w:rPr>
                <w:color w:val="000000"/>
              </w:rPr>
              <w:t>Ellis) detailed how utility market</w:t>
            </w:r>
            <w:r w:rsidR="00B52830">
              <w:rPr>
                <w:color w:val="000000"/>
              </w:rPr>
              <w:noBreakHyphen/>
            </w:r>
            <w:r w:rsidRPr="00536F0C" w:rsidR="007B46FA">
              <w:rPr>
                <w:color w:val="000000"/>
              </w:rPr>
              <w:t>to</w:t>
            </w:r>
            <w:r w:rsidR="00B52830">
              <w:rPr>
                <w:color w:val="000000"/>
              </w:rPr>
              <w:noBreakHyphen/>
            </w:r>
            <w:r w:rsidRPr="00536F0C" w:rsidR="007B46FA">
              <w:rPr>
                <w:color w:val="000000"/>
              </w:rPr>
              <w:t>book ratios reveal that utilities</w:t>
            </w:r>
            <w:r w:rsidR="004E6167">
              <w:rPr>
                <w:color w:val="000000"/>
              </w:rPr>
              <w:t>’</w:t>
            </w:r>
            <w:r w:rsidRPr="00536F0C" w:rsidR="007B46FA">
              <w:rPr>
                <w:color w:val="000000"/>
              </w:rPr>
              <w:t xml:space="preserve"> cost of equity is substantially lower than authorized ROEs. The market to book ratio (M/B) is a measure of the present value, discounted at utilities</w:t>
            </w:r>
            <w:r w:rsidR="004E6167">
              <w:rPr>
                <w:color w:val="000000"/>
              </w:rPr>
              <w:t>’</w:t>
            </w:r>
            <w:r w:rsidRPr="00536F0C" w:rsidR="007B46FA">
              <w:rPr>
                <w:color w:val="000000"/>
              </w:rPr>
              <w:t xml:space="preserve"> actual cost of equity, of the market</w:t>
            </w:r>
            <w:r w:rsidR="004E6167">
              <w:rPr>
                <w:color w:val="000000"/>
              </w:rPr>
              <w:t>’</w:t>
            </w:r>
            <w:r w:rsidRPr="00536F0C" w:rsidR="007B46FA">
              <w:rPr>
                <w:color w:val="000000"/>
              </w:rPr>
              <w:t>s forecast for that excess net income. Using the M/B and the Utilities</w:t>
            </w:r>
            <w:r w:rsidR="004E6167">
              <w:rPr>
                <w:color w:val="000000"/>
              </w:rPr>
              <w:t>’</w:t>
            </w:r>
            <w:r w:rsidRPr="00536F0C" w:rsidR="007B46FA">
              <w:rPr>
                <w:color w:val="000000"/>
              </w:rPr>
              <w:t xml:space="preserve"> current market capitalization, the expected wealth transfer from customers to utility shareholders can be calculated. The resulting numbers are shocking.</w:t>
            </w:r>
            <w:r w:rsidR="004E6167">
              <w:rPr>
                <w:color w:val="000000"/>
              </w:rPr>
              <w:t>”</w:t>
            </w:r>
            <w:r w:rsidRPr="00536F0C" w:rsidR="007B46FA">
              <w:rPr>
                <w:color w:val="000000"/>
              </w:rPr>
              <w:t>)(citations omitted).</w:t>
            </w:r>
          </w:p>
          <w:p w:rsidRPr="00536F0C" w:rsidR="0031088E" w:rsidP="00AD09FF" w:rsidRDefault="0031088E" w14:paraId="498720FD" w14:textId="62EF62A0">
            <w:pPr>
              <w:spacing w:after="240"/>
              <w:rPr>
                <w:color w:val="000000"/>
              </w:rPr>
            </w:pPr>
            <w:r w:rsidRPr="00536F0C">
              <w:rPr>
                <w:color w:val="000000"/>
              </w:rPr>
              <w:t>September 30, 2024 PCF Comments on Phase 2 PD,</w:t>
            </w:r>
            <w:r w:rsidR="0015516F">
              <w:rPr>
                <w:color w:val="000000"/>
              </w:rPr>
              <w:t xml:space="preserve"> p. </w:t>
            </w:r>
            <w:r w:rsidRPr="00536F0C" w:rsidR="00DE2CFC">
              <w:rPr>
                <w:color w:val="000000"/>
              </w:rPr>
              <w:t>4</w:t>
            </w:r>
            <w:r w:rsidRPr="00536F0C" w:rsidR="001D4161">
              <w:rPr>
                <w:color w:val="000000"/>
              </w:rPr>
              <w:t xml:space="preserve">, </w:t>
            </w:r>
            <w:r w:rsidRPr="00536F0C" w:rsidR="00443A74">
              <w:rPr>
                <w:color w:val="000000"/>
              </w:rPr>
              <w:t>9</w:t>
            </w:r>
            <w:r w:rsidR="00B52830">
              <w:rPr>
                <w:color w:val="000000"/>
              </w:rPr>
              <w:noBreakHyphen/>
            </w:r>
            <w:r w:rsidRPr="00536F0C" w:rsidR="000F1956">
              <w:rPr>
                <w:color w:val="000000"/>
              </w:rPr>
              <w:t>11</w:t>
            </w:r>
            <w:r w:rsidRPr="00536F0C">
              <w:rPr>
                <w:color w:val="000000"/>
              </w:rPr>
              <w:t>.</w:t>
            </w:r>
          </w:p>
          <w:p w:rsidRPr="00536F0C" w:rsidR="008D09A0" w:rsidP="00AD09FF" w:rsidRDefault="0031088E" w14:paraId="02ADC41C" w14:textId="7B3A3476">
            <w:pPr>
              <w:spacing w:after="240"/>
              <w:rPr>
                <w:color w:val="000000"/>
              </w:rPr>
            </w:pPr>
            <w:r w:rsidRPr="00536F0C">
              <w:rPr>
                <w:color w:val="000000"/>
              </w:rPr>
              <w:t>October 7, 2024 PCF Reply Comments on Phase 2 PD,</w:t>
            </w:r>
            <w:r w:rsidR="0015516F">
              <w:rPr>
                <w:color w:val="000000"/>
              </w:rPr>
              <w:t xml:space="preserve"> p. </w:t>
            </w:r>
            <w:r w:rsidRPr="00536F0C" w:rsidR="00184FCB">
              <w:rPr>
                <w:color w:val="000000"/>
              </w:rPr>
              <w:t>1</w:t>
            </w:r>
            <w:r w:rsidRPr="00536F0C" w:rsidR="007D5289">
              <w:rPr>
                <w:color w:val="000000"/>
              </w:rPr>
              <w:t>, 4</w:t>
            </w:r>
            <w:r w:rsidR="00B52830">
              <w:rPr>
                <w:color w:val="000000"/>
              </w:rPr>
              <w:noBreakHyphen/>
            </w:r>
            <w:r w:rsidRPr="00536F0C" w:rsidR="007D5289">
              <w:rPr>
                <w:color w:val="000000"/>
              </w:rPr>
              <w:t>5.</w:t>
            </w:r>
          </w:p>
        </w:tc>
        <w:tc>
          <w:tcPr>
            <w:tcW w:w="2075" w:type="dxa"/>
          </w:tcPr>
          <w:p w:rsidRPr="00536F0C" w:rsidR="00BD64E9" w:rsidP="009C3C07" w:rsidRDefault="00CC58CF" w14:paraId="5F49263C" w14:textId="7DA76DF4">
            <w:pPr>
              <w:spacing w:after="240"/>
              <w:rPr>
                <w:color w:val="000000"/>
              </w:rPr>
            </w:pPr>
            <w:r>
              <w:rPr>
                <w:color w:val="000000"/>
              </w:rPr>
              <w:lastRenderedPageBreak/>
              <w:t>Verified</w:t>
            </w:r>
            <w:r w:rsidR="00863FBB">
              <w:rPr>
                <w:color w:val="000000"/>
              </w:rPr>
              <w:t>.</w:t>
            </w:r>
            <w:r w:rsidR="00103FF9">
              <w:rPr>
                <w:color w:val="000000"/>
              </w:rPr>
              <w:t xml:space="preserve"> We note that the Intervenor made edits to portions of the specific references here. No changes were made to the edits.</w:t>
            </w:r>
          </w:p>
        </w:tc>
      </w:tr>
      <w:tr w:rsidRPr="00536F0C" w:rsidR="007C745B" w:rsidTr="0015516F" w14:paraId="79AAD0A5" w14:textId="77777777">
        <w:tc>
          <w:tcPr>
            <w:tcW w:w="2785" w:type="dxa"/>
          </w:tcPr>
          <w:p w:rsidRPr="00536F0C" w:rsidR="00947367" w:rsidP="00C8438E" w:rsidRDefault="00CC5FF2" w14:paraId="73CD79FB" w14:textId="33AE5640">
            <w:pPr>
              <w:pStyle w:val="ListParagraph"/>
              <w:spacing w:after="240"/>
              <w:ind w:left="0"/>
              <w:rPr>
                <w:rFonts w:ascii="Times New Roman" w:hAnsi="Times New Roman"/>
                <w:color w:val="000000"/>
                <w:sz w:val="24"/>
                <w:szCs w:val="24"/>
              </w:rPr>
            </w:pPr>
            <w:r w:rsidRPr="00536F0C">
              <w:rPr>
                <w:rFonts w:ascii="Times New Roman" w:hAnsi="Times New Roman"/>
                <w:b/>
                <w:bCs/>
                <w:color w:val="000000"/>
                <w:sz w:val="24"/>
                <w:szCs w:val="24"/>
                <w:u w:val="single"/>
              </w:rPr>
              <w:lastRenderedPageBreak/>
              <w:t>RORs Should Be Set Equal to COCs</w:t>
            </w:r>
            <w:r w:rsidRPr="00C8438E">
              <w:rPr>
                <w:rFonts w:ascii="Times New Roman" w:hAnsi="Times New Roman"/>
                <w:b/>
                <w:bCs/>
                <w:color w:val="000000"/>
                <w:sz w:val="24"/>
                <w:szCs w:val="24"/>
              </w:rPr>
              <w:t>.</w:t>
            </w:r>
            <w:r w:rsidRPr="00536F0C">
              <w:rPr>
                <w:rFonts w:ascii="Times New Roman" w:hAnsi="Times New Roman"/>
                <w:color w:val="000000"/>
                <w:sz w:val="24"/>
                <w:szCs w:val="24"/>
              </w:rPr>
              <w:t xml:space="preserve"> PCF enriched the record and </w:t>
            </w:r>
            <w:r w:rsidRPr="00536F0C">
              <w:rPr>
                <w:rFonts w:ascii="Times New Roman" w:hAnsi="Times New Roman"/>
                <w:color w:val="000000"/>
                <w:sz w:val="24"/>
                <w:szCs w:val="24"/>
              </w:rPr>
              <w:lastRenderedPageBreak/>
              <w:t>the Commission</w:t>
            </w:r>
            <w:r w:rsidR="004E6167">
              <w:rPr>
                <w:rFonts w:ascii="Times New Roman" w:hAnsi="Times New Roman"/>
                <w:color w:val="000000"/>
                <w:sz w:val="24"/>
                <w:szCs w:val="24"/>
              </w:rPr>
              <w:t>’</w:t>
            </w:r>
            <w:r w:rsidRPr="00536F0C">
              <w:rPr>
                <w:rFonts w:ascii="Times New Roman" w:hAnsi="Times New Roman"/>
                <w:color w:val="000000"/>
                <w:sz w:val="24"/>
                <w:szCs w:val="24"/>
              </w:rPr>
              <w:t xml:space="preserve">s deliberations by presenting detailed evidence and </w:t>
            </w:r>
            <w:r w:rsidRPr="00536F0C" w:rsidR="0071097C">
              <w:rPr>
                <w:rFonts w:ascii="Times New Roman" w:hAnsi="Times New Roman"/>
                <w:color w:val="000000"/>
                <w:sz w:val="24"/>
                <w:szCs w:val="24"/>
              </w:rPr>
              <w:t>analysis and</w:t>
            </w:r>
            <w:r w:rsidRPr="00536F0C">
              <w:rPr>
                <w:rFonts w:ascii="Times New Roman" w:hAnsi="Times New Roman"/>
                <w:color w:val="000000"/>
                <w:sz w:val="24"/>
                <w:szCs w:val="24"/>
              </w:rPr>
              <w:t xml:space="preserve"> advocating that affordability concerns and Hope and Bluefield requirements should be addressed by setting authorized RORs equal to the Utilities</w:t>
            </w:r>
            <w:r w:rsidR="004E6167">
              <w:rPr>
                <w:rFonts w:ascii="Times New Roman" w:hAnsi="Times New Roman"/>
                <w:color w:val="000000"/>
                <w:sz w:val="24"/>
                <w:szCs w:val="24"/>
              </w:rPr>
              <w:t>’</w:t>
            </w:r>
            <w:r w:rsidRPr="00536F0C">
              <w:rPr>
                <w:rFonts w:ascii="Times New Roman" w:hAnsi="Times New Roman"/>
                <w:color w:val="000000"/>
                <w:sz w:val="24"/>
                <w:szCs w:val="24"/>
              </w:rPr>
              <w:t xml:space="preserve"> COC. PCF presented evidence showing the incentives involved and the impacts of COC decisions on rates. Although the Commission denied PCF</w:t>
            </w:r>
            <w:r w:rsidR="004E6167">
              <w:rPr>
                <w:rFonts w:ascii="Times New Roman" w:hAnsi="Times New Roman"/>
                <w:color w:val="000000"/>
                <w:sz w:val="24"/>
                <w:szCs w:val="24"/>
              </w:rPr>
              <w:t>’</w:t>
            </w:r>
            <w:r w:rsidRPr="00536F0C">
              <w:rPr>
                <w:rFonts w:ascii="Times New Roman" w:hAnsi="Times New Roman"/>
                <w:color w:val="000000"/>
                <w:sz w:val="24"/>
                <w:szCs w:val="24"/>
              </w:rPr>
              <w:t xml:space="preserve">s </w:t>
            </w:r>
            <w:proofErr w:type="spellStart"/>
            <w:r w:rsidRPr="00536F0C">
              <w:rPr>
                <w:rFonts w:ascii="Times New Roman" w:hAnsi="Times New Roman"/>
                <w:color w:val="000000"/>
                <w:sz w:val="24"/>
                <w:szCs w:val="24"/>
              </w:rPr>
              <w:t>AfR</w:t>
            </w:r>
            <w:proofErr w:type="spellEnd"/>
            <w:r w:rsidRPr="00536F0C">
              <w:rPr>
                <w:rFonts w:ascii="Times New Roman" w:hAnsi="Times New Roman"/>
                <w:color w:val="000000"/>
                <w:sz w:val="24"/>
                <w:szCs w:val="24"/>
              </w:rPr>
              <w:t xml:space="preserve"> in D.23</w:t>
            </w:r>
            <w:r w:rsidR="00B52830">
              <w:rPr>
                <w:rFonts w:ascii="Times New Roman" w:hAnsi="Times New Roman"/>
                <w:color w:val="000000"/>
                <w:sz w:val="24"/>
                <w:szCs w:val="24"/>
              </w:rPr>
              <w:noBreakHyphen/>
            </w:r>
            <w:r w:rsidRPr="00536F0C">
              <w:rPr>
                <w:rFonts w:ascii="Times New Roman" w:hAnsi="Times New Roman"/>
                <w:color w:val="000000"/>
                <w:sz w:val="24"/>
                <w:szCs w:val="24"/>
              </w:rPr>
              <w:t>08</w:t>
            </w:r>
            <w:r w:rsidR="00B52830">
              <w:rPr>
                <w:rFonts w:ascii="Times New Roman" w:hAnsi="Times New Roman"/>
                <w:color w:val="000000"/>
                <w:sz w:val="24"/>
                <w:szCs w:val="24"/>
              </w:rPr>
              <w:noBreakHyphen/>
            </w:r>
            <w:r w:rsidRPr="00536F0C">
              <w:rPr>
                <w:rFonts w:ascii="Times New Roman" w:hAnsi="Times New Roman"/>
                <w:color w:val="000000"/>
                <w:sz w:val="24"/>
                <w:szCs w:val="24"/>
              </w:rPr>
              <w:t xml:space="preserve">028 on the grounds that PCF did not show legal error, the Commission recognized for the first time the fundamental finance principal that PCF advocates: </w:t>
            </w:r>
            <w:r w:rsidR="004E6167">
              <w:rPr>
                <w:rFonts w:ascii="Times New Roman" w:hAnsi="Times New Roman"/>
                <w:color w:val="000000"/>
                <w:sz w:val="24"/>
                <w:szCs w:val="24"/>
              </w:rPr>
              <w:t>“</w:t>
            </w:r>
            <w:r w:rsidRPr="00536F0C">
              <w:rPr>
                <w:rFonts w:ascii="Times New Roman" w:hAnsi="Times New Roman"/>
                <w:color w:val="000000"/>
                <w:sz w:val="24"/>
                <w:szCs w:val="24"/>
              </w:rPr>
              <w:t>The cost of capital is the minimum rate of return necessary to attract capital to an investment.</w:t>
            </w:r>
            <w:r w:rsidR="004E6167">
              <w:rPr>
                <w:rFonts w:ascii="Times New Roman" w:hAnsi="Times New Roman"/>
                <w:color w:val="000000"/>
                <w:sz w:val="24"/>
                <w:szCs w:val="24"/>
              </w:rPr>
              <w:t>”</w:t>
            </w:r>
            <w:r w:rsidRPr="00536F0C">
              <w:rPr>
                <w:rFonts w:ascii="Times New Roman" w:hAnsi="Times New Roman"/>
                <w:color w:val="000000"/>
                <w:sz w:val="24"/>
                <w:szCs w:val="24"/>
              </w:rPr>
              <w:t xml:space="preserve"> The Commission in D.24</w:t>
            </w:r>
            <w:r w:rsidR="00B52830">
              <w:rPr>
                <w:rFonts w:ascii="Times New Roman" w:hAnsi="Times New Roman"/>
                <w:color w:val="000000"/>
                <w:sz w:val="24"/>
                <w:szCs w:val="24"/>
              </w:rPr>
              <w:noBreakHyphen/>
            </w:r>
            <w:r w:rsidRPr="00536F0C">
              <w:rPr>
                <w:rFonts w:ascii="Times New Roman" w:hAnsi="Times New Roman"/>
                <w:color w:val="000000"/>
                <w:sz w:val="24"/>
                <w:szCs w:val="24"/>
              </w:rPr>
              <w:t>10</w:t>
            </w:r>
            <w:r w:rsidR="00B52830">
              <w:rPr>
                <w:rFonts w:ascii="Times New Roman" w:hAnsi="Times New Roman"/>
                <w:color w:val="000000"/>
                <w:sz w:val="24"/>
                <w:szCs w:val="24"/>
              </w:rPr>
              <w:noBreakHyphen/>
            </w:r>
            <w:r w:rsidRPr="00536F0C">
              <w:rPr>
                <w:rFonts w:ascii="Times New Roman" w:hAnsi="Times New Roman"/>
                <w:color w:val="000000"/>
                <w:sz w:val="24"/>
                <w:szCs w:val="24"/>
              </w:rPr>
              <w:t>008 acknowledged the importance of affordability, and D.24</w:t>
            </w:r>
            <w:r w:rsidR="00B52830">
              <w:rPr>
                <w:rFonts w:ascii="Times New Roman" w:hAnsi="Times New Roman"/>
                <w:color w:val="000000"/>
                <w:sz w:val="24"/>
                <w:szCs w:val="24"/>
              </w:rPr>
              <w:noBreakHyphen/>
            </w:r>
            <w:r w:rsidRPr="00536F0C">
              <w:rPr>
                <w:rFonts w:ascii="Times New Roman" w:hAnsi="Times New Roman"/>
                <w:color w:val="000000"/>
                <w:sz w:val="24"/>
                <w:szCs w:val="24"/>
              </w:rPr>
              <w:t>10</w:t>
            </w:r>
            <w:r w:rsidR="00B52830">
              <w:rPr>
                <w:rFonts w:ascii="Times New Roman" w:hAnsi="Times New Roman"/>
                <w:color w:val="000000"/>
                <w:sz w:val="24"/>
                <w:szCs w:val="24"/>
              </w:rPr>
              <w:noBreakHyphen/>
            </w:r>
            <w:r w:rsidRPr="00536F0C">
              <w:rPr>
                <w:rFonts w:ascii="Times New Roman" w:hAnsi="Times New Roman"/>
                <w:color w:val="000000"/>
                <w:sz w:val="24"/>
                <w:szCs w:val="24"/>
              </w:rPr>
              <w:t>008 allows the Commission to consider PCF</w:t>
            </w:r>
            <w:r w:rsidR="004E6167">
              <w:rPr>
                <w:rFonts w:ascii="Times New Roman" w:hAnsi="Times New Roman"/>
                <w:color w:val="000000"/>
                <w:sz w:val="24"/>
                <w:szCs w:val="24"/>
              </w:rPr>
              <w:t>’</w:t>
            </w:r>
            <w:r w:rsidRPr="00536F0C">
              <w:rPr>
                <w:rFonts w:ascii="Times New Roman" w:hAnsi="Times New Roman"/>
                <w:color w:val="000000"/>
                <w:sz w:val="24"/>
                <w:szCs w:val="24"/>
              </w:rPr>
              <w:t>s recommendation in future COC proceedings. At the hearing when the Commission decided D.24</w:t>
            </w:r>
            <w:r w:rsidR="00B52830">
              <w:rPr>
                <w:rFonts w:ascii="Times New Roman" w:hAnsi="Times New Roman"/>
                <w:color w:val="000000"/>
                <w:sz w:val="24"/>
                <w:szCs w:val="24"/>
              </w:rPr>
              <w:noBreakHyphen/>
            </w:r>
            <w:r w:rsidRPr="00536F0C">
              <w:rPr>
                <w:rFonts w:ascii="Times New Roman" w:hAnsi="Times New Roman"/>
                <w:color w:val="000000"/>
                <w:sz w:val="24"/>
                <w:szCs w:val="24"/>
              </w:rPr>
              <w:t>10</w:t>
            </w:r>
            <w:r w:rsidR="00B52830">
              <w:rPr>
                <w:rFonts w:ascii="Times New Roman" w:hAnsi="Times New Roman"/>
                <w:color w:val="000000"/>
                <w:sz w:val="24"/>
                <w:szCs w:val="24"/>
              </w:rPr>
              <w:noBreakHyphen/>
            </w:r>
            <w:r w:rsidRPr="00536F0C">
              <w:rPr>
                <w:rFonts w:ascii="Times New Roman" w:hAnsi="Times New Roman"/>
                <w:color w:val="000000"/>
                <w:sz w:val="24"/>
                <w:szCs w:val="24"/>
              </w:rPr>
              <w:t>008, PCF</w:t>
            </w:r>
            <w:r w:rsidR="004E6167">
              <w:rPr>
                <w:rFonts w:ascii="Times New Roman" w:hAnsi="Times New Roman"/>
                <w:color w:val="000000"/>
                <w:sz w:val="24"/>
                <w:szCs w:val="24"/>
              </w:rPr>
              <w:t>’</w:t>
            </w:r>
            <w:r w:rsidRPr="00536F0C">
              <w:rPr>
                <w:rFonts w:ascii="Times New Roman" w:hAnsi="Times New Roman"/>
                <w:color w:val="000000"/>
                <w:sz w:val="24"/>
                <w:szCs w:val="24"/>
              </w:rPr>
              <w:t xml:space="preserve">s </w:t>
            </w:r>
            <w:r w:rsidRPr="00536F0C">
              <w:rPr>
                <w:rFonts w:ascii="Times New Roman" w:hAnsi="Times New Roman"/>
                <w:color w:val="000000"/>
                <w:sz w:val="24"/>
                <w:szCs w:val="24"/>
              </w:rPr>
              <w:lastRenderedPageBreak/>
              <w:t>evidence, legal analysis, and recommendation that ROEs should be set equal COCs were discussed and flagged for consideration in future proceedings.</w:t>
            </w:r>
          </w:p>
        </w:tc>
        <w:tc>
          <w:tcPr>
            <w:tcW w:w="4500" w:type="dxa"/>
          </w:tcPr>
          <w:p w:rsidRPr="00536F0C" w:rsidR="0048080C" w:rsidP="00AD09FF" w:rsidRDefault="004E6167" w14:paraId="18C2FF63" w14:textId="21951A57">
            <w:pPr>
              <w:spacing w:after="240"/>
              <w:rPr>
                <w:color w:val="000000"/>
              </w:rPr>
            </w:pPr>
            <w:r>
              <w:rPr>
                <w:color w:val="000000"/>
              </w:rPr>
              <w:lastRenderedPageBreak/>
              <w:t>“</w:t>
            </w:r>
            <w:r w:rsidRPr="00536F0C" w:rsidR="0048080C">
              <w:rPr>
                <w:color w:val="000000"/>
              </w:rPr>
              <w:t xml:space="preserve">On the question of affordability, the Commission agrees that affordability is of paramount importance. Cost of capital </w:t>
            </w:r>
            <w:r w:rsidRPr="00536F0C" w:rsidR="0048080C">
              <w:rPr>
                <w:color w:val="000000"/>
              </w:rPr>
              <w:lastRenderedPageBreak/>
              <w:t>proceedings address affordability in that they set an allowed – but not guaranteed – rate of return for public utilities in exchange for exclusive rights to serve ratepayers in a defined geographic area. . . . The issue of affordability as it relates to the cost of capital is subsumed under the Hope and Bluefield standards.</w:t>
            </w:r>
            <w:r>
              <w:rPr>
                <w:color w:val="000000"/>
              </w:rPr>
              <w:t>”</w:t>
            </w:r>
            <w:r w:rsidRPr="00536F0C" w:rsidR="0048080C">
              <w:rPr>
                <w:color w:val="000000"/>
              </w:rPr>
              <w:t xml:space="preserve"> D.24</w:t>
            </w:r>
            <w:r w:rsidR="00B52830">
              <w:rPr>
                <w:color w:val="000000"/>
              </w:rPr>
              <w:noBreakHyphen/>
            </w:r>
            <w:r w:rsidRPr="00536F0C" w:rsidR="0048080C">
              <w:rPr>
                <w:color w:val="000000"/>
              </w:rPr>
              <w:t>10</w:t>
            </w:r>
            <w:r w:rsidR="00B52830">
              <w:rPr>
                <w:color w:val="000000"/>
              </w:rPr>
              <w:noBreakHyphen/>
            </w:r>
            <w:r w:rsidRPr="00536F0C" w:rsidR="0048080C">
              <w:rPr>
                <w:color w:val="000000"/>
              </w:rPr>
              <w:t>008,</w:t>
            </w:r>
            <w:r w:rsidR="0015516F">
              <w:rPr>
                <w:color w:val="000000"/>
              </w:rPr>
              <w:t xml:space="preserve"> p. </w:t>
            </w:r>
            <w:r w:rsidRPr="00536F0C" w:rsidR="0048080C">
              <w:rPr>
                <w:color w:val="000000"/>
              </w:rPr>
              <w:t>29</w:t>
            </w:r>
            <w:r w:rsidR="00B52830">
              <w:rPr>
                <w:color w:val="000000"/>
              </w:rPr>
              <w:noBreakHyphen/>
            </w:r>
            <w:r w:rsidRPr="00536F0C" w:rsidR="0048080C">
              <w:rPr>
                <w:color w:val="000000"/>
              </w:rPr>
              <w:t>30.</w:t>
            </w:r>
          </w:p>
          <w:p w:rsidRPr="00536F0C" w:rsidR="0048080C" w:rsidP="00AD09FF" w:rsidRDefault="004E6167" w14:paraId="5DE4B8F1" w14:textId="3E4EFA8D">
            <w:pPr>
              <w:spacing w:after="240"/>
              <w:rPr>
                <w:color w:val="000000"/>
              </w:rPr>
            </w:pPr>
            <w:r>
              <w:rPr>
                <w:color w:val="000000"/>
              </w:rPr>
              <w:t>“</w:t>
            </w:r>
            <w:r w:rsidRPr="00536F0C" w:rsidR="0048080C">
              <w:rPr>
                <w:color w:val="000000"/>
              </w:rPr>
              <w:t>TURN, PCF, UCAN, EDF, and EPUC/IS provided recommendations on ROE calculation methodologies and modeling.</w:t>
            </w:r>
            <w:r w:rsidR="00AD09FF">
              <w:rPr>
                <w:color w:val="000000"/>
              </w:rPr>
              <w:t> </w:t>
            </w:r>
            <w:r w:rsidRPr="00536F0C" w:rsidR="0048080C">
              <w:rPr>
                <w:color w:val="000000"/>
              </w:rPr>
              <w:t>.</w:t>
            </w:r>
            <w:r w:rsidR="00AD09FF">
              <w:rPr>
                <w:color w:val="000000"/>
              </w:rPr>
              <w:t> </w:t>
            </w:r>
            <w:r w:rsidRPr="00536F0C" w:rsidR="0048080C">
              <w:rPr>
                <w:color w:val="000000"/>
              </w:rPr>
              <w:t>.</w:t>
            </w:r>
            <w:r w:rsidR="00AD09FF">
              <w:rPr>
                <w:color w:val="000000"/>
              </w:rPr>
              <w:t> </w:t>
            </w:r>
            <w:r w:rsidRPr="00536F0C" w:rsidR="0048080C">
              <w:rPr>
                <w:color w:val="000000"/>
              </w:rPr>
              <w:t>. PCF, EPUC/IS, EDF, and TURN provided</w:t>
            </w:r>
            <w:r w:rsidR="00AD09FF">
              <w:rPr>
                <w:color w:val="000000"/>
              </w:rPr>
              <w:t xml:space="preserve"> </w:t>
            </w:r>
            <w:r w:rsidRPr="00536F0C" w:rsidR="0048080C">
              <w:rPr>
                <w:color w:val="000000"/>
              </w:rPr>
              <w:t>recommendations on affordability considerations.</w:t>
            </w:r>
            <w:r>
              <w:rPr>
                <w:color w:val="000000"/>
              </w:rPr>
              <w:t>”</w:t>
            </w:r>
            <w:r w:rsidRPr="00536F0C" w:rsidR="0048080C">
              <w:rPr>
                <w:color w:val="000000"/>
              </w:rPr>
              <w:t xml:space="preserve"> D.24</w:t>
            </w:r>
            <w:r w:rsidR="00B52830">
              <w:rPr>
                <w:color w:val="000000"/>
              </w:rPr>
              <w:noBreakHyphen/>
            </w:r>
            <w:r w:rsidRPr="00536F0C" w:rsidR="0048080C">
              <w:rPr>
                <w:color w:val="000000"/>
              </w:rPr>
              <w:t>10</w:t>
            </w:r>
            <w:r w:rsidR="00B52830">
              <w:rPr>
                <w:color w:val="000000"/>
              </w:rPr>
              <w:noBreakHyphen/>
            </w:r>
            <w:r w:rsidRPr="00536F0C" w:rsidR="0048080C">
              <w:rPr>
                <w:color w:val="000000"/>
              </w:rPr>
              <w:t>008,</w:t>
            </w:r>
            <w:r w:rsidR="0015516F">
              <w:rPr>
                <w:color w:val="000000"/>
              </w:rPr>
              <w:t xml:space="preserve"> p. </w:t>
            </w:r>
            <w:r w:rsidRPr="00536F0C" w:rsidR="0048080C">
              <w:rPr>
                <w:color w:val="000000"/>
              </w:rPr>
              <w:t>29.</w:t>
            </w:r>
          </w:p>
          <w:p w:rsidRPr="00536F0C" w:rsidR="008B6027" w:rsidP="00AD09FF" w:rsidRDefault="008B6027" w14:paraId="6C3D04BB" w14:textId="22F7B5BA">
            <w:pPr>
              <w:spacing w:after="240"/>
            </w:pPr>
            <w:r w:rsidRPr="00536F0C">
              <w:t xml:space="preserve">Commissioner Houck: </w:t>
            </w:r>
            <w:r w:rsidR="004E6167">
              <w:t>“</w:t>
            </w:r>
            <w:r w:rsidRPr="00536F0C">
              <w:t>…the cost of equity is the equity yield that an investor requires in order to maintain an investment. So this is an intuitive idea. If you made an investment and it did not behave as you would hope, you would seek to reinvest. And quoting from NARUC</w:t>
            </w:r>
            <w:r w:rsidR="004E6167">
              <w:t>’</w:t>
            </w:r>
            <w:r w:rsidRPr="00536F0C">
              <w:t>s guide on rate making, setting the authorized base ROE equal to the cost of equity is integral to conventional cost of service regulation. The Supreme Court precedent also supports this approach and Hope and Bluefield are the most cited Supreme Court decisions governing Commission conduct and setting authorized rates of [return on] capital and our duty under Bluefield is to set rates [of return] on equities, such as that the utilities are able to attract investment and that [investors have] assurance and confidence in financial soundness of the utility.</w:t>
            </w:r>
            <w:r w:rsidR="00AD09FF">
              <w:t> </w:t>
            </w:r>
            <w:r w:rsidRPr="00536F0C">
              <w:t>.</w:t>
            </w:r>
            <w:r w:rsidR="00AD09FF">
              <w:t> </w:t>
            </w:r>
            <w:r w:rsidRPr="00536F0C">
              <w:t>.</w:t>
            </w:r>
            <w:r w:rsidR="00AD09FF">
              <w:t> </w:t>
            </w:r>
            <w:r w:rsidRPr="00536F0C">
              <w:t xml:space="preserve">. </w:t>
            </w:r>
            <w:r w:rsidRPr="00536F0C">
              <w:rPr>
                <w:b/>
                <w:bCs/>
              </w:rPr>
              <w:t>In setting an authorized ROE we should strive to set one as close to the cost of equity as possible</w:t>
            </w:r>
            <w:r w:rsidRPr="00536F0C">
              <w:t>.</w:t>
            </w:r>
            <w:r w:rsidR="004E6167">
              <w:t>”</w:t>
            </w:r>
            <w:r w:rsidRPr="00536F0C">
              <w:t xml:space="preserve"> </w:t>
            </w:r>
            <w:r w:rsidRPr="00536F0C">
              <w:rPr>
                <w:i/>
                <w:iCs/>
              </w:rPr>
              <w:t xml:space="preserve">See </w:t>
            </w:r>
            <w:r w:rsidRPr="00536F0C">
              <w:t xml:space="preserve">Attachment </w:t>
            </w:r>
            <w:r w:rsidRPr="00536F0C" w:rsidR="00832F98">
              <w:t>2</w:t>
            </w:r>
            <w:r w:rsidRPr="00536F0C">
              <w:t xml:space="preserve"> </w:t>
            </w:r>
            <w:r w:rsidRPr="00536F0C">
              <w:lastRenderedPageBreak/>
              <w:t>(exce</w:t>
            </w:r>
            <w:r w:rsidRPr="00536F0C" w:rsidR="00832F98">
              <w:t>r</w:t>
            </w:r>
            <w:r w:rsidRPr="00536F0C">
              <w:t>pt of October 17, 2024 Commission Meeting, Item 14),</w:t>
            </w:r>
            <w:r w:rsidR="0015516F">
              <w:t xml:space="preserve"> p. </w:t>
            </w:r>
            <w:r w:rsidRPr="00536F0C">
              <w:t>1</w:t>
            </w:r>
            <w:r w:rsidRPr="00536F0C" w:rsidR="002A1DBE">
              <w:t xml:space="preserve"> (emphasis added).</w:t>
            </w:r>
          </w:p>
          <w:p w:rsidRPr="00536F0C" w:rsidR="008B6027" w:rsidP="00AD09FF" w:rsidRDefault="004E6167" w14:paraId="0F5854E7" w14:textId="5F7419C1">
            <w:pPr>
              <w:spacing w:after="240"/>
              <w:rPr>
                <w:i/>
                <w:iCs/>
              </w:rPr>
            </w:pPr>
            <w:r>
              <w:t>“</w:t>
            </w:r>
            <w:r w:rsidRPr="00536F0C" w:rsidR="008B6027">
              <w:t>So beyond Hope and Bluefield, there are other reasons we should be concerned with authorizing ROEs close to the utilities</w:t>
            </w:r>
            <w:r>
              <w:t>’</w:t>
            </w:r>
            <w:r w:rsidRPr="00536F0C" w:rsidR="008B6027">
              <w:t xml:space="preserve"> cost of equity. Less cited but [no] less germane Supreme Court decision is FPC versus Natural Gas Pipeline Company. This decision says that once we</w:t>
            </w:r>
            <w:r>
              <w:t>’</w:t>
            </w:r>
            <w:r w:rsidRPr="00536F0C" w:rsidR="008B6027">
              <w:t>ve set a rate of return that allows the company to operate successfully and attract capital we have satisfied our duty of setting a just and reasonable rate. But it goes on to say that consumers</w:t>
            </w:r>
            <w:r>
              <w:t>’</w:t>
            </w:r>
            <w:r w:rsidRPr="00536F0C" w:rsidR="008B6027">
              <w:t xml:space="preserve"> interest must be considered when setting a rate of return. Setting an authorized return on equity that</w:t>
            </w:r>
            <w:r>
              <w:t>’</w:t>
            </w:r>
            <w:r w:rsidRPr="00536F0C" w:rsidR="008B6027">
              <w:t>s equal to a utility</w:t>
            </w:r>
            <w:r>
              <w:t>’</w:t>
            </w:r>
            <w:r w:rsidRPr="00536F0C" w:rsidR="008B6027">
              <w:t>s cost of equity would thus satisfy all these Supreme Court decisions by properly balancing shareholder and ratepayer interest.</w:t>
            </w:r>
            <w:r>
              <w:t>”</w:t>
            </w:r>
            <w:r w:rsidRPr="00536F0C" w:rsidR="008B6027">
              <w:rPr>
                <w:i/>
                <w:iCs/>
              </w:rPr>
              <w:t xml:space="preserve"> See</w:t>
            </w:r>
            <w:r w:rsidRPr="00536F0C" w:rsidR="008B6027">
              <w:t xml:space="preserve"> Attachment </w:t>
            </w:r>
            <w:r w:rsidRPr="00536F0C" w:rsidR="00AF421C">
              <w:t>2</w:t>
            </w:r>
            <w:r w:rsidRPr="00536F0C" w:rsidR="008B6027">
              <w:t xml:space="preserve"> (exce</w:t>
            </w:r>
            <w:r w:rsidRPr="00536F0C" w:rsidR="00AF421C">
              <w:t>r</w:t>
            </w:r>
            <w:r w:rsidRPr="00536F0C" w:rsidR="008B6027">
              <w:t>pt of October 17, 2024 Commission Meeting, Item 14),</w:t>
            </w:r>
            <w:r w:rsidR="0015516F">
              <w:t xml:space="preserve"> p. </w:t>
            </w:r>
            <w:r w:rsidRPr="00536F0C" w:rsidR="008B6027">
              <w:t>2.</w:t>
            </w:r>
          </w:p>
          <w:p w:rsidRPr="00536F0C" w:rsidR="008B6027" w:rsidP="00AD09FF" w:rsidRDefault="004E6167" w14:paraId="701210F7" w14:textId="7CDF4CCF">
            <w:pPr>
              <w:spacing w:after="240"/>
            </w:pPr>
            <w:r>
              <w:t>“</w:t>
            </w:r>
            <w:r w:rsidRPr="00536F0C" w:rsidR="008B6027">
              <w:t>And then one final consideration is that setting ROEs well above the cost of equity distorts utility profit incentives. So basically, utilities have an extra incentive to acquire additional capital if the allowable rate of return exceeds the cost of capital. The utilities in this proceeding are all decoupled, which means their sole way to increase profits year to year is to add to rate base, and this creates incentives for utilities to expand rate base as much as possible to benefit shareholders. And we know this because increasing profits is the fiduciary duty of the firm</w:t>
            </w:r>
            <w:r>
              <w:t>’</w:t>
            </w:r>
            <w:r w:rsidRPr="00536F0C" w:rsidR="008B6027">
              <w:t>s management, and it</w:t>
            </w:r>
            <w:r>
              <w:t>’</w:t>
            </w:r>
            <w:r w:rsidRPr="00536F0C" w:rsidR="008B6027">
              <w:t>s our job to ensure that these returns are fair and rates are just and reasonable.</w:t>
            </w:r>
            <w:r>
              <w:t>”</w:t>
            </w:r>
            <w:r w:rsidRPr="00536F0C" w:rsidR="008B6027">
              <w:t xml:space="preserve"> </w:t>
            </w:r>
            <w:r w:rsidRPr="00536F0C" w:rsidR="008B6027">
              <w:rPr>
                <w:i/>
                <w:iCs/>
              </w:rPr>
              <w:t xml:space="preserve">See </w:t>
            </w:r>
            <w:r w:rsidRPr="00536F0C" w:rsidR="008B6027">
              <w:t xml:space="preserve">Attachment </w:t>
            </w:r>
            <w:r w:rsidRPr="00536F0C" w:rsidR="00822513">
              <w:t>2</w:t>
            </w:r>
            <w:r w:rsidRPr="00536F0C" w:rsidR="008B6027">
              <w:t xml:space="preserve"> (exce</w:t>
            </w:r>
            <w:r w:rsidRPr="00536F0C" w:rsidR="00822513">
              <w:t>r</w:t>
            </w:r>
            <w:r w:rsidRPr="00536F0C" w:rsidR="008B6027">
              <w:t>pt of October 17, 2024 Commission Meeting, Item 14),</w:t>
            </w:r>
            <w:r w:rsidR="0015516F">
              <w:t xml:space="preserve"> p. </w:t>
            </w:r>
            <w:r w:rsidRPr="00536F0C" w:rsidR="008B6027">
              <w:t>2.</w:t>
            </w:r>
          </w:p>
          <w:p w:rsidRPr="00536F0C" w:rsidR="008B6027" w:rsidP="00AD09FF" w:rsidRDefault="004E6167" w14:paraId="28FAF58B" w14:textId="1BE24E34">
            <w:pPr>
              <w:spacing w:after="240"/>
            </w:pPr>
            <w:r>
              <w:lastRenderedPageBreak/>
              <w:t>“</w:t>
            </w:r>
            <w:r w:rsidRPr="00536F0C" w:rsidR="008B6027">
              <w:t>For example, cumulatively, across the four IOU</w:t>
            </w:r>
            <w:r>
              <w:t>’</w:t>
            </w:r>
            <w:r w:rsidRPr="00536F0C" w:rsidR="008B6027">
              <w:t>s, the impact of each basis point of ROE above cost of equity is $6</w:t>
            </w:r>
            <w:r>
              <w:t> million</w:t>
            </w:r>
            <w:r w:rsidRPr="00536F0C" w:rsidR="008B6027">
              <w:t>. So we need to be clear in our understanding that while the utilities have ROEs set above their cost of equity, which is strongly supported by their current price to book ratios, they will be strongly incentivized to add as much capital as they can, which increases the difficulty for all of us in dispensing with GRC applications.</w:t>
            </w:r>
            <w:r>
              <w:t>”</w:t>
            </w:r>
            <w:r w:rsidRPr="00536F0C" w:rsidR="008B6027">
              <w:t xml:space="preserve"> </w:t>
            </w:r>
            <w:r w:rsidRPr="00536F0C" w:rsidR="008B6027">
              <w:rPr>
                <w:i/>
                <w:iCs/>
              </w:rPr>
              <w:t xml:space="preserve">See </w:t>
            </w:r>
            <w:r w:rsidRPr="00536F0C" w:rsidR="008B6027">
              <w:t xml:space="preserve">Attachment </w:t>
            </w:r>
            <w:r w:rsidRPr="00536F0C" w:rsidR="00822513">
              <w:t>2</w:t>
            </w:r>
            <w:r w:rsidRPr="00536F0C" w:rsidR="008B6027">
              <w:t xml:space="preserve"> (exce</w:t>
            </w:r>
            <w:r w:rsidRPr="00536F0C" w:rsidR="00822513">
              <w:t>r</w:t>
            </w:r>
            <w:r w:rsidRPr="00536F0C" w:rsidR="008B6027">
              <w:t>pt of October 17, 2024 Commission Meeting, Item 14),</w:t>
            </w:r>
            <w:r w:rsidR="0015516F">
              <w:t xml:space="preserve"> p. </w:t>
            </w:r>
            <w:r w:rsidRPr="00536F0C" w:rsidR="008B6027">
              <w:t>2.</w:t>
            </w:r>
          </w:p>
          <w:p w:rsidRPr="00536F0C" w:rsidR="008B6027" w:rsidP="00AD09FF" w:rsidRDefault="004E6167" w14:paraId="33520A9B" w14:textId="29576B5C">
            <w:pPr>
              <w:spacing w:after="240"/>
            </w:pPr>
            <w:r>
              <w:t>“</w:t>
            </w:r>
            <w:r w:rsidRPr="00536F0C" w:rsidR="008B6027">
              <w:t>So while the decision properly notes that the issue of affordability as it relates to cost of capital is subsumed under the Hope and Bluefield standards, I feel the evidence warrants us taking a closer look at the ROEs we are authorizing, especially given the ongoing affordability crisis confronting ratepayers in California. I also agree with ALJ Lakey that it would be improper to set a lower ROE solely in consideration of ratepayer interest. And this decision does not do that and is reasonable. That said, the evidence in front of us suggests that we have more to do as we examine cost of capital in future proceedings, and I encourage the Commission to consider in more depth some of the suggestions of the parties that were not addressed in the decision. . . .</w:t>
            </w:r>
            <w:r>
              <w:t>”</w:t>
            </w:r>
            <w:r w:rsidRPr="00536F0C" w:rsidR="008B6027">
              <w:t xml:space="preserve"> </w:t>
            </w:r>
            <w:r w:rsidRPr="00536F0C" w:rsidR="008B6027">
              <w:rPr>
                <w:i/>
                <w:iCs/>
              </w:rPr>
              <w:t xml:space="preserve">See </w:t>
            </w:r>
            <w:r w:rsidRPr="00536F0C" w:rsidR="008B6027">
              <w:t xml:space="preserve">Attachment </w:t>
            </w:r>
            <w:r w:rsidRPr="00536F0C" w:rsidR="00822513">
              <w:t>2</w:t>
            </w:r>
            <w:r w:rsidRPr="00536F0C" w:rsidR="008B6027">
              <w:t xml:space="preserve"> (exce</w:t>
            </w:r>
            <w:r w:rsidRPr="00536F0C" w:rsidR="00822513">
              <w:t>r</w:t>
            </w:r>
            <w:r w:rsidRPr="00536F0C" w:rsidR="008B6027">
              <w:t>pt of October 17, 2024 Commission Meeting, Item 14),</w:t>
            </w:r>
            <w:r w:rsidR="0015516F">
              <w:t xml:space="preserve"> p. </w:t>
            </w:r>
            <w:r w:rsidRPr="00536F0C" w:rsidR="008B6027">
              <w:t>2.</w:t>
            </w:r>
          </w:p>
          <w:p w:rsidRPr="00536F0C" w:rsidR="008B6027" w:rsidP="00AD09FF" w:rsidRDefault="004E6167" w14:paraId="04911FFD" w14:textId="207E9908">
            <w:pPr>
              <w:spacing w:after="240"/>
              <w:rPr>
                <w:color w:val="000000"/>
              </w:rPr>
            </w:pPr>
            <w:r>
              <w:rPr>
                <w:color w:val="000000"/>
              </w:rPr>
              <w:t>“</w:t>
            </w:r>
            <w:r w:rsidRPr="00536F0C" w:rsidR="008B6027">
              <w:rPr>
                <w:color w:val="000000"/>
              </w:rPr>
              <w:t xml:space="preserve">As quoted by PCF, Tennessee Gas Pipeline Company noted that in determining such returns, and to compensate investors for the risks assumed, the Federal Energy Regulatory Commission (FERC) attempts to </w:t>
            </w:r>
            <w:r w:rsidRPr="00536F0C" w:rsidR="008B6027">
              <w:rPr>
                <w:color w:val="000000"/>
              </w:rPr>
              <w:lastRenderedPageBreak/>
              <w:t>set the return on equity at the utility</w:t>
            </w:r>
            <w:r>
              <w:rPr>
                <w:color w:val="000000"/>
              </w:rPr>
              <w:t>’</w:t>
            </w:r>
            <w:r w:rsidRPr="00536F0C" w:rsidR="008B6027">
              <w:rPr>
                <w:color w:val="000000"/>
              </w:rPr>
              <w:t>s cost</w:t>
            </w:r>
            <w:r w:rsidR="00AD09FF">
              <w:rPr>
                <w:color w:val="000000"/>
              </w:rPr>
              <w:t xml:space="preserve"> </w:t>
            </w:r>
            <w:r w:rsidRPr="00536F0C" w:rsidR="008B6027">
              <w:rPr>
                <w:color w:val="000000"/>
              </w:rPr>
              <w:t>of equity capital:</w:t>
            </w:r>
          </w:p>
          <w:p w:rsidRPr="00536F0C" w:rsidR="008B6027" w:rsidP="00AD09FF" w:rsidRDefault="008B6027" w14:paraId="4E84CE07" w14:textId="057399A4">
            <w:pPr>
              <w:spacing w:after="240"/>
              <w:ind w:left="360"/>
              <w:rPr>
                <w:color w:val="000000"/>
              </w:rPr>
            </w:pPr>
            <w:r w:rsidRPr="00536F0C">
              <w:rPr>
                <w:color w:val="000000"/>
              </w:rPr>
              <w:t xml:space="preserve">Recognizing that utility investors must be allowed an opportunity to earn returns sufficient to </w:t>
            </w:r>
            <w:r w:rsidR="004E6167">
              <w:rPr>
                <w:color w:val="000000"/>
              </w:rPr>
              <w:t>‘</w:t>
            </w:r>
            <w:r w:rsidRPr="00536F0C">
              <w:rPr>
                <w:color w:val="000000"/>
              </w:rPr>
              <w:t>attract capital,</w:t>
            </w:r>
            <w:r w:rsidR="004E6167">
              <w:rPr>
                <w:color w:val="000000"/>
              </w:rPr>
              <w:t>’</w:t>
            </w:r>
            <w:r w:rsidRPr="00536F0C">
              <w:rPr>
                <w:color w:val="000000"/>
              </w:rPr>
              <w:t xml:space="preserve"> Federal Power Commission v. Hope Natural Gas Co., 320 U.S. 591, 605, 64 S. Ct. 281, 88 L. Ed. 333 (1944), and </w:t>
            </w:r>
            <w:r w:rsidR="004E6167">
              <w:rPr>
                <w:color w:val="000000"/>
              </w:rPr>
              <w:t>‘</w:t>
            </w:r>
            <w:r w:rsidRPr="00536F0C">
              <w:rPr>
                <w:color w:val="000000"/>
              </w:rPr>
              <w:t>to compensate [the] investors for the risks assumed,</w:t>
            </w:r>
            <w:r w:rsidR="004E6167">
              <w:rPr>
                <w:color w:val="000000"/>
              </w:rPr>
              <w:t>’</w:t>
            </w:r>
            <w:r w:rsidRPr="00536F0C">
              <w:rPr>
                <w:color w:val="000000"/>
              </w:rPr>
              <w:t xml:space="preserve"> id., the Commission endeavors to set a utility</w:t>
            </w:r>
            <w:r w:rsidR="004E6167">
              <w:rPr>
                <w:color w:val="000000"/>
              </w:rPr>
              <w:t>’</w:t>
            </w:r>
            <w:r w:rsidRPr="00536F0C">
              <w:rPr>
                <w:color w:val="000000"/>
              </w:rPr>
              <w:t xml:space="preserve">s rate of return on equity at its cost of equity capital. </w:t>
            </w:r>
            <w:r w:rsidR="004E6167">
              <w:rPr>
                <w:color w:val="000000"/>
              </w:rPr>
              <w:t>‘</w:t>
            </w:r>
            <w:r w:rsidRPr="00536F0C">
              <w:rPr>
                <w:color w:val="000000"/>
              </w:rPr>
              <w:t>The cost of capital is the minimum rate of return necessary to attract capital to an investment.</w:t>
            </w:r>
            <w:r w:rsidR="004E6167">
              <w:rPr>
                <w:color w:val="000000"/>
              </w:rPr>
              <w:t>’</w:t>
            </w:r>
            <w:r w:rsidRPr="00536F0C">
              <w:rPr>
                <w:color w:val="000000"/>
              </w:rPr>
              <w:t xml:space="preserve"> A. Lawrence Kolbe et al., The Cost of Capital:</w:t>
            </w:r>
          </w:p>
          <w:p w:rsidRPr="00536F0C" w:rsidR="008B6027" w:rsidP="00AD09FF" w:rsidRDefault="008B6027" w14:paraId="57E0C752" w14:textId="77777777">
            <w:pPr>
              <w:spacing w:after="240"/>
              <w:ind w:left="360"/>
              <w:rPr>
                <w:color w:val="000000"/>
              </w:rPr>
            </w:pPr>
            <w:r w:rsidRPr="00536F0C">
              <w:rPr>
                <w:color w:val="000000"/>
              </w:rPr>
              <w:t>Estimating the Rate of Return for Public Utilities 13 (1984).</w:t>
            </w:r>
          </w:p>
          <w:p w:rsidRPr="00536F0C" w:rsidR="008B6027" w:rsidP="00AD09FF" w:rsidRDefault="008B6027" w14:paraId="1BA333DC" w14:textId="6404AA76">
            <w:pPr>
              <w:spacing w:after="240"/>
              <w:rPr>
                <w:color w:val="000000"/>
              </w:rPr>
            </w:pPr>
            <w:r w:rsidRPr="00536F0C">
              <w:rPr>
                <w:color w:val="000000"/>
              </w:rPr>
              <w:t>This discussion does not establish the conclusion that PCF propounds: that adopting authorized returns on equity that do not constitute the minimum rate of return necessary to attract capital constitutes legal error. The D.C. Circuit merely notes FERC</w:t>
            </w:r>
            <w:r w:rsidR="004E6167">
              <w:rPr>
                <w:color w:val="000000"/>
              </w:rPr>
              <w:t>’</w:t>
            </w:r>
            <w:r w:rsidRPr="00536F0C">
              <w:rPr>
                <w:color w:val="000000"/>
              </w:rPr>
              <w:t>s</w:t>
            </w:r>
            <w:r w:rsidR="00AD09FF">
              <w:rPr>
                <w:color w:val="000000"/>
              </w:rPr>
              <w:t xml:space="preserve"> </w:t>
            </w:r>
            <w:r w:rsidR="004E6167">
              <w:rPr>
                <w:color w:val="000000"/>
              </w:rPr>
              <w:t>‘</w:t>
            </w:r>
            <w:r w:rsidRPr="00536F0C">
              <w:rPr>
                <w:color w:val="000000"/>
              </w:rPr>
              <w:t>endeavor</w:t>
            </w:r>
            <w:r w:rsidR="004E6167">
              <w:rPr>
                <w:color w:val="000000"/>
              </w:rPr>
              <w:t>’</w:t>
            </w:r>
            <w:r w:rsidRPr="00536F0C">
              <w:rPr>
                <w:color w:val="000000"/>
              </w:rPr>
              <w:t xml:space="preserve"> in that regard. … Thus, the rehearing application fails to identify any regulation, statute, or caselaw that </w:t>
            </w:r>
            <w:r w:rsidRPr="00536F0C">
              <w:rPr>
                <w:i/>
                <w:iCs/>
                <w:color w:val="000000"/>
              </w:rPr>
              <w:t xml:space="preserve">requires </w:t>
            </w:r>
            <w:r w:rsidRPr="00536F0C">
              <w:rPr>
                <w:color w:val="000000"/>
              </w:rPr>
              <w:t>this Commission to set the return on equity for any utility at its actual cost of capital or the minimum rate of return necessary to attract capital…</w:t>
            </w:r>
            <w:r w:rsidR="004E6167">
              <w:rPr>
                <w:color w:val="000000"/>
              </w:rPr>
              <w:t>”</w:t>
            </w:r>
            <w:r w:rsidRPr="00536F0C">
              <w:rPr>
                <w:color w:val="000000"/>
              </w:rPr>
              <w:t xml:space="preserve"> D.23</w:t>
            </w:r>
            <w:r w:rsidR="00B52830">
              <w:rPr>
                <w:color w:val="000000"/>
              </w:rPr>
              <w:noBreakHyphen/>
            </w:r>
            <w:r w:rsidRPr="00536F0C">
              <w:rPr>
                <w:color w:val="000000"/>
              </w:rPr>
              <w:t>08</w:t>
            </w:r>
            <w:r w:rsidR="00B52830">
              <w:rPr>
                <w:color w:val="000000"/>
              </w:rPr>
              <w:noBreakHyphen/>
            </w:r>
            <w:r w:rsidRPr="00536F0C">
              <w:rPr>
                <w:color w:val="000000"/>
              </w:rPr>
              <w:t>028,</w:t>
            </w:r>
            <w:r w:rsidR="0015516F">
              <w:rPr>
                <w:color w:val="000000"/>
              </w:rPr>
              <w:t xml:space="preserve"> p. </w:t>
            </w:r>
            <w:r w:rsidRPr="00536F0C">
              <w:rPr>
                <w:color w:val="000000"/>
              </w:rPr>
              <w:t>3</w:t>
            </w:r>
            <w:r w:rsidR="00B52830">
              <w:rPr>
                <w:color w:val="000000"/>
              </w:rPr>
              <w:noBreakHyphen/>
            </w:r>
            <w:r w:rsidRPr="00536F0C">
              <w:rPr>
                <w:color w:val="000000"/>
              </w:rPr>
              <w:t>4.</w:t>
            </w:r>
          </w:p>
          <w:p w:rsidRPr="00536F0C" w:rsidR="008B6027" w:rsidP="00EE724F" w:rsidRDefault="008B6027" w14:paraId="4DAE09FA" w14:textId="58A5B0A6">
            <w:pPr>
              <w:spacing w:after="240"/>
              <w:rPr>
                <w:color w:val="000000"/>
              </w:rPr>
            </w:pPr>
            <w:r w:rsidRPr="00536F0C">
              <w:rPr>
                <w:color w:val="000000"/>
              </w:rPr>
              <w:t>PCF</w:t>
            </w:r>
            <w:r w:rsidR="00B52830">
              <w:rPr>
                <w:color w:val="000000"/>
              </w:rPr>
              <w:noBreakHyphen/>
            </w:r>
            <w:r w:rsidRPr="00536F0C">
              <w:rPr>
                <w:color w:val="000000"/>
              </w:rPr>
              <w:t>09 (Ellis Phase 2 Testimony),</w:t>
            </w:r>
            <w:r w:rsidR="0015516F">
              <w:rPr>
                <w:color w:val="000000"/>
              </w:rPr>
              <w:t xml:space="preserve"> p. </w:t>
            </w:r>
            <w:r w:rsidRPr="00536F0C" w:rsidR="00537847">
              <w:rPr>
                <w:color w:val="000000"/>
              </w:rPr>
              <w:t>4</w:t>
            </w:r>
            <w:r w:rsidR="00B52830">
              <w:rPr>
                <w:color w:val="000000"/>
              </w:rPr>
              <w:noBreakHyphen/>
            </w:r>
            <w:r w:rsidRPr="00536F0C" w:rsidR="003A6BDD">
              <w:rPr>
                <w:color w:val="000000"/>
              </w:rPr>
              <w:t>5</w:t>
            </w:r>
            <w:r w:rsidRPr="00536F0C" w:rsidR="009E4E04">
              <w:rPr>
                <w:color w:val="000000"/>
              </w:rPr>
              <w:t>, 7</w:t>
            </w:r>
            <w:r w:rsidR="00B52830">
              <w:rPr>
                <w:color w:val="000000"/>
              </w:rPr>
              <w:noBreakHyphen/>
            </w:r>
            <w:r w:rsidRPr="00536F0C" w:rsidR="009E4E04">
              <w:rPr>
                <w:color w:val="000000"/>
              </w:rPr>
              <w:t>35</w:t>
            </w:r>
            <w:r w:rsidRPr="00536F0C" w:rsidR="00CB7735">
              <w:rPr>
                <w:color w:val="000000"/>
              </w:rPr>
              <w:t>;</w:t>
            </w:r>
            <w:r w:rsidRPr="00536F0C" w:rsidR="00CB7735">
              <w:rPr>
                <w:i/>
                <w:iCs/>
                <w:color w:val="000000"/>
              </w:rPr>
              <w:t xml:space="preserve"> </w:t>
            </w:r>
            <w:r w:rsidRPr="00536F0C" w:rsidR="001D7E7C">
              <w:rPr>
                <w:i/>
                <w:iCs/>
                <w:color w:val="000000"/>
              </w:rPr>
              <w:t>id.</w:t>
            </w:r>
            <w:r w:rsidRPr="00536F0C" w:rsidR="001D7E7C">
              <w:rPr>
                <w:color w:val="000000"/>
              </w:rPr>
              <w:t xml:space="preserve"> at</w:t>
            </w:r>
            <w:r w:rsidR="0015516F">
              <w:rPr>
                <w:color w:val="000000"/>
              </w:rPr>
              <w:t xml:space="preserve"> p. </w:t>
            </w:r>
            <w:r w:rsidRPr="00536F0C" w:rsidR="001D7E7C">
              <w:rPr>
                <w:color w:val="000000"/>
              </w:rPr>
              <w:t>9 (</w:t>
            </w:r>
            <w:r w:rsidR="004E6167">
              <w:rPr>
                <w:color w:val="000000"/>
              </w:rPr>
              <w:t>“</w:t>
            </w:r>
            <w:r w:rsidRPr="00536F0C" w:rsidR="001D7E7C">
              <w:rPr>
                <w:color w:val="000000"/>
              </w:rPr>
              <w:t xml:space="preserve">The National Association of Regulatory Utility Commissioners (NARUC) explains: For a utility, a fair rate of return must be provided to investors and must be included in the revenue requirement in order to adequately cover the cost of </w:t>
            </w:r>
            <w:r w:rsidRPr="00536F0C" w:rsidR="001D7E7C">
              <w:rPr>
                <w:color w:val="000000"/>
              </w:rPr>
              <w:lastRenderedPageBreak/>
              <w:t>doing business in ratemaking and tariff</w:t>
            </w:r>
            <w:r w:rsidR="00B52830">
              <w:rPr>
                <w:color w:val="000000"/>
              </w:rPr>
              <w:noBreakHyphen/>
            </w:r>
            <w:r w:rsidRPr="00536F0C" w:rsidR="001D7E7C">
              <w:rPr>
                <w:color w:val="000000"/>
              </w:rPr>
              <w:t>setting. Fundamental financial concepts demonstrate that the fair rate of return to use in ratemaking for a utility is its cost of capital in order to achieve the proper balance between customers and investors.</w:t>
            </w:r>
            <w:r w:rsidR="004E6167">
              <w:rPr>
                <w:color w:val="000000"/>
              </w:rPr>
              <w:t>”</w:t>
            </w:r>
            <w:r w:rsidRPr="00536F0C" w:rsidR="001D7E7C">
              <w:rPr>
                <w:color w:val="000000"/>
              </w:rPr>
              <w:t xml:space="preserve">); </w:t>
            </w:r>
            <w:r w:rsidRPr="00536F0C" w:rsidR="00CB7735">
              <w:rPr>
                <w:i/>
                <w:iCs/>
                <w:color w:val="000000"/>
              </w:rPr>
              <w:t xml:space="preserve">id. </w:t>
            </w:r>
            <w:r w:rsidRPr="00536F0C" w:rsidR="00CB7735">
              <w:rPr>
                <w:color w:val="000000"/>
              </w:rPr>
              <w:t>at</w:t>
            </w:r>
            <w:r w:rsidR="0015516F">
              <w:rPr>
                <w:color w:val="000000"/>
              </w:rPr>
              <w:t xml:space="preserve"> p. </w:t>
            </w:r>
            <w:r w:rsidRPr="00536F0C" w:rsidR="00CB7735">
              <w:rPr>
                <w:color w:val="000000"/>
              </w:rPr>
              <w:t>11 (</w:t>
            </w:r>
            <w:r w:rsidR="004E6167">
              <w:rPr>
                <w:color w:val="000000"/>
              </w:rPr>
              <w:t>“</w:t>
            </w:r>
            <w:r w:rsidRPr="00536F0C" w:rsidR="00CB7735">
              <w:rPr>
                <w:color w:val="000000"/>
              </w:rPr>
              <w:t>Regulatory economists and cost of capital practitioners have recognized the ROR=COC standard for decades.  MIT finance professor and Brattle Group colleague of PG&amp;E and SCE witnesses Vilbert and Villadsen, Stewart C. Myers articulated this standard as far back as 1972</w:t>
            </w:r>
            <w:r w:rsidRPr="00536F0C" w:rsidR="00932279">
              <w:rPr>
                <w:color w:val="000000"/>
              </w:rPr>
              <w:t>…</w:t>
            </w:r>
            <w:r w:rsidR="004E6167">
              <w:rPr>
                <w:color w:val="000000"/>
              </w:rPr>
              <w:t>’”</w:t>
            </w:r>
            <w:r w:rsidRPr="00536F0C" w:rsidR="00CB7735">
              <w:rPr>
                <w:color w:val="000000"/>
              </w:rPr>
              <w:t>)(citations omitted)</w:t>
            </w:r>
            <w:r w:rsidRPr="00536F0C" w:rsidR="00A102CA">
              <w:rPr>
                <w:color w:val="000000"/>
              </w:rPr>
              <w:t xml:space="preserve">; </w:t>
            </w:r>
            <w:r w:rsidRPr="00536F0C" w:rsidR="00A102CA">
              <w:rPr>
                <w:i/>
                <w:iCs/>
                <w:color w:val="000000"/>
              </w:rPr>
              <w:t>id.</w:t>
            </w:r>
            <w:r w:rsidRPr="00536F0C" w:rsidR="00A102CA">
              <w:rPr>
                <w:color w:val="000000"/>
              </w:rPr>
              <w:t xml:space="preserve"> at</w:t>
            </w:r>
            <w:r w:rsidR="0015516F">
              <w:rPr>
                <w:color w:val="000000"/>
              </w:rPr>
              <w:t xml:space="preserve"> p. </w:t>
            </w:r>
            <w:r w:rsidRPr="00536F0C" w:rsidR="00A102CA">
              <w:rPr>
                <w:color w:val="000000"/>
              </w:rPr>
              <w:t>30 (</w:t>
            </w:r>
            <w:r w:rsidR="004E6167">
              <w:rPr>
                <w:color w:val="000000"/>
              </w:rPr>
              <w:t>“</w:t>
            </w:r>
            <w:r w:rsidRPr="00536F0C" w:rsidR="00A102CA">
              <w:rPr>
                <w:color w:val="000000"/>
              </w:rPr>
              <w:t>The primary driver of the value of a utility stock is its expected future earnings. Earnings, in turn, are directly linked to the authorized ROE. So the most straightforward way to sustain or increase a utility</w:t>
            </w:r>
            <w:r w:rsidR="004E6167">
              <w:rPr>
                <w:color w:val="000000"/>
              </w:rPr>
              <w:t>’</w:t>
            </w:r>
            <w:r w:rsidRPr="00536F0C" w:rsidR="00A102CA">
              <w:rPr>
                <w:color w:val="000000"/>
              </w:rPr>
              <w:t>s stock price is to sustain or increase its ROE.  But the relationship between ROE and stock value is not linear, i.e., a 10% increase in ROE, from, say 10% to 11%, does not result in an increase in the stock price of 10%, but of 12% to 20%. So utility executives face strong incentives to keep ROEs as high as possible.</w:t>
            </w:r>
            <w:r w:rsidR="004E6167">
              <w:rPr>
                <w:color w:val="000000"/>
              </w:rPr>
              <w:t>”</w:t>
            </w:r>
            <w:r w:rsidRPr="00536F0C" w:rsidR="00A102CA">
              <w:rPr>
                <w:color w:val="000000"/>
              </w:rPr>
              <w:t>)</w:t>
            </w:r>
            <w:r w:rsidRPr="00536F0C" w:rsidR="00564A3E">
              <w:rPr>
                <w:color w:val="000000"/>
              </w:rPr>
              <w:t>(citations omitted).</w:t>
            </w:r>
          </w:p>
          <w:p w:rsidRPr="00536F0C" w:rsidR="008B6027" w:rsidP="00EE724F" w:rsidRDefault="008B6027" w14:paraId="272C93D5" w14:textId="4BF5F188">
            <w:pPr>
              <w:spacing w:after="240"/>
              <w:rPr>
                <w:color w:val="000000"/>
              </w:rPr>
            </w:pPr>
            <w:r w:rsidRPr="00536F0C">
              <w:rPr>
                <w:color w:val="000000"/>
              </w:rPr>
              <w:t>PCF</w:t>
            </w:r>
            <w:r w:rsidR="00B52830">
              <w:rPr>
                <w:color w:val="000000"/>
              </w:rPr>
              <w:noBreakHyphen/>
            </w:r>
            <w:r w:rsidRPr="00536F0C">
              <w:rPr>
                <w:color w:val="000000"/>
              </w:rPr>
              <w:t>10 (Ellis Phase 2 Rebuttal Testimony),</w:t>
            </w:r>
            <w:r w:rsidR="0015516F">
              <w:rPr>
                <w:color w:val="000000"/>
              </w:rPr>
              <w:t xml:space="preserve"> p. </w:t>
            </w:r>
            <w:r w:rsidRPr="00536F0C" w:rsidR="000A11D7">
              <w:rPr>
                <w:color w:val="000000"/>
              </w:rPr>
              <w:t xml:space="preserve">9, </w:t>
            </w:r>
            <w:r w:rsidRPr="00536F0C" w:rsidR="00786C38">
              <w:rPr>
                <w:color w:val="000000"/>
              </w:rPr>
              <w:t>15</w:t>
            </w:r>
            <w:r w:rsidR="00B52830">
              <w:rPr>
                <w:color w:val="000000"/>
              </w:rPr>
              <w:noBreakHyphen/>
            </w:r>
            <w:r w:rsidRPr="00536F0C" w:rsidR="00786C38">
              <w:rPr>
                <w:color w:val="000000"/>
              </w:rPr>
              <w:t>18</w:t>
            </w:r>
            <w:r w:rsidRPr="00536F0C" w:rsidR="00AA3789">
              <w:rPr>
                <w:color w:val="000000"/>
              </w:rPr>
              <w:t xml:space="preserve">; </w:t>
            </w:r>
            <w:r w:rsidRPr="00536F0C" w:rsidR="00AA3789">
              <w:rPr>
                <w:i/>
                <w:iCs/>
                <w:color w:val="000000"/>
              </w:rPr>
              <w:t>id.</w:t>
            </w:r>
            <w:r w:rsidRPr="00536F0C" w:rsidR="00AA3789">
              <w:rPr>
                <w:color w:val="000000"/>
              </w:rPr>
              <w:t xml:space="preserve"> at</w:t>
            </w:r>
            <w:r w:rsidR="0015516F">
              <w:rPr>
                <w:color w:val="000000"/>
              </w:rPr>
              <w:t xml:space="preserve"> p. </w:t>
            </w:r>
            <w:r w:rsidRPr="00536F0C" w:rsidR="00AA3789">
              <w:rPr>
                <w:color w:val="000000"/>
              </w:rPr>
              <w:t>17 (</w:t>
            </w:r>
            <w:r w:rsidR="004E6167">
              <w:rPr>
                <w:color w:val="000000"/>
              </w:rPr>
              <w:t>“</w:t>
            </w:r>
            <w:r w:rsidRPr="00536F0C" w:rsidR="00AA3789">
              <w:rPr>
                <w:color w:val="000000"/>
              </w:rPr>
              <w:t>As demonstrated in my Phase 2 opening testimony, setting the rate of return – ROE and equity ratio – equal to utilities</w:t>
            </w:r>
            <w:r w:rsidR="004E6167">
              <w:rPr>
                <w:color w:val="000000"/>
              </w:rPr>
              <w:t>’</w:t>
            </w:r>
            <w:r w:rsidRPr="00536F0C" w:rsidR="00AA3789">
              <w:rPr>
                <w:color w:val="000000"/>
              </w:rPr>
              <w:t xml:space="preserve"> actual cost of capital would realize customer savings of approximately 10%</w:t>
            </w:r>
            <w:r w:rsidR="004E6167">
              <w:rPr>
                <w:color w:val="000000"/>
              </w:rPr>
              <w:t>”</w:t>
            </w:r>
            <w:r w:rsidRPr="00536F0C" w:rsidR="00AA3789">
              <w:rPr>
                <w:color w:val="000000"/>
              </w:rPr>
              <w:t>).</w:t>
            </w:r>
          </w:p>
          <w:p w:rsidRPr="00536F0C" w:rsidR="008B6027" w:rsidP="00EE724F" w:rsidRDefault="008B6027" w14:paraId="76345C7D" w14:textId="69F4F5F0">
            <w:pPr>
              <w:spacing w:after="240"/>
              <w:rPr>
                <w:color w:val="000000"/>
              </w:rPr>
            </w:pPr>
            <w:r w:rsidRPr="00536F0C">
              <w:rPr>
                <w:color w:val="000000"/>
              </w:rPr>
              <w:t>April 22, 2024 PCF Phase 2 Opening Brief,</w:t>
            </w:r>
            <w:r w:rsidR="0015516F">
              <w:rPr>
                <w:color w:val="000000"/>
              </w:rPr>
              <w:t xml:space="preserve"> p. </w:t>
            </w:r>
            <w:r w:rsidRPr="00536F0C" w:rsidR="002A406C">
              <w:rPr>
                <w:color w:val="000000"/>
              </w:rPr>
              <w:t>3</w:t>
            </w:r>
            <w:r w:rsidRPr="00536F0C" w:rsidR="00A12798">
              <w:rPr>
                <w:color w:val="000000"/>
              </w:rPr>
              <w:t>, 4</w:t>
            </w:r>
            <w:r w:rsidRPr="00536F0C" w:rsidR="00E94B40">
              <w:rPr>
                <w:color w:val="000000"/>
              </w:rPr>
              <w:t>, 6</w:t>
            </w:r>
            <w:r w:rsidR="00B52830">
              <w:rPr>
                <w:color w:val="000000"/>
              </w:rPr>
              <w:noBreakHyphen/>
            </w:r>
            <w:r w:rsidRPr="00536F0C" w:rsidR="00E94B40">
              <w:rPr>
                <w:color w:val="000000"/>
              </w:rPr>
              <w:t>1</w:t>
            </w:r>
            <w:r w:rsidRPr="00536F0C" w:rsidR="00D60976">
              <w:rPr>
                <w:color w:val="000000"/>
              </w:rPr>
              <w:t>7</w:t>
            </w:r>
            <w:r w:rsidRPr="00536F0C">
              <w:rPr>
                <w:color w:val="000000"/>
              </w:rPr>
              <w:t>.</w:t>
            </w:r>
          </w:p>
          <w:p w:rsidRPr="00536F0C" w:rsidR="008B6027" w:rsidP="00EE724F" w:rsidRDefault="008B6027" w14:paraId="44AF5837" w14:textId="128ECAFE">
            <w:pPr>
              <w:spacing w:after="240"/>
              <w:rPr>
                <w:color w:val="000000"/>
              </w:rPr>
            </w:pPr>
            <w:r w:rsidRPr="00536F0C">
              <w:rPr>
                <w:color w:val="000000"/>
              </w:rPr>
              <w:t>May 6, 2024 PCF Phase 2 Reply Brief,</w:t>
            </w:r>
            <w:r w:rsidR="0015516F">
              <w:rPr>
                <w:color w:val="000000"/>
              </w:rPr>
              <w:t xml:space="preserve"> p. </w:t>
            </w:r>
            <w:r w:rsidRPr="00536F0C" w:rsidR="005B77A3">
              <w:rPr>
                <w:color w:val="000000"/>
              </w:rPr>
              <w:t>2</w:t>
            </w:r>
            <w:r w:rsidR="00B52830">
              <w:rPr>
                <w:color w:val="000000"/>
              </w:rPr>
              <w:noBreakHyphen/>
            </w:r>
            <w:r w:rsidRPr="00536F0C" w:rsidR="004840DA">
              <w:rPr>
                <w:color w:val="000000"/>
              </w:rPr>
              <w:t>2</w:t>
            </w:r>
            <w:r w:rsidRPr="00536F0C" w:rsidR="002705CA">
              <w:rPr>
                <w:color w:val="000000"/>
              </w:rPr>
              <w:t>5</w:t>
            </w:r>
            <w:r w:rsidRPr="00536F0C">
              <w:rPr>
                <w:color w:val="000000"/>
              </w:rPr>
              <w:t>.</w:t>
            </w:r>
          </w:p>
          <w:p w:rsidRPr="00536F0C" w:rsidR="008B6027" w:rsidP="00EE724F" w:rsidRDefault="008B6027" w14:paraId="1DB59386" w14:textId="37219B90">
            <w:pPr>
              <w:spacing w:after="240"/>
              <w:rPr>
                <w:color w:val="000000"/>
              </w:rPr>
            </w:pPr>
            <w:r w:rsidRPr="00536F0C">
              <w:rPr>
                <w:color w:val="000000"/>
              </w:rPr>
              <w:lastRenderedPageBreak/>
              <w:t>September 30, 2024 PCF Comments on Phase 2 PD,</w:t>
            </w:r>
            <w:r w:rsidR="0015516F">
              <w:rPr>
                <w:color w:val="000000"/>
              </w:rPr>
              <w:t xml:space="preserve"> p. </w:t>
            </w:r>
            <w:r w:rsidRPr="00536F0C" w:rsidR="009C05A0">
              <w:rPr>
                <w:color w:val="000000"/>
              </w:rPr>
              <w:t>2</w:t>
            </w:r>
            <w:r w:rsidR="00B52830">
              <w:rPr>
                <w:color w:val="000000"/>
              </w:rPr>
              <w:noBreakHyphen/>
            </w:r>
            <w:r w:rsidRPr="00536F0C" w:rsidR="00390BAB">
              <w:rPr>
                <w:color w:val="000000"/>
              </w:rPr>
              <w:t>4</w:t>
            </w:r>
            <w:r w:rsidRPr="00536F0C" w:rsidR="00AE39A1">
              <w:rPr>
                <w:color w:val="000000"/>
              </w:rPr>
              <w:t>;</w:t>
            </w:r>
            <w:r w:rsidRPr="00536F0C" w:rsidR="00AE39A1">
              <w:rPr>
                <w:i/>
                <w:iCs/>
                <w:color w:val="000000"/>
              </w:rPr>
              <w:t xml:space="preserve"> id.</w:t>
            </w:r>
            <w:r w:rsidRPr="00536F0C" w:rsidR="00AE39A1">
              <w:rPr>
                <w:color w:val="000000"/>
              </w:rPr>
              <w:t xml:space="preserve"> at</w:t>
            </w:r>
            <w:r w:rsidR="0015516F">
              <w:rPr>
                <w:color w:val="000000"/>
              </w:rPr>
              <w:t xml:space="preserve"> p. </w:t>
            </w:r>
            <w:r w:rsidRPr="00536F0C" w:rsidR="00AE39A1">
              <w:rPr>
                <w:color w:val="000000"/>
              </w:rPr>
              <w:t>3 (</w:t>
            </w:r>
            <w:r w:rsidR="004E6167">
              <w:rPr>
                <w:color w:val="000000"/>
              </w:rPr>
              <w:t>“</w:t>
            </w:r>
            <w:r w:rsidRPr="00536F0C" w:rsidR="00AE39A1">
              <w:rPr>
                <w:color w:val="000000"/>
              </w:rPr>
              <w:t>The PD fails to address the unrefuted evidence presented by PCF establishing that setting the rate of return equal to the cost of capital – as Hope requires – directly addresses the affordability crisis by both (1) immediately reducing rates and (2) by eliminating perverse incentives for utility executives to continually grow rate base.</w:t>
            </w:r>
            <w:r w:rsidR="004E6167">
              <w:rPr>
                <w:color w:val="000000"/>
              </w:rPr>
              <w:t>”</w:t>
            </w:r>
            <w:r w:rsidRPr="00536F0C" w:rsidR="00AE39A1">
              <w:rPr>
                <w:color w:val="000000"/>
              </w:rPr>
              <w:t>)(citation omitted)</w:t>
            </w:r>
            <w:r w:rsidRPr="00536F0C" w:rsidR="00FF7BEB">
              <w:rPr>
                <w:color w:val="000000"/>
              </w:rPr>
              <w:t>;</w:t>
            </w:r>
            <w:r w:rsidRPr="00536F0C" w:rsidR="00FF7BEB">
              <w:rPr>
                <w:i/>
                <w:iCs/>
                <w:color w:val="000000"/>
              </w:rPr>
              <w:t xml:space="preserve"> id.</w:t>
            </w:r>
            <w:r w:rsidRPr="00536F0C" w:rsidR="00FF7BEB">
              <w:rPr>
                <w:color w:val="000000"/>
              </w:rPr>
              <w:t xml:space="preserve"> at</w:t>
            </w:r>
            <w:r w:rsidR="0015516F">
              <w:rPr>
                <w:color w:val="000000"/>
              </w:rPr>
              <w:t xml:space="preserve"> p. </w:t>
            </w:r>
            <w:r w:rsidRPr="00536F0C" w:rsidR="00FF7BEB">
              <w:rPr>
                <w:color w:val="000000"/>
              </w:rPr>
              <w:t>4 (</w:t>
            </w:r>
            <w:r w:rsidR="004E6167">
              <w:rPr>
                <w:color w:val="000000"/>
              </w:rPr>
              <w:t>“</w:t>
            </w:r>
            <w:r w:rsidRPr="00536F0C" w:rsidR="00FF7BEB">
              <w:rPr>
                <w:color w:val="000000"/>
              </w:rPr>
              <w:t>As the United States Courts and the Federal Energy Regulatory Commission (FERC) recognize, Hope and fundamental finance principles require regulators to endeavor to authorize rates of return equal to the cost of capita</w:t>
            </w:r>
            <w:r w:rsidRPr="00536F0C" w:rsidR="006B46E6">
              <w:rPr>
                <w:color w:val="000000"/>
              </w:rPr>
              <w:t>l</w:t>
            </w:r>
            <w:r w:rsidRPr="00536F0C" w:rsidR="00FF7BEB">
              <w:rPr>
                <w:color w:val="000000"/>
              </w:rPr>
              <w:t>…</w:t>
            </w:r>
            <w:r w:rsidR="004E6167">
              <w:rPr>
                <w:color w:val="000000"/>
              </w:rPr>
              <w:t>’”</w:t>
            </w:r>
            <w:r w:rsidRPr="00536F0C" w:rsidR="00FF7BEB">
              <w:rPr>
                <w:color w:val="000000"/>
              </w:rPr>
              <w:t>).</w:t>
            </w:r>
          </w:p>
          <w:p w:rsidRPr="00536F0C" w:rsidR="008B6027" w:rsidP="00EE724F" w:rsidRDefault="008B6027" w14:paraId="2CCD78E9" w14:textId="2DD9D627">
            <w:pPr>
              <w:spacing w:after="240"/>
            </w:pPr>
            <w:r w:rsidRPr="00536F0C">
              <w:rPr>
                <w:color w:val="000000"/>
              </w:rPr>
              <w:t>October 7, 2024 PCF Reply Comments on Phase 2 PD,</w:t>
            </w:r>
            <w:r w:rsidR="0015516F">
              <w:rPr>
                <w:color w:val="000000"/>
              </w:rPr>
              <w:t xml:space="preserve"> p. </w:t>
            </w:r>
            <w:r w:rsidRPr="00536F0C" w:rsidR="00B97A08">
              <w:rPr>
                <w:color w:val="000000"/>
              </w:rPr>
              <w:t>5</w:t>
            </w:r>
            <w:r w:rsidRPr="00536F0C">
              <w:rPr>
                <w:color w:val="000000"/>
              </w:rPr>
              <w:t>.</w:t>
            </w:r>
          </w:p>
        </w:tc>
        <w:tc>
          <w:tcPr>
            <w:tcW w:w="2075" w:type="dxa"/>
          </w:tcPr>
          <w:p w:rsidRPr="00536F0C" w:rsidR="000D34BA" w:rsidP="009C3C07" w:rsidRDefault="00412B22" w14:paraId="61A45DAE" w14:textId="4959F9CF">
            <w:pPr>
              <w:spacing w:after="240"/>
              <w:rPr>
                <w:color w:val="000000"/>
              </w:rPr>
            </w:pPr>
            <w:r>
              <w:lastRenderedPageBreak/>
              <w:t>Ver</w:t>
            </w:r>
            <w:r w:rsidR="0009769E">
              <w:t>ified</w:t>
            </w:r>
          </w:p>
        </w:tc>
      </w:tr>
      <w:tr w:rsidRPr="00536F0C" w:rsidR="007C745B" w:rsidTr="0015516F" w14:paraId="0F3623B6" w14:textId="77777777">
        <w:tc>
          <w:tcPr>
            <w:tcW w:w="2785" w:type="dxa"/>
          </w:tcPr>
          <w:p w:rsidRPr="00536F0C" w:rsidR="00F85BCD" w:rsidP="00B4178C" w:rsidRDefault="00DD758A" w14:paraId="27FCEA94" w14:textId="6E9E8D10">
            <w:pPr>
              <w:pStyle w:val="ListParagraph"/>
              <w:spacing w:after="240"/>
              <w:ind w:left="0"/>
              <w:rPr>
                <w:rFonts w:ascii="Times New Roman" w:hAnsi="Times New Roman"/>
                <w:color w:val="000000"/>
                <w:sz w:val="24"/>
                <w:szCs w:val="24"/>
              </w:rPr>
            </w:pPr>
            <w:r w:rsidRPr="00536F0C">
              <w:rPr>
                <w:rFonts w:ascii="Times New Roman" w:hAnsi="Times New Roman"/>
                <w:b/>
                <w:bCs/>
                <w:color w:val="000000"/>
                <w:sz w:val="24"/>
                <w:szCs w:val="24"/>
                <w:u w:val="single"/>
              </w:rPr>
              <w:lastRenderedPageBreak/>
              <w:t>SDG&amp;E</w:t>
            </w:r>
            <w:r w:rsidR="004E6167">
              <w:rPr>
                <w:rFonts w:ascii="Times New Roman" w:hAnsi="Times New Roman"/>
                <w:b/>
                <w:bCs/>
                <w:color w:val="000000"/>
                <w:sz w:val="24"/>
                <w:szCs w:val="24"/>
                <w:u w:val="single"/>
              </w:rPr>
              <w:t>’</w:t>
            </w:r>
            <w:r w:rsidRPr="00536F0C">
              <w:rPr>
                <w:rFonts w:ascii="Times New Roman" w:hAnsi="Times New Roman"/>
                <w:b/>
                <w:bCs/>
                <w:color w:val="000000"/>
                <w:sz w:val="24"/>
                <w:szCs w:val="24"/>
                <w:u w:val="single"/>
              </w:rPr>
              <w:t>s and SoCalGas</w:t>
            </w:r>
            <w:r w:rsidR="004E6167">
              <w:rPr>
                <w:rFonts w:ascii="Times New Roman" w:hAnsi="Times New Roman"/>
                <w:b/>
                <w:bCs/>
                <w:color w:val="000000"/>
                <w:sz w:val="24"/>
                <w:szCs w:val="24"/>
                <w:u w:val="single"/>
              </w:rPr>
              <w:t>’</w:t>
            </w:r>
            <w:r w:rsidRPr="00536F0C">
              <w:rPr>
                <w:rFonts w:ascii="Times New Roman" w:hAnsi="Times New Roman"/>
                <w:b/>
                <w:bCs/>
                <w:color w:val="000000"/>
                <w:sz w:val="24"/>
                <w:szCs w:val="24"/>
                <w:u w:val="single"/>
              </w:rPr>
              <w:t xml:space="preserve">s </w:t>
            </w:r>
            <w:r w:rsidRPr="00536F0C" w:rsidR="00F701F9">
              <w:rPr>
                <w:rFonts w:ascii="Times New Roman" w:hAnsi="Times New Roman"/>
                <w:b/>
                <w:bCs/>
                <w:color w:val="000000"/>
                <w:sz w:val="24"/>
                <w:szCs w:val="24"/>
                <w:u w:val="single"/>
              </w:rPr>
              <w:t xml:space="preserve">Proposed </w:t>
            </w:r>
            <w:r w:rsidRPr="00536F0C">
              <w:rPr>
                <w:rFonts w:ascii="Times New Roman" w:hAnsi="Times New Roman"/>
                <w:b/>
                <w:bCs/>
                <w:color w:val="000000"/>
                <w:sz w:val="24"/>
                <w:szCs w:val="24"/>
                <w:u w:val="single"/>
              </w:rPr>
              <w:t>Capital Structures</w:t>
            </w:r>
            <w:r w:rsidRPr="00536F0C" w:rsidR="00F701F9">
              <w:rPr>
                <w:rFonts w:ascii="Times New Roman" w:hAnsi="Times New Roman"/>
                <w:b/>
                <w:bCs/>
                <w:color w:val="000000"/>
                <w:sz w:val="24"/>
                <w:szCs w:val="24"/>
                <w:u w:val="single"/>
              </w:rPr>
              <w:t xml:space="preserve"> Lack </w:t>
            </w:r>
            <w:r w:rsidRPr="00536F0C" w:rsidR="00D93A14">
              <w:rPr>
                <w:rFonts w:ascii="Times New Roman" w:hAnsi="Times New Roman"/>
                <w:b/>
                <w:bCs/>
                <w:color w:val="000000"/>
                <w:sz w:val="24"/>
                <w:szCs w:val="24"/>
                <w:u w:val="single"/>
              </w:rPr>
              <w:t xml:space="preserve">Evidentiary </w:t>
            </w:r>
            <w:r w:rsidRPr="00536F0C" w:rsidR="00F701F9">
              <w:rPr>
                <w:rFonts w:ascii="Times New Roman" w:hAnsi="Times New Roman"/>
                <w:b/>
                <w:bCs/>
                <w:color w:val="000000"/>
                <w:sz w:val="24"/>
                <w:szCs w:val="24"/>
                <w:u w:val="single"/>
              </w:rPr>
              <w:t>Support</w:t>
            </w:r>
            <w:r w:rsidRPr="00536F0C">
              <w:rPr>
                <w:rFonts w:ascii="Times New Roman" w:hAnsi="Times New Roman"/>
                <w:b/>
                <w:bCs/>
                <w:color w:val="000000"/>
                <w:sz w:val="24"/>
                <w:szCs w:val="24"/>
              </w:rPr>
              <w:t>.</w:t>
            </w:r>
            <w:r w:rsidR="00B4178C">
              <w:rPr>
                <w:rFonts w:ascii="Times New Roman" w:hAnsi="Times New Roman"/>
                <w:b/>
                <w:bCs/>
                <w:color w:val="000000"/>
                <w:sz w:val="24"/>
                <w:szCs w:val="24"/>
              </w:rPr>
              <w:t xml:space="preserve"> </w:t>
            </w:r>
            <w:r w:rsidRPr="00536F0C" w:rsidR="00054AB9">
              <w:rPr>
                <w:rFonts w:ascii="Times New Roman" w:hAnsi="Times New Roman"/>
                <w:color w:val="000000"/>
                <w:sz w:val="24"/>
                <w:szCs w:val="24"/>
              </w:rPr>
              <w:t xml:space="preserve">PCF provided detailed legal and expert analysis and other evidence that SDG&amp;E and SoCalGas had not provided sufficient evidence to support their capital structure and that their capital structures should not be adopted. </w:t>
            </w:r>
            <w:r w:rsidRPr="00536F0C" w:rsidR="009F62AE">
              <w:rPr>
                <w:rFonts w:ascii="Times New Roman" w:hAnsi="Times New Roman"/>
                <w:color w:val="000000"/>
                <w:sz w:val="24"/>
                <w:szCs w:val="24"/>
              </w:rPr>
              <w:t xml:space="preserve">PCF also provided detailed evidence and argument </w:t>
            </w:r>
            <w:r w:rsidRPr="00536F0C" w:rsidR="00A569FA">
              <w:rPr>
                <w:rFonts w:ascii="Times New Roman" w:hAnsi="Times New Roman"/>
                <w:color w:val="000000"/>
                <w:sz w:val="24"/>
                <w:szCs w:val="24"/>
              </w:rPr>
              <w:t xml:space="preserve">demonstrating why in future cost of capital proceedings capital structure </w:t>
            </w:r>
            <w:r w:rsidRPr="00536F0C" w:rsidR="007C5B62">
              <w:rPr>
                <w:rFonts w:ascii="Times New Roman" w:hAnsi="Times New Roman"/>
                <w:color w:val="000000"/>
                <w:sz w:val="24"/>
                <w:szCs w:val="24"/>
              </w:rPr>
              <w:t xml:space="preserve">and ROE should be determined jointly. </w:t>
            </w:r>
            <w:r w:rsidRPr="00536F0C" w:rsidR="00F85BCD">
              <w:rPr>
                <w:rFonts w:ascii="Times New Roman" w:hAnsi="Times New Roman"/>
                <w:color w:val="000000"/>
                <w:sz w:val="24"/>
                <w:szCs w:val="24"/>
              </w:rPr>
              <w:t>D.21</w:t>
            </w:r>
            <w:r w:rsidR="00B52830">
              <w:rPr>
                <w:rFonts w:ascii="Times New Roman" w:hAnsi="Times New Roman"/>
                <w:color w:val="000000"/>
                <w:sz w:val="24"/>
                <w:szCs w:val="24"/>
              </w:rPr>
              <w:noBreakHyphen/>
            </w:r>
            <w:r w:rsidRPr="00536F0C" w:rsidR="00F85BCD">
              <w:rPr>
                <w:rFonts w:ascii="Times New Roman" w:hAnsi="Times New Roman"/>
                <w:color w:val="000000"/>
                <w:sz w:val="24"/>
                <w:szCs w:val="24"/>
              </w:rPr>
              <w:t>12</w:t>
            </w:r>
            <w:r w:rsidR="00B52830">
              <w:rPr>
                <w:rFonts w:ascii="Times New Roman" w:hAnsi="Times New Roman"/>
                <w:color w:val="000000"/>
                <w:sz w:val="24"/>
                <w:szCs w:val="24"/>
              </w:rPr>
              <w:noBreakHyphen/>
            </w:r>
            <w:r w:rsidRPr="00536F0C" w:rsidR="00F85BCD">
              <w:rPr>
                <w:rFonts w:ascii="Times New Roman" w:hAnsi="Times New Roman"/>
                <w:color w:val="000000"/>
                <w:sz w:val="24"/>
                <w:szCs w:val="24"/>
              </w:rPr>
              <w:t xml:space="preserve">031 agreed with </w:t>
            </w:r>
            <w:r w:rsidRPr="00536F0C" w:rsidR="00F85BCD">
              <w:rPr>
                <w:rFonts w:ascii="Times New Roman" w:hAnsi="Times New Roman"/>
                <w:color w:val="000000"/>
                <w:sz w:val="24"/>
                <w:szCs w:val="24"/>
              </w:rPr>
              <w:lastRenderedPageBreak/>
              <w:t>PCF that the capital structures proposed by SoCalGas and SDG&amp;E should not be adopted</w:t>
            </w:r>
            <w:r w:rsidRPr="00536F0C" w:rsidR="00054AB9">
              <w:rPr>
                <w:rFonts w:ascii="Times New Roman" w:hAnsi="Times New Roman"/>
                <w:color w:val="000000"/>
                <w:sz w:val="24"/>
                <w:szCs w:val="24"/>
              </w:rPr>
              <w:t xml:space="preserve"> and relied on its prior cost of capital decision to approve capital structures for SDG&amp;E and SoCalGas</w:t>
            </w:r>
            <w:r w:rsidRPr="00536F0C" w:rsidR="00F85BCD">
              <w:rPr>
                <w:rFonts w:ascii="Times New Roman" w:hAnsi="Times New Roman"/>
                <w:color w:val="000000"/>
                <w:sz w:val="24"/>
                <w:szCs w:val="24"/>
              </w:rPr>
              <w:t>.</w:t>
            </w:r>
            <w:r w:rsidRPr="00536F0C" w:rsidR="00951CC2">
              <w:rPr>
                <w:rFonts w:ascii="Times New Roman" w:hAnsi="Times New Roman"/>
                <w:color w:val="000000"/>
                <w:sz w:val="24"/>
                <w:szCs w:val="24"/>
              </w:rPr>
              <w:t xml:space="preserve"> </w:t>
            </w:r>
            <w:r w:rsidRPr="00536F0C" w:rsidR="00951CC2">
              <w:rPr>
                <w:rFonts w:ascii="Times New Roman" w:hAnsi="Times New Roman"/>
                <w:color w:val="000000" w:themeColor="text1"/>
                <w:sz w:val="24"/>
                <w:szCs w:val="24"/>
              </w:rPr>
              <w:t>D.24</w:t>
            </w:r>
            <w:r w:rsidR="00B52830">
              <w:rPr>
                <w:rFonts w:ascii="Times New Roman" w:hAnsi="Times New Roman"/>
                <w:color w:val="000000" w:themeColor="text1"/>
                <w:sz w:val="24"/>
                <w:szCs w:val="24"/>
              </w:rPr>
              <w:noBreakHyphen/>
            </w:r>
            <w:r w:rsidRPr="00536F0C" w:rsidR="00951CC2">
              <w:rPr>
                <w:rFonts w:ascii="Times New Roman" w:hAnsi="Times New Roman"/>
                <w:color w:val="000000" w:themeColor="text1"/>
                <w:sz w:val="24"/>
                <w:szCs w:val="24"/>
              </w:rPr>
              <w:t>10</w:t>
            </w:r>
            <w:r w:rsidR="00B52830">
              <w:rPr>
                <w:rFonts w:ascii="Times New Roman" w:hAnsi="Times New Roman"/>
                <w:color w:val="000000" w:themeColor="text1"/>
                <w:sz w:val="24"/>
                <w:szCs w:val="24"/>
              </w:rPr>
              <w:noBreakHyphen/>
            </w:r>
            <w:r w:rsidRPr="00536F0C" w:rsidR="00951CC2">
              <w:rPr>
                <w:rFonts w:ascii="Times New Roman" w:hAnsi="Times New Roman"/>
                <w:color w:val="000000" w:themeColor="text1"/>
                <w:sz w:val="24"/>
                <w:szCs w:val="24"/>
              </w:rPr>
              <w:t xml:space="preserve">008 allows the Commission to </w:t>
            </w:r>
            <w:r w:rsidRPr="00536F0C" w:rsidR="00005416">
              <w:rPr>
                <w:rFonts w:ascii="Times New Roman" w:hAnsi="Times New Roman"/>
                <w:color w:val="000000" w:themeColor="text1"/>
                <w:sz w:val="24"/>
                <w:szCs w:val="24"/>
              </w:rPr>
              <w:t>consider PCF</w:t>
            </w:r>
            <w:r w:rsidR="004E6167">
              <w:rPr>
                <w:rFonts w:ascii="Times New Roman" w:hAnsi="Times New Roman"/>
                <w:color w:val="000000" w:themeColor="text1"/>
                <w:sz w:val="24"/>
                <w:szCs w:val="24"/>
              </w:rPr>
              <w:t>’</w:t>
            </w:r>
            <w:r w:rsidRPr="00536F0C" w:rsidR="00005416">
              <w:rPr>
                <w:rFonts w:ascii="Times New Roman" w:hAnsi="Times New Roman"/>
                <w:color w:val="000000" w:themeColor="text1"/>
                <w:sz w:val="24"/>
                <w:szCs w:val="24"/>
              </w:rPr>
              <w:t>s recommendations in future COC proceedings, and Commissioners considered and commented on PCF</w:t>
            </w:r>
            <w:r w:rsidR="004E6167">
              <w:rPr>
                <w:rFonts w:ascii="Times New Roman" w:hAnsi="Times New Roman"/>
                <w:color w:val="000000" w:themeColor="text1"/>
                <w:sz w:val="24"/>
                <w:szCs w:val="24"/>
              </w:rPr>
              <w:t>’</w:t>
            </w:r>
            <w:r w:rsidRPr="00536F0C" w:rsidR="00005416">
              <w:rPr>
                <w:rFonts w:ascii="Times New Roman" w:hAnsi="Times New Roman"/>
                <w:color w:val="000000" w:themeColor="text1"/>
                <w:sz w:val="24"/>
                <w:szCs w:val="24"/>
              </w:rPr>
              <w:t>s evidence.</w:t>
            </w:r>
          </w:p>
        </w:tc>
        <w:tc>
          <w:tcPr>
            <w:tcW w:w="4500" w:type="dxa"/>
          </w:tcPr>
          <w:p w:rsidRPr="00536F0C" w:rsidR="00F85BCD" w:rsidP="00AD23E5" w:rsidRDefault="004E6167" w14:paraId="3E64B205" w14:textId="07DC1C7B">
            <w:pPr>
              <w:spacing w:after="240"/>
              <w:rPr>
                <w:color w:val="000000"/>
              </w:rPr>
            </w:pPr>
            <w:r>
              <w:rPr>
                <w:color w:val="000000"/>
              </w:rPr>
              <w:lastRenderedPageBreak/>
              <w:t>“</w:t>
            </w:r>
            <w:r w:rsidRPr="00536F0C" w:rsidR="00F85BCD">
              <w:rPr>
                <w:color w:val="000000"/>
              </w:rPr>
              <w:t>PCF argues that the Commission has previously rejected instances where the argument was made that the Commission should adopt a proposed capital structure that matches the existing actual capital structure of a regulated utility rather than analyzing what capital structure would be most in the public interest.</w:t>
            </w:r>
            <w:r>
              <w:rPr>
                <w:color w:val="000000"/>
              </w:rPr>
              <w:t>”</w:t>
            </w:r>
            <w:r w:rsidRPr="00536F0C" w:rsidR="00F85BCD">
              <w:rPr>
                <w:color w:val="000000"/>
              </w:rPr>
              <w:t xml:space="preserve"> D.22</w:t>
            </w:r>
            <w:r w:rsidR="00B52830">
              <w:rPr>
                <w:color w:val="000000"/>
              </w:rPr>
              <w:noBreakHyphen/>
            </w:r>
            <w:r w:rsidRPr="00536F0C" w:rsidR="00F85BCD">
              <w:rPr>
                <w:color w:val="000000"/>
              </w:rPr>
              <w:t>12</w:t>
            </w:r>
            <w:r w:rsidR="00B52830">
              <w:rPr>
                <w:color w:val="000000"/>
              </w:rPr>
              <w:noBreakHyphen/>
            </w:r>
            <w:r w:rsidRPr="00536F0C" w:rsidR="00F85BCD">
              <w:rPr>
                <w:color w:val="000000"/>
              </w:rPr>
              <w:t>031,</w:t>
            </w:r>
            <w:r w:rsidR="0015516F">
              <w:rPr>
                <w:color w:val="000000"/>
              </w:rPr>
              <w:t xml:space="preserve"> p. </w:t>
            </w:r>
            <w:r w:rsidRPr="00536F0C" w:rsidR="00F85BCD">
              <w:rPr>
                <w:color w:val="000000"/>
              </w:rPr>
              <w:t>11</w:t>
            </w:r>
            <w:r w:rsidRPr="00536F0C" w:rsidR="00D333B9">
              <w:rPr>
                <w:color w:val="000000"/>
              </w:rPr>
              <w:t>.</w:t>
            </w:r>
          </w:p>
          <w:p w:rsidRPr="00536F0C" w:rsidR="00AE3FCF" w:rsidP="00AD23E5" w:rsidRDefault="004E6167" w14:paraId="282D7D89" w14:textId="208BF894">
            <w:pPr>
              <w:spacing w:after="240"/>
              <w:rPr>
                <w:color w:val="000000"/>
              </w:rPr>
            </w:pPr>
            <w:r>
              <w:rPr>
                <w:color w:val="000000"/>
              </w:rPr>
              <w:t>“</w:t>
            </w:r>
            <w:r w:rsidRPr="00536F0C" w:rsidR="00AE3FCF">
              <w:rPr>
                <w:color w:val="000000"/>
              </w:rPr>
              <w:t>It is not beneficial to ratepayers for SoCalGas and SDG&amp;E to increase its authorized leverage as a result of this proceeding.</w:t>
            </w:r>
            <w:r>
              <w:rPr>
                <w:color w:val="000000"/>
              </w:rPr>
              <w:t>”</w:t>
            </w:r>
            <w:r w:rsidRPr="00536F0C" w:rsidR="00AE3FCF">
              <w:rPr>
                <w:color w:val="000000"/>
              </w:rPr>
              <w:t xml:space="preserve"> D.22</w:t>
            </w:r>
            <w:r w:rsidR="00B52830">
              <w:rPr>
                <w:color w:val="000000"/>
              </w:rPr>
              <w:noBreakHyphen/>
            </w:r>
            <w:r w:rsidRPr="00536F0C" w:rsidR="00AE3FCF">
              <w:rPr>
                <w:color w:val="000000"/>
              </w:rPr>
              <w:t>12</w:t>
            </w:r>
            <w:r w:rsidR="00B52830">
              <w:rPr>
                <w:color w:val="000000"/>
              </w:rPr>
              <w:noBreakHyphen/>
            </w:r>
            <w:r w:rsidRPr="00536F0C" w:rsidR="00AE3FCF">
              <w:rPr>
                <w:color w:val="000000"/>
              </w:rPr>
              <w:t>031,</w:t>
            </w:r>
            <w:r w:rsidR="0015516F">
              <w:rPr>
                <w:color w:val="000000"/>
              </w:rPr>
              <w:t xml:space="preserve"> p. </w:t>
            </w:r>
            <w:r w:rsidRPr="00536F0C" w:rsidR="00AE3FCF">
              <w:rPr>
                <w:color w:val="000000"/>
              </w:rPr>
              <w:t>46 (FOF 11).</w:t>
            </w:r>
          </w:p>
          <w:p w:rsidRPr="00536F0C" w:rsidR="00F85BCD" w:rsidP="00AD23E5" w:rsidRDefault="004E6167" w14:paraId="34931BEC" w14:textId="16092977">
            <w:pPr>
              <w:spacing w:after="240"/>
              <w:rPr>
                <w:color w:val="000000"/>
              </w:rPr>
            </w:pPr>
            <w:r>
              <w:rPr>
                <w:color w:val="000000"/>
              </w:rPr>
              <w:t>“</w:t>
            </w:r>
            <w:r w:rsidRPr="00536F0C" w:rsidR="00F85BCD">
              <w:rPr>
                <w:color w:val="000000"/>
              </w:rPr>
              <w:t>The capital structures proposed by SoCalGas and SDG&amp;E should not be adopted because they are do not sufficiently balance ratepayer interests with the intention to maintain an investment grade rating and attract capital.</w:t>
            </w:r>
            <w:r>
              <w:rPr>
                <w:color w:val="000000"/>
              </w:rPr>
              <w:t>”</w:t>
            </w:r>
            <w:r w:rsidRPr="00536F0C" w:rsidR="00F85BCD">
              <w:rPr>
                <w:color w:val="000000"/>
              </w:rPr>
              <w:t xml:space="preserve"> D.22</w:t>
            </w:r>
            <w:r w:rsidR="00B52830">
              <w:rPr>
                <w:color w:val="000000"/>
              </w:rPr>
              <w:noBreakHyphen/>
            </w:r>
            <w:r w:rsidRPr="00536F0C" w:rsidR="00F85BCD">
              <w:rPr>
                <w:color w:val="000000"/>
              </w:rPr>
              <w:t>12</w:t>
            </w:r>
            <w:r w:rsidR="00B52830">
              <w:rPr>
                <w:color w:val="000000"/>
              </w:rPr>
              <w:noBreakHyphen/>
            </w:r>
            <w:r w:rsidRPr="00536F0C" w:rsidR="00F85BCD">
              <w:rPr>
                <w:color w:val="000000"/>
              </w:rPr>
              <w:t>031,</w:t>
            </w:r>
            <w:r w:rsidR="0015516F">
              <w:rPr>
                <w:color w:val="000000"/>
              </w:rPr>
              <w:t xml:space="preserve"> p. </w:t>
            </w:r>
            <w:r w:rsidRPr="00536F0C" w:rsidR="00F85BCD">
              <w:rPr>
                <w:color w:val="000000"/>
              </w:rPr>
              <w:t>50 (COL 4).</w:t>
            </w:r>
          </w:p>
          <w:p w:rsidRPr="00536F0C" w:rsidR="00F85BCD" w:rsidP="00AD23E5" w:rsidRDefault="004E6167" w14:paraId="0AA2E95B" w14:textId="14FC5E4B">
            <w:pPr>
              <w:spacing w:after="240"/>
              <w:rPr>
                <w:color w:val="000000"/>
              </w:rPr>
            </w:pPr>
            <w:r>
              <w:rPr>
                <w:color w:val="000000"/>
              </w:rPr>
              <w:lastRenderedPageBreak/>
              <w:t>“</w:t>
            </w:r>
            <w:r w:rsidRPr="00536F0C" w:rsidR="00F85BCD">
              <w:rPr>
                <w:color w:val="000000"/>
              </w:rPr>
              <w:t>SoCalGas and SDG&amp;E should not be authorized to increase the leverage in the capital structures of these two companies as a result of this proceeding.</w:t>
            </w:r>
            <w:r>
              <w:rPr>
                <w:color w:val="000000"/>
              </w:rPr>
              <w:t>”</w:t>
            </w:r>
            <w:r w:rsidRPr="00536F0C" w:rsidR="00F85BCD">
              <w:rPr>
                <w:color w:val="000000"/>
              </w:rPr>
              <w:t xml:space="preserve"> D.22</w:t>
            </w:r>
            <w:r w:rsidR="00B52830">
              <w:rPr>
                <w:color w:val="000000"/>
              </w:rPr>
              <w:noBreakHyphen/>
            </w:r>
            <w:r w:rsidRPr="00536F0C" w:rsidR="00F85BCD">
              <w:rPr>
                <w:color w:val="000000"/>
              </w:rPr>
              <w:t>12</w:t>
            </w:r>
            <w:r w:rsidR="00B52830">
              <w:rPr>
                <w:color w:val="000000"/>
              </w:rPr>
              <w:noBreakHyphen/>
            </w:r>
            <w:r w:rsidRPr="00536F0C" w:rsidR="00F85BCD">
              <w:rPr>
                <w:color w:val="000000"/>
              </w:rPr>
              <w:t>031,</w:t>
            </w:r>
            <w:r w:rsidR="0015516F">
              <w:rPr>
                <w:color w:val="000000"/>
              </w:rPr>
              <w:t xml:space="preserve"> p. </w:t>
            </w:r>
            <w:r w:rsidRPr="00536F0C" w:rsidR="00F85BCD">
              <w:rPr>
                <w:color w:val="000000"/>
              </w:rPr>
              <w:t xml:space="preserve">50 (COL 5). </w:t>
            </w:r>
          </w:p>
          <w:p w:rsidRPr="00536F0C" w:rsidR="009910D8" w:rsidP="00AD23E5" w:rsidRDefault="009910D8" w14:paraId="7DD662E9" w14:textId="0CCA9293">
            <w:pPr>
              <w:spacing w:after="240"/>
            </w:pPr>
            <w:r w:rsidRPr="00536F0C">
              <w:t xml:space="preserve">Commissioner Houck:  </w:t>
            </w:r>
            <w:r w:rsidR="004E6167">
              <w:t>“</w:t>
            </w:r>
            <w:r w:rsidRPr="00536F0C">
              <w:t>. . As I mentioned before, parties made substantial contributions to this proceeding, including many recommendations for changes to the Commission</w:t>
            </w:r>
            <w:r w:rsidR="004E6167">
              <w:t>’</w:t>
            </w:r>
            <w:r w:rsidRPr="00536F0C">
              <w:t>s cost of capital proceedings. Many parties suggested we substantially reevaluate how we conduct these proceedings, and while this decision does not adopt those recommendations beyond the aforementioned change in the CCM. I want to emphasize that that we are listening, and to take a minute to just discuss some of the underlying work of the cost of capital proceedings.</w:t>
            </w:r>
            <w:r w:rsidR="004E6167">
              <w:t>”</w:t>
            </w:r>
            <w:r w:rsidRPr="00536F0C">
              <w:t xml:space="preserve"> </w:t>
            </w:r>
            <w:r w:rsidRPr="00536F0C">
              <w:rPr>
                <w:i/>
                <w:iCs/>
              </w:rPr>
              <w:t>See</w:t>
            </w:r>
            <w:r w:rsidRPr="00536F0C">
              <w:t xml:space="preserve"> Attachment </w:t>
            </w:r>
            <w:r w:rsidRPr="00536F0C" w:rsidR="00FB7B8B">
              <w:t xml:space="preserve">2 </w:t>
            </w:r>
            <w:r w:rsidRPr="00536F0C">
              <w:t>(exce</w:t>
            </w:r>
            <w:r w:rsidRPr="00536F0C" w:rsidR="00F42233">
              <w:t>r</w:t>
            </w:r>
            <w:r w:rsidRPr="00536F0C">
              <w:t>pt of October 17, 2024 Commission Meeting, Item 14),</w:t>
            </w:r>
            <w:r w:rsidR="0015516F">
              <w:t xml:space="preserve"> p. </w:t>
            </w:r>
            <w:r w:rsidRPr="00536F0C">
              <w:t xml:space="preserve">1. </w:t>
            </w:r>
          </w:p>
          <w:p w:rsidRPr="00536F0C" w:rsidR="008D09A0" w:rsidP="00AD23E5" w:rsidRDefault="008D09A0" w14:paraId="5D1E3B0A" w14:textId="665D177A">
            <w:pPr>
              <w:spacing w:after="240"/>
              <w:rPr>
                <w:color w:val="000000"/>
              </w:rPr>
            </w:pPr>
            <w:r w:rsidRPr="00536F0C">
              <w:rPr>
                <w:color w:val="000000"/>
              </w:rPr>
              <w:t>PCF</w:t>
            </w:r>
            <w:r w:rsidR="00B52830">
              <w:rPr>
                <w:color w:val="000000"/>
              </w:rPr>
              <w:noBreakHyphen/>
            </w:r>
            <w:r w:rsidRPr="00536F0C">
              <w:rPr>
                <w:color w:val="000000"/>
              </w:rPr>
              <w:t>01 (Ellis Testimony),</w:t>
            </w:r>
            <w:r w:rsidR="0015516F">
              <w:rPr>
                <w:color w:val="000000"/>
              </w:rPr>
              <w:t xml:space="preserve"> p. </w:t>
            </w:r>
            <w:r w:rsidRPr="00536F0C" w:rsidR="00630DB9">
              <w:rPr>
                <w:color w:val="000000"/>
              </w:rPr>
              <w:t>7</w:t>
            </w:r>
            <w:r w:rsidR="00B52830">
              <w:rPr>
                <w:color w:val="000000"/>
              </w:rPr>
              <w:noBreakHyphen/>
            </w:r>
            <w:r w:rsidRPr="00536F0C" w:rsidR="00630DB9">
              <w:rPr>
                <w:color w:val="000000"/>
              </w:rPr>
              <w:t>9,</w:t>
            </w:r>
            <w:r w:rsidRPr="00536F0C">
              <w:rPr>
                <w:color w:val="000000"/>
              </w:rPr>
              <w:t xml:space="preserve"> </w:t>
            </w:r>
            <w:r w:rsidRPr="00536F0C" w:rsidR="002769C9">
              <w:rPr>
                <w:color w:val="000000"/>
              </w:rPr>
              <w:t>26</w:t>
            </w:r>
            <w:r w:rsidR="00B52830">
              <w:rPr>
                <w:color w:val="000000"/>
              </w:rPr>
              <w:noBreakHyphen/>
            </w:r>
            <w:r w:rsidRPr="00536F0C" w:rsidR="00C47586">
              <w:rPr>
                <w:color w:val="000000"/>
              </w:rPr>
              <w:t>30</w:t>
            </w:r>
            <w:r w:rsidRPr="00536F0C">
              <w:rPr>
                <w:color w:val="000000"/>
              </w:rPr>
              <w:t>.</w:t>
            </w:r>
          </w:p>
          <w:p w:rsidRPr="00536F0C" w:rsidR="008D09A0" w:rsidP="00AD23E5" w:rsidRDefault="008D09A0" w14:paraId="0893A50F" w14:textId="56F35A64">
            <w:pPr>
              <w:spacing w:after="240"/>
              <w:rPr>
                <w:color w:val="000000"/>
              </w:rPr>
            </w:pPr>
            <w:r w:rsidRPr="00536F0C">
              <w:rPr>
                <w:color w:val="000000"/>
              </w:rPr>
              <w:t>PCF</w:t>
            </w:r>
            <w:r w:rsidR="00B52830">
              <w:rPr>
                <w:color w:val="000000"/>
              </w:rPr>
              <w:noBreakHyphen/>
            </w:r>
            <w:r w:rsidRPr="00536F0C">
              <w:rPr>
                <w:color w:val="000000"/>
              </w:rPr>
              <w:t xml:space="preserve">02 (Ellis </w:t>
            </w:r>
            <w:r w:rsidRPr="00536F0C" w:rsidR="0004020A">
              <w:rPr>
                <w:color w:val="000000"/>
              </w:rPr>
              <w:t xml:space="preserve">Rebuttal </w:t>
            </w:r>
            <w:r w:rsidRPr="00536F0C">
              <w:rPr>
                <w:color w:val="000000"/>
              </w:rPr>
              <w:t>Testimony),</w:t>
            </w:r>
            <w:r w:rsidR="0015516F">
              <w:rPr>
                <w:color w:val="000000"/>
              </w:rPr>
              <w:t xml:space="preserve"> p. </w:t>
            </w:r>
            <w:r w:rsidRPr="00536F0C" w:rsidR="00F64C20">
              <w:rPr>
                <w:color w:val="000000"/>
              </w:rPr>
              <w:t>4.</w:t>
            </w:r>
          </w:p>
          <w:p w:rsidRPr="00536F0C" w:rsidR="004537E4" w:rsidP="00AD23E5" w:rsidRDefault="004537E4" w14:paraId="0649592F" w14:textId="3B78BCCA">
            <w:pPr>
              <w:spacing w:after="240"/>
              <w:rPr>
                <w:color w:val="000000"/>
              </w:rPr>
            </w:pPr>
            <w:r w:rsidRPr="00536F0C">
              <w:rPr>
                <w:color w:val="000000"/>
              </w:rPr>
              <w:t>September 12, 2022 Evidentiary Hearing Transcript,</w:t>
            </w:r>
            <w:r w:rsidR="0015516F">
              <w:rPr>
                <w:color w:val="000000"/>
              </w:rPr>
              <w:t xml:space="preserve"> p. </w:t>
            </w:r>
            <w:r w:rsidRPr="00536F0C" w:rsidR="00745C10">
              <w:rPr>
                <w:color w:val="000000"/>
              </w:rPr>
              <w:t>88</w:t>
            </w:r>
            <w:r w:rsidR="00B52830">
              <w:rPr>
                <w:color w:val="000000"/>
              </w:rPr>
              <w:noBreakHyphen/>
            </w:r>
            <w:r w:rsidRPr="00536F0C" w:rsidR="001938D8">
              <w:rPr>
                <w:color w:val="000000"/>
              </w:rPr>
              <w:t>90</w:t>
            </w:r>
            <w:r w:rsidRPr="00536F0C" w:rsidR="002D3DF1">
              <w:rPr>
                <w:color w:val="000000"/>
              </w:rPr>
              <w:t xml:space="preserve">, </w:t>
            </w:r>
            <w:r w:rsidRPr="00536F0C" w:rsidR="00B7073A">
              <w:rPr>
                <w:color w:val="000000"/>
              </w:rPr>
              <w:t>92</w:t>
            </w:r>
            <w:r w:rsidR="00B52830">
              <w:rPr>
                <w:color w:val="000000"/>
              </w:rPr>
              <w:noBreakHyphen/>
            </w:r>
            <w:r w:rsidRPr="00536F0C" w:rsidR="0009201D">
              <w:rPr>
                <w:color w:val="000000"/>
              </w:rPr>
              <w:t>93</w:t>
            </w:r>
            <w:r w:rsidRPr="00536F0C" w:rsidR="009E2EA9">
              <w:rPr>
                <w:color w:val="000000"/>
              </w:rPr>
              <w:t>,</w:t>
            </w:r>
            <w:r w:rsidRPr="00536F0C" w:rsidR="002736D6">
              <w:rPr>
                <w:color w:val="000000"/>
              </w:rPr>
              <w:t xml:space="preserve"> l. 23</w:t>
            </w:r>
            <w:r w:rsidR="00B52830">
              <w:rPr>
                <w:color w:val="000000"/>
              </w:rPr>
              <w:noBreakHyphen/>
            </w:r>
            <w:r w:rsidRPr="00536F0C" w:rsidR="002736D6">
              <w:rPr>
                <w:color w:val="000000"/>
              </w:rPr>
              <w:t xml:space="preserve">12 </w:t>
            </w:r>
            <w:r w:rsidRPr="00536F0C" w:rsidR="009E2EA9">
              <w:rPr>
                <w:color w:val="000000"/>
              </w:rPr>
              <w:t>(</w:t>
            </w:r>
            <w:r w:rsidR="004E6167">
              <w:rPr>
                <w:color w:val="000000"/>
              </w:rPr>
              <w:t>Mr. </w:t>
            </w:r>
            <w:r w:rsidRPr="00536F0C" w:rsidR="002736D6">
              <w:rPr>
                <w:color w:val="000000"/>
              </w:rPr>
              <w:t>Coyne admitting he did not conduct an analysis of the different capital structure options available because it was beyond the scope of his analysis)</w:t>
            </w:r>
            <w:r w:rsidRPr="00536F0C" w:rsidR="0009201D">
              <w:rPr>
                <w:color w:val="000000"/>
              </w:rPr>
              <w:t xml:space="preserve">, </w:t>
            </w:r>
            <w:r w:rsidRPr="00536F0C" w:rsidR="002D3DF1">
              <w:rPr>
                <w:color w:val="000000"/>
              </w:rPr>
              <w:t>10</w:t>
            </w:r>
            <w:r w:rsidRPr="00536F0C" w:rsidR="004D4BFC">
              <w:rPr>
                <w:color w:val="000000"/>
              </w:rPr>
              <w:t>0</w:t>
            </w:r>
            <w:r w:rsidR="00B52830">
              <w:rPr>
                <w:color w:val="000000"/>
              </w:rPr>
              <w:noBreakHyphen/>
            </w:r>
            <w:r w:rsidRPr="00536F0C" w:rsidR="004D4BFC">
              <w:rPr>
                <w:color w:val="000000"/>
              </w:rPr>
              <w:t>102</w:t>
            </w:r>
            <w:r w:rsidRPr="00536F0C" w:rsidR="002736D6">
              <w:rPr>
                <w:color w:val="000000"/>
              </w:rPr>
              <w:t>.</w:t>
            </w:r>
          </w:p>
          <w:p w:rsidRPr="00536F0C" w:rsidR="004537E4" w:rsidP="00AD23E5" w:rsidRDefault="004537E4" w14:paraId="5AA5F2B9" w14:textId="6F76470E">
            <w:pPr>
              <w:spacing w:after="240"/>
              <w:rPr>
                <w:color w:val="000000"/>
              </w:rPr>
            </w:pPr>
            <w:r w:rsidRPr="00536F0C">
              <w:rPr>
                <w:color w:val="000000"/>
              </w:rPr>
              <w:t>September 13, 2022 Evidentiary Hearing Transcript,</w:t>
            </w:r>
            <w:r w:rsidR="0015516F">
              <w:rPr>
                <w:color w:val="000000"/>
              </w:rPr>
              <w:t xml:space="preserve"> p. </w:t>
            </w:r>
            <w:r w:rsidRPr="00536F0C" w:rsidR="00D7796B">
              <w:rPr>
                <w:color w:val="000000"/>
              </w:rPr>
              <w:t>100</w:t>
            </w:r>
            <w:r w:rsidR="00B52830">
              <w:rPr>
                <w:color w:val="000000"/>
              </w:rPr>
              <w:noBreakHyphen/>
            </w:r>
            <w:r w:rsidRPr="00536F0C" w:rsidR="00D7796B">
              <w:rPr>
                <w:color w:val="000000"/>
              </w:rPr>
              <w:t>101</w:t>
            </w:r>
            <w:r w:rsidRPr="00536F0C" w:rsidR="00C762C0">
              <w:rPr>
                <w:color w:val="000000"/>
              </w:rPr>
              <w:t>, 170</w:t>
            </w:r>
            <w:r w:rsidRPr="00536F0C" w:rsidR="003239E0">
              <w:rPr>
                <w:color w:val="000000"/>
              </w:rPr>
              <w:t>, 198</w:t>
            </w:r>
            <w:r w:rsidR="00B52830">
              <w:rPr>
                <w:color w:val="000000"/>
              </w:rPr>
              <w:noBreakHyphen/>
            </w:r>
            <w:r w:rsidRPr="00536F0C" w:rsidR="003239E0">
              <w:rPr>
                <w:color w:val="000000"/>
              </w:rPr>
              <w:t>199</w:t>
            </w:r>
            <w:r w:rsidRPr="00536F0C" w:rsidR="00076F4D">
              <w:rPr>
                <w:color w:val="000000"/>
              </w:rPr>
              <w:t>, 200</w:t>
            </w:r>
            <w:r w:rsidR="00B52830">
              <w:rPr>
                <w:color w:val="000000"/>
              </w:rPr>
              <w:noBreakHyphen/>
            </w:r>
            <w:r w:rsidRPr="00536F0C" w:rsidR="00076F4D">
              <w:rPr>
                <w:color w:val="000000"/>
              </w:rPr>
              <w:t>201.</w:t>
            </w:r>
          </w:p>
          <w:p w:rsidRPr="00536F0C" w:rsidR="008D09A0" w:rsidP="00AD23E5" w:rsidRDefault="008D09A0" w14:paraId="7D4DE387" w14:textId="472586DB">
            <w:pPr>
              <w:spacing w:after="240"/>
              <w:rPr>
                <w:color w:val="000000"/>
              </w:rPr>
            </w:pPr>
            <w:r w:rsidRPr="00536F0C">
              <w:rPr>
                <w:color w:val="000000"/>
              </w:rPr>
              <w:t>September 23, 2022 PCF Opening Brief,</w:t>
            </w:r>
            <w:r w:rsidR="0015516F">
              <w:rPr>
                <w:color w:val="000000"/>
              </w:rPr>
              <w:t xml:space="preserve"> p. </w:t>
            </w:r>
            <w:r w:rsidRPr="00536F0C" w:rsidR="00B07314">
              <w:rPr>
                <w:color w:val="000000"/>
              </w:rPr>
              <w:t>3</w:t>
            </w:r>
            <w:r w:rsidR="00B52830">
              <w:rPr>
                <w:color w:val="000000"/>
              </w:rPr>
              <w:noBreakHyphen/>
            </w:r>
            <w:r w:rsidRPr="00536F0C" w:rsidR="00B07314">
              <w:rPr>
                <w:color w:val="000000"/>
              </w:rPr>
              <w:t xml:space="preserve">5, </w:t>
            </w:r>
            <w:r w:rsidRPr="00536F0C" w:rsidR="00113818">
              <w:rPr>
                <w:color w:val="000000"/>
              </w:rPr>
              <w:t>21</w:t>
            </w:r>
            <w:r w:rsidR="00B52830">
              <w:rPr>
                <w:color w:val="000000"/>
              </w:rPr>
              <w:noBreakHyphen/>
            </w:r>
            <w:r w:rsidRPr="00536F0C" w:rsidR="00113818">
              <w:rPr>
                <w:color w:val="000000"/>
              </w:rPr>
              <w:t>24</w:t>
            </w:r>
            <w:r w:rsidRPr="00536F0C">
              <w:rPr>
                <w:color w:val="000000"/>
              </w:rPr>
              <w:t>.</w:t>
            </w:r>
          </w:p>
          <w:p w:rsidRPr="00536F0C" w:rsidR="008D09A0" w:rsidP="00AD23E5" w:rsidRDefault="008D09A0" w14:paraId="240DB39E" w14:textId="4A9F2511">
            <w:pPr>
              <w:spacing w:after="240"/>
              <w:rPr>
                <w:color w:val="000000"/>
              </w:rPr>
            </w:pPr>
            <w:r w:rsidRPr="00536F0C">
              <w:rPr>
                <w:color w:val="000000"/>
              </w:rPr>
              <w:t>September 30, 2022 PCF Reply Brief,</w:t>
            </w:r>
            <w:r w:rsidR="0015516F">
              <w:rPr>
                <w:color w:val="000000"/>
              </w:rPr>
              <w:t xml:space="preserve"> p. </w:t>
            </w:r>
            <w:r w:rsidRPr="00536F0C" w:rsidR="00AA5BF5">
              <w:rPr>
                <w:color w:val="000000"/>
              </w:rPr>
              <w:t>6, 14,</w:t>
            </w:r>
            <w:r w:rsidRPr="00536F0C">
              <w:rPr>
                <w:color w:val="000000"/>
              </w:rPr>
              <w:t xml:space="preserve"> </w:t>
            </w:r>
            <w:r w:rsidRPr="00536F0C" w:rsidR="00751EE6">
              <w:rPr>
                <w:color w:val="000000"/>
              </w:rPr>
              <w:t>16</w:t>
            </w:r>
            <w:r w:rsidR="00B52830">
              <w:rPr>
                <w:color w:val="000000"/>
              </w:rPr>
              <w:noBreakHyphen/>
            </w:r>
            <w:r w:rsidRPr="00536F0C" w:rsidR="00751EE6">
              <w:rPr>
                <w:color w:val="000000"/>
              </w:rPr>
              <w:t>20</w:t>
            </w:r>
            <w:r w:rsidRPr="00536F0C">
              <w:rPr>
                <w:color w:val="000000"/>
              </w:rPr>
              <w:t>.</w:t>
            </w:r>
          </w:p>
          <w:p w:rsidRPr="00536F0C" w:rsidR="008D09A0" w:rsidP="00AD23E5" w:rsidRDefault="008D09A0" w14:paraId="5C226DC5" w14:textId="6767F922">
            <w:pPr>
              <w:spacing w:after="240"/>
              <w:rPr>
                <w:color w:val="000000"/>
              </w:rPr>
            </w:pPr>
            <w:r w:rsidRPr="00536F0C">
              <w:rPr>
                <w:color w:val="000000"/>
              </w:rPr>
              <w:lastRenderedPageBreak/>
              <w:t>November 29, 2022 PCF Comments on PD,</w:t>
            </w:r>
            <w:r w:rsidR="0015516F">
              <w:rPr>
                <w:color w:val="000000"/>
              </w:rPr>
              <w:t xml:space="preserve"> p. </w:t>
            </w:r>
            <w:r w:rsidRPr="00536F0C" w:rsidR="0088674B">
              <w:rPr>
                <w:color w:val="000000"/>
              </w:rPr>
              <w:t>2,</w:t>
            </w:r>
            <w:r w:rsidRPr="00536F0C">
              <w:rPr>
                <w:color w:val="000000"/>
              </w:rPr>
              <w:t xml:space="preserve"> </w:t>
            </w:r>
            <w:r w:rsidRPr="00536F0C" w:rsidR="00BA3B15">
              <w:rPr>
                <w:color w:val="000000"/>
              </w:rPr>
              <w:t>13</w:t>
            </w:r>
            <w:r w:rsidRPr="00536F0C" w:rsidR="001667E3">
              <w:rPr>
                <w:color w:val="000000"/>
              </w:rPr>
              <w:t>; Appendix</w:t>
            </w:r>
            <w:r w:rsidR="0015516F">
              <w:rPr>
                <w:color w:val="000000"/>
              </w:rPr>
              <w:t xml:space="preserve"> p. </w:t>
            </w:r>
            <w:r w:rsidRPr="00536F0C" w:rsidR="001667E3">
              <w:rPr>
                <w:color w:val="000000"/>
              </w:rPr>
              <w:t>5</w:t>
            </w:r>
            <w:r w:rsidR="00B52830">
              <w:rPr>
                <w:color w:val="000000"/>
              </w:rPr>
              <w:noBreakHyphen/>
            </w:r>
            <w:r w:rsidRPr="00536F0C" w:rsidR="001667E3">
              <w:rPr>
                <w:color w:val="000000"/>
              </w:rPr>
              <w:t>6</w:t>
            </w:r>
            <w:r w:rsidRPr="00536F0C">
              <w:rPr>
                <w:color w:val="000000"/>
              </w:rPr>
              <w:t>.</w:t>
            </w:r>
          </w:p>
          <w:p w:rsidRPr="00536F0C" w:rsidR="0044029B" w:rsidP="00AD23E5" w:rsidRDefault="0044029B" w14:paraId="601CAD74" w14:textId="52228876">
            <w:pPr>
              <w:spacing w:after="240"/>
              <w:rPr>
                <w:color w:val="000000"/>
              </w:rPr>
            </w:pPr>
            <w:r w:rsidRPr="00536F0C">
              <w:rPr>
                <w:color w:val="000000"/>
              </w:rPr>
              <w:t>PCF</w:t>
            </w:r>
            <w:r w:rsidR="00B52830">
              <w:rPr>
                <w:color w:val="000000"/>
              </w:rPr>
              <w:noBreakHyphen/>
            </w:r>
            <w:r w:rsidRPr="00536F0C">
              <w:rPr>
                <w:color w:val="000000"/>
              </w:rPr>
              <w:t>09 (Ellis Phase 2 Testimony),</w:t>
            </w:r>
            <w:r w:rsidR="0015516F">
              <w:rPr>
                <w:color w:val="000000"/>
              </w:rPr>
              <w:t xml:space="preserve"> p. </w:t>
            </w:r>
            <w:r w:rsidRPr="00536F0C" w:rsidR="00BE40F8">
              <w:rPr>
                <w:color w:val="000000"/>
              </w:rPr>
              <w:t xml:space="preserve">3, 5, </w:t>
            </w:r>
            <w:r w:rsidRPr="00536F0C" w:rsidR="00CF40F7">
              <w:rPr>
                <w:color w:val="000000"/>
              </w:rPr>
              <w:t>35</w:t>
            </w:r>
            <w:r w:rsidR="00B52830">
              <w:rPr>
                <w:color w:val="000000"/>
              </w:rPr>
              <w:noBreakHyphen/>
            </w:r>
            <w:r w:rsidRPr="00536F0C" w:rsidR="00CB543A">
              <w:rPr>
                <w:color w:val="000000"/>
              </w:rPr>
              <w:t>5</w:t>
            </w:r>
            <w:r w:rsidRPr="00536F0C" w:rsidR="00CF40F7">
              <w:rPr>
                <w:color w:val="000000"/>
              </w:rPr>
              <w:t>2</w:t>
            </w:r>
            <w:r w:rsidRPr="00536F0C">
              <w:rPr>
                <w:color w:val="000000"/>
              </w:rPr>
              <w:t>.</w:t>
            </w:r>
          </w:p>
          <w:p w:rsidRPr="00536F0C" w:rsidR="0044029B" w:rsidP="00AD23E5" w:rsidRDefault="0044029B" w14:paraId="287743FC" w14:textId="5A1D814A">
            <w:pPr>
              <w:spacing w:after="240"/>
              <w:rPr>
                <w:color w:val="000000"/>
              </w:rPr>
            </w:pPr>
            <w:r w:rsidRPr="00536F0C">
              <w:rPr>
                <w:color w:val="000000"/>
              </w:rPr>
              <w:t>April 22, 2024 PCF Phase 2 Opening Brief,</w:t>
            </w:r>
            <w:r w:rsidR="0015516F">
              <w:rPr>
                <w:color w:val="000000"/>
              </w:rPr>
              <w:t xml:space="preserve"> p. </w:t>
            </w:r>
            <w:r w:rsidRPr="00536F0C" w:rsidR="00BE5982">
              <w:rPr>
                <w:color w:val="000000"/>
              </w:rPr>
              <w:t>3</w:t>
            </w:r>
            <w:r w:rsidR="00B52830">
              <w:rPr>
                <w:color w:val="000000"/>
              </w:rPr>
              <w:noBreakHyphen/>
            </w:r>
            <w:r w:rsidRPr="00536F0C" w:rsidR="00BE5982">
              <w:rPr>
                <w:color w:val="000000"/>
              </w:rPr>
              <w:t xml:space="preserve">4, </w:t>
            </w:r>
            <w:r w:rsidRPr="00536F0C" w:rsidR="0076590F">
              <w:rPr>
                <w:color w:val="000000"/>
              </w:rPr>
              <w:t>17</w:t>
            </w:r>
            <w:r w:rsidR="00B52830">
              <w:rPr>
                <w:color w:val="000000"/>
              </w:rPr>
              <w:noBreakHyphen/>
            </w:r>
            <w:r w:rsidRPr="00536F0C" w:rsidR="00BE5982">
              <w:rPr>
                <w:color w:val="000000"/>
              </w:rPr>
              <w:t>20, 36</w:t>
            </w:r>
            <w:r w:rsidR="00B52830">
              <w:rPr>
                <w:color w:val="000000"/>
              </w:rPr>
              <w:noBreakHyphen/>
            </w:r>
            <w:r w:rsidRPr="00536F0C" w:rsidR="00BE5982">
              <w:rPr>
                <w:color w:val="000000"/>
              </w:rPr>
              <w:t>37</w:t>
            </w:r>
            <w:r w:rsidRPr="00536F0C" w:rsidR="0042165F">
              <w:rPr>
                <w:color w:val="000000"/>
              </w:rPr>
              <w:t xml:space="preserve"> </w:t>
            </w:r>
            <w:r w:rsidRPr="00536F0C" w:rsidR="0042165F">
              <w:rPr>
                <w:i/>
                <w:iCs/>
                <w:color w:val="000000"/>
              </w:rPr>
              <w:t>id.</w:t>
            </w:r>
            <w:r w:rsidRPr="00536F0C" w:rsidR="0042165F">
              <w:rPr>
                <w:color w:val="000000"/>
              </w:rPr>
              <w:t xml:space="preserve"> at</w:t>
            </w:r>
            <w:r w:rsidR="0015516F">
              <w:rPr>
                <w:color w:val="000000"/>
              </w:rPr>
              <w:t xml:space="preserve"> p. </w:t>
            </w:r>
            <w:r w:rsidRPr="00536F0C" w:rsidR="0042165F">
              <w:rPr>
                <w:color w:val="000000"/>
              </w:rPr>
              <w:t>20 (</w:t>
            </w:r>
            <w:r w:rsidR="004E6167">
              <w:rPr>
                <w:color w:val="000000"/>
              </w:rPr>
              <w:t>“</w:t>
            </w:r>
            <w:r w:rsidRPr="00536F0C" w:rsidR="0042165F">
              <w:rPr>
                <w:color w:val="000000"/>
              </w:rPr>
              <w:t xml:space="preserve">In general, reducing the ROE, even if it requires a higher equity ratio, is a much more effective way to reduce customer costs than reducing the equity ratio. As the Commission has recognized in the past, capital structure should </w:t>
            </w:r>
            <w:r w:rsidR="004E6167">
              <w:rPr>
                <w:color w:val="000000"/>
              </w:rPr>
              <w:t>‘</w:t>
            </w:r>
            <w:r w:rsidRPr="00536F0C" w:rsidR="0042165F">
              <w:rPr>
                <w:color w:val="000000"/>
              </w:rPr>
              <w:t>be in the public interest of the ratepayers of California.</w:t>
            </w:r>
            <w:r w:rsidR="004E6167">
              <w:rPr>
                <w:color w:val="000000"/>
              </w:rPr>
              <w:t>’</w:t>
            </w:r>
            <w:r w:rsidRPr="00536F0C" w:rsidR="0042165F">
              <w:rPr>
                <w:color w:val="000000"/>
              </w:rPr>
              <w:t xml:space="preserve"> The potential savings to customers from optimizing the ROE and capital structure are significant – more than 10% of total customer costs.</w:t>
            </w:r>
            <w:r w:rsidR="004E6167">
              <w:rPr>
                <w:color w:val="000000"/>
              </w:rPr>
              <w:t>”</w:t>
            </w:r>
            <w:r w:rsidRPr="00536F0C" w:rsidR="0042165F">
              <w:rPr>
                <w:color w:val="000000"/>
              </w:rPr>
              <w:t>)(citations omitted).</w:t>
            </w:r>
          </w:p>
          <w:p w:rsidRPr="00536F0C" w:rsidR="0044029B" w:rsidP="00AD23E5" w:rsidRDefault="0044029B" w14:paraId="4CCDC3D2" w14:textId="19D0B1FE">
            <w:pPr>
              <w:spacing w:after="240"/>
              <w:rPr>
                <w:color w:val="000000"/>
              </w:rPr>
            </w:pPr>
            <w:r w:rsidRPr="00536F0C">
              <w:rPr>
                <w:color w:val="000000"/>
              </w:rPr>
              <w:t>May 6, 2024 PCF Phase 2 Reply Brief,</w:t>
            </w:r>
            <w:r w:rsidR="0015516F">
              <w:rPr>
                <w:color w:val="000000"/>
              </w:rPr>
              <w:t xml:space="preserve"> p. </w:t>
            </w:r>
            <w:r w:rsidRPr="00536F0C" w:rsidR="00DC2009">
              <w:rPr>
                <w:color w:val="000000"/>
              </w:rPr>
              <w:t>2,</w:t>
            </w:r>
            <w:r w:rsidRPr="00536F0C">
              <w:rPr>
                <w:color w:val="000000"/>
              </w:rPr>
              <w:t xml:space="preserve"> </w:t>
            </w:r>
            <w:r w:rsidRPr="00536F0C" w:rsidR="00937BB0">
              <w:rPr>
                <w:color w:val="000000"/>
              </w:rPr>
              <w:t>14</w:t>
            </w:r>
            <w:r w:rsidRPr="00536F0C">
              <w:rPr>
                <w:color w:val="000000"/>
              </w:rPr>
              <w:t>.</w:t>
            </w:r>
          </w:p>
          <w:p w:rsidRPr="00536F0C" w:rsidR="0044029B" w:rsidP="00AD23E5" w:rsidRDefault="0044029B" w14:paraId="424CDA9F" w14:textId="4AC7CE06">
            <w:pPr>
              <w:spacing w:after="240"/>
              <w:rPr>
                <w:color w:val="000000"/>
              </w:rPr>
            </w:pPr>
            <w:r w:rsidRPr="00536F0C">
              <w:rPr>
                <w:color w:val="000000"/>
              </w:rPr>
              <w:t>September 30, 2024 PCF Comments on Phase 2 PD,</w:t>
            </w:r>
            <w:r w:rsidR="0015516F">
              <w:rPr>
                <w:color w:val="000000"/>
              </w:rPr>
              <w:t xml:space="preserve"> p. </w:t>
            </w:r>
            <w:r w:rsidRPr="00536F0C" w:rsidR="00B81D68">
              <w:rPr>
                <w:color w:val="000000"/>
              </w:rPr>
              <w:t>2</w:t>
            </w:r>
            <w:r w:rsidR="00B52830">
              <w:rPr>
                <w:color w:val="000000"/>
              </w:rPr>
              <w:noBreakHyphen/>
            </w:r>
            <w:r w:rsidRPr="00536F0C" w:rsidR="00B81D68">
              <w:rPr>
                <w:color w:val="000000"/>
              </w:rPr>
              <w:t xml:space="preserve">3, </w:t>
            </w:r>
            <w:r w:rsidRPr="00536F0C" w:rsidR="00D02475">
              <w:rPr>
                <w:color w:val="000000"/>
              </w:rPr>
              <w:t>5</w:t>
            </w:r>
            <w:r w:rsidRPr="00536F0C" w:rsidR="00AE6DBE">
              <w:rPr>
                <w:color w:val="000000"/>
              </w:rPr>
              <w:t>, 9</w:t>
            </w:r>
            <w:r w:rsidRPr="00536F0C" w:rsidR="003744B0">
              <w:rPr>
                <w:color w:val="000000"/>
              </w:rPr>
              <w:t>; Appendix</w:t>
            </w:r>
            <w:r w:rsidR="0015516F">
              <w:rPr>
                <w:color w:val="000000"/>
              </w:rPr>
              <w:t xml:space="preserve"> p. </w:t>
            </w:r>
            <w:r w:rsidRPr="00536F0C" w:rsidR="003744B0">
              <w:rPr>
                <w:color w:val="000000"/>
              </w:rPr>
              <w:t>3</w:t>
            </w:r>
            <w:r w:rsidRPr="00536F0C" w:rsidR="002016C2">
              <w:rPr>
                <w:color w:val="000000"/>
              </w:rPr>
              <w:t>, 6</w:t>
            </w:r>
          </w:p>
          <w:p w:rsidRPr="00536F0C" w:rsidR="00F85BCD" w:rsidP="00AD23E5" w:rsidRDefault="0044029B" w14:paraId="2CBFFC7E" w14:textId="18D2A31B">
            <w:pPr>
              <w:spacing w:after="240"/>
              <w:rPr>
                <w:color w:val="000000"/>
              </w:rPr>
            </w:pPr>
            <w:r w:rsidRPr="00536F0C">
              <w:rPr>
                <w:color w:val="000000"/>
              </w:rPr>
              <w:t>October 7, 2024 PCF Reply Comments on Phase 2 PD,</w:t>
            </w:r>
            <w:r w:rsidR="0015516F">
              <w:rPr>
                <w:color w:val="000000"/>
              </w:rPr>
              <w:t xml:space="preserve"> p. </w:t>
            </w:r>
            <w:r w:rsidRPr="00536F0C" w:rsidR="00B918C0">
              <w:rPr>
                <w:color w:val="000000"/>
              </w:rPr>
              <w:t>1</w:t>
            </w:r>
            <w:r w:rsidRPr="00536F0C">
              <w:rPr>
                <w:color w:val="000000"/>
              </w:rPr>
              <w:t>.</w:t>
            </w:r>
          </w:p>
        </w:tc>
        <w:tc>
          <w:tcPr>
            <w:tcW w:w="2075" w:type="dxa"/>
          </w:tcPr>
          <w:p w:rsidRPr="00536F0C" w:rsidR="00F85BCD" w:rsidP="009C3C07" w:rsidRDefault="00CC58CF" w14:paraId="5C46479C" w14:textId="4FF48AA2">
            <w:pPr>
              <w:spacing w:after="240"/>
              <w:rPr>
                <w:color w:val="000000"/>
              </w:rPr>
            </w:pPr>
            <w:r>
              <w:rPr>
                <w:color w:val="000000"/>
              </w:rPr>
              <w:lastRenderedPageBreak/>
              <w:t>Verified</w:t>
            </w:r>
          </w:p>
        </w:tc>
      </w:tr>
      <w:tr w:rsidRPr="00536F0C" w:rsidR="007C745B" w:rsidTr="0015516F" w14:paraId="7FEF2A52" w14:textId="77777777">
        <w:tc>
          <w:tcPr>
            <w:tcW w:w="2785" w:type="dxa"/>
          </w:tcPr>
          <w:p w:rsidRPr="00536F0C" w:rsidR="00612E19" w:rsidP="00822696" w:rsidRDefault="00C454FB" w14:paraId="1EBDF83D" w14:textId="11974664">
            <w:pPr>
              <w:pStyle w:val="ListParagraph"/>
              <w:spacing w:after="240"/>
              <w:ind w:left="0"/>
              <w:rPr>
                <w:rFonts w:ascii="Times New Roman" w:hAnsi="Times New Roman"/>
                <w:color w:val="000000"/>
                <w:sz w:val="24"/>
                <w:szCs w:val="24"/>
              </w:rPr>
            </w:pPr>
            <w:r w:rsidRPr="00536F0C">
              <w:rPr>
                <w:rFonts w:ascii="Times New Roman" w:hAnsi="Times New Roman"/>
                <w:b/>
                <w:color w:val="000000" w:themeColor="text1"/>
                <w:sz w:val="24"/>
                <w:szCs w:val="24"/>
                <w:u w:val="single"/>
              </w:rPr>
              <w:lastRenderedPageBreak/>
              <w:t>Only Market</w:t>
            </w:r>
            <w:r w:rsidR="00B52830">
              <w:rPr>
                <w:rFonts w:ascii="Times New Roman" w:hAnsi="Times New Roman"/>
                <w:b/>
                <w:color w:val="000000" w:themeColor="text1"/>
                <w:sz w:val="24"/>
                <w:szCs w:val="24"/>
                <w:u w:val="single"/>
              </w:rPr>
              <w:noBreakHyphen/>
            </w:r>
            <w:r w:rsidRPr="00536F0C">
              <w:rPr>
                <w:rFonts w:ascii="Times New Roman" w:hAnsi="Times New Roman"/>
                <w:b/>
                <w:color w:val="000000" w:themeColor="text1"/>
                <w:sz w:val="24"/>
                <w:szCs w:val="24"/>
                <w:u w:val="single"/>
              </w:rPr>
              <w:t xml:space="preserve">Based </w:t>
            </w:r>
            <w:r w:rsidRPr="00536F0C" w:rsidR="00D16899">
              <w:rPr>
                <w:rFonts w:ascii="Times New Roman" w:hAnsi="Times New Roman"/>
                <w:b/>
                <w:color w:val="000000" w:themeColor="text1"/>
                <w:sz w:val="24"/>
                <w:szCs w:val="24"/>
                <w:u w:val="single"/>
              </w:rPr>
              <w:t xml:space="preserve">Financial </w:t>
            </w:r>
            <w:r w:rsidRPr="00536F0C">
              <w:rPr>
                <w:rFonts w:ascii="Times New Roman" w:hAnsi="Times New Roman"/>
                <w:b/>
                <w:color w:val="000000" w:themeColor="text1"/>
                <w:sz w:val="24"/>
                <w:szCs w:val="24"/>
                <w:u w:val="single"/>
              </w:rPr>
              <w:t>Models</w:t>
            </w:r>
            <w:r w:rsidRPr="00536F0C" w:rsidR="00B74AB5">
              <w:rPr>
                <w:rFonts w:ascii="Times New Roman" w:hAnsi="Times New Roman"/>
                <w:b/>
                <w:color w:val="000000" w:themeColor="text1"/>
                <w:sz w:val="24"/>
                <w:szCs w:val="24"/>
                <w:u w:val="single"/>
              </w:rPr>
              <w:t xml:space="preserve"> – Not the EEA and RPM – </w:t>
            </w:r>
            <w:r w:rsidRPr="00536F0C" w:rsidR="00AB5AD2">
              <w:rPr>
                <w:rFonts w:ascii="Times New Roman" w:hAnsi="Times New Roman"/>
                <w:b/>
                <w:color w:val="000000" w:themeColor="text1"/>
                <w:sz w:val="24"/>
                <w:szCs w:val="24"/>
                <w:u w:val="single"/>
              </w:rPr>
              <w:t xml:space="preserve">Estimate </w:t>
            </w:r>
            <w:r w:rsidRPr="00536F0C" w:rsidR="00B714BC">
              <w:rPr>
                <w:rFonts w:ascii="Times New Roman" w:hAnsi="Times New Roman"/>
                <w:b/>
                <w:color w:val="000000" w:themeColor="text1"/>
                <w:sz w:val="24"/>
                <w:szCs w:val="24"/>
                <w:u w:val="single"/>
              </w:rPr>
              <w:t>the Utilities</w:t>
            </w:r>
            <w:r w:rsidR="004E6167">
              <w:rPr>
                <w:rFonts w:ascii="Times New Roman" w:hAnsi="Times New Roman"/>
                <w:b/>
                <w:color w:val="000000" w:themeColor="text1"/>
                <w:sz w:val="24"/>
                <w:szCs w:val="24"/>
                <w:u w:val="single"/>
              </w:rPr>
              <w:t>’</w:t>
            </w:r>
            <w:r w:rsidRPr="00536F0C" w:rsidR="00B714BC">
              <w:rPr>
                <w:rFonts w:ascii="Times New Roman" w:hAnsi="Times New Roman"/>
                <w:b/>
                <w:color w:val="000000" w:themeColor="text1"/>
                <w:sz w:val="24"/>
                <w:szCs w:val="24"/>
                <w:u w:val="single"/>
              </w:rPr>
              <w:t xml:space="preserve"> </w:t>
            </w:r>
            <w:r w:rsidRPr="00536F0C" w:rsidR="00AB5AD2">
              <w:rPr>
                <w:rFonts w:ascii="Times New Roman" w:hAnsi="Times New Roman"/>
                <w:b/>
                <w:color w:val="000000" w:themeColor="text1"/>
                <w:sz w:val="24"/>
                <w:szCs w:val="24"/>
                <w:u w:val="single"/>
              </w:rPr>
              <w:t>COC</w:t>
            </w:r>
            <w:r w:rsidRPr="00536F0C" w:rsidR="00B714BC">
              <w:rPr>
                <w:rFonts w:ascii="Times New Roman" w:hAnsi="Times New Roman"/>
                <w:b/>
                <w:color w:val="000000" w:themeColor="text1"/>
                <w:sz w:val="24"/>
                <w:szCs w:val="24"/>
                <w:u w:val="single"/>
              </w:rPr>
              <w:t>s</w:t>
            </w:r>
            <w:r w:rsidRPr="00536F0C">
              <w:rPr>
                <w:rFonts w:ascii="Times New Roman" w:hAnsi="Times New Roman"/>
                <w:b/>
                <w:color w:val="000000" w:themeColor="text1"/>
                <w:sz w:val="24"/>
                <w:szCs w:val="24"/>
              </w:rPr>
              <w:t>.</w:t>
            </w:r>
            <w:r w:rsidRPr="00536F0C">
              <w:rPr>
                <w:rFonts w:ascii="Times New Roman" w:hAnsi="Times New Roman"/>
                <w:color w:val="000000" w:themeColor="text1"/>
                <w:sz w:val="24"/>
                <w:szCs w:val="24"/>
              </w:rPr>
              <w:t xml:space="preserve"> </w:t>
            </w:r>
            <w:r w:rsidRPr="00536F0C" w:rsidR="00612E19">
              <w:rPr>
                <w:rFonts w:ascii="Times New Roman" w:hAnsi="Times New Roman"/>
                <w:color w:val="000000" w:themeColor="text1"/>
                <w:sz w:val="24"/>
                <w:szCs w:val="24"/>
              </w:rPr>
              <w:t>PCF provided detailed evidence and comprehensive briefing demonstrating that the Expected Earnings Analysis (EEA) and the Risk Premium Model (RPM) are not market</w:t>
            </w:r>
            <w:r w:rsidR="00B52830">
              <w:rPr>
                <w:rFonts w:ascii="Times New Roman" w:hAnsi="Times New Roman"/>
                <w:color w:val="000000" w:themeColor="text1"/>
                <w:sz w:val="24"/>
                <w:szCs w:val="24"/>
              </w:rPr>
              <w:noBreakHyphen/>
            </w:r>
            <w:r w:rsidRPr="00536F0C" w:rsidR="00612E19">
              <w:rPr>
                <w:rFonts w:ascii="Times New Roman" w:hAnsi="Times New Roman"/>
                <w:color w:val="000000" w:themeColor="text1"/>
                <w:sz w:val="24"/>
                <w:szCs w:val="24"/>
              </w:rPr>
              <w:t xml:space="preserve">based models and should not be utilized to </w:t>
            </w:r>
            <w:r w:rsidRPr="00536F0C" w:rsidR="00612E19">
              <w:rPr>
                <w:rFonts w:ascii="Times New Roman" w:hAnsi="Times New Roman"/>
                <w:color w:val="000000" w:themeColor="text1"/>
                <w:sz w:val="24"/>
                <w:szCs w:val="24"/>
              </w:rPr>
              <w:lastRenderedPageBreak/>
              <w:t xml:space="preserve">determine authorized returns on equity, nor should they be used in future cost of capital proceedings.  </w:t>
            </w:r>
            <w:r w:rsidRPr="00536F0C" w:rsidR="009F5B9F">
              <w:rPr>
                <w:rFonts w:ascii="Times New Roman" w:hAnsi="Times New Roman"/>
                <w:color w:val="000000" w:themeColor="text1"/>
                <w:sz w:val="24"/>
                <w:szCs w:val="24"/>
              </w:rPr>
              <w:t>D.21</w:t>
            </w:r>
            <w:r w:rsidR="00B52830">
              <w:rPr>
                <w:rFonts w:ascii="Times New Roman" w:hAnsi="Times New Roman"/>
                <w:color w:val="000000" w:themeColor="text1"/>
                <w:sz w:val="24"/>
                <w:szCs w:val="24"/>
              </w:rPr>
              <w:noBreakHyphen/>
            </w:r>
            <w:r w:rsidRPr="00536F0C" w:rsidR="009F5B9F">
              <w:rPr>
                <w:rFonts w:ascii="Times New Roman" w:hAnsi="Times New Roman"/>
                <w:color w:val="000000" w:themeColor="text1"/>
                <w:sz w:val="24"/>
                <w:szCs w:val="24"/>
              </w:rPr>
              <w:t>12</w:t>
            </w:r>
            <w:r w:rsidR="00B52830">
              <w:rPr>
                <w:rFonts w:ascii="Times New Roman" w:hAnsi="Times New Roman"/>
                <w:color w:val="000000" w:themeColor="text1"/>
                <w:sz w:val="24"/>
                <w:szCs w:val="24"/>
              </w:rPr>
              <w:noBreakHyphen/>
            </w:r>
            <w:r w:rsidRPr="00536F0C" w:rsidR="009F5B9F">
              <w:rPr>
                <w:rFonts w:ascii="Times New Roman" w:hAnsi="Times New Roman"/>
                <w:color w:val="000000" w:themeColor="text1"/>
                <w:sz w:val="24"/>
                <w:szCs w:val="24"/>
              </w:rPr>
              <w:t>031</w:t>
            </w:r>
            <w:r w:rsidRPr="00536F0C" w:rsidR="00612E19">
              <w:rPr>
                <w:rFonts w:ascii="Times New Roman" w:hAnsi="Times New Roman"/>
                <w:color w:val="000000" w:themeColor="text1"/>
                <w:sz w:val="24"/>
                <w:szCs w:val="24"/>
              </w:rPr>
              <w:t xml:space="preserve"> did not adopt PCF</w:t>
            </w:r>
            <w:r w:rsidR="004E6167">
              <w:rPr>
                <w:rFonts w:ascii="Times New Roman" w:hAnsi="Times New Roman"/>
                <w:color w:val="000000" w:themeColor="text1"/>
                <w:sz w:val="24"/>
                <w:szCs w:val="24"/>
              </w:rPr>
              <w:t>’</w:t>
            </w:r>
            <w:r w:rsidRPr="00536F0C" w:rsidR="00612E19">
              <w:rPr>
                <w:rFonts w:ascii="Times New Roman" w:hAnsi="Times New Roman"/>
                <w:color w:val="000000" w:themeColor="text1"/>
                <w:sz w:val="24"/>
                <w:szCs w:val="24"/>
              </w:rPr>
              <w:t xml:space="preserve">s recommendation in full, </w:t>
            </w:r>
            <w:r w:rsidRPr="00536F0C" w:rsidR="009F5B9F">
              <w:rPr>
                <w:rFonts w:ascii="Times New Roman" w:hAnsi="Times New Roman"/>
                <w:color w:val="000000" w:themeColor="text1"/>
                <w:sz w:val="24"/>
                <w:szCs w:val="24"/>
              </w:rPr>
              <w:t xml:space="preserve">but it </w:t>
            </w:r>
            <w:r w:rsidRPr="00536F0C" w:rsidR="00612E19">
              <w:rPr>
                <w:rFonts w:ascii="Times New Roman" w:hAnsi="Times New Roman"/>
                <w:color w:val="000000" w:themeColor="text1"/>
                <w:sz w:val="24"/>
                <w:szCs w:val="24"/>
              </w:rPr>
              <w:t>acknowledged that the ROE should be set based on investor</w:t>
            </w:r>
            <w:r w:rsidR="004E6167">
              <w:rPr>
                <w:rFonts w:ascii="Times New Roman" w:hAnsi="Times New Roman"/>
                <w:color w:val="000000" w:themeColor="text1"/>
                <w:sz w:val="24"/>
                <w:szCs w:val="24"/>
              </w:rPr>
              <w:t>’</w:t>
            </w:r>
            <w:r w:rsidRPr="00536F0C" w:rsidR="00612E19">
              <w:rPr>
                <w:rFonts w:ascii="Times New Roman" w:hAnsi="Times New Roman"/>
                <w:color w:val="000000" w:themeColor="text1"/>
                <w:sz w:val="24"/>
                <w:szCs w:val="24"/>
              </w:rPr>
              <w:t>s market</w:t>
            </w:r>
            <w:r w:rsidR="00B52830">
              <w:rPr>
                <w:rFonts w:ascii="Times New Roman" w:hAnsi="Times New Roman"/>
                <w:color w:val="000000" w:themeColor="text1"/>
                <w:sz w:val="24"/>
                <w:szCs w:val="24"/>
              </w:rPr>
              <w:noBreakHyphen/>
            </w:r>
            <w:r w:rsidRPr="00536F0C" w:rsidR="00612E19">
              <w:rPr>
                <w:rFonts w:ascii="Times New Roman" w:hAnsi="Times New Roman"/>
                <w:color w:val="000000" w:themeColor="text1"/>
                <w:sz w:val="24"/>
                <w:szCs w:val="24"/>
              </w:rPr>
              <w:t xml:space="preserve">based expectations; </w:t>
            </w:r>
            <w:r w:rsidRPr="00536F0C" w:rsidR="00663C4D">
              <w:rPr>
                <w:rFonts w:ascii="Times New Roman" w:hAnsi="Times New Roman"/>
                <w:color w:val="000000" w:themeColor="text1"/>
                <w:sz w:val="24"/>
                <w:szCs w:val="24"/>
              </w:rPr>
              <w:t>and D.24</w:t>
            </w:r>
            <w:r w:rsidR="00B52830">
              <w:rPr>
                <w:rFonts w:ascii="Times New Roman" w:hAnsi="Times New Roman"/>
                <w:color w:val="000000" w:themeColor="text1"/>
                <w:sz w:val="24"/>
                <w:szCs w:val="24"/>
              </w:rPr>
              <w:noBreakHyphen/>
            </w:r>
            <w:r w:rsidRPr="00536F0C" w:rsidR="00663C4D">
              <w:rPr>
                <w:rFonts w:ascii="Times New Roman" w:hAnsi="Times New Roman"/>
                <w:color w:val="000000" w:themeColor="text1"/>
                <w:sz w:val="24"/>
                <w:szCs w:val="24"/>
              </w:rPr>
              <w:t>10</w:t>
            </w:r>
            <w:r w:rsidR="00B52830">
              <w:rPr>
                <w:rFonts w:ascii="Times New Roman" w:hAnsi="Times New Roman"/>
                <w:color w:val="000000" w:themeColor="text1"/>
                <w:sz w:val="24"/>
                <w:szCs w:val="24"/>
              </w:rPr>
              <w:noBreakHyphen/>
            </w:r>
            <w:r w:rsidRPr="00536F0C" w:rsidR="00663C4D">
              <w:rPr>
                <w:rFonts w:ascii="Times New Roman" w:hAnsi="Times New Roman"/>
                <w:color w:val="000000" w:themeColor="text1"/>
                <w:sz w:val="24"/>
                <w:szCs w:val="24"/>
              </w:rPr>
              <w:t xml:space="preserve">008 </w:t>
            </w:r>
            <w:r w:rsidRPr="00536F0C" w:rsidR="0032007C">
              <w:rPr>
                <w:rFonts w:ascii="Times New Roman" w:hAnsi="Times New Roman"/>
                <w:color w:val="000000" w:themeColor="text1"/>
                <w:sz w:val="24"/>
                <w:szCs w:val="24"/>
              </w:rPr>
              <w:t>allows the Commission to consider PCF</w:t>
            </w:r>
            <w:r w:rsidR="004E6167">
              <w:rPr>
                <w:rFonts w:ascii="Times New Roman" w:hAnsi="Times New Roman"/>
                <w:color w:val="000000" w:themeColor="text1"/>
                <w:sz w:val="24"/>
                <w:szCs w:val="24"/>
              </w:rPr>
              <w:t>’</w:t>
            </w:r>
            <w:r w:rsidRPr="00536F0C" w:rsidR="0032007C">
              <w:rPr>
                <w:rFonts w:ascii="Times New Roman" w:hAnsi="Times New Roman"/>
                <w:color w:val="000000" w:themeColor="text1"/>
                <w:sz w:val="24"/>
                <w:szCs w:val="24"/>
              </w:rPr>
              <w:t xml:space="preserve">s recommendations in future </w:t>
            </w:r>
            <w:r w:rsidRPr="00536F0C" w:rsidR="00112088">
              <w:rPr>
                <w:rFonts w:ascii="Times New Roman" w:hAnsi="Times New Roman"/>
                <w:color w:val="000000" w:themeColor="text1"/>
                <w:sz w:val="24"/>
                <w:szCs w:val="24"/>
              </w:rPr>
              <w:t>COC proceedings</w:t>
            </w:r>
            <w:r w:rsidRPr="00536F0C" w:rsidR="00272295">
              <w:rPr>
                <w:rFonts w:ascii="Times New Roman" w:hAnsi="Times New Roman"/>
                <w:color w:val="000000" w:themeColor="text1"/>
                <w:sz w:val="24"/>
                <w:szCs w:val="24"/>
              </w:rPr>
              <w:t>, and Commissioners considered PCF</w:t>
            </w:r>
            <w:r w:rsidR="004E6167">
              <w:rPr>
                <w:rFonts w:ascii="Times New Roman" w:hAnsi="Times New Roman"/>
                <w:color w:val="000000" w:themeColor="text1"/>
                <w:sz w:val="24"/>
                <w:szCs w:val="24"/>
              </w:rPr>
              <w:t>’</w:t>
            </w:r>
            <w:r w:rsidRPr="00536F0C" w:rsidR="00272295">
              <w:rPr>
                <w:rFonts w:ascii="Times New Roman" w:hAnsi="Times New Roman"/>
                <w:color w:val="000000" w:themeColor="text1"/>
                <w:sz w:val="24"/>
                <w:szCs w:val="24"/>
              </w:rPr>
              <w:t>s evidence</w:t>
            </w:r>
            <w:r w:rsidRPr="00536F0C" w:rsidR="0039053D">
              <w:rPr>
                <w:rFonts w:ascii="Times New Roman" w:hAnsi="Times New Roman"/>
                <w:color w:val="000000" w:themeColor="text1"/>
                <w:sz w:val="24"/>
                <w:szCs w:val="24"/>
              </w:rPr>
              <w:t xml:space="preserve"> and recommendations.</w:t>
            </w:r>
          </w:p>
        </w:tc>
        <w:tc>
          <w:tcPr>
            <w:tcW w:w="4500" w:type="dxa"/>
          </w:tcPr>
          <w:p w:rsidRPr="00536F0C" w:rsidR="00612E19" w:rsidP="00AD23E5" w:rsidRDefault="004E6167" w14:paraId="552B0328" w14:textId="2A383195">
            <w:pPr>
              <w:spacing w:after="240"/>
              <w:rPr>
                <w:color w:val="000000"/>
              </w:rPr>
            </w:pPr>
            <w:r>
              <w:rPr>
                <w:color w:val="000000"/>
              </w:rPr>
              <w:lastRenderedPageBreak/>
              <w:t>“</w:t>
            </w:r>
            <w:r w:rsidRPr="00536F0C" w:rsidR="00612E19">
              <w:rPr>
                <w:color w:val="000000"/>
              </w:rPr>
              <w:t>ROE is most effectively set at a level of return commensurate with market</w:t>
            </w:r>
            <w:r w:rsidRPr="00536F0C" w:rsidR="008E18CE">
              <w:rPr>
                <w:color w:val="000000"/>
              </w:rPr>
              <w:t xml:space="preserve"> </w:t>
            </w:r>
            <w:r w:rsidRPr="00536F0C" w:rsidR="00612E19">
              <w:rPr>
                <w:color w:val="000000"/>
              </w:rPr>
              <w:t>returns on investments having corresponding risks and adequate to enable a</w:t>
            </w:r>
            <w:r w:rsidRPr="00536F0C" w:rsidR="008E18CE">
              <w:rPr>
                <w:color w:val="000000"/>
              </w:rPr>
              <w:t xml:space="preserve"> </w:t>
            </w:r>
            <w:r w:rsidRPr="00536F0C" w:rsidR="00612E19">
              <w:rPr>
                <w:color w:val="000000"/>
              </w:rPr>
              <w:t>utility to attract investors to finance the replacement and expansion of a utility</w:t>
            </w:r>
            <w:r>
              <w:rPr>
                <w:color w:val="000000"/>
              </w:rPr>
              <w:t>’</w:t>
            </w:r>
            <w:r w:rsidRPr="00536F0C" w:rsidR="00612E19">
              <w:rPr>
                <w:color w:val="000000"/>
              </w:rPr>
              <w:t>s</w:t>
            </w:r>
            <w:r w:rsidRPr="00536F0C" w:rsidR="008E18CE">
              <w:rPr>
                <w:color w:val="000000"/>
              </w:rPr>
              <w:t xml:space="preserve"> </w:t>
            </w:r>
            <w:r w:rsidRPr="00536F0C" w:rsidR="00612E19">
              <w:rPr>
                <w:color w:val="000000"/>
              </w:rPr>
              <w:t>facilities to fulfill its public utility obligation while ensuring there is ratepayer</w:t>
            </w:r>
            <w:r w:rsidRPr="00536F0C" w:rsidR="008E18CE">
              <w:rPr>
                <w:color w:val="000000"/>
              </w:rPr>
              <w:t xml:space="preserve"> </w:t>
            </w:r>
            <w:r w:rsidRPr="00536F0C" w:rsidR="00612E19">
              <w:rPr>
                <w:color w:val="000000"/>
              </w:rPr>
              <w:t>protection from unreasonable costs.</w:t>
            </w:r>
            <w:r>
              <w:rPr>
                <w:color w:val="000000"/>
              </w:rPr>
              <w:t>”</w:t>
            </w:r>
            <w:r w:rsidRPr="00536F0C" w:rsidR="008E18CE">
              <w:rPr>
                <w:color w:val="000000"/>
              </w:rPr>
              <w:t xml:space="preserve"> D.22</w:t>
            </w:r>
            <w:r w:rsidR="00B52830">
              <w:rPr>
                <w:color w:val="000000"/>
              </w:rPr>
              <w:noBreakHyphen/>
            </w:r>
            <w:r w:rsidRPr="00536F0C" w:rsidR="008E18CE">
              <w:rPr>
                <w:color w:val="000000"/>
              </w:rPr>
              <w:t>12</w:t>
            </w:r>
            <w:r w:rsidR="00B52830">
              <w:rPr>
                <w:color w:val="000000"/>
              </w:rPr>
              <w:noBreakHyphen/>
            </w:r>
            <w:r w:rsidRPr="00536F0C" w:rsidR="008E18CE">
              <w:rPr>
                <w:color w:val="000000"/>
              </w:rPr>
              <w:t>031,</w:t>
            </w:r>
            <w:r w:rsidR="0015516F">
              <w:rPr>
                <w:color w:val="000000"/>
              </w:rPr>
              <w:t xml:space="preserve"> p. </w:t>
            </w:r>
            <w:r w:rsidRPr="00536F0C" w:rsidR="008E18CE">
              <w:rPr>
                <w:color w:val="000000"/>
              </w:rPr>
              <w:t>46 (FOF 20).</w:t>
            </w:r>
          </w:p>
          <w:p w:rsidRPr="00536F0C" w:rsidR="00034777" w:rsidP="00AD23E5" w:rsidRDefault="004E6167" w14:paraId="5A4A7FF8" w14:textId="73B74886">
            <w:pPr>
              <w:spacing w:after="240"/>
              <w:rPr>
                <w:color w:val="000000"/>
              </w:rPr>
            </w:pPr>
            <w:r>
              <w:rPr>
                <w:color w:val="000000"/>
              </w:rPr>
              <w:t>“</w:t>
            </w:r>
            <w:r w:rsidRPr="00536F0C" w:rsidR="00034777">
              <w:rPr>
                <w:color w:val="000000"/>
              </w:rPr>
              <w:t xml:space="preserve">The United States Supreme Court Bluefield and Hope decisions set the standard that the utilities should be </w:t>
            </w:r>
            <w:r w:rsidRPr="00536F0C" w:rsidR="00034777">
              <w:rPr>
                <w:color w:val="000000"/>
              </w:rPr>
              <w:lastRenderedPageBreak/>
              <w:t>authorized an ROE at a level for which they can attract capital to raise money for the proper discharge of their public utility duties and maintain creditworthiness.</w:t>
            </w:r>
            <w:r>
              <w:rPr>
                <w:color w:val="000000"/>
              </w:rPr>
              <w:t>”</w:t>
            </w:r>
            <w:r w:rsidRPr="00536F0C" w:rsidR="00034777">
              <w:rPr>
                <w:color w:val="000000"/>
              </w:rPr>
              <w:t xml:space="preserve"> D.22</w:t>
            </w:r>
            <w:r w:rsidR="00B52830">
              <w:rPr>
                <w:color w:val="000000"/>
              </w:rPr>
              <w:noBreakHyphen/>
            </w:r>
            <w:r w:rsidRPr="00536F0C" w:rsidR="00034777">
              <w:rPr>
                <w:color w:val="000000"/>
              </w:rPr>
              <w:t>12</w:t>
            </w:r>
            <w:r w:rsidR="00B52830">
              <w:rPr>
                <w:color w:val="000000"/>
              </w:rPr>
              <w:noBreakHyphen/>
            </w:r>
            <w:r w:rsidRPr="00536F0C" w:rsidR="00034777">
              <w:rPr>
                <w:color w:val="000000"/>
              </w:rPr>
              <w:t>031,</w:t>
            </w:r>
            <w:r w:rsidR="0015516F">
              <w:rPr>
                <w:color w:val="000000"/>
              </w:rPr>
              <w:t xml:space="preserve"> p. </w:t>
            </w:r>
            <w:r w:rsidRPr="00536F0C" w:rsidR="00034777">
              <w:rPr>
                <w:color w:val="000000"/>
              </w:rPr>
              <w:t>49 (FOF 50).</w:t>
            </w:r>
          </w:p>
          <w:p w:rsidRPr="00536F0C" w:rsidR="007A03F3" w:rsidP="00AD23E5" w:rsidRDefault="004E6167" w14:paraId="0843EDE4" w14:textId="5CCDF955">
            <w:pPr>
              <w:spacing w:after="240"/>
              <w:rPr>
                <w:color w:val="000000"/>
              </w:rPr>
            </w:pPr>
            <w:r>
              <w:rPr>
                <w:color w:val="000000"/>
              </w:rPr>
              <w:t>“</w:t>
            </w:r>
            <w:r w:rsidRPr="00536F0C" w:rsidR="007A03F3">
              <w:rPr>
                <w:color w:val="000000"/>
              </w:rPr>
              <w:t>TURN, PCF, UCAN, EDF, and EPUC/IS provided recommendations on ROE calculation methodologies and modeling.</w:t>
            </w:r>
            <w:r>
              <w:rPr>
                <w:color w:val="000000"/>
              </w:rPr>
              <w:t>”</w:t>
            </w:r>
            <w:r w:rsidRPr="00536F0C" w:rsidR="007A03F3">
              <w:rPr>
                <w:color w:val="000000"/>
              </w:rPr>
              <w:t xml:space="preserve"> D.24</w:t>
            </w:r>
            <w:r w:rsidR="00B52830">
              <w:rPr>
                <w:color w:val="000000"/>
              </w:rPr>
              <w:noBreakHyphen/>
            </w:r>
            <w:r w:rsidRPr="00536F0C" w:rsidR="007A03F3">
              <w:rPr>
                <w:color w:val="000000"/>
              </w:rPr>
              <w:t>10</w:t>
            </w:r>
            <w:r w:rsidR="00B52830">
              <w:rPr>
                <w:color w:val="000000"/>
              </w:rPr>
              <w:noBreakHyphen/>
            </w:r>
            <w:r w:rsidRPr="00536F0C" w:rsidR="007A03F3">
              <w:rPr>
                <w:color w:val="000000"/>
              </w:rPr>
              <w:t>008,</w:t>
            </w:r>
            <w:r w:rsidR="0015516F">
              <w:rPr>
                <w:color w:val="000000"/>
              </w:rPr>
              <w:t xml:space="preserve"> p. </w:t>
            </w:r>
            <w:r w:rsidRPr="00536F0C" w:rsidR="007A03F3">
              <w:rPr>
                <w:color w:val="000000"/>
              </w:rPr>
              <w:t>29.</w:t>
            </w:r>
          </w:p>
          <w:p w:rsidRPr="00536F0C" w:rsidR="007A03F3" w:rsidP="00AD23E5" w:rsidRDefault="004E6167" w14:paraId="6763F15E" w14:textId="2C65C8DE">
            <w:pPr>
              <w:spacing w:after="240"/>
              <w:rPr>
                <w:color w:val="000000"/>
              </w:rPr>
            </w:pPr>
            <w:r>
              <w:rPr>
                <w:color w:val="000000"/>
              </w:rPr>
              <w:t>“</w:t>
            </w:r>
            <w:r w:rsidRPr="00536F0C" w:rsidR="007A03F3">
              <w:rPr>
                <w:color w:val="000000"/>
              </w:rPr>
              <w:t>On the broader question of constraining future cost of capital applications in their use of particular models or assumptions (i.e., issues 5(a) through 5(e)) above), we decline to implement these constraints at this time but do so without prejudice.</w:t>
            </w:r>
            <w:r w:rsidRPr="00536F0C" w:rsidR="00D10393">
              <w:rPr>
                <w:color w:val="000000"/>
              </w:rPr>
              <w:t>.</w:t>
            </w:r>
            <w:r w:rsidRPr="00536F0C" w:rsidR="007A03F3">
              <w:rPr>
                <w:color w:val="000000"/>
              </w:rPr>
              <w:t>.</w:t>
            </w:r>
            <w:r>
              <w:rPr>
                <w:color w:val="000000"/>
              </w:rPr>
              <w:t>”</w:t>
            </w:r>
            <w:r w:rsidRPr="00536F0C" w:rsidR="007A03F3">
              <w:rPr>
                <w:color w:val="000000"/>
              </w:rPr>
              <w:t xml:space="preserve"> D.24</w:t>
            </w:r>
            <w:r w:rsidR="00B52830">
              <w:rPr>
                <w:color w:val="000000"/>
              </w:rPr>
              <w:noBreakHyphen/>
            </w:r>
            <w:r w:rsidRPr="00536F0C" w:rsidR="007A03F3">
              <w:rPr>
                <w:color w:val="000000"/>
              </w:rPr>
              <w:t>10</w:t>
            </w:r>
            <w:r w:rsidR="00B52830">
              <w:rPr>
                <w:color w:val="000000"/>
              </w:rPr>
              <w:noBreakHyphen/>
            </w:r>
            <w:r w:rsidRPr="00536F0C" w:rsidR="007A03F3">
              <w:rPr>
                <w:color w:val="000000"/>
              </w:rPr>
              <w:t>008.</w:t>
            </w:r>
            <w:r w:rsidR="0015516F">
              <w:rPr>
                <w:color w:val="000000"/>
              </w:rPr>
              <w:t xml:space="preserve"> p. </w:t>
            </w:r>
            <w:r w:rsidRPr="00536F0C" w:rsidR="007A03F3">
              <w:rPr>
                <w:color w:val="000000"/>
              </w:rPr>
              <w:t>29.</w:t>
            </w:r>
          </w:p>
          <w:p w:rsidRPr="00536F0C" w:rsidR="008D09A0" w:rsidP="00AD23E5" w:rsidRDefault="007A03F3" w14:paraId="519E4653" w14:textId="53900697">
            <w:pPr>
              <w:spacing w:after="240"/>
            </w:pPr>
            <w:r w:rsidRPr="00536F0C">
              <w:t xml:space="preserve">Commissioner Houck:  </w:t>
            </w:r>
            <w:r w:rsidR="004E6167">
              <w:t>“</w:t>
            </w:r>
            <w:r w:rsidRPr="00536F0C">
              <w:t>As I mentioned before, parties made substantial contributions to this proceeding, including many recommendations for changes to the Commission</w:t>
            </w:r>
            <w:r w:rsidR="004E6167">
              <w:t>’</w:t>
            </w:r>
            <w:r w:rsidRPr="00536F0C">
              <w:t xml:space="preserve">s cost of capital proceedings. Many parties suggested we substantially reevaluate how we conduct these proceedings, and while this decision does not adopt those recommendations beyond the aforementioned change in the CCM. I want to emphasize that that we are listening, and to take a minute to just discuss some of the underlying work of the cost of capital proceedings. </w:t>
            </w:r>
            <w:r w:rsidRPr="00536F0C">
              <w:rPr>
                <w:i/>
                <w:iCs/>
              </w:rPr>
              <w:t>See</w:t>
            </w:r>
            <w:r w:rsidRPr="00536F0C">
              <w:t xml:space="preserve"> Attachment </w:t>
            </w:r>
            <w:r w:rsidRPr="00536F0C" w:rsidR="00E418A3">
              <w:t>2</w:t>
            </w:r>
            <w:r w:rsidRPr="00536F0C">
              <w:t xml:space="preserve"> (exce</w:t>
            </w:r>
            <w:r w:rsidRPr="00536F0C" w:rsidR="00E418A3">
              <w:t>r</w:t>
            </w:r>
            <w:r w:rsidRPr="00536F0C">
              <w:t>pt of October 17, 2024 Commission Meeting, Item 14),</w:t>
            </w:r>
            <w:r w:rsidR="0015516F">
              <w:t xml:space="preserve"> p. </w:t>
            </w:r>
            <w:r w:rsidRPr="00536F0C">
              <w:t xml:space="preserve">1. </w:t>
            </w:r>
            <w:r w:rsidRPr="00536F0C" w:rsidR="005234E8">
              <w:rPr>
                <w:color w:val="000000"/>
              </w:rPr>
              <w:t xml:space="preserve"> </w:t>
            </w:r>
          </w:p>
          <w:p w:rsidRPr="00536F0C" w:rsidR="008D09A0" w:rsidP="00AD23E5" w:rsidRDefault="008D09A0" w14:paraId="5BC40D1C" w14:textId="28A66D5A">
            <w:pPr>
              <w:spacing w:after="240"/>
              <w:rPr>
                <w:color w:val="000000"/>
              </w:rPr>
            </w:pPr>
            <w:r w:rsidRPr="00536F0C">
              <w:rPr>
                <w:color w:val="000000"/>
              </w:rPr>
              <w:t>PCF</w:t>
            </w:r>
            <w:r w:rsidR="00B52830">
              <w:rPr>
                <w:color w:val="000000"/>
              </w:rPr>
              <w:noBreakHyphen/>
            </w:r>
            <w:r w:rsidRPr="00536F0C">
              <w:rPr>
                <w:color w:val="000000"/>
              </w:rPr>
              <w:t>01 (Ellis Testimony),</w:t>
            </w:r>
            <w:r w:rsidR="0015516F">
              <w:rPr>
                <w:color w:val="000000"/>
              </w:rPr>
              <w:t xml:space="preserve"> p. </w:t>
            </w:r>
            <w:r w:rsidRPr="00536F0C" w:rsidR="00542803">
              <w:rPr>
                <w:color w:val="000000"/>
              </w:rPr>
              <w:t xml:space="preserve">7, 10, </w:t>
            </w:r>
            <w:r w:rsidRPr="00536F0C" w:rsidR="007B2184">
              <w:rPr>
                <w:color w:val="000000"/>
              </w:rPr>
              <w:t>33</w:t>
            </w:r>
            <w:r w:rsidR="00B52830">
              <w:rPr>
                <w:color w:val="000000"/>
              </w:rPr>
              <w:noBreakHyphen/>
            </w:r>
            <w:r w:rsidRPr="00536F0C" w:rsidR="004D66B5">
              <w:rPr>
                <w:color w:val="000000"/>
              </w:rPr>
              <w:t>34</w:t>
            </w:r>
            <w:r w:rsidRPr="00536F0C" w:rsidR="006D409C">
              <w:rPr>
                <w:color w:val="000000"/>
              </w:rPr>
              <w:t>;</w:t>
            </w:r>
            <w:r w:rsidRPr="00536F0C" w:rsidR="006D409C">
              <w:rPr>
                <w:i/>
                <w:iCs/>
                <w:color w:val="000000"/>
              </w:rPr>
              <w:t xml:space="preserve"> id.</w:t>
            </w:r>
            <w:r w:rsidRPr="00536F0C" w:rsidR="006D409C">
              <w:rPr>
                <w:color w:val="000000"/>
              </w:rPr>
              <w:t xml:space="preserve"> at</w:t>
            </w:r>
            <w:r w:rsidR="0015516F">
              <w:rPr>
                <w:color w:val="000000"/>
              </w:rPr>
              <w:t xml:space="preserve"> p. </w:t>
            </w:r>
            <w:r w:rsidRPr="00536F0C" w:rsidR="006D409C">
              <w:rPr>
                <w:color w:val="000000"/>
              </w:rPr>
              <w:t>7</w:t>
            </w:r>
            <w:r w:rsidRPr="00536F0C" w:rsidR="00A405E7">
              <w:rPr>
                <w:color w:val="000000"/>
              </w:rPr>
              <w:t xml:space="preserve"> (</w:t>
            </w:r>
            <w:r w:rsidR="004E6167">
              <w:rPr>
                <w:color w:val="000000"/>
              </w:rPr>
              <w:t>“</w:t>
            </w:r>
            <w:r w:rsidRPr="00536F0C" w:rsidR="00A405E7">
              <w:rPr>
                <w:color w:val="000000"/>
              </w:rPr>
              <w:t xml:space="preserve">Two of those models, the Risk Premium Analysis (RPA) and Expected Earnings Analysis (EEA), both suffer a severe, invalidating conceptual flaw: they confuse the cost of equity and the return on equity. Thus, these models are deeply </w:t>
            </w:r>
            <w:r w:rsidRPr="00536F0C" w:rsidR="00A405E7">
              <w:rPr>
                <w:color w:val="000000"/>
              </w:rPr>
              <w:lastRenderedPageBreak/>
              <w:t>flawed in their basic concept: they are circular, in that they are based on utilities</w:t>
            </w:r>
            <w:r w:rsidR="004E6167">
              <w:rPr>
                <w:color w:val="000000"/>
              </w:rPr>
              <w:t>’</w:t>
            </w:r>
            <w:r w:rsidRPr="00536F0C" w:rsidR="00A405E7">
              <w:rPr>
                <w:color w:val="000000"/>
              </w:rPr>
              <w:t xml:space="preserve"> authorized or forecast return on equity, not their actual cost of equity.</w:t>
            </w:r>
            <w:r w:rsidR="004E6167">
              <w:rPr>
                <w:color w:val="000000"/>
              </w:rPr>
              <w:t>”</w:t>
            </w:r>
            <w:r w:rsidRPr="00536F0C" w:rsidR="00A405E7">
              <w:rPr>
                <w:color w:val="000000"/>
              </w:rPr>
              <w:t>).</w:t>
            </w:r>
          </w:p>
          <w:p w:rsidRPr="00536F0C" w:rsidR="008D09A0" w:rsidP="00AD23E5" w:rsidRDefault="008D09A0" w14:paraId="77F21A36" w14:textId="76ACC2AF">
            <w:pPr>
              <w:spacing w:after="240"/>
              <w:rPr>
                <w:color w:val="000000"/>
              </w:rPr>
            </w:pPr>
            <w:r w:rsidRPr="00536F0C">
              <w:rPr>
                <w:color w:val="000000"/>
              </w:rPr>
              <w:t>PCF</w:t>
            </w:r>
            <w:r w:rsidR="00B52830">
              <w:rPr>
                <w:color w:val="000000"/>
              </w:rPr>
              <w:noBreakHyphen/>
            </w:r>
            <w:r w:rsidRPr="00536F0C">
              <w:rPr>
                <w:color w:val="000000"/>
              </w:rPr>
              <w:t xml:space="preserve">02 (Ellis </w:t>
            </w:r>
            <w:r w:rsidRPr="00536F0C" w:rsidR="0004020A">
              <w:rPr>
                <w:color w:val="000000"/>
              </w:rPr>
              <w:t xml:space="preserve">Rebuttal </w:t>
            </w:r>
            <w:r w:rsidRPr="00536F0C">
              <w:rPr>
                <w:color w:val="000000"/>
              </w:rPr>
              <w:t>Testimony),</w:t>
            </w:r>
            <w:r w:rsidR="0015516F">
              <w:rPr>
                <w:color w:val="000000"/>
              </w:rPr>
              <w:t xml:space="preserve"> p. </w:t>
            </w:r>
            <w:r w:rsidRPr="00536F0C" w:rsidR="0011647C">
              <w:rPr>
                <w:color w:val="000000"/>
              </w:rPr>
              <w:t>6</w:t>
            </w:r>
            <w:r w:rsidRPr="00536F0C" w:rsidR="00B652CA">
              <w:rPr>
                <w:color w:val="000000"/>
              </w:rPr>
              <w:t>, 14</w:t>
            </w:r>
            <w:r w:rsidRPr="00536F0C">
              <w:rPr>
                <w:color w:val="000000"/>
              </w:rPr>
              <w:t>.</w:t>
            </w:r>
          </w:p>
          <w:p w:rsidRPr="00536F0C" w:rsidR="004B1FE9" w:rsidP="00AD23E5" w:rsidRDefault="004B1FE9" w14:paraId="26E2D0E1" w14:textId="6308C33D">
            <w:pPr>
              <w:spacing w:after="240"/>
              <w:rPr>
                <w:color w:val="000000"/>
              </w:rPr>
            </w:pPr>
            <w:r w:rsidRPr="00536F0C">
              <w:rPr>
                <w:color w:val="000000"/>
              </w:rPr>
              <w:t>September 12, 2022 Evidentiary Hearing Transcript,</w:t>
            </w:r>
            <w:r w:rsidR="0015516F">
              <w:rPr>
                <w:color w:val="000000"/>
              </w:rPr>
              <w:t xml:space="preserve"> p. </w:t>
            </w:r>
            <w:r w:rsidRPr="00536F0C" w:rsidR="00E84D89">
              <w:rPr>
                <w:color w:val="000000"/>
              </w:rPr>
              <w:t>61</w:t>
            </w:r>
            <w:r w:rsidR="00B52830">
              <w:rPr>
                <w:color w:val="000000"/>
              </w:rPr>
              <w:noBreakHyphen/>
            </w:r>
            <w:r w:rsidRPr="00536F0C" w:rsidR="00432972">
              <w:rPr>
                <w:color w:val="000000"/>
              </w:rPr>
              <w:t>66</w:t>
            </w:r>
            <w:r w:rsidRPr="00536F0C" w:rsidR="00564056">
              <w:rPr>
                <w:color w:val="000000"/>
              </w:rPr>
              <w:t xml:space="preserve">, </w:t>
            </w:r>
            <w:r w:rsidRPr="00536F0C" w:rsidR="002113AC">
              <w:rPr>
                <w:color w:val="000000"/>
              </w:rPr>
              <w:t xml:space="preserve">68, </w:t>
            </w:r>
            <w:r w:rsidRPr="00536F0C" w:rsidR="00564056">
              <w:rPr>
                <w:color w:val="000000"/>
              </w:rPr>
              <w:t>7</w:t>
            </w:r>
            <w:r w:rsidRPr="00536F0C" w:rsidR="00E37345">
              <w:rPr>
                <w:color w:val="000000"/>
              </w:rPr>
              <w:t>0</w:t>
            </w:r>
            <w:r w:rsidR="00B52830">
              <w:rPr>
                <w:color w:val="000000"/>
              </w:rPr>
              <w:noBreakHyphen/>
            </w:r>
            <w:r w:rsidRPr="00536F0C" w:rsidR="00FF0544">
              <w:rPr>
                <w:color w:val="000000"/>
              </w:rPr>
              <w:t>74</w:t>
            </w:r>
            <w:r w:rsidRPr="00536F0C" w:rsidR="005C3084">
              <w:rPr>
                <w:color w:val="000000"/>
              </w:rPr>
              <w:t>, 97</w:t>
            </w:r>
            <w:r w:rsidR="00B52830">
              <w:rPr>
                <w:color w:val="000000"/>
              </w:rPr>
              <w:noBreakHyphen/>
            </w:r>
            <w:r w:rsidRPr="00536F0C" w:rsidR="005C3084">
              <w:rPr>
                <w:color w:val="000000"/>
              </w:rPr>
              <w:t>98</w:t>
            </w:r>
            <w:r w:rsidRPr="00536F0C" w:rsidR="002B1ECB">
              <w:rPr>
                <w:color w:val="000000"/>
              </w:rPr>
              <w:t>.</w:t>
            </w:r>
          </w:p>
          <w:p w:rsidRPr="00536F0C" w:rsidR="008D09A0" w:rsidP="00AD23E5" w:rsidRDefault="008D09A0" w14:paraId="642627FF" w14:textId="71927940">
            <w:pPr>
              <w:spacing w:after="240"/>
              <w:rPr>
                <w:color w:val="000000"/>
              </w:rPr>
            </w:pPr>
            <w:r w:rsidRPr="00536F0C">
              <w:rPr>
                <w:color w:val="000000"/>
              </w:rPr>
              <w:t>September 23, 2022 PCF Opening Brief,</w:t>
            </w:r>
            <w:r w:rsidR="0015516F">
              <w:rPr>
                <w:color w:val="000000"/>
              </w:rPr>
              <w:t xml:space="preserve"> p. </w:t>
            </w:r>
            <w:r w:rsidRPr="00536F0C" w:rsidR="008461D2">
              <w:rPr>
                <w:color w:val="000000"/>
              </w:rPr>
              <w:t>5</w:t>
            </w:r>
            <w:r w:rsidRPr="00536F0C" w:rsidR="00370357">
              <w:rPr>
                <w:color w:val="000000"/>
              </w:rPr>
              <w:t>,</w:t>
            </w:r>
            <w:r w:rsidRPr="00536F0C">
              <w:rPr>
                <w:color w:val="000000"/>
              </w:rPr>
              <w:t xml:space="preserve"> </w:t>
            </w:r>
            <w:r w:rsidRPr="00536F0C" w:rsidR="00E74475">
              <w:rPr>
                <w:color w:val="000000"/>
              </w:rPr>
              <w:t>12</w:t>
            </w:r>
            <w:r w:rsidR="00B52830">
              <w:rPr>
                <w:color w:val="000000"/>
              </w:rPr>
              <w:noBreakHyphen/>
            </w:r>
            <w:r w:rsidRPr="00536F0C" w:rsidR="00370357">
              <w:rPr>
                <w:color w:val="000000"/>
              </w:rPr>
              <w:t>14</w:t>
            </w:r>
            <w:r w:rsidRPr="00536F0C">
              <w:rPr>
                <w:color w:val="000000"/>
              </w:rPr>
              <w:t>.</w:t>
            </w:r>
          </w:p>
          <w:p w:rsidRPr="00536F0C" w:rsidR="008D09A0" w:rsidP="00AD23E5" w:rsidRDefault="008D09A0" w14:paraId="79580BA2" w14:textId="5F027EB4">
            <w:pPr>
              <w:spacing w:after="240"/>
              <w:rPr>
                <w:color w:val="000000"/>
              </w:rPr>
            </w:pPr>
            <w:r w:rsidRPr="00536F0C">
              <w:rPr>
                <w:color w:val="000000"/>
              </w:rPr>
              <w:t>September 30, 2022 PCF Reply Brief,</w:t>
            </w:r>
            <w:r w:rsidR="0015516F">
              <w:rPr>
                <w:color w:val="000000"/>
              </w:rPr>
              <w:t xml:space="preserve"> p. </w:t>
            </w:r>
            <w:r w:rsidRPr="00536F0C" w:rsidR="00641509">
              <w:rPr>
                <w:color w:val="000000"/>
              </w:rPr>
              <w:t>5</w:t>
            </w:r>
            <w:r w:rsidRPr="00536F0C" w:rsidR="00E3566C">
              <w:rPr>
                <w:color w:val="000000"/>
              </w:rPr>
              <w:t xml:space="preserve">, </w:t>
            </w:r>
            <w:r w:rsidRPr="00536F0C" w:rsidR="006F5AB6">
              <w:rPr>
                <w:color w:val="000000"/>
              </w:rPr>
              <w:t>7</w:t>
            </w:r>
            <w:r w:rsidR="00B52830">
              <w:rPr>
                <w:color w:val="000000"/>
              </w:rPr>
              <w:noBreakHyphen/>
            </w:r>
            <w:r w:rsidRPr="00536F0C" w:rsidR="00E3566C">
              <w:rPr>
                <w:color w:val="000000"/>
              </w:rPr>
              <w:t>9</w:t>
            </w:r>
            <w:r w:rsidRPr="00536F0C">
              <w:rPr>
                <w:color w:val="000000"/>
              </w:rPr>
              <w:t>.</w:t>
            </w:r>
          </w:p>
          <w:p w:rsidRPr="00536F0C" w:rsidR="008D09A0" w:rsidP="00AD23E5" w:rsidRDefault="008D09A0" w14:paraId="791BD302" w14:textId="542D9A5B">
            <w:pPr>
              <w:spacing w:after="240"/>
              <w:rPr>
                <w:color w:val="000000"/>
              </w:rPr>
            </w:pPr>
            <w:r w:rsidRPr="00536F0C">
              <w:rPr>
                <w:color w:val="000000"/>
              </w:rPr>
              <w:t>November 29, 2022 PCF Comments on PD,</w:t>
            </w:r>
            <w:r w:rsidR="0015516F">
              <w:rPr>
                <w:color w:val="000000"/>
              </w:rPr>
              <w:t xml:space="preserve"> p. </w:t>
            </w:r>
            <w:r w:rsidRPr="00536F0C" w:rsidR="003C1D1D">
              <w:rPr>
                <w:color w:val="000000"/>
              </w:rPr>
              <w:t>4</w:t>
            </w:r>
            <w:r w:rsidR="00B52830">
              <w:rPr>
                <w:color w:val="000000"/>
              </w:rPr>
              <w:noBreakHyphen/>
            </w:r>
            <w:r w:rsidRPr="00536F0C" w:rsidR="006A6E0B">
              <w:rPr>
                <w:color w:val="000000"/>
              </w:rPr>
              <w:t>6</w:t>
            </w:r>
            <w:r w:rsidRPr="00536F0C" w:rsidR="00172BA0">
              <w:rPr>
                <w:color w:val="000000"/>
              </w:rPr>
              <w:t>, Appendix</w:t>
            </w:r>
            <w:r w:rsidRPr="00536F0C" w:rsidR="00C95B73">
              <w:rPr>
                <w:color w:val="000000"/>
              </w:rPr>
              <w:t>,</w:t>
            </w:r>
            <w:r w:rsidR="0015516F">
              <w:rPr>
                <w:color w:val="000000"/>
              </w:rPr>
              <w:t xml:space="preserve"> p. </w:t>
            </w:r>
            <w:r w:rsidRPr="00536F0C" w:rsidR="00172BA0">
              <w:rPr>
                <w:color w:val="000000"/>
              </w:rPr>
              <w:t>4</w:t>
            </w:r>
            <w:r w:rsidRPr="00536F0C">
              <w:rPr>
                <w:color w:val="000000"/>
              </w:rPr>
              <w:t>.</w:t>
            </w:r>
          </w:p>
          <w:p w:rsidRPr="00536F0C" w:rsidR="008D09A0" w:rsidP="00AD23E5" w:rsidRDefault="008D09A0" w14:paraId="75BEF0DC" w14:textId="09FE4782">
            <w:pPr>
              <w:spacing w:after="240"/>
              <w:rPr>
                <w:color w:val="000000"/>
              </w:rPr>
            </w:pPr>
            <w:r w:rsidRPr="00536F0C">
              <w:rPr>
                <w:color w:val="000000"/>
              </w:rPr>
              <w:t>December 5, 2022 PCF Reply Comments on PD,</w:t>
            </w:r>
            <w:r w:rsidR="0015516F">
              <w:rPr>
                <w:color w:val="000000"/>
              </w:rPr>
              <w:t xml:space="preserve"> p. </w:t>
            </w:r>
            <w:r w:rsidRPr="00536F0C" w:rsidR="002F2224">
              <w:rPr>
                <w:color w:val="000000"/>
              </w:rPr>
              <w:t>2</w:t>
            </w:r>
            <w:r w:rsidR="00B52830">
              <w:rPr>
                <w:color w:val="000000"/>
              </w:rPr>
              <w:noBreakHyphen/>
            </w:r>
            <w:r w:rsidRPr="00536F0C" w:rsidR="0084314E">
              <w:rPr>
                <w:color w:val="000000"/>
              </w:rPr>
              <w:t>3</w:t>
            </w:r>
            <w:r w:rsidRPr="00536F0C">
              <w:rPr>
                <w:color w:val="000000"/>
              </w:rPr>
              <w:t>.</w:t>
            </w:r>
          </w:p>
          <w:p w:rsidRPr="00536F0C" w:rsidR="002D3344" w:rsidP="00AD23E5" w:rsidRDefault="00265E0C" w14:paraId="04D0DAB5" w14:textId="47F9C8DB">
            <w:pPr>
              <w:spacing w:after="240"/>
              <w:rPr>
                <w:color w:val="000000"/>
              </w:rPr>
            </w:pPr>
            <w:r w:rsidRPr="00536F0C">
              <w:rPr>
                <w:color w:val="000000"/>
              </w:rPr>
              <w:t>December 5, 2022 Oral Argument Transcript,</w:t>
            </w:r>
            <w:r w:rsidR="0015516F">
              <w:rPr>
                <w:color w:val="000000"/>
              </w:rPr>
              <w:t xml:space="preserve"> p. </w:t>
            </w:r>
            <w:r w:rsidRPr="00536F0C">
              <w:rPr>
                <w:color w:val="000000"/>
              </w:rPr>
              <w:t>293</w:t>
            </w:r>
            <w:r w:rsidR="00B52830">
              <w:rPr>
                <w:color w:val="000000"/>
              </w:rPr>
              <w:noBreakHyphen/>
            </w:r>
            <w:r w:rsidRPr="00536F0C">
              <w:rPr>
                <w:color w:val="000000"/>
              </w:rPr>
              <w:t>294</w:t>
            </w:r>
            <w:r w:rsidRPr="00536F0C" w:rsidR="004456A8">
              <w:rPr>
                <w:color w:val="000000"/>
              </w:rPr>
              <w:t xml:space="preserve"> (</w:t>
            </w:r>
            <w:r w:rsidR="004E6167">
              <w:rPr>
                <w:color w:val="000000"/>
              </w:rPr>
              <w:t>“</w:t>
            </w:r>
            <w:r w:rsidRPr="00536F0C" w:rsidR="004456A8">
              <w:rPr>
                <w:color w:val="000000"/>
              </w:rPr>
              <w:t>The D.C. Circuit recently determined FERC</w:t>
            </w:r>
            <w:r w:rsidR="004E6167">
              <w:rPr>
                <w:color w:val="000000"/>
              </w:rPr>
              <w:t>’</w:t>
            </w:r>
            <w:r w:rsidRPr="00536F0C" w:rsidR="004456A8">
              <w:rPr>
                <w:color w:val="000000"/>
              </w:rPr>
              <w:t>s use of the risk premium model was arbitrary and capricious because it was not in line with general financial logic because investors don</w:t>
            </w:r>
            <w:r w:rsidR="004E6167">
              <w:rPr>
                <w:color w:val="000000"/>
              </w:rPr>
              <w:t>’</w:t>
            </w:r>
            <w:r w:rsidRPr="00536F0C" w:rsidR="004456A8">
              <w:rPr>
                <w:color w:val="000000"/>
              </w:rPr>
              <w:t>t use the model and because of the model</w:t>
            </w:r>
            <w:r w:rsidR="004E6167">
              <w:rPr>
                <w:color w:val="000000"/>
              </w:rPr>
              <w:t>’</w:t>
            </w:r>
            <w:r w:rsidRPr="00536F0C" w:rsidR="004456A8">
              <w:rPr>
                <w:color w:val="000000"/>
              </w:rPr>
              <w:t>s circularity.</w:t>
            </w:r>
            <w:r w:rsidR="004E6167">
              <w:rPr>
                <w:color w:val="000000"/>
              </w:rPr>
              <w:t>”</w:t>
            </w:r>
            <w:r w:rsidRPr="00536F0C" w:rsidR="004456A8">
              <w:rPr>
                <w:color w:val="000000"/>
              </w:rPr>
              <w:t>)</w:t>
            </w:r>
          </w:p>
          <w:p w:rsidRPr="00536F0C" w:rsidR="00B102DC" w:rsidP="00AD23E5" w:rsidRDefault="00B102DC" w14:paraId="0FBEE6DA" w14:textId="53B92B15">
            <w:pPr>
              <w:spacing w:after="240"/>
              <w:rPr>
                <w:color w:val="000000"/>
              </w:rPr>
            </w:pPr>
            <w:r w:rsidRPr="00536F0C">
              <w:rPr>
                <w:color w:val="000000"/>
              </w:rPr>
              <w:t>PCF</w:t>
            </w:r>
            <w:r w:rsidR="00B52830">
              <w:rPr>
                <w:color w:val="000000"/>
              </w:rPr>
              <w:noBreakHyphen/>
            </w:r>
            <w:r w:rsidRPr="00536F0C">
              <w:rPr>
                <w:color w:val="000000"/>
              </w:rPr>
              <w:t>09 (Ellis Phase 2 Testimony),</w:t>
            </w:r>
            <w:r w:rsidR="0015516F">
              <w:rPr>
                <w:color w:val="000000"/>
              </w:rPr>
              <w:t xml:space="preserve"> p. </w:t>
            </w:r>
            <w:r w:rsidRPr="00536F0C" w:rsidR="00D87259">
              <w:rPr>
                <w:color w:val="000000"/>
              </w:rPr>
              <w:t>3</w:t>
            </w:r>
            <w:r w:rsidR="00B52830">
              <w:rPr>
                <w:color w:val="000000"/>
              </w:rPr>
              <w:noBreakHyphen/>
            </w:r>
            <w:r w:rsidRPr="00536F0C" w:rsidR="00016870">
              <w:rPr>
                <w:color w:val="000000"/>
              </w:rPr>
              <w:t>6, 8</w:t>
            </w:r>
            <w:r w:rsidR="00B52830">
              <w:rPr>
                <w:color w:val="000000"/>
              </w:rPr>
              <w:noBreakHyphen/>
            </w:r>
            <w:r w:rsidRPr="00536F0C" w:rsidR="00016870">
              <w:rPr>
                <w:color w:val="000000"/>
              </w:rPr>
              <w:t>9</w:t>
            </w:r>
            <w:r w:rsidRPr="00536F0C" w:rsidR="00545552">
              <w:rPr>
                <w:color w:val="000000"/>
              </w:rPr>
              <w:t>, 52</w:t>
            </w:r>
            <w:r w:rsidR="00B52830">
              <w:rPr>
                <w:color w:val="000000"/>
              </w:rPr>
              <w:noBreakHyphen/>
            </w:r>
            <w:r w:rsidRPr="00536F0C" w:rsidR="00040F52">
              <w:rPr>
                <w:color w:val="000000"/>
              </w:rPr>
              <w:t>57</w:t>
            </w:r>
            <w:r w:rsidRPr="00536F0C" w:rsidR="00C952E4">
              <w:rPr>
                <w:color w:val="000000"/>
              </w:rPr>
              <w:t>, 101</w:t>
            </w:r>
            <w:r w:rsidRPr="00536F0C">
              <w:rPr>
                <w:color w:val="000000"/>
              </w:rPr>
              <w:t>.</w:t>
            </w:r>
          </w:p>
          <w:p w:rsidRPr="00536F0C" w:rsidR="00B102DC" w:rsidP="00AD23E5" w:rsidRDefault="00B102DC" w14:paraId="1D9110CC" w14:textId="50627252">
            <w:pPr>
              <w:spacing w:after="240"/>
              <w:rPr>
                <w:color w:val="000000"/>
              </w:rPr>
            </w:pPr>
            <w:r w:rsidRPr="00536F0C">
              <w:rPr>
                <w:color w:val="000000"/>
              </w:rPr>
              <w:t>PCF</w:t>
            </w:r>
            <w:r w:rsidR="00B52830">
              <w:rPr>
                <w:color w:val="000000"/>
              </w:rPr>
              <w:noBreakHyphen/>
            </w:r>
            <w:r w:rsidRPr="00536F0C">
              <w:rPr>
                <w:color w:val="000000"/>
              </w:rPr>
              <w:t>10 (Ellis Phase 2 Rebuttal Testimony),</w:t>
            </w:r>
            <w:r w:rsidR="0015516F">
              <w:rPr>
                <w:color w:val="000000"/>
              </w:rPr>
              <w:t xml:space="preserve"> p. </w:t>
            </w:r>
            <w:r w:rsidRPr="00536F0C" w:rsidR="00D815C4">
              <w:rPr>
                <w:color w:val="000000"/>
              </w:rPr>
              <w:t>1</w:t>
            </w:r>
            <w:r w:rsidR="00B52830">
              <w:rPr>
                <w:color w:val="000000"/>
              </w:rPr>
              <w:noBreakHyphen/>
            </w:r>
            <w:r w:rsidRPr="00536F0C" w:rsidR="0048547E">
              <w:rPr>
                <w:color w:val="000000"/>
              </w:rPr>
              <w:t>9</w:t>
            </w:r>
            <w:r w:rsidRPr="00536F0C" w:rsidR="00922E56">
              <w:rPr>
                <w:color w:val="000000"/>
              </w:rPr>
              <w:t>, 11</w:t>
            </w:r>
            <w:r w:rsidRPr="00536F0C" w:rsidR="00157815">
              <w:rPr>
                <w:color w:val="000000"/>
              </w:rPr>
              <w:t xml:space="preserve">, </w:t>
            </w:r>
            <w:r w:rsidRPr="00536F0C" w:rsidR="00122CB2">
              <w:rPr>
                <w:color w:val="000000"/>
              </w:rPr>
              <w:t>13</w:t>
            </w:r>
            <w:r w:rsidRPr="00536F0C" w:rsidR="006672F9">
              <w:rPr>
                <w:color w:val="000000"/>
              </w:rPr>
              <w:t>,</w:t>
            </w:r>
            <w:r w:rsidRPr="00536F0C" w:rsidR="00157815">
              <w:rPr>
                <w:color w:val="000000"/>
              </w:rPr>
              <w:t xml:space="preserve"> 18</w:t>
            </w:r>
            <w:r w:rsidRPr="00536F0C">
              <w:rPr>
                <w:color w:val="000000"/>
              </w:rPr>
              <w:t>.</w:t>
            </w:r>
          </w:p>
          <w:p w:rsidRPr="00536F0C" w:rsidR="00B102DC" w:rsidP="00AD23E5" w:rsidRDefault="00B102DC" w14:paraId="26EE603C" w14:textId="75452055">
            <w:pPr>
              <w:spacing w:after="240"/>
              <w:rPr>
                <w:color w:val="000000"/>
              </w:rPr>
            </w:pPr>
            <w:r w:rsidRPr="00536F0C">
              <w:rPr>
                <w:color w:val="000000"/>
              </w:rPr>
              <w:t xml:space="preserve">April 22, 2024 PCF </w:t>
            </w:r>
            <w:r w:rsidRPr="00536F0C" w:rsidR="009970DF">
              <w:rPr>
                <w:color w:val="000000"/>
              </w:rPr>
              <w:t xml:space="preserve">Phase 2 </w:t>
            </w:r>
            <w:r w:rsidRPr="00536F0C">
              <w:rPr>
                <w:color w:val="000000"/>
              </w:rPr>
              <w:t>Opening Brief,</w:t>
            </w:r>
            <w:r w:rsidR="0015516F">
              <w:rPr>
                <w:color w:val="000000"/>
              </w:rPr>
              <w:t xml:space="preserve"> p. </w:t>
            </w:r>
            <w:r w:rsidRPr="00536F0C" w:rsidR="006F353A">
              <w:rPr>
                <w:color w:val="000000"/>
              </w:rPr>
              <w:t>4</w:t>
            </w:r>
            <w:r w:rsidR="00B52830">
              <w:rPr>
                <w:color w:val="000000"/>
              </w:rPr>
              <w:noBreakHyphen/>
            </w:r>
            <w:r w:rsidRPr="00536F0C" w:rsidR="00FA2C3A">
              <w:rPr>
                <w:color w:val="000000"/>
              </w:rPr>
              <w:t>5</w:t>
            </w:r>
            <w:r w:rsidRPr="00536F0C" w:rsidR="00BF344B">
              <w:rPr>
                <w:color w:val="000000"/>
              </w:rPr>
              <w:t>, 20</w:t>
            </w:r>
            <w:r w:rsidR="00B52830">
              <w:rPr>
                <w:color w:val="000000"/>
              </w:rPr>
              <w:noBreakHyphen/>
            </w:r>
            <w:r w:rsidRPr="00536F0C" w:rsidR="00BF344B">
              <w:rPr>
                <w:color w:val="000000"/>
              </w:rPr>
              <w:t>27</w:t>
            </w:r>
            <w:r w:rsidRPr="00536F0C">
              <w:rPr>
                <w:color w:val="000000"/>
              </w:rPr>
              <w:t>.</w:t>
            </w:r>
          </w:p>
          <w:p w:rsidRPr="00536F0C" w:rsidR="00B102DC" w:rsidP="00AD23E5" w:rsidRDefault="00B102DC" w14:paraId="59B22BCE" w14:textId="00EA12FA">
            <w:pPr>
              <w:spacing w:after="240"/>
              <w:rPr>
                <w:color w:val="000000"/>
              </w:rPr>
            </w:pPr>
            <w:r w:rsidRPr="00536F0C">
              <w:rPr>
                <w:color w:val="000000"/>
              </w:rPr>
              <w:t xml:space="preserve">May 6, 2024 PCF </w:t>
            </w:r>
            <w:r w:rsidRPr="00536F0C" w:rsidR="009970DF">
              <w:rPr>
                <w:color w:val="000000"/>
              </w:rPr>
              <w:t xml:space="preserve">Phase 2 </w:t>
            </w:r>
            <w:r w:rsidRPr="00536F0C">
              <w:rPr>
                <w:color w:val="000000"/>
              </w:rPr>
              <w:t>Reply Brief,</w:t>
            </w:r>
            <w:r w:rsidR="0015516F">
              <w:rPr>
                <w:color w:val="000000"/>
              </w:rPr>
              <w:t xml:space="preserve"> p. </w:t>
            </w:r>
            <w:r w:rsidRPr="00536F0C" w:rsidR="00291FF0">
              <w:rPr>
                <w:color w:val="000000"/>
              </w:rPr>
              <w:t>2</w:t>
            </w:r>
            <w:r w:rsidR="00B52830">
              <w:rPr>
                <w:color w:val="000000"/>
              </w:rPr>
              <w:noBreakHyphen/>
            </w:r>
            <w:r w:rsidRPr="00536F0C" w:rsidR="00B93528">
              <w:rPr>
                <w:color w:val="000000"/>
              </w:rPr>
              <w:t>3</w:t>
            </w:r>
            <w:r w:rsidRPr="00536F0C" w:rsidR="003F565C">
              <w:rPr>
                <w:color w:val="000000"/>
              </w:rPr>
              <w:t>, 15</w:t>
            </w:r>
            <w:r w:rsidR="00B52830">
              <w:rPr>
                <w:color w:val="000000"/>
              </w:rPr>
              <w:noBreakHyphen/>
            </w:r>
            <w:r w:rsidRPr="00536F0C" w:rsidR="002B56B8">
              <w:rPr>
                <w:color w:val="000000"/>
              </w:rPr>
              <w:t>19</w:t>
            </w:r>
            <w:r w:rsidRPr="00536F0C" w:rsidR="00993E3D">
              <w:rPr>
                <w:color w:val="000000"/>
              </w:rPr>
              <w:t>; id. at</w:t>
            </w:r>
            <w:r w:rsidR="0015516F">
              <w:rPr>
                <w:color w:val="000000"/>
              </w:rPr>
              <w:t xml:space="preserve"> p. </w:t>
            </w:r>
            <w:r w:rsidRPr="00536F0C" w:rsidR="00993E3D">
              <w:rPr>
                <w:color w:val="000000"/>
              </w:rPr>
              <w:t>2 (</w:t>
            </w:r>
            <w:r w:rsidR="004E6167">
              <w:rPr>
                <w:color w:val="000000"/>
              </w:rPr>
              <w:t>“</w:t>
            </w:r>
            <w:r w:rsidRPr="00536F0C" w:rsidR="00993E3D">
              <w:rPr>
                <w:color w:val="000000"/>
              </w:rPr>
              <w:t xml:space="preserve">Second, in determining the COC, the Commission should consider only those financial models </w:t>
            </w:r>
            <w:r w:rsidRPr="00536F0C" w:rsidR="00993E3D">
              <w:rPr>
                <w:color w:val="000000"/>
              </w:rPr>
              <w:lastRenderedPageBreak/>
              <w:t>that actually estimate the Utilities</w:t>
            </w:r>
            <w:r w:rsidR="004E6167">
              <w:rPr>
                <w:color w:val="000000"/>
              </w:rPr>
              <w:t>’</w:t>
            </w:r>
            <w:r w:rsidRPr="00536F0C" w:rsidR="00993E3D">
              <w:rPr>
                <w:color w:val="000000"/>
              </w:rPr>
              <w:t xml:space="preserve"> costs of capital – the Discounted Cash Flow model (DCF) and the Capital Asset Pricing Model (CAPM) – and not the Risk Premium model (RMP) and Expected Earnings Analysis (EEA), which are based on book value instead of what an investor expects based on what the investor would actually pay in the market.</w:t>
            </w:r>
            <w:r w:rsidR="004E6167">
              <w:rPr>
                <w:color w:val="000000"/>
              </w:rPr>
              <w:t>”</w:t>
            </w:r>
            <w:r w:rsidRPr="00536F0C" w:rsidR="00993E3D">
              <w:rPr>
                <w:color w:val="000000"/>
              </w:rPr>
              <w:t>).</w:t>
            </w:r>
          </w:p>
          <w:p w:rsidRPr="00536F0C" w:rsidR="00B102DC" w:rsidP="00AD23E5" w:rsidRDefault="00B102DC" w14:paraId="05963B85" w14:textId="65B6413A">
            <w:pPr>
              <w:spacing w:after="240"/>
              <w:rPr>
                <w:color w:val="000000"/>
              </w:rPr>
            </w:pPr>
            <w:r w:rsidRPr="00536F0C">
              <w:rPr>
                <w:color w:val="000000"/>
              </w:rPr>
              <w:t xml:space="preserve">September 30, 2024 PCF Comments on </w:t>
            </w:r>
            <w:r w:rsidRPr="00536F0C" w:rsidR="009970DF">
              <w:rPr>
                <w:color w:val="000000"/>
              </w:rPr>
              <w:t xml:space="preserve">Phase 2 </w:t>
            </w:r>
            <w:r w:rsidRPr="00536F0C">
              <w:rPr>
                <w:color w:val="000000"/>
              </w:rPr>
              <w:t>PD,</w:t>
            </w:r>
            <w:r w:rsidR="0015516F">
              <w:rPr>
                <w:color w:val="000000"/>
              </w:rPr>
              <w:t xml:space="preserve"> p. </w:t>
            </w:r>
            <w:r w:rsidRPr="00536F0C" w:rsidR="001C2180">
              <w:rPr>
                <w:color w:val="000000"/>
              </w:rPr>
              <w:t>2</w:t>
            </w:r>
            <w:r w:rsidRPr="00536F0C" w:rsidR="00C15A56">
              <w:rPr>
                <w:color w:val="000000"/>
              </w:rPr>
              <w:t>, 6</w:t>
            </w:r>
            <w:r w:rsidR="00B52830">
              <w:rPr>
                <w:color w:val="000000"/>
              </w:rPr>
              <w:noBreakHyphen/>
            </w:r>
            <w:r w:rsidRPr="00536F0C" w:rsidR="00C15A56">
              <w:rPr>
                <w:color w:val="000000"/>
              </w:rPr>
              <w:t>7</w:t>
            </w:r>
            <w:r w:rsidRPr="00536F0C" w:rsidR="00DC4E21">
              <w:rPr>
                <w:color w:val="000000"/>
              </w:rPr>
              <w:t>, 9</w:t>
            </w:r>
            <w:r w:rsidRPr="00536F0C">
              <w:rPr>
                <w:color w:val="000000"/>
              </w:rPr>
              <w:t>.</w:t>
            </w:r>
          </w:p>
          <w:p w:rsidRPr="00536F0C" w:rsidR="00B102DC" w:rsidP="00AD23E5" w:rsidRDefault="00B102DC" w14:paraId="78E8F6E7" w14:textId="0944CC61">
            <w:pPr>
              <w:spacing w:after="240"/>
              <w:rPr>
                <w:color w:val="000000"/>
              </w:rPr>
            </w:pPr>
            <w:r w:rsidRPr="00536F0C">
              <w:rPr>
                <w:color w:val="000000"/>
              </w:rPr>
              <w:t xml:space="preserve">October 7, 2024 PCF Reply Comments on </w:t>
            </w:r>
            <w:r w:rsidRPr="00536F0C" w:rsidR="009970DF">
              <w:rPr>
                <w:color w:val="000000"/>
              </w:rPr>
              <w:t xml:space="preserve">Phase 2 </w:t>
            </w:r>
            <w:r w:rsidRPr="00536F0C">
              <w:rPr>
                <w:color w:val="000000"/>
              </w:rPr>
              <w:t>PD,</w:t>
            </w:r>
            <w:r w:rsidR="0015516F">
              <w:rPr>
                <w:color w:val="000000"/>
              </w:rPr>
              <w:t xml:space="preserve"> p. </w:t>
            </w:r>
            <w:r w:rsidRPr="00536F0C" w:rsidR="00307210">
              <w:rPr>
                <w:color w:val="000000"/>
              </w:rPr>
              <w:t>4.</w:t>
            </w:r>
          </w:p>
        </w:tc>
        <w:tc>
          <w:tcPr>
            <w:tcW w:w="2075" w:type="dxa"/>
          </w:tcPr>
          <w:p w:rsidRPr="00536F0C" w:rsidR="003E39EF" w:rsidP="009C3C07" w:rsidRDefault="001F1F9D" w14:paraId="1C54E558" w14:textId="1289D085">
            <w:pPr>
              <w:spacing w:after="240"/>
              <w:rPr>
                <w:color w:val="000000"/>
              </w:rPr>
            </w:pPr>
            <w:r w:rsidRPr="000229E6">
              <w:rPr>
                <w:rStyle w:val="Strong"/>
                <w:b w:val="0"/>
                <w:bCs w:val="0"/>
              </w:rPr>
              <w:lastRenderedPageBreak/>
              <w:t>Verifi</w:t>
            </w:r>
            <w:r w:rsidRPr="000229E6" w:rsidR="0018205D">
              <w:rPr>
                <w:rStyle w:val="Strong"/>
                <w:b w:val="0"/>
                <w:bCs w:val="0"/>
              </w:rPr>
              <w:t>ed</w:t>
            </w:r>
          </w:p>
        </w:tc>
      </w:tr>
      <w:tr w:rsidRPr="00536F0C" w:rsidR="007C745B" w:rsidTr="0015516F" w14:paraId="1EB97262" w14:textId="77777777">
        <w:tc>
          <w:tcPr>
            <w:tcW w:w="2785" w:type="dxa"/>
          </w:tcPr>
          <w:p w:rsidRPr="00536F0C" w:rsidR="00F85BCD" w:rsidP="00E308F8" w:rsidRDefault="00606038" w14:paraId="4286C02D" w14:textId="01389DFD">
            <w:pPr>
              <w:pStyle w:val="ListParagraph"/>
              <w:spacing w:after="240"/>
              <w:ind w:left="0"/>
              <w:rPr>
                <w:color w:val="000000"/>
              </w:rPr>
            </w:pPr>
            <w:r w:rsidRPr="00583153">
              <w:rPr>
                <w:rFonts w:ascii="Times New Roman" w:hAnsi="Times New Roman"/>
                <w:b/>
                <w:bCs/>
                <w:color w:val="000000"/>
                <w:sz w:val="24"/>
                <w:u w:val="single"/>
              </w:rPr>
              <w:lastRenderedPageBreak/>
              <w:t xml:space="preserve">The </w:t>
            </w:r>
            <w:r w:rsidRPr="00583153" w:rsidR="009C69AB">
              <w:rPr>
                <w:rFonts w:ascii="Times New Roman" w:hAnsi="Times New Roman"/>
                <w:b/>
                <w:bCs/>
                <w:color w:val="000000"/>
                <w:sz w:val="24"/>
                <w:u w:val="single"/>
              </w:rPr>
              <w:t>Utilitie</w:t>
            </w:r>
            <w:r w:rsidRPr="00583153">
              <w:rPr>
                <w:rFonts w:ascii="Times New Roman" w:hAnsi="Times New Roman"/>
                <w:b/>
                <w:bCs/>
                <w:color w:val="000000"/>
                <w:sz w:val="24"/>
                <w:u w:val="single"/>
              </w:rPr>
              <w:t xml:space="preserve">s </w:t>
            </w:r>
            <w:r w:rsidRPr="00583153" w:rsidR="00D23EBE">
              <w:rPr>
                <w:rFonts w:ascii="Times New Roman" w:hAnsi="Times New Roman"/>
                <w:b/>
                <w:bCs/>
                <w:color w:val="000000"/>
                <w:sz w:val="24"/>
                <w:u w:val="single"/>
              </w:rPr>
              <w:t xml:space="preserve">Use </w:t>
            </w:r>
            <w:r w:rsidRPr="00583153">
              <w:rPr>
                <w:rFonts w:ascii="Times New Roman" w:hAnsi="Times New Roman"/>
                <w:b/>
                <w:bCs/>
                <w:color w:val="000000"/>
                <w:sz w:val="24"/>
                <w:u w:val="single"/>
              </w:rPr>
              <w:t>Economically Implausible</w:t>
            </w:r>
            <w:r w:rsidRPr="00583153" w:rsidR="009C69AB">
              <w:rPr>
                <w:rFonts w:ascii="Times New Roman" w:hAnsi="Times New Roman"/>
                <w:b/>
                <w:bCs/>
                <w:color w:val="000000"/>
                <w:sz w:val="24"/>
                <w:u w:val="single"/>
              </w:rPr>
              <w:t xml:space="preserve"> DCF and CAPM </w:t>
            </w:r>
            <w:r w:rsidRPr="00583153">
              <w:rPr>
                <w:rFonts w:ascii="Times New Roman" w:hAnsi="Times New Roman"/>
                <w:b/>
                <w:bCs/>
                <w:color w:val="000000"/>
                <w:sz w:val="24"/>
                <w:u w:val="single"/>
              </w:rPr>
              <w:t>Inputs</w:t>
            </w:r>
            <w:r w:rsidRPr="00E308F8">
              <w:rPr>
                <w:rFonts w:ascii="Times New Roman" w:hAnsi="Times New Roman"/>
                <w:b/>
                <w:bCs/>
                <w:color w:val="000000"/>
                <w:sz w:val="24"/>
              </w:rPr>
              <w:t>.</w:t>
            </w:r>
            <w:r w:rsidRPr="00583153">
              <w:rPr>
                <w:rFonts w:ascii="Times New Roman" w:hAnsi="Times New Roman"/>
                <w:color w:val="000000"/>
                <w:sz w:val="24"/>
              </w:rPr>
              <w:t xml:space="preserve"> </w:t>
            </w:r>
            <w:r w:rsidRPr="00583153" w:rsidR="00F85BCD">
              <w:rPr>
                <w:rFonts w:ascii="Times New Roman" w:hAnsi="Times New Roman"/>
                <w:color w:val="000000"/>
                <w:sz w:val="24"/>
              </w:rPr>
              <w:t xml:space="preserve">PCF enriched the record by providing </w:t>
            </w:r>
            <w:r w:rsidRPr="00583153" w:rsidR="002C7029">
              <w:rPr>
                <w:rFonts w:ascii="Times New Roman" w:hAnsi="Times New Roman"/>
                <w:color w:val="000000"/>
                <w:sz w:val="24"/>
              </w:rPr>
              <w:t xml:space="preserve">detailed briefing and financial analysis and other </w:t>
            </w:r>
            <w:r w:rsidRPr="00583153" w:rsidR="00F85BCD">
              <w:rPr>
                <w:rFonts w:ascii="Times New Roman" w:hAnsi="Times New Roman"/>
                <w:color w:val="000000"/>
                <w:sz w:val="24"/>
              </w:rPr>
              <w:t xml:space="preserve">evidence </w:t>
            </w:r>
            <w:r w:rsidRPr="00583153" w:rsidR="002C7029">
              <w:rPr>
                <w:rFonts w:ascii="Times New Roman" w:hAnsi="Times New Roman"/>
                <w:color w:val="000000"/>
                <w:sz w:val="24"/>
              </w:rPr>
              <w:t xml:space="preserve">showing why </w:t>
            </w:r>
            <w:r w:rsidRPr="00583153" w:rsidR="00F85BCD">
              <w:rPr>
                <w:rFonts w:ascii="Times New Roman" w:hAnsi="Times New Roman"/>
                <w:color w:val="000000"/>
                <w:sz w:val="24"/>
              </w:rPr>
              <w:t xml:space="preserve">the </w:t>
            </w:r>
            <w:r w:rsidRPr="00583153" w:rsidR="00EB1B63">
              <w:rPr>
                <w:rFonts w:ascii="Times New Roman" w:hAnsi="Times New Roman"/>
                <w:color w:val="000000"/>
                <w:sz w:val="24"/>
              </w:rPr>
              <w:t>Utilities</w:t>
            </w:r>
            <w:r w:rsidRPr="00583153" w:rsidR="004E6167">
              <w:rPr>
                <w:rFonts w:ascii="Times New Roman" w:hAnsi="Times New Roman"/>
                <w:color w:val="000000"/>
                <w:sz w:val="24"/>
              </w:rPr>
              <w:t>’</w:t>
            </w:r>
            <w:r w:rsidRPr="00583153" w:rsidR="00EB1B63">
              <w:rPr>
                <w:rFonts w:ascii="Times New Roman" w:hAnsi="Times New Roman"/>
                <w:color w:val="000000"/>
                <w:sz w:val="24"/>
              </w:rPr>
              <w:t xml:space="preserve"> </w:t>
            </w:r>
            <w:r w:rsidRPr="00583153" w:rsidR="00F85BCD">
              <w:rPr>
                <w:rFonts w:ascii="Times New Roman" w:hAnsi="Times New Roman"/>
                <w:color w:val="000000"/>
                <w:sz w:val="24"/>
              </w:rPr>
              <w:t xml:space="preserve">Discounted Cash Flow (DCF) </w:t>
            </w:r>
            <w:r w:rsidRPr="00583153" w:rsidR="002C7029">
              <w:rPr>
                <w:rFonts w:ascii="Times New Roman" w:hAnsi="Times New Roman"/>
                <w:color w:val="000000"/>
                <w:sz w:val="24"/>
              </w:rPr>
              <w:t>and Capital Asset Pricing Model (CAPM) r</w:t>
            </w:r>
            <w:r w:rsidRPr="00583153" w:rsidR="00F85BCD">
              <w:rPr>
                <w:rFonts w:ascii="Times New Roman" w:hAnsi="Times New Roman"/>
                <w:color w:val="000000"/>
                <w:sz w:val="24"/>
              </w:rPr>
              <w:t xml:space="preserve">esults should be </w:t>
            </w:r>
            <w:r w:rsidRPr="00583153" w:rsidR="00EB1B63">
              <w:rPr>
                <w:rFonts w:ascii="Times New Roman" w:hAnsi="Times New Roman"/>
                <w:color w:val="000000"/>
                <w:sz w:val="24"/>
              </w:rPr>
              <w:t xml:space="preserve">rejected and require </w:t>
            </w:r>
            <w:r w:rsidRPr="00583153" w:rsidR="00F85BCD">
              <w:rPr>
                <w:rFonts w:ascii="Times New Roman" w:hAnsi="Times New Roman"/>
                <w:color w:val="000000"/>
                <w:sz w:val="24"/>
              </w:rPr>
              <w:t xml:space="preserve">much lower </w:t>
            </w:r>
            <w:r w:rsidRPr="00583153" w:rsidR="00EB1B63">
              <w:rPr>
                <w:rFonts w:ascii="Times New Roman" w:hAnsi="Times New Roman"/>
                <w:color w:val="000000"/>
                <w:sz w:val="24"/>
              </w:rPr>
              <w:t xml:space="preserve">ROEs </w:t>
            </w:r>
            <w:r w:rsidRPr="00583153" w:rsidR="00F85BCD">
              <w:rPr>
                <w:rFonts w:ascii="Times New Roman" w:hAnsi="Times New Roman"/>
                <w:color w:val="000000"/>
                <w:sz w:val="24"/>
              </w:rPr>
              <w:t>than suggested by the utilities and other intervenors.</w:t>
            </w:r>
            <w:r w:rsidRPr="00583153" w:rsidR="00E010B7">
              <w:rPr>
                <w:rFonts w:ascii="Times New Roman" w:hAnsi="Times New Roman"/>
                <w:color w:val="000000"/>
                <w:sz w:val="24"/>
              </w:rPr>
              <w:t xml:space="preserve"> PCF presented evidence of clear action steps that the Commission can take to </w:t>
            </w:r>
            <w:r w:rsidRPr="00583153" w:rsidR="009B3BA2">
              <w:rPr>
                <w:rFonts w:ascii="Times New Roman" w:hAnsi="Times New Roman"/>
                <w:color w:val="000000"/>
                <w:sz w:val="24"/>
              </w:rPr>
              <w:t>ensure the</w:t>
            </w:r>
            <w:r w:rsidRPr="00583153" w:rsidR="00B74AB5">
              <w:rPr>
                <w:rFonts w:ascii="Times New Roman" w:hAnsi="Times New Roman"/>
                <w:color w:val="000000"/>
                <w:sz w:val="24"/>
              </w:rPr>
              <w:t xml:space="preserve"> results of</w:t>
            </w:r>
            <w:r w:rsidRPr="00583153" w:rsidR="009B3BA2">
              <w:rPr>
                <w:rFonts w:ascii="Times New Roman" w:hAnsi="Times New Roman"/>
                <w:color w:val="000000"/>
                <w:sz w:val="24"/>
              </w:rPr>
              <w:t xml:space="preserve"> CAPM and DCF models </w:t>
            </w:r>
            <w:r w:rsidRPr="00583153" w:rsidR="00B74AB5">
              <w:rPr>
                <w:rFonts w:ascii="Times New Roman" w:hAnsi="Times New Roman"/>
                <w:color w:val="000000"/>
                <w:sz w:val="24"/>
              </w:rPr>
              <w:t>are reliable in the future.</w:t>
            </w:r>
            <w:r w:rsidRPr="00583153" w:rsidR="0016689E">
              <w:rPr>
                <w:rFonts w:ascii="Times New Roman" w:hAnsi="Times New Roman"/>
                <w:color w:val="000000"/>
                <w:sz w:val="24"/>
              </w:rPr>
              <w:t xml:space="preserve"> </w:t>
            </w:r>
            <w:r w:rsidRPr="00583153" w:rsidR="0016689E">
              <w:rPr>
                <w:rFonts w:ascii="Times New Roman" w:hAnsi="Times New Roman"/>
                <w:color w:val="000000" w:themeColor="text1"/>
                <w:sz w:val="24"/>
              </w:rPr>
              <w:t>D.2</w:t>
            </w:r>
            <w:r w:rsidRPr="00583153" w:rsidR="002C7B78">
              <w:rPr>
                <w:rFonts w:ascii="Times New Roman" w:hAnsi="Times New Roman"/>
                <w:color w:val="000000" w:themeColor="text1"/>
                <w:sz w:val="24"/>
              </w:rPr>
              <w:t>2</w:t>
            </w:r>
            <w:r w:rsidR="00B52830">
              <w:rPr>
                <w:rFonts w:ascii="Times New Roman" w:hAnsi="Times New Roman"/>
                <w:color w:val="000000" w:themeColor="text1"/>
                <w:sz w:val="24"/>
              </w:rPr>
              <w:noBreakHyphen/>
            </w:r>
            <w:r w:rsidRPr="00583153" w:rsidR="0016689E">
              <w:rPr>
                <w:rFonts w:ascii="Times New Roman" w:hAnsi="Times New Roman"/>
                <w:color w:val="000000" w:themeColor="text1"/>
                <w:sz w:val="24"/>
              </w:rPr>
              <w:t>12</w:t>
            </w:r>
            <w:r w:rsidR="00B52830">
              <w:rPr>
                <w:rFonts w:ascii="Times New Roman" w:hAnsi="Times New Roman"/>
                <w:color w:val="000000" w:themeColor="text1"/>
                <w:sz w:val="24"/>
              </w:rPr>
              <w:noBreakHyphen/>
            </w:r>
            <w:r w:rsidRPr="00583153" w:rsidR="0016689E">
              <w:rPr>
                <w:rFonts w:ascii="Times New Roman" w:hAnsi="Times New Roman"/>
                <w:color w:val="000000" w:themeColor="text1"/>
                <w:sz w:val="24"/>
              </w:rPr>
              <w:t>031 did not adopt PCF</w:t>
            </w:r>
            <w:r w:rsidRPr="00583153" w:rsidR="004E6167">
              <w:rPr>
                <w:rFonts w:ascii="Times New Roman" w:hAnsi="Times New Roman"/>
                <w:color w:val="000000" w:themeColor="text1"/>
                <w:sz w:val="24"/>
              </w:rPr>
              <w:t>’</w:t>
            </w:r>
            <w:r w:rsidRPr="00583153" w:rsidR="0016689E">
              <w:rPr>
                <w:rFonts w:ascii="Times New Roman" w:hAnsi="Times New Roman"/>
                <w:color w:val="000000" w:themeColor="text1"/>
                <w:sz w:val="24"/>
              </w:rPr>
              <w:t xml:space="preserve">s recommendation </w:t>
            </w:r>
            <w:r w:rsidRPr="00583153" w:rsidR="002A3A26">
              <w:rPr>
                <w:rFonts w:ascii="Times New Roman" w:hAnsi="Times New Roman"/>
                <w:color w:val="000000" w:themeColor="text1"/>
                <w:sz w:val="24"/>
              </w:rPr>
              <w:t>in full</w:t>
            </w:r>
            <w:r w:rsidRPr="00583153" w:rsidR="0016689E">
              <w:rPr>
                <w:rFonts w:ascii="Times New Roman" w:hAnsi="Times New Roman"/>
                <w:color w:val="000000" w:themeColor="text1"/>
                <w:sz w:val="24"/>
              </w:rPr>
              <w:t>, but it</w:t>
            </w:r>
            <w:r w:rsidRPr="00583153" w:rsidR="00C22645">
              <w:rPr>
                <w:rFonts w:ascii="Times New Roman" w:hAnsi="Times New Roman"/>
                <w:color w:val="000000" w:themeColor="text1"/>
                <w:sz w:val="24"/>
              </w:rPr>
              <w:t xml:space="preserve"> considered </w:t>
            </w:r>
            <w:r w:rsidRPr="00583153" w:rsidR="00C22645">
              <w:rPr>
                <w:rFonts w:ascii="Times New Roman" w:hAnsi="Times New Roman"/>
                <w:color w:val="000000" w:themeColor="text1"/>
                <w:sz w:val="24"/>
              </w:rPr>
              <w:lastRenderedPageBreak/>
              <w:t>PCF</w:t>
            </w:r>
            <w:r w:rsidRPr="00583153" w:rsidR="004E6167">
              <w:rPr>
                <w:rFonts w:ascii="Times New Roman" w:hAnsi="Times New Roman"/>
                <w:color w:val="000000" w:themeColor="text1"/>
                <w:sz w:val="24"/>
              </w:rPr>
              <w:t>’</w:t>
            </w:r>
            <w:r w:rsidRPr="00583153" w:rsidR="00965997">
              <w:rPr>
                <w:rFonts w:ascii="Times New Roman" w:hAnsi="Times New Roman"/>
                <w:color w:val="000000" w:themeColor="text1"/>
                <w:sz w:val="24"/>
              </w:rPr>
              <w:t xml:space="preserve">s </w:t>
            </w:r>
            <w:r w:rsidRPr="00583153" w:rsidR="006F6B63">
              <w:rPr>
                <w:rFonts w:ascii="Times New Roman" w:hAnsi="Times New Roman"/>
                <w:color w:val="000000" w:themeColor="text1"/>
                <w:sz w:val="24"/>
              </w:rPr>
              <w:t>evidence and briefs</w:t>
            </w:r>
            <w:r w:rsidRPr="00583153" w:rsidR="002A3A26">
              <w:rPr>
                <w:rFonts w:ascii="Times New Roman" w:hAnsi="Times New Roman"/>
                <w:color w:val="000000" w:themeColor="text1"/>
                <w:sz w:val="24"/>
              </w:rPr>
              <w:t xml:space="preserve"> and </w:t>
            </w:r>
            <w:r w:rsidRPr="00583153" w:rsidR="00081E3C">
              <w:rPr>
                <w:rFonts w:ascii="Times New Roman" w:hAnsi="Times New Roman"/>
                <w:color w:val="000000" w:themeColor="text1"/>
                <w:sz w:val="24"/>
              </w:rPr>
              <w:t xml:space="preserve">did not adopt </w:t>
            </w:r>
            <w:r w:rsidRPr="00583153" w:rsidR="002A3A26">
              <w:rPr>
                <w:rFonts w:ascii="Times New Roman" w:hAnsi="Times New Roman"/>
                <w:color w:val="000000" w:themeColor="text1"/>
                <w:sz w:val="24"/>
              </w:rPr>
              <w:t>SDG&amp;E</w:t>
            </w:r>
            <w:r w:rsidRPr="00583153" w:rsidR="004E6167">
              <w:rPr>
                <w:rFonts w:ascii="Times New Roman" w:hAnsi="Times New Roman"/>
                <w:color w:val="000000" w:themeColor="text1"/>
                <w:sz w:val="24"/>
              </w:rPr>
              <w:t>’</w:t>
            </w:r>
            <w:r w:rsidRPr="00583153" w:rsidR="002A3A26">
              <w:rPr>
                <w:rFonts w:ascii="Times New Roman" w:hAnsi="Times New Roman"/>
                <w:color w:val="000000" w:themeColor="text1"/>
                <w:sz w:val="24"/>
              </w:rPr>
              <w:t>s and SoCalGas</w:t>
            </w:r>
            <w:r w:rsidRPr="00583153" w:rsidR="004E6167">
              <w:rPr>
                <w:rFonts w:ascii="Times New Roman" w:hAnsi="Times New Roman"/>
                <w:color w:val="000000" w:themeColor="text1"/>
                <w:sz w:val="24"/>
              </w:rPr>
              <w:t>’</w:t>
            </w:r>
            <w:r w:rsidRPr="00583153" w:rsidR="002A3A26">
              <w:rPr>
                <w:rFonts w:ascii="Times New Roman" w:hAnsi="Times New Roman"/>
                <w:color w:val="000000" w:themeColor="text1"/>
                <w:sz w:val="24"/>
              </w:rPr>
              <w:t xml:space="preserve">s </w:t>
            </w:r>
            <w:r w:rsidRPr="00583153" w:rsidR="00024298">
              <w:rPr>
                <w:rFonts w:ascii="Times New Roman" w:hAnsi="Times New Roman"/>
                <w:color w:val="000000" w:themeColor="text1"/>
                <w:sz w:val="24"/>
              </w:rPr>
              <w:t>DCF and CAPM results</w:t>
            </w:r>
            <w:r w:rsidRPr="00583153" w:rsidR="00C8071F">
              <w:rPr>
                <w:rFonts w:ascii="Times New Roman" w:hAnsi="Times New Roman"/>
                <w:color w:val="000000" w:themeColor="text1"/>
                <w:sz w:val="24"/>
              </w:rPr>
              <w:t>; and</w:t>
            </w:r>
            <w:r w:rsidRPr="00583153" w:rsidR="0016689E">
              <w:rPr>
                <w:rFonts w:ascii="Times New Roman" w:hAnsi="Times New Roman"/>
                <w:color w:val="000000" w:themeColor="text1"/>
                <w:sz w:val="24"/>
              </w:rPr>
              <w:t xml:space="preserve"> D.24</w:t>
            </w:r>
            <w:r w:rsidR="00B52830">
              <w:rPr>
                <w:rFonts w:ascii="Times New Roman" w:hAnsi="Times New Roman"/>
                <w:color w:val="000000" w:themeColor="text1"/>
                <w:sz w:val="24"/>
              </w:rPr>
              <w:noBreakHyphen/>
            </w:r>
            <w:r w:rsidRPr="00583153" w:rsidR="0016689E">
              <w:rPr>
                <w:rFonts w:ascii="Times New Roman" w:hAnsi="Times New Roman"/>
                <w:color w:val="000000" w:themeColor="text1"/>
                <w:sz w:val="24"/>
              </w:rPr>
              <w:t>10</w:t>
            </w:r>
            <w:r w:rsidR="00B52830">
              <w:rPr>
                <w:rFonts w:ascii="Times New Roman" w:hAnsi="Times New Roman"/>
                <w:color w:val="000000" w:themeColor="text1"/>
                <w:sz w:val="24"/>
              </w:rPr>
              <w:noBreakHyphen/>
            </w:r>
            <w:r w:rsidRPr="00583153" w:rsidR="0016689E">
              <w:rPr>
                <w:rFonts w:ascii="Times New Roman" w:hAnsi="Times New Roman"/>
                <w:color w:val="000000" w:themeColor="text1"/>
                <w:sz w:val="24"/>
              </w:rPr>
              <w:t>008 allows the Commission to consider PCF</w:t>
            </w:r>
            <w:r w:rsidRPr="00583153" w:rsidR="004E6167">
              <w:rPr>
                <w:rFonts w:ascii="Times New Roman" w:hAnsi="Times New Roman"/>
                <w:color w:val="000000" w:themeColor="text1"/>
                <w:sz w:val="24"/>
              </w:rPr>
              <w:t>’</w:t>
            </w:r>
            <w:r w:rsidRPr="00583153" w:rsidR="0016689E">
              <w:rPr>
                <w:rFonts w:ascii="Times New Roman" w:hAnsi="Times New Roman"/>
                <w:color w:val="000000" w:themeColor="text1"/>
                <w:sz w:val="24"/>
              </w:rPr>
              <w:t>s recommendations in future COC proceedings.</w:t>
            </w:r>
          </w:p>
        </w:tc>
        <w:tc>
          <w:tcPr>
            <w:tcW w:w="4500" w:type="dxa"/>
          </w:tcPr>
          <w:p w:rsidRPr="00536F0C" w:rsidR="006C6D13" w:rsidP="00FD4F67" w:rsidRDefault="004E6167" w14:paraId="7B70A695" w14:textId="6A749315">
            <w:pPr>
              <w:spacing w:after="240"/>
              <w:rPr>
                <w:color w:val="000000"/>
              </w:rPr>
            </w:pPr>
            <w:r>
              <w:rPr>
                <w:color w:val="000000" w:themeColor="text1"/>
              </w:rPr>
              <w:lastRenderedPageBreak/>
              <w:t>“</w:t>
            </w:r>
            <w:r w:rsidRPr="00536F0C" w:rsidR="006C6D13">
              <w:rPr>
                <w:color w:val="000000" w:themeColor="text1"/>
              </w:rPr>
              <w:t>The CAPM model produces significantly higher results than the other models, particularly for SDG&amp;E and SoCalGas. The material outlier was offered by SDG&amp;E/SoCalGas witness Coyne, who relied on market risk premium estimates in the range of 12.22% to 13.4%.</w:t>
            </w:r>
            <w:r>
              <w:rPr>
                <w:color w:val="000000" w:themeColor="text1"/>
              </w:rPr>
              <w:t>”</w:t>
            </w:r>
            <w:r w:rsidRPr="00536F0C" w:rsidR="006C6D13">
              <w:rPr>
                <w:color w:val="000000" w:themeColor="text1"/>
              </w:rPr>
              <w:t xml:space="preserve"> D.22</w:t>
            </w:r>
            <w:r w:rsidR="00B52830">
              <w:rPr>
                <w:color w:val="000000" w:themeColor="text1"/>
              </w:rPr>
              <w:noBreakHyphen/>
            </w:r>
            <w:r w:rsidRPr="00536F0C" w:rsidR="006C6D13">
              <w:rPr>
                <w:color w:val="000000" w:themeColor="text1"/>
              </w:rPr>
              <w:t>12</w:t>
            </w:r>
            <w:r w:rsidR="00B52830">
              <w:rPr>
                <w:color w:val="000000" w:themeColor="text1"/>
              </w:rPr>
              <w:noBreakHyphen/>
            </w:r>
            <w:r w:rsidRPr="00536F0C" w:rsidR="006C6D13">
              <w:rPr>
                <w:color w:val="000000" w:themeColor="text1"/>
              </w:rPr>
              <w:t>031,</w:t>
            </w:r>
            <w:r w:rsidR="0015516F">
              <w:rPr>
                <w:color w:val="000000" w:themeColor="text1"/>
              </w:rPr>
              <w:t xml:space="preserve"> p. </w:t>
            </w:r>
            <w:r w:rsidRPr="00536F0C" w:rsidR="006C6D13">
              <w:rPr>
                <w:color w:val="000000" w:themeColor="text1"/>
              </w:rPr>
              <w:t>22.</w:t>
            </w:r>
          </w:p>
          <w:p w:rsidRPr="00536F0C" w:rsidR="00B71595" w:rsidP="00FD4F67" w:rsidRDefault="00B71595" w14:paraId="05AD5093" w14:textId="18391925">
            <w:pPr>
              <w:spacing w:after="240"/>
              <w:rPr>
                <w:color w:val="000000"/>
              </w:rPr>
            </w:pPr>
            <w:r w:rsidRPr="00536F0C">
              <w:rPr>
                <w:color w:val="000000" w:themeColor="text1"/>
              </w:rPr>
              <w:t xml:space="preserve">Commission </w:t>
            </w:r>
            <w:r w:rsidR="004E6167">
              <w:rPr>
                <w:color w:val="000000" w:themeColor="text1"/>
              </w:rPr>
              <w:t>“</w:t>
            </w:r>
            <w:r w:rsidRPr="00536F0C">
              <w:rPr>
                <w:color w:val="000000" w:themeColor="text1"/>
              </w:rPr>
              <w:t>found no reason to adopt the financial modeling of any one party.</w:t>
            </w:r>
            <w:r w:rsidR="004E6167">
              <w:rPr>
                <w:color w:val="000000" w:themeColor="text1"/>
              </w:rPr>
              <w:t>”</w:t>
            </w:r>
            <w:r w:rsidRPr="00536F0C">
              <w:rPr>
                <w:color w:val="000000" w:themeColor="text1"/>
              </w:rPr>
              <w:t xml:space="preserve"> D.22</w:t>
            </w:r>
            <w:r w:rsidR="00B52830">
              <w:rPr>
                <w:color w:val="000000" w:themeColor="text1"/>
              </w:rPr>
              <w:noBreakHyphen/>
            </w:r>
            <w:r w:rsidRPr="00536F0C">
              <w:rPr>
                <w:color w:val="000000" w:themeColor="text1"/>
              </w:rPr>
              <w:t>12</w:t>
            </w:r>
            <w:r w:rsidR="00B52830">
              <w:rPr>
                <w:color w:val="000000" w:themeColor="text1"/>
              </w:rPr>
              <w:noBreakHyphen/>
            </w:r>
            <w:r w:rsidRPr="00536F0C">
              <w:rPr>
                <w:color w:val="000000" w:themeColor="text1"/>
              </w:rPr>
              <w:t>031,</w:t>
            </w:r>
            <w:r w:rsidR="0015516F">
              <w:rPr>
                <w:color w:val="000000" w:themeColor="text1"/>
              </w:rPr>
              <w:t xml:space="preserve"> p. </w:t>
            </w:r>
            <w:r w:rsidRPr="00536F0C">
              <w:rPr>
                <w:color w:val="000000" w:themeColor="text1"/>
              </w:rPr>
              <w:t>23.</w:t>
            </w:r>
          </w:p>
          <w:p w:rsidRPr="00536F0C" w:rsidR="001A3924" w:rsidP="00FD4F67" w:rsidRDefault="001A3924" w14:paraId="44A06873" w14:textId="193FE241">
            <w:pPr>
              <w:spacing w:after="240"/>
              <w:rPr>
                <w:color w:val="000000"/>
              </w:rPr>
            </w:pPr>
            <w:r w:rsidRPr="00536F0C">
              <w:rPr>
                <w:color w:val="000000"/>
              </w:rPr>
              <w:t>The Commission considered PCF</w:t>
            </w:r>
            <w:r w:rsidR="004E6167">
              <w:rPr>
                <w:color w:val="000000"/>
              </w:rPr>
              <w:t>’</w:t>
            </w:r>
            <w:r w:rsidRPr="00536F0C">
              <w:rPr>
                <w:color w:val="000000"/>
              </w:rPr>
              <w:t>s evidence. D.23</w:t>
            </w:r>
            <w:r w:rsidR="00B52830">
              <w:rPr>
                <w:color w:val="000000"/>
              </w:rPr>
              <w:noBreakHyphen/>
            </w:r>
            <w:r w:rsidRPr="00536F0C">
              <w:rPr>
                <w:color w:val="000000"/>
              </w:rPr>
              <w:t>08</w:t>
            </w:r>
            <w:r w:rsidR="00B52830">
              <w:rPr>
                <w:color w:val="000000"/>
              </w:rPr>
              <w:noBreakHyphen/>
            </w:r>
            <w:r w:rsidRPr="00536F0C">
              <w:rPr>
                <w:color w:val="000000"/>
              </w:rPr>
              <w:t>028,</w:t>
            </w:r>
            <w:r w:rsidR="0015516F">
              <w:rPr>
                <w:color w:val="000000"/>
              </w:rPr>
              <w:t xml:space="preserve"> p. </w:t>
            </w:r>
            <w:r w:rsidRPr="00536F0C">
              <w:rPr>
                <w:color w:val="000000"/>
              </w:rPr>
              <w:t>8 (</w:t>
            </w:r>
            <w:r w:rsidR="004E6167">
              <w:rPr>
                <w:color w:val="000000"/>
              </w:rPr>
              <w:t>“</w:t>
            </w:r>
            <w:r w:rsidRPr="00536F0C">
              <w:rPr>
                <w:color w:val="000000"/>
              </w:rPr>
              <w:t>the Commission weighed the various evidence of many qualified expert witnesses (including PCF</w:t>
            </w:r>
            <w:r w:rsidR="004E6167">
              <w:rPr>
                <w:color w:val="000000"/>
              </w:rPr>
              <w:t>’</w:t>
            </w:r>
            <w:r w:rsidRPr="00536F0C">
              <w:rPr>
                <w:color w:val="000000"/>
              </w:rPr>
              <w:t>s) to reach its conclusions</w:t>
            </w:r>
            <w:r w:rsidR="004E6167">
              <w:rPr>
                <w:color w:val="000000"/>
              </w:rPr>
              <w:t>”</w:t>
            </w:r>
            <w:r w:rsidRPr="00536F0C">
              <w:rPr>
                <w:color w:val="000000"/>
              </w:rPr>
              <w:t>).</w:t>
            </w:r>
          </w:p>
          <w:p w:rsidRPr="00536F0C" w:rsidR="002D3344" w:rsidP="00FD4F67" w:rsidRDefault="004E6167" w14:paraId="558DBBFC" w14:textId="15F69FC1">
            <w:pPr>
              <w:spacing w:after="240"/>
              <w:rPr>
                <w:color w:val="000000"/>
              </w:rPr>
            </w:pPr>
            <w:r>
              <w:rPr>
                <w:color w:val="000000"/>
              </w:rPr>
              <w:t>“</w:t>
            </w:r>
            <w:r w:rsidRPr="00536F0C" w:rsidR="002D3344">
              <w:rPr>
                <w:color w:val="000000"/>
              </w:rPr>
              <w:t>The parties used variations of the CAPM, DCF and RPM financial models to support their respective ROE recommendations.</w:t>
            </w:r>
            <w:r>
              <w:rPr>
                <w:color w:val="000000"/>
              </w:rPr>
              <w:t>”</w:t>
            </w:r>
            <w:r w:rsidRPr="00536F0C" w:rsidR="002D3344">
              <w:rPr>
                <w:color w:val="000000"/>
              </w:rPr>
              <w:t xml:space="preserve"> D.21</w:t>
            </w:r>
            <w:r w:rsidR="00B52830">
              <w:rPr>
                <w:color w:val="000000"/>
              </w:rPr>
              <w:noBreakHyphen/>
            </w:r>
            <w:r w:rsidRPr="00536F0C" w:rsidR="002D3344">
              <w:rPr>
                <w:color w:val="000000"/>
              </w:rPr>
              <w:t>12</w:t>
            </w:r>
            <w:r w:rsidR="00B52830">
              <w:rPr>
                <w:color w:val="000000"/>
              </w:rPr>
              <w:noBreakHyphen/>
            </w:r>
            <w:r w:rsidRPr="00536F0C" w:rsidR="002D3344">
              <w:rPr>
                <w:color w:val="000000"/>
              </w:rPr>
              <w:t>031,</w:t>
            </w:r>
            <w:r w:rsidR="0015516F">
              <w:rPr>
                <w:color w:val="000000"/>
              </w:rPr>
              <w:t xml:space="preserve"> p. </w:t>
            </w:r>
            <w:r w:rsidRPr="00536F0C" w:rsidR="002D3344">
              <w:rPr>
                <w:color w:val="000000"/>
              </w:rPr>
              <w:t>47 (FOF 29).</w:t>
            </w:r>
          </w:p>
          <w:p w:rsidRPr="00536F0C" w:rsidR="002D3344" w:rsidP="00FD4F67" w:rsidRDefault="004E6167" w14:paraId="6F8E436D" w14:textId="261FF260">
            <w:pPr>
              <w:spacing w:after="240"/>
              <w:rPr>
                <w:color w:val="000000"/>
              </w:rPr>
            </w:pPr>
            <w:r>
              <w:rPr>
                <w:color w:val="000000"/>
              </w:rPr>
              <w:t>“</w:t>
            </w:r>
            <w:r w:rsidRPr="00536F0C" w:rsidR="002D3344">
              <w:rPr>
                <w:color w:val="000000"/>
              </w:rPr>
              <w:t xml:space="preserve">Each party used different subjective inputs and variations of the CAPM, RPM and DCF financial models as a basis for their </w:t>
            </w:r>
            <w:r w:rsidRPr="00536F0C" w:rsidR="002D3344">
              <w:rPr>
                <w:color w:val="000000"/>
              </w:rPr>
              <w:lastRenderedPageBreak/>
              <w:t>recommended ROEs.</w:t>
            </w:r>
            <w:r>
              <w:rPr>
                <w:color w:val="000000"/>
              </w:rPr>
              <w:t>”</w:t>
            </w:r>
            <w:r w:rsidRPr="00536F0C" w:rsidR="002D3344">
              <w:rPr>
                <w:color w:val="000000"/>
              </w:rPr>
              <w:t xml:space="preserve"> D.21</w:t>
            </w:r>
            <w:r w:rsidR="00B52830">
              <w:rPr>
                <w:color w:val="000000"/>
              </w:rPr>
              <w:noBreakHyphen/>
            </w:r>
            <w:r w:rsidRPr="00536F0C" w:rsidR="002D3344">
              <w:rPr>
                <w:color w:val="000000"/>
              </w:rPr>
              <w:t>12</w:t>
            </w:r>
            <w:r w:rsidR="00B52830">
              <w:rPr>
                <w:color w:val="000000"/>
              </w:rPr>
              <w:noBreakHyphen/>
            </w:r>
            <w:r w:rsidRPr="00536F0C" w:rsidR="002D3344">
              <w:rPr>
                <w:color w:val="000000"/>
              </w:rPr>
              <w:t>031,</w:t>
            </w:r>
            <w:r w:rsidR="0015516F">
              <w:rPr>
                <w:color w:val="000000"/>
              </w:rPr>
              <w:t xml:space="preserve"> p. </w:t>
            </w:r>
            <w:r w:rsidRPr="00536F0C" w:rsidR="002D3344">
              <w:rPr>
                <w:color w:val="000000"/>
              </w:rPr>
              <w:t>47 (FOF 30).</w:t>
            </w:r>
          </w:p>
          <w:p w:rsidRPr="00536F0C" w:rsidR="00F85BCD" w:rsidP="00FD4F67" w:rsidRDefault="004E6167" w14:paraId="691C5070" w14:textId="3B35414E">
            <w:pPr>
              <w:spacing w:after="240"/>
              <w:rPr>
                <w:color w:val="000000"/>
              </w:rPr>
            </w:pPr>
            <w:r>
              <w:rPr>
                <w:color w:val="000000"/>
              </w:rPr>
              <w:t>“</w:t>
            </w:r>
            <w:r w:rsidRPr="00536F0C" w:rsidR="00F85BCD">
              <w:rPr>
                <w:color w:val="000000"/>
              </w:rPr>
              <w:t>EPUC/IS/TURN and PCF both adopted the proxy group put forth by SoCalGas</w:t>
            </w:r>
            <w:r>
              <w:rPr>
                <w:color w:val="000000"/>
              </w:rPr>
              <w:t>’</w:t>
            </w:r>
            <w:r w:rsidRPr="00536F0C" w:rsidR="00F85BCD">
              <w:rPr>
                <w:color w:val="000000"/>
              </w:rPr>
              <w:t>s witness.</w:t>
            </w:r>
            <w:r>
              <w:rPr>
                <w:color w:val="000000"/>
              </w:rPr>
              <w:t>”</w:t>
            </w:r>
            <w:r w:rsidRPr="00536F0C" w:rsidR="00F85BCD">
              <w:rPr>
                <w:color w:val="000000"/>
              </w:rPr>
              <w:t xml:space="preserve"> D.22</w:t>
            </w:r>
            <w:r w:rsidR="00B52830">
              <w:rPr>
                <w:color w:val="000000"/>
              </w:rPr>
              <w:noBreakHyphen/>
            </w:r>
            <w:r w:rsidRPr="00536F0C" w:rsidR="00F85BCD">
              <w:rPr>
                <w:color w:val="000000"/>
              </w:rPr>
              <w:t>12</w:t>
            </w:r>
            <w:r w:rsidR="00B52830">
              <w:rPr>
                <w:color w:val="000000"/>
              </w:rPr>
              <w:noBreakHyphen/>
            </w:r>
            <w:r w:rsidRPr="00536F0C" w:rsidR="00F85BCD">
              <w:rPr>
                <w:color w:val="000000"/>
              </w:rPr>
              <w:t>031,</w:t>
            </w:r>
            <w:r w:rsidR="0015516F">
              <w:rPr>
                <w:color w:val="000000"/>
              </w:rPr>
              <w:t xml:space="preserve"> p. </w:t>
            </w:r>
            <w:r w:rsidRPr="00536F0C" w:rsidR="00F85BCD">
              <w:rPr>
                <w:color w:val="000000"/>
              </w:rPr>
              <w:t>16.</w:t>
            </w:r>
          </w:p>
          <w:p w:rsidRPr="00536F0C" w:rsidR="003B044B" w:rsidP="00FD4F67" w:rsidRDefault="004E6167" w14:paraId="2BB9B80A" w14:textId="79AFA0F3">
            <w:pPr>
              <w:spacing w:after="240"/>
              <w:rPr>
                <w:color w:val="000000"/>
              </w:rPr>
            </w:pPr>
            <w:r>
              <w:rPr>
                <w:color w:val="000000"/>
              </w:rPr>
              <w:t>“</w:t>
            </w:r>
            <w:r w:rsidRPr="00536F0C" w:rsidR="00F85BCD">
              <w:rPr>
                <w:color w:val="000000"/>
              </w:rPr>
              <w:t>The DCF model results for the intervenors, SCE, SoCalGas, and SDG&amp;E are also within on hundred basis points of each other, with the exception that the PCF proposed results for SDG&amp;E and SoCal Gas of 5.83 percent and 5.98 percent are extraordinarily lower than all of the other results and not given weight</w:t>
            </w:r>
            <w:r w:rsidRPr="00536F0C" w:rsidR="00553AE9">
              <w:rPr>
                <w:color w:val="000000"/>
              </w:rPr>
              <w:t>.</w:t>
            </w:r>
            <w:r>
              <w:rPr>
                <w:color w:val="000000"/>
              </w:rPr>
              <w:t>”</w:t>
            </w:r>
            <w:r w:rsidRPr="00536F0C" w:rsidR="00F85BCD">
              <w:rPr>
                <w:color w:val="000000"/>
              </w:rPr>
              <w:t xml:space="preserve"> D.22</w:t>
            </w:r>
            <w:r w:rsidR="00B52830">
              <w:rPr>
                <w:color w:val="000000"/>
              </w:rPr>
              <w:noBreakHyphen/>
            </w:r>
            <w:r w:rsidRPr="00536F0C" w:rsidR="00F85BCD">
              <w:rPr>
                <w:color w:val="000000"/>
              </w:rPr>
              <w:t>12</w:t>
            </w:r>
            <w:r w:rsidR="00B52830">
              <w:rPr>
                <w:color w:val="000000"/>
              </w:rPr>
              <w:noBreakHyphen/>
            </w:r>
            <w:r w:rsidRPr="00536F0C" w:rsidR="00F85BCD">
              <w:rPr>
                <w:color w:val="000000"/>
              </w:rPr>
              <w:t>031,</w:t>
            </w:r>
            <w:r w:rsidR="0015516F">
              <w:rPr>
                <w:color w:val="000000"/>
              </w:rPr>
              <w:t xml:space="preserve"> p. </w:t>
            </w:r>
            <w:r w:rsidRPr="00536F0C" w:rsidR="00F85BCD">
              <w:rPr>
                <w:color w:val="000000"/>
              </w:rPr>
              <w:t>22.</w:t>
            </w:r>
            <w:r w:rsidRPr="00536F0C" w:rsidR="00553AE9">
              <w:rPr>
                <w:color w:val="000000"/>
              </w:rPr>
              <w:t xml:space="preserve"> </w:t>
            </w:r>
          </w:p>
          <w:p w:rsidRPr="00536F0C" w:rsidR="00F85BCD" w:rsidP="00FD4F67" w:rsidRDefault="00AE3FCF" w14:paraId="11B55D7E" w14:textId="64220D3D">
            <w:pPr>
              <w:spacing w:after="240"/>
              <w:rPr>
                <w:color w:val="000000"/>
              </w:rPr>
            </w:pPr>
            <w:r w:rsidRPr="00536F0C">
              <w:rPr>
                <w:color w:val="000000"/>
              </w:rPr>
              <w:t>D.22</w:t>
            </w:r>
            <w:r w:rsidR="00B52830">
              <w:rPr>
                <w:color w:val="000000"/>
              </w:rPr>
              <w:noBreakHyphen/>
            </w:r>
            <w:r w:rsidRPr="00536F0C">
              <w:rPr>
                <w:color w:val="000000"/>
              </w:rPr>
              <w:t>12</w:t>
            </w:r>
            <w:r w:rsidR="00B52830">
              <w:rPr>
                <w:color w:val="000000"/>
              </w:rPr>
              <w:noBreakHyphen/>
            </w:r>
            <w:r w:rsidRPr="00536F0C">
              <w:rPr>
                <w:color w:val="000000"/>
              </w:rPr>
              <w:t>031,</w:t>
            </w:r>
            <w:r w:rsidR="0015516F">
              <w:rPr>
                <w:color w:val="000000"/>
              </w:rPr>
              <w:t xml:space="preserve"> p. </w:t>
            </w:r>
            <w:r w:rsidRPr="00536F0C">
              <w:rPr>
                <w:color w:val="000000"/>
              </w:rPr>
              <w:t xml:space="preserve">20 (PCF CAPM results equaling </w:t>
            </w:r>
            <w:r w:rsidRPr="00536F0C" w:rsidR="002C7029">
              <w:rPr>
                <w:color w:val="000000"/>
              </w:rPr>
              <w:t>4.90%</w:t>
            </w:r>
            <w:r w:rsidRPr="00536F0C">
              <w:rPr>
                <w:color w:val="000000"/>
              </w:rPr>
              <w:t xml:space="preserve"> for SDG&amp;E and </w:t>
            </w:r>
            <w:r w:rsidRPr="00536F0C" w:rsidR="002C7029">
              <w:rPr>
                <w:color w:val="000000"/>
              </w:rPr>
              <w:t>4.90%</w:t>
            </w:r>
            <w:r w:rsidRPr="00536F0C">
              <w:rPr>
                <w:color w:val="000000"/>
              </w:rPr>
              <w:t xml:space="preserve"> for </w:t>
            </w:r>
            <w:proofErr w:type="spellStart"/>
            <w:r w:rsidRPr="00536F0C">
              <w:rPr>
                <w:color w:val="000000"/>
              </w:rPr>
              <w:t>SoCalGs</w:t>
            </w:r>
            <w:proofErr w:type="spellEnd"/>
            <w:r w:rsidRPr="00536F0C">
              <w:rPr>
                <w:color w:val="000000"/>
              </w:rPr>
              <w:t>); D.22</w:t>
            </w:r>
            <w:r w:rsidR="00B52830">
              <w:rPr>
                <w:color w:val="000000"/>
              </w:rPr>
              <w:noBreakHyphen/>
            </w:r>
            <w:r w:rsidRPr="00536F0C">
              <w:rPr>
                <w:color w:val="000000"/>
              </w:rPr>
              <w:t>12</w:t>
            </w:r>
            <w:r w:rsidR="00B52830">
              <w:rPr>
                <w:color w:val="000000"/>
              </w:rPr>
              <w:noBreakHyphen/>
            </w:r>
            <w:r w:rsidRPr="00536F0C">
              <w:rPr>
                <w:color w:val="000000"/>
              </w:rPr>
              <w:t>031,</w:t>
            </w:r>
            <w:r w:rsidR="0015516F">
              <w:rPr>
                <w:color w:val="000000"/>
              </w:rPr>
              <w:t xml:space="preserve"> p. </w:t>
            </w:r>
            <w:r w:rsidRPr="00536F0C">
              <w:rPr>
                <w:color w:val="000000"/>
              </w:rPr>
              <w:t xml:space="preserve">21 (PCF DCF results equaling 5.83% for SoCalGas and 5.98% for SDG&amp;E); </w:t>
            </w:r>
            <w:r w:rsidRPr="00536F0C">
              <w:rPr>
                <w:color w:val="000000" w:themeColor="text1"/>
              </w:rPr>
              <w:t>D.22</w:t>
            </w:r>
            <w:r w:rsidR="00B52830">
              <w:rPr>
                <w:color w:val="000000" w:themeColor="text1"/>
              </w:rPr>
              <w:noBreakHyphen/>
            </w:r>
            <w:r w:rsidRPr="00536F0C">
              <w:rPr>
                <w:color w:val="000000" w:themeColor="text1"/>
              </w:rPr>
              <w:t>12</w:t>
            </w:r>
            <w:r w:rsidR="00B52830">
              <w:rPr>
                <w:color w:val="000000" w:themeColor="text1"/>
              </w:rPr>
              <w:noBreakHyphen/>
            </w:r>
            <w:r w:rsidRPr="00536F0C">
              <w:rPr>
                <w:color w:val="000000" w:themeColor="text1"/>
              </w:rPr>
              <w:t>031,</w:t>
            </w:r>
            <w:r w:rsidR="0015516F">
              <w:rPr>
                <w:color w:val="000000" w:themeColor="text1"/>
              </w:rPr>
              <w:t xml:space="preserve"> p. </w:t>
            </w:r>
            <w:r w:rsidRPr="00536F0C">
              <w:rPr>
                <w:color w:val="000000" w:themeColor="text1"/>
              </w:rPr>
              <w:t>37 (</w:t>
            </w:r>
            <w:r w:rsidRPr="00536F0C" w:rsidR="00F85BCD">
              <w:rPr>
                <w:color w:val="000000" w:themeColor="text1"/>
              </w:rPr>
              <w:t xml:space="preserve">PCF Final Proposed ROE </w:t>
            </w:r>
            <w:r w:rsidRPr="00536F0C">
              <w:rPr>
                <w:color w:val="000000" w:themeColor="text1"/>
              </w:rPr>
              <w:t xml:space="preserve">for </w:t>
            </w:r>
            <w:r w:rsidRPr="00536F0C" w:rsidR="00F85BCD">
              <w:rPr>
                <w:color w:val="000000" w:themeColor="text1"/>
              </w:rPr>
              <w:t>SoCalGas: 5.40%</w:t>
            </w:r>
            <w:r w:rsidRPr="00536F0C">
              <w:rPr>
                <w:color w:val="000000" w:themeColor="text1"/>
              </w:rPr>
              <w:t>; D.22</w:t>
            </w:r>
            <w:r w:rsidR="00B52830">
              <w:rPr>
                <w:color w:val="000000" w:themeColor="text1"/>
              </w:rPr>
              <w:noBreakHyphen/>
            </w:r>
            <w:r w:rsidRPr="00536F0C">
              <w:rPr>
                <w:color w:val="000000" w:themeColor="text1"/>
              </w:rPr>
              <w:t>12</w:t>
            </w:r>
            <w:r w:rsidR="00B52830">
              <w:rPr>
                <w:color w:val="000000" w:themeColor="text1"/>
              </w:rPr>
              <w:noBreakHyphen/>
            </w:r>
            <w:r w:rsidRPr="00536F0C">
              <w:rPr>
                <w:color w:val="000000" w:themeColor="text1"/>
              </w:rPr>
              <w:t>031,</w:t>
            </w:r>
            <w:r w:rsidR="0015516F">
              <w:rPr>
                <w:color w:val="000000" w:themeColor="text1"/>
              </w:rPr>
              <w:t xml:space="preserve"> p. </w:t>
            </w:r>
            <w:r w:rsidRPr="00536F0C">
              <w:rPr>
                <w:color w:val="000000" w:themeColor="text1"/>
              </w:rPr>
              <w:t>38 (</w:t>
            </w:r>
            <w:r w:rsidRPr="00536F0C" w:rsidR="00F85BCD">
              <w:rPr>
                <w:color w:val="000000" w:themeColor="text1"/>
              </w:rPr>
              <w:t xml:space="preserve">PCF </w:t>
            </w:r>
            <w:r w:rsidRPr="00536F0C">
              <w:rPr>
                <w:color w:val="000000" w:themeColor="text1"/>
              </w:rPr>
              <w:t>Final P</w:t>
            </w:r>
            <w:r w:rsidRPr="00536F0C" w:rsidR="00F85BCD">
              <w:rPr>
                <w:color w:val="000000" w:themeColor="text1"/>
              </w:rPr>
              <w:t xml:space="preserve">roposed ROE </w:t>
            </w:r>
            <w:r w:rsidRPr="00536F0C">
              <w:rPr>
                <w:color w:val="000000" w:themeColor="text1"/>
              </w:rPr>
              <w:t xml:space="preserve">for </w:t>
            </w:r>
            <w:r w:rsidRPr="00536F0C" w:rsidR="00F85BCD">
              <w:rPr>
                <w:color w:val="000000" w:themeColor="text1"/>
              </w:rPr>
              <w:t>SDG&amp;E: 5.45%</w:t>
            </w:r>
            <w:r w:rsidRPr="00536F0C">
              <w:rPr>
                <w:color w:val="000000" w:themeColor="text1"/>
              </w:rPr>
              <w:t>).</w:t>
            </w:r>
          </w:p>
          <w:p w:rsidRPr="00536F0C" w:rsidR="00B91D4F" w:rsidP="00FD4F67" w:rsidRDefault="004E6167" w14:paraId="046CE23A" w14:textId="3304C9C6">
            <w:pPr>
              <w:spacing w:after="240"/>
              <w:rPr>
                <w:color w:val="000000"/>
              </w:rPr>
            </w:pPr>
            <w:r>
              <w:rPr>
                <w:color w:val="000000" w:themeColor="text1"/>
              </w:rPr>
              <w:t>“</w:t>
            </w:r>
            <w:r w:rsidRPr="00536F0C" w:rsidR="00B91D4F">
              <w:rPr>
                <w:color w:val="000000" w:themeColor="text1"/>
              </w:rPr>
              <w:t>TURN, PCF, UCAN, EDF, and EPUC/IS provided recommendations on ROE calculation methodologies and modeling.</w:t>
            </w:r>
            <w:r>
              <w:rPr>
                <w:color w:val="000000" w:themeColor="text1"/>
              </w:rPr>
              <w:t>”</w:t>
            </w:r>
            <w:r w:rsidRPr="00536F0C" w:rsidR="00B91D4F">
              <w:rPr>
                <w:color w:val="000000" w:themeColor="text1"/>
              </w:rPr>
              <w:t xml:space="preserve"> D.24</w:t>
            </w:r>
            <w:r w:rsidR="00B52830">
              <w:rPr>
                <w:color w:val="000000" w:themeColor="text1"/>
              </w:rPr>
              <w:noBreakHyphen/>
            </w:r>
            <w:r w:rsidRPr="00536F0C" w:rsidR="00B91D4F">
              <w:rPr>
                <w:color w:val="000000" w:themeColor="text1"/>
              </w:rPr>
              <w:t>10</w:t>
            </w:r>
            <w:r w:rsidR="00B52830">
              <w:rPr>
                <w:color w:val="000000" w:themeColor="text1"/>
              </w:rPr>
              <w:noBreakHyphen/>
            </w:r>
            <w:r w:rsidRPr="00536F0C" w:rsidR="00B91D4F">
              <w:rPr>
                <w:color w:val="000000" w:themeColor="text1"/>
              </w:rPr>
              <w:t>008,</w:t>
            </w:r>
            <w:r w:rsidR="0015516F">
              <w:rPr>
                <w:color w:val="000000" w:themeColor="text1"/>
              </w:rPr>
              <w:t xml:space="preserve"> p. </w:t>
            </w:r>
            <w:r w:rsidRPr="00536F0C" w:rsidR="00B91D4F">
              <w:rPr>
                <w:color w:val="000000" w:themeColor="text1"/>
              </w:rPr>
              <w:t>29.</w:t>
            </w:r>
          </w:p>
          <w:p w:rsidRPr="00536F0C" w:rsidR="00E50086" w:rsidP="00FD4F67" w:rsidRDefault="004E6167" w14:paraId="15C142A9" w14:textId="5FB6B41A">
            <w:pPr>
              <w:spacing w:after="240"/>
              <w:rPr>
                <w:color w:val="000000"/>
              </w:rPr>
            </w:pPr>
            <w:r>
              <w:rPr>
                <w:color w:val="000000" w:themeColor="text1"/>
              </w:rPr>
              <w:t>“</w:t>
            </w:r>
            <w:r w:rsidRPr="00536F0C" w:rsidR="00E50086">
              <w:rPr>
                <w:color w:val="000000" w:themeColor="text1"/>
              </w:rPr>
              <w:t>On the broader question of constraining future cost of capital applications in their use of particular models or assumptions (i.e., issues 5(a) through 5(e)) above), we decline to implement these constraints at this time but do so without prejudice...</w:t>
            </w:r>
            <w:r>
              <w:rPr>
                <w:color w:val="000000" w:themeColor="text1"/>
              </w:rPr>
              <w:t>”</w:t>
            </w:r>
            <w:r w:rsidRPr="00536F0C" w:rsidR="00E50086">
              <w:rPr>
                <w:color w:val="000000" w:themeColor="text1"/>
              </w:rPr>
              <w:t xml:space="preserve"> D.24</w:t>
            </w:r>
            <w:r w:rsidR="00B52830">
              <w:rPr>
                <w:color w:val="000000" w:themeColor="text1"/>
              </w:rPr>
              <w:noBreakHyphen/>
            </w:r>
            <w:r w:rsidRPr="00536F0C" w:rsidR="00E50086">
              <w:rPr>
                <w:color w:val="000000" w:themeColor="text1"/>
              </w:rPr>
              <w:t>10</w:t>
            </w:r>
            <w:r w:rsidR="00B52830">
              <w:rPr>
                <w:color w:val="000000" w:themeColor="text1"/>
              </w:rPr>
              <w:noBreakHyphen/>
            </w:r>
            <w:r w:rsidRPr="00536F0C" w:rsidR="00E50086">
              <w:rPr>
                <w:color w:val="000000" w:themeColor="text1"/>
              </w:rPr>
              <w:t>008.</w:t>
            </w:r>
            <w:r w:rsidR="0015516F">
              <w:rPr>
                <w:color w:val="000000" w:themeColor="text1"/>
              </w:rPr>
              <w:t xml:space="preserve"> p. </w:t>
            </w:r>
            <w:r w:rsidRPr="00536F0C" w:rsidR="00E50086">
              <w:rPr>
                <w:color w:val="000000" w:themeColor="text1"/>
              </w:rPr>
              <w:t>29.</w:t>
            </w:r>
          </w:p>
          <w:p w:rsidRPr="00536F0C" w:rsidR="00E50086" w:rsidP="00FD4F67" w:rsidRDefault="00E50086" w14:paraId="1EA98D8E" w14:textId="4D79EC52">
            <w:pPr>
              <w:spacing w:after="240"/>
            </w:pPr>
            <w:r w:rsidRPr="00536F0C">
              <w:t xml:space="preserve">Commissioner Houck:  </w:t>
            </w:r>
            <w:r w:rsidR="004E6167">
              <w:t>“</w:t>
            </w:r>
            <w:r w:rsidRPr="00536F0C">
              <w:t>.</w:t>
            </w:r>
            <w:r w:rsidR="00FD4F67">
              <w:t> </w:t>
            </w:r>
            <w:r w:rsidRPr="00536F0C">
              <w:t>.</w:t>
            </w:r>
            <w:r w:rsidR="00FD4F67">
              <w:t> </w:t>
            </w:r>
            <w:r w:rsidRPr="00536F0C">
              <w:t xml:space="preserve">As I mentioned before, parties made substantial contributions to this proceeding, including many recommendations for changes to the </w:t>
            </w:r>
            <w:r w:rsidRPr="00536F0C">
              <w:lastRenderedPageBreak/>
              <w:t>Commission</w:t>
            </w:r>
            <w:r w:rsidR="004E6167">
              <w:t>’</w:t>
            </w:r>
            <w:r w:rsidRPr="00536F0C">
              <w:t xml:space="preserve">s cost of capital proceedings. Many parties suggested we substantially reevaluate how we conduct these proceedings, and while this decision does not adopt those recommendations beyond the aforementioned change in the CCM. I want to emphasize that that we are listening, and to take a minute to just discuss some of the underlying work of the cost of capital proceedings. </w:t>
            </w:r>
            <w:r w:rsidRPr="00536F0C">
              <w:rPr>
                <w:i/>
                <w:iCs/>
              </w:rPr>
              <w:t xml:space="preserve">See </w:t>
            </w:r>
            <w:r w:rsidRPr="00536F0C">
              <w:t xml:space="preserve">Attachment </w:t>
            </w:r>
            <w:r w:rsidRPr="00536F0C" w:rsidR="0010751A">
              <w:t>2</w:t>
            </w:r>
            <w:r w:rsidRPr="00536F0C">
              <w:t xml:space="preserve"> (exce</w:t>
            </w:r>
            <w:r w:rsidRPr="00536F0C" w:rsidR="00D907AA">
              <w:t>r</w:t>
            </w:r>
            <w:r w:rsidRPr="00536F0C">
              <w:t>pt of October 17, 2024 Commission Meeting, Item 14),</w:t>
            </w:r>
            <w:r w:rsidR="0015516F">
              <w:t xml:space="preserve"> p. </w:t>
            </w:r>
            <w:r w:rsidRPr="00536F0C">
              <w:t xml:space="preserve">1. </w:t>
            </w:r>
          </w:p>
          <w:p w:rsidRPr="00536F0C" w:rsidR="008D09A0" w:rsidP="00F57624" w:rsidRDefault="008D09A0" w14:paraId="2A2EEA94" w14:textId="09A3E448">
            <w:pPr>
              <w:spacing w:after="240"/>
              <w:rPr>
                <w:color w:val="000000"/>
              </w:rPr>
            </w:pPr>
            <w:r w:rsidRPr="00536F0C">
              <w:rPr>
                <w:color w:val="000000"/>
              </w:rPr>
              <w:t>PCF</w:t>
            </w:r>
            <w:r w:rsidR="00B52830">
              <w:rPr>
                <w:color w:val="000000"/>
              </w:rPr>
              <w:noBreakHyphen/>
            </w:r>
            <w:r w:rsidRPr="00536F0C">
              <w:rPr>
                <w:color w:val="000000"/>
              </w:rPr>
              <w:t>01 (Ellis Testimony),</w:t>
            </w:r>
            <w:r w:rsidR="0015516F">
              <w:rPr>
                <w:color w:val="000000"/>
              </w:rPr>
              <w:t xml:space="preserve"> p. </w:t>
            </w:r>
            <w:r w:rsidRPr="00536F0C" w:rsidR="00D80068">
              <w:rPr>
                <w:color w:val="000000"/>
              </w:rPr>
              <w:t>8</w:t>
            </w:r>
            <w:r w:rsidR="00B52830">
              <w:rPr>
                <w:color w:val="000000"/>
              </w:rPr>
              <w:noBreakHyphen/>
            </w:r>
            <w:r w:rsidRPr="00536F0C" w:rsidR="00D80068">
              <w:rPr>
                <w:color w:val="000000"/>
              </w:rPr>
              <w:t>11</w:t>
            </w:r>
            <w:r w:rsidRPr="00536F0C" w:rsidR="00487751">
              <w:rPr>
                <w:color w:val="000000"/>
              </w:rPr>
              <w:t>, 32</w:t>
            </w:r>
            <w:r w:rsidR="00B52830">
              <w:rPr>
                <w:color w:val="000000"/>
              </w:rPr>
              <w:noBreakHyphen/>
            </w:r>
            <w:r w:rsidRPr="00536F0C" w:rsidR="00487751">
              <w:rPr>
                <w:color w:val="000000"/>
              </w:rPr>
              <w:t>7</w:t>
            </w:r>
            <w:r w:rsidRPr="00536F0C" w:rsidR="00DE0FBA">
              <w:rPr>
                <w:color w:val="000000"/>
              </w:rPr>
              <w:t>6</w:t>
            </w:r>
            <w:r w:rsidRPr="00536F0C">
              <w:rPr>
                <w:color w:val="000000"/>
              </w:rPr>
              <w:t>.</w:t>
            </w:r>
          </w:p>
          <w:p w:rsidRPr="00536F0C" w:rsidR="008D09A0" w:rsidP="00F57624" w:rsidRDefault="008D09A0" w14:paraId="7F20CC44" w14:textId="52B774BC">
            <w:pPr>
              <w:spacing w:after="240"/>
              <w:rPr>
                <w:color w:val="000000"/>
              </w:rPr>
            </w:pPr>
            <w:r w:rsidRPr="00536F0C">
              <w:rPr>
                <w:color w:val="000000"/>
              </w:rPr>
              <w:t>PCF</w:t>
            </w:r>
            <w:r w:rsidR="00B52830">
              <w:rPr>
                <w:color w:val="000000"/>
              </w:rPr>
              <w:noBreakHyphen/>
            </w:r>
            <w:r w:rsidRPr="00536F0C">
              <w:rPr>
                <w:color w:val="000000"/>
              </w:rPr>
              <w:t xml:space="preserve">02 (Ellis </w:t>
            </w:r>
            <w:r w:rsidRPr="00536F0C" w:rsidR="0004020A">
              <w:rPr>
                <w:color w:val="000000"/>
              </w:rPr>
              <w:t xml:space="preserve">Rebuttal </w:t>
            </w:r>
            <w:r w:rsidRPr="00536F0C">
              <w:rPr>
                <w:color w:val="000000"/>
              </w:rPr>
              <w:t>Testimony),</w:t>
            </w:r>
            <w:r w:rsidR="0015516F">
              <w:rPr>
                <w:color w:val="000000"/>
              </w:rPr>
              <w:t xml:space="preserve"> p. </w:t>
            </w:r>
            <w:r w:rsidRPr="00536F0C" w:rsidR="003E3433">
              <w:rPr>
                <w:color w:val="000000"/>
              </w:rPr>
              <w:t>2</w:t>
            </w:r>
            <w:r w:rsidR="00B52830">
              <w:rPr>
                <w:color w:val="000000"/>
              </w:rPr>
              <w:noBreakHyphen/>
            </w:r>
            <w:r w:rsidRPr="00536F0C" w:rsidR="00187EA3">
              <w:rPr>
                <w:color w:val="000000"/>
              </w:rPr>
              <w:t>3</w:t>
            </w:r>
            <w:r w:rsidRPr="00536F0C" w:rsidR="009F4A9D">
              <w:rPr>
                <w:color w:val="000000"/>
              </w:rPr>
              <w:t>, 6</w:t>
            </w:r>
            <w:r w:rsidRPr="00536F0C" w:rsidR="00AF43CA">
              <w:rPr>
                <w:color w:val="000000"/>
              </w:rPr>
              <w:t>,</w:t>
            </w:r>
            <w:r w:rsidRPr="00536F0C" w:rsidR="009F4A9D">
              <w:rPr>
                <w:color w:val="000000"/>
              </w:rPr>
              <w:t xml:space="preserve"> </w:t>
            </w:r>
            <w:r w:rsidRPr="00536F0C" w:rsidR="00945FF0">
              <w:rPr>
                <w:color w:val="000000"/>
              </w:rPr>
              <w:t>14</w:t>
            </w:r>
            <w:r w:rsidR="00B52830">
              <w:rPr>
                <w:color w:val="000000"/>
              </w:rPr>
              <w:noBreakHyphen/>
            </w:r>
            <w:r w:rsidRPr="00536F0C" w:rsidR="00D51453">
              <w:rPr>
                <w:color w:val="000000"/>
              </w:rPr>
              <w:t>1</w:t>
            </w:r>
            <w:r w:rsidRPr="00536F0C" w:rsidR="0052713D">
              <w:rPr>
                <w:color w:val="000000"/>
              </w:rPr>
              <w:t>6</w:t>
            </w:r>
            <w:r w:rsidRPr="00536F0C" w:rsidR="00AF43CA">
              <w:rPr>
                <w:color w:val="000000"/>
              </w:rPr>
              <w:t>, 20</w:t>
            </w:r>
            <w:r w:rsidR="00B52830">
              <w:rPr>
                <w:color w:val="000000"/>
              </w:rPr>
              <w:noBreakHyphen/>
            </w:r>
            <w:r w:rsidRPr="00536F0C" w:rsidR="00AF43CA">
              <w:rPr>
                <w:color w:val="000000"/>
              </w:rPr>
              <w:t>21</w:t>
            </w:r>
            <w:r w:rsidRPr="00536F0C">
              <w:rPr>
                <w:color w:val="000000"/>
              </w:rPr>
              <w:t>.</w:t>
            </w:r>
          </w:p>
          <w:p w:rsidRPr="00536F0C" w:rsidR="008D09A0" w:rsidP="00F57624" w:rsidRDefault="008D09A0" w14:paraId="1D1B68FF" w14:textId="7A12258C">
            <w:pPr>
              <w:spacing w:after="240"/>
              <w:rPr>
                <w:color w:val="000000"/>
              </w:rPr>
            </w:pPr>
            <w:r w:rsidRPr="00536F0C">
              <w:rPr>
                <w:color w:val="000000"/>
              </w:rPr>
              <w:t>September 23, 2022 PCF Opening Brief,</w:t>
            </w:r>
            <w:r w:rsidR="0015516F">
              <w:rPr>
                <w:color w:val="000000"/>
              </w:rPr>
              <w:t xml:space="preserve"> p. </w:t>
            </w:r>
            <w:r w:rsidRPr="00536F0C" w:rsidR="000B3E93">
              <w:rPr>
                <w:color w:val="000000"/>
              </w:rPr>
              <w:t>14</w:t>
            </w:r>
            <w:r w:rsidR="00B52830">
              <w:rPr>
                <w:color w:val="000000"/>
              </w:rPr>
              <w:noBreakHyphen/>
            </w:r>
            <w:r w:rsidRPr="00536F0C" w:rsidR="000B3E93">
              <w:rPr>
                <w:color w:val="000000"/>
              </w:rPr>
              <w:t>16</w:t>
            </w:r>
            <w:r w:rsidRPr="00536F0C" w:rsidR="0052671E">
              <w:rPr>
                <w:color w:val="000000"/>
              </w:rPr>
              <w:t xml:space="preserve">; </w:t>
            </w:r>
            <w:r w:rsidRPr="00536F0C" w:rsidR="0052671E">
              <w:rPr>
                <w:i/>
                <w:iCs/>
                <w:color w:val="000000"/>
              </w:rPr>
              <w:t>id.</w:t>
            </w:r>
            <w:r w:rsidRPr="00536F0C" w:rsidR="0052671E">
              <w:rPr>
                <w:color w:val="000000"/>
              </w:rPr>
              <w:t xml:space="preserve"> at</w:t>
            </w:r>
            <w:r w:rsidR="0015516F">
              <w:rPr>
                <w:color w:val="000000"/>
              </w:rPr>
              <w:t xml:space="preserve"> p. </w:t>
            </w:r>
            <w:r w:rsidRPr="00536F0C" w:rsidR="0052671E">
              <w:rPr>
                <w:color w:val="000000"/>
              </w:rPr>
              <w:t>14 (</w:t>
            </w:r>
            <w:r w:rsidR="004E6167">
              <w:rPr>
                <w:color w:val="000000"/>
              </w:rPr>
              <w:t>“</w:t>
            </w:r>
            <w:r w:rsidRPr="00536F0C" w:rsidR="00991510">
              <w:rPr>
                <w:color w:val="000000"/>
              </w:rPr>
              <w:t xml:space="preserve">In implementing the CAPM, </w:t>
            </w:r>
            <w:r w:rsidR="004E6167">
              <w:rPr>
                <w:color w:val="000000"/>
              </w:rPr>
              <w:t>Mr. </w:t>
            </w:r>
            <w:r w:rsidRPr="00536F0C" w:rsidR="00991510">
              <w:rPr>
                <w:color w:val="000000"/>
              </w:rPr>
              <w:t>Coyne uses an interest rate forecast long and widely known to be systematically upwardly biased; and he cherry</w:t>
            </w:r>
            <w:r w:rsidR="00B52830">
              <w:rPr>
                <w:color w:val="000000"/>
              </w:rPr>
              <w:noBreakHyphen/>
            </w:r>
            <w:r w:rsidRPr="00536F0C" w:rsidR="00991510">
              <w:rPr>
                <w:color w:val="000000"/>
              </w:rPr>
              <w:t xml:space="preserve">picks a beta calculation methodology that does not reflect current investor risk perceptions and applies the </w:t>
            </w:r>
            <w:r w:rsidR="004E6167">
              <w:rPr>
                <w:color w:val="000000"/>
              </w:rPr>
              <w:t>“</w:t>
            </w:r>
            <w:r w:rsidRPr="00536F0C" w:rsidR="00991510">
              <w:rPr>
                <w:color w:val="000000"/>
              </w:rPr>
              <w:t>Blume</w:t>
            </w:r>
            <w:r w:rsidR="004E6167">
              <w:rPr>
                <w:color w:val="000000"/>
              </w:rPr>
              <w:t>”</w:t>
            </w:r>
            <w:r w:rsidRPr="00536F0C" w:rsidR="00991510">
              <w:rPr>
                <w:color w:val="000000"/>
              </w:rPr>
              <w:t xml:space="preserve"> adjustment that is not valid for utilities.</w:t>
            </w:r>
            <w:r w:rsidR="004E6167">
              <w:rPr>
                <w:color w:val="000000"/>
              </w:rPr>
              <w:t>”</w:t>
            </w:r>
            <w:r w:rsidRPr="00536F0C" w:rsidR="00991510">
              <w:rPr>
                <w:color w:val="000000"/>
              </w:rPr>
              <w:t>)</w:t>
            </w:r>
            <w:r w:rsidRPr="00536F0C" w:rsidR="00D27156">
              <w:rPr>
                <w:color w:val="000000"/>
              </w:rPr>
              <w:t>(citations omitted).</w:t>
            </w:r>
          </w:p>
          <w:p w:rsidRPr="00536F0C" w:rsidR="008D09A0" w:rsidP="00F57624" w:rsidRDefault="008D09A0" w14:paraId="3BB25C06" w14:textId="758F6DE1">
            <w:pPr>
              <w:spacing w:after="240"/>
              <w:rPr>
                <w:color w:val="000000"/>
              </w:rPr>
            </w:pPr>
            <w:r w:rsidRPr="00536F0C">
              <w:rPr>
                <w:color w:val="000000"/>
              </w:rPr>
              <w:t>September 30, 2022 PCF Reply Brief,</w:t>
            </w:r>
            <w:r w:rsidR="0015516F">
              <w:rPr>
                <w:color w:val="000000"/>
              </w:rPr>
              <w:t xml:space="preserve"> p. </w:t>
            </w:r>
            <w:r w:rsidRPr="00536F0C" w:rsidR="00E60F6B">
              <w:rPr>
                <w:color w:val="000000"/>
              </w:rPr>
              <w:t>9</w:t>
            </w:r>
            <w:r w:rsidRPr="00536F0C">
              <w:rPr>
                <w:color w:val="000000"/>
              </w:rPr>
              <w:t>.</w:t>
            </w:r>
          </w:p>
          <w:p w:rsidRPr="00536F0C" w:rsidR="008D09A0" w:rsidP="00F57624" w:rsidRDefault="008D09A0" w14:paraId="29EFF416" w14:textId="57E0AEAA">
            <w:pPr>
              <w:spacing w:after="240"/>
              <w:rPr>
                <w:color w:val="000000"/>
              </w:rPr>
            </w:pPr>
            <w:r w:rsidRPr="00536F0C">
              <w:rPr>
                <w:color w:val="000000"/>
              </w:rPr>
              <w:t xml:space="preserve">November 29, 2022 PCF Comments on PD, </w:t>
            </w:r>
            <w:r w:rsidRPr="00536F0C" w:rsidR="00196ECF">
              <w:rPr>
                <w:color w:val="000000"/>
              </w:rPr>
              <w:t>6</w:t>
            </w:r>
            <w:r w:rsidR="00B52830">
              <w:rPr>
                <w:color w:val="000000"/>
              </w:rPr>
              <w:noBreakHyphen/>
            </w:r>
            <w:r w:rsidRPr="00536F0C" w:rsidR="00196ECF">
              <w:rPr>
                <w:color w:val="000000"/>
              </w:rPr>
              <w:t>9</w:t>
            </w:r>
            <w:r w:rsidRPr="00536F0C" w:rsidR="006B2C18">
              <w:rPr>
                <w:color w:val="000000"/>
              </w:rPr>
              <w:t>.</w:t>
            </w:r>
          </w:p>
          <w:p w:rsidRPr="00536F0C" w:rsidR="00F508E5" w:rsidP="00F57624" w:rsidRDefault="00F508E5" w14:paraId="204521AB" w14:textId="6C18D9F0">
            <w:pPr>
              <w:spacing w:after="240"/>
              <w:rPr>
                <w:color w:val="000000"/>
              </w:rPr>
            </w:pPr>
            <w:r w:rsidRPr="00536F0C">
              <w:rPr>
                <w:color w:val="000000"/>
              </w:rPr>
              <w:t>December 5, 2022 PCF Reply Comments on PD,</w:t>
            </w:r>
            <w:r w:rsidR="0015516F">
              <w:rPr>
                <w:color w:val="000000"/>
              </w:rPr>
              <w:t xml:space="preserve"> p. </w:t>
            </w:r>
            <w:r w:rsidRPr="00536F0C">
              <w:rPr>
                <w:color w:val="000000"/>
              </w:rPr>
              <w:t>3.</w:t>
            </w:r>
          </w:p>
          <w:p w:rsidRPr="00536F0C" w:rsidR="00B74AB5" w:rsidP="00F57624" w:rsidRDefault="00B74AB5" w14:paraId="747C4C4B" w14:textId="566BCAA4">
            <w:pPr>
              <w:spacing w:after="240"/>
              <w:rPr>
                <w:color w:val="000000"/>
              </w:rPr>
            </w:pPr>
            <w:r w:rsidRPr="00536F0C">
              <w:rPr>
                <w:color w:val="000000"/>
              </w:rPr>
              <w:t>PCF</w:t>
            </w:r>
            <w:r w:rsidR="00B52830">
              <w:rPr>
                <w:color w:val="000000"/>
              </w:rPr>
              <w:noBreakHyphen/>
            </w:r>
            <w:r w:rsidRPr="00536F0C">
              <w:rPr>
                <w:color w:val="000000"/>
              </w:rPr>
              <w:t>09 (Ellis Phase 2 Testimony),</w:t>
            </w:r>
            <w:r w:rsidR="0015516F">
              <w:rPr>
                <w:color w:val="000000"/>
              </w:rPr>
              <w:t xml:space="preserve"> p. </w:t>
            </w:r>
            <w:r w:rsidRPr="00536F0C" w:rsidR="00562B3C">
              <w:rPr>
                <w:color w:val="000000"/>
              </w:rPr>
              <w:t>4</w:t>
            </w:r>
            <w:r w:rsidR="00B52830">
              <w:rPr>
                <w:color w:val="000000"/>
              </w:rPr>
              <w:noBreakHyphen/>
            </w:r>
            <w:r w:rsidRPr="00536F0C" w:rsidR="003D15EC">
              <w:rPr>
                <w:color w:val="000000"/>
              </w:rPr>
              <w:t>6</w:t>
            </w:r>
            <w:r w:rsidRPr="00536F0C" w:rsidR="00A9741D">
              <w:rPr>
                <w:color w:val="000000"/>
              </w:rPr>
              <w:t>, 39</w:t>
            </w:r>
            <w:r w:rsidRPr="00536F0C" w:rsidR="009566EC">
              <w:rPr>
                <w:color w:val="000000"/>
              </w:rPr>
              <w:t>, 41</w:t>
            </w:r>
            <w:r w:rsidRPr="00536F0C" w:rsidR="00EA0D92">
              <w:rPr>
                <w:color w:val="000000"/>
              </w:rPr>
              <w:t>, 53</w:t>
            </w:r>
            <w:r w:rsidR="00B52830">
              <w:rPr>
                <w:color w:val="000000"/>
              </w:rPr>
              <w:noBreakHyphen/>
            </w:r>
            <w:r w:rsidRPr="00536F0C" w:rsidR="00EA0D92">
              <w:rPr>
                <w:color w:val="000000"/>
              </w:rPr>
              <w:t>54</w:t>
            </w:r>
            <w:r w:rsidRPr="00536F0C" w:rsidR="00D668AA">
              <w:rPr>
                <w:color w:val="000000"/>
              </w:rPr>
              <w:t>, 58</w:t>
            </w:r>
            <w:r w:rsidR="00B52830">
              <w:rPr>
                <w:color w:val="000000"/>
              </w:rPr>
              <w:noBreakHyphen/>
            </w:r>
            <w:r w:rsidRPr="00536F0C" w:rsidR="00C944B2">
              <w:rPr>
                <w:color w:val="000000"/>
              </w:rPr>
              <w:t>94</w:t>
            </w:r>
            <w:r w:rsidRPr="00536F0C" w:rsidR="00753D59">
              <w:rPr>
                <w:color w:val="000000"/>
              </w:rPr>
              <w:t xml:space="preserve">, </w:t>
            </w:r>
            <w:r w:rsidRPr="00536F0C" w:rsidR="008A205A">
              <w:rPr>
                <w:color w:val="000000"/>
              </w:rPr>
              <w:t>1</w:t>
            </w:r>
            <w:r w:rsidRPr="00536F0C" w:rsidR="00753D59">
              <w:rPr>
                <w:color w:val="000000"/>
              </w:rPr>
              <w:t>0</w:t>
            </w:r>
            <w:r w:rsidRPr="00536F0C" w:rsidR="008A205A">
              <w:rPr>
                <w:color w:val="000000"/>
              </w:rPr>
              <w:t>1</w:t>
            </w:r>
            <w:r w:rsidRPr="00536F0C" w:rsidR="00CC70BB">
              <w:rPr>
                <w:color w:val="000000"/>
              </w:rPr>
              <w:t xml:space="preserve">; </w:t>
            </w:r>
            <w:r w:rsidRPr="00536F0C" w:rsidR="00CC70BB">
              <w:rPr>
                <w:i/>
                <w:iCs/>
                <w:color w:val="000000"/>
              </w:rPr>
              <w:t>id.</w:t>
            </w:r>
            <w:r w:rsidRPr="00536F0C" w:rsidR="00CC70BB">
              <w:rPr>
                <w:color w:val="000000"/>
              </w:rPr>
              <w:t xml:space="preserve"> at</w:t>
            </w:r>
            <w:r w:rsidR="0015516F">
              <w:rPr>
                <w:color w:val="000000"/>
              </w:rPr>
              <w:t xml:space="preserve"> p. </w:t>
            </w:r>
            <w:r w:rsidRPr="00536F0C" w:rsidR="00CC70BB">
              <w:rPr>
                <w:color w:val="000000"/>
              </w:rPr>
              <w:t>59 (</w:t>
            </w:r>
            <w:r w:rsidR="004E6167">
              <w:rPr>
                <w:color w:val="000000"/>
              </w:rPr>
              <w:t>“</w:t>
            </w:r>
            <w:r w:rsidRPr="00536F0C" w:rsidR="00CC70BB">
              <w:rPr>
                <w:color w:val="000000"/>
              </w:rPr>
              <w:t>The most critical common flaw in the implementation of the CG DCF is the assumption that analysts</w:t>
            </w:r>
            <w:r w:rsidR="004E6167">
              <w:rPr>
                <w:color w:val="000000"/>
              </w:rPr>
              <w:t>’</w:t>
            </w:r>
            <w:r w:rsidRPr="00536F0C" w:rsidR="00CC70BB">
              <w:rPr>
                <w:color w:val="000000"/>
              </w:rPr>
              <w:t xml:space="preserve"> EPS growth forecasts are valid into perpetuity. This </w:t>
            </w:r>
            <w:r w:rsidRPr="00536F0C" w:rsidR="00CC70BB">
              <w:rPr>
                <w:color w:val="000000"/>
              </w:rPr>
              <w:lastRenderedPageBreak/>
              <w:t>assumption is not reasonable. The results of the CG DCF are particularly sensitive to the perpetuity growth rate assumption. The inaccuracy introduced by assuming a relatively short</w:t>
            </w:r>
            <w:r w:rsidR="00B52830">
              <w:rPr>
                <w:color w:val="000000"/>
              </w:rPr>
              <w:noBreakHyphen/>
            </w:r>
            <w:r w:rsidRPr="00536F0C" w:rsidR="00CC70BB">
              <w:rPr>
                <w:color w:val="000000"/>
              </w:rPr>
              <w:t>term growth rate will be sustained forever therefore invalidates the results of the CG DCF as commonly implemented using analysts</w:t>
            </w:r>
            <w:r w:rsidR="004E6167">
              <w:rPr>
                <w:color w:val="000000"/>
              </w:rPr>
              <w:t>’</w:t>
            </w:r>
            <w:r w:rsidRPr="00536F0C" w:rsidR="00CC70BB">
              <w:rPr>
                <w:color w:val="000000"/>
              </w:rPr>
              <w:t xml:space="preserve"> EPS growth forecasts.</w:t>
            </w:r>
            <w:r w:rsidR="004E6167">
              <w:rPr>
                <w:color w:val="000000"/>
              </w:rPr>
              <w:t>”</w:t>
            </w:r>
            <w:r w:rsidRPr="00536F0C" w:rsidR="00CC70BB">
              <w:rPr>
                <w:color w:val="000000"/>
              </w:rPr>
              <w:t>).</w:t>
            </w:r>
          </w:p>
          <w:p w:rsidRPr="00536F0C" w:rsidR="00B74AB5" w:rsidP="00F57624" w:rsidRDefault="00B74AB5" w14:paraId="1D5F8C6C" w14:textId="7A0F7E80">
            <w:pPr>
              <w:spacing w:after="240"/>
              <w:rPr>
                <w:color w:val="000000"/>
              </w:rPr>
            </w:pPr>
            <w:r w:rsidRPr="00536F0C">
              <w:rPr>
                <w:color w:val="000000"/>
              </w:rPr>
              <w:t>PCF</w:t>
            </w:r>
            <w:r w:rsidR="00B52830">
              <w:rPr>
                <w:color w:val="000000"/>
              </w:rPr>
              <w:noBreakHyphen/>
            </w:r>
            <w:r w:rsidRPr="00536F0C">
              <w:rPr>
                <w:color w:val="000000"/>
              </w:rPr>
              <w:t>10 (Ellis Phase 2 Rebuttal Testimony),</w:t>
            </w:r>
            <w:r w:rsidR="0015516F">
              <w:rPr>
                <w:color w:val="000000"/>
              </w:rPr>
              <w:t xml:space="preserve"> p. </w:t>
            </w:r>
            <w:r w:rsidRPr="00536F0C" w:rsidR="008F3305">
              <w:rPr>
                <w:color w:val="000000"/>
              </w:rPr>
              <w:t>2</w:t>
            </w:r>
            <w:r w:rsidRPr="00536F0C" w:rsidR="00777D25">
              <w:rPr>
                <w:color w:val="000000"/>
              </w:rPr>
              <w:t>, 13</w:t>
            </w:r>
            <w:r w:rsidR="00B52830">
              <w:rPr>
                <w:color w:val="000000"/>
              </w:rPr>
              <w:noBreakHyphen/>
            </w:r>
            <w:r w:rsidRPr="00536F0C" w:rsidR="00777D25">
              <w:rPr>
                <w:color w:val="000000"/>
              </w:rPr>
              <w:t>15</w:t>
            </w:r>
            <w:r w:rsidRPr="00536F0C">
              <w:rPr>
                <w:color w:val="000000"/>
              </w:rPr>
              <w:t>.</w:t>
            </w:r>
          </w:p>
          <w:p w:rsidRPr="00536F0C" w:rsidR="00B74AB5" w:rsidP="00F57624" w:rsidRDefault="00B74AB5" w14:paraId="2FD39FE2" w14:textId="472C43E4">
            <w:pPr>
              <w:spacing w:after="240"/>
              <w:rPr>
                <w:color w:val="000000"/>
              </w:rPr>
            </w:pPr>
            <w:r w:rsidRPr="00536F0C">
              <w:rPr>
                <w:color w:val="000000"/>
              </w:rPr>
              <w:t>April 22, 2024 PCF Phase 2 Opening Brief,</w:t>
            </w:r>
            <w:r w:rsidR="0015516F">
              <w:rPr>
                <w:color w:val="000000"/>
              </w:rPr>
              <w:t xml:space="preserve"> p. </w:t>
            </w:r>
            <w:r w:rsidRPr="00536F0C" w:rsidR="00AA6EC2">
              <w:rPr>
                <w:color w:val="000000"/>
              </w:rPr>
              <w:t xml:space="preserve">5, </w:t>
            </w:r>
            <w:r w:rsidRPr="00536F0C" w:rsidR="00061F5D">
              <w:rPr>
                <w:color w:val="000000"/>
              </w:rPr>
              <w:t>29</w:t>
            </w:r>
            <w:r w:rsidR="00B52830">
              <w:rPr>
                <w:color w:val="000000"/>
              </w:rPr>
              <w:noBreakHyphen/>
            </w:r>
            <w:r w:rsidRPr="00536F0C" w:rsidR="00061F5D">
              <w:rPr>
                <w:color w:val="000000"/>
              </w:rPr>
              <w:t>32</w:t>
            </w:r>
            <w:r w:rsidRPr="00536F0C" w:rsidR="00A77EFF">
              <w:rPr>
                <w:color w:val="000000"/>
              </w:rPr>
              <w:t>, 38</w:t>
            </w:r>
            <w:r w:rsidR="00B52830">
              <w:rPr>
                <w:color w:val="000000"/>
              </w:rPr>
              <w:noBreakHyphen/>
            </w:r>
            <w:r w:rsidRPr="00536F0C" w:rsidR="00C73B4B">
              <w:rPr>
                <w:color w:val="000000"/>
              </w:rPr>
              <w:t>39</w:t>
            </w:r>
            <w:r w:rsidRPr="00536F0C">
              <w:rPr>
                <w:color w:val="000000"/>
              </w:rPr>
              <w:t>.</w:t>
            </w:r>
          </w:p>
          <w:p w:rsidRPr="00536F0C" w:rsidR="00B74AB5" w:rsidP="00F57624" w:rsidRDefault="00B74AB5" w14:paraId="514F0A38" w14:textId="050FBE02">
            <w:pPr>
              <w:spacing w:after="240"/>
              <w:rPr>
                <w:color w:val="000000"/>
              </w:rPr>
            </w:pPr>
            <w:r w:rsidRPr="00536F0C">
              <w:rPr>
                <w:color w:val="000000"/>
              </w:rPr>
              <w:t>May 6, 2024 PCF Phase 2 Reply Brief,</w:t>
            </w:r>
            <w:r w:rsidR="0015516F">
              <w:rPr>
                <w:color w:val="000000"/>
              </w:rPr>
              <w:t xml:space="preserve"> p. </w:t>
            </w:r>
            <w:r w:rsidRPr="00536F0C" w:rsidR="006C1E7C">
              <w:rPr>
                <w:color w:val="000000"/>
              </w:rPr>
              <w:t xml:space="preserve">3, </w:t>
            </w:r>
            <w:r w:rsidRPr="00536F0C" w:rsidR="00EC7BD1">
              <w:rPr>
                <w:color w:val="000000"/>
              </w:rPr>
              <w:t>18</w:t>
            </w:r>
            <w:r w:rsidR="00B52830">
              <w:rPr>
                <w:color w:val="000000"/>
              </w:rPr>
              <w:noBreakHyphen/>
            </w:r>
            <w:r w:rsidRPr="00536F0C" w:rsidR="00330C8C">
              <w:rPr>
                <w:color w:val="000000"/>
              </w:rPr>
              <w:t>20</w:t>
            </w:r>
            <w:r w:rsidRPr="00536F0C">
              <w:rPr>
                <w:color w:val="000000"/>
              </w:rPr>
              <w:t>.</w:t>
            </w:r>
          </w:p>
          <w:p w:rsidRPr="00536F0C" w:rsidR="00B74AB5" w:rsidP="00F57624" w:rsidRDefault="00B74AB5" w14:paraId="46876347" w14:textId="0CF59BCA">
            <w:pPr>
              <w:spacing w:after="240"/>
              <w:rPr>
                <w:color w:val="000000"/>
              </w:rPr>
            </w:pPr>
            <w:r w:rsidRPr="00536F0C">
              <w:rPr>
                <w:color w:val="000000"/>
              </w:rPr>
              <w:t>September 30, 2024 PCF Comments on Phase 2 PD,</w:t>
            </w:r>
            <w:r w:rsidR="0015516F">
              <w:rPr>
                <w:color w:val="000000"/>
              </w:rPr>
              <w:t xml:space="preserve"> p. </w:t>
            </w:r>
            <w:r w:rsidRPr="00536F0C" w:rsidR="00854904">
              <w:rPr>
                <w:color w:val="000000"/>
              </w:rPr>
              <w:t>2, 7, 9; Appendix</w:t>
            </w:r>
            <w:r w:rsidR="0015516F">
              <w:rPr>
                <w:color w:val="000000"/>
              </w:rPr>
              <w:t xml:space="preserve"> p. </w:t>
            </w:r>
            <w:r w:rsidRPr="00536F0C" w:rsidR="00854904">
              <w:rPr>
                <w:color w:val="000000"/>
              </w:rPr>
              <w:t>4, 6.</w:t>
            </w:r>
          </w:p>
        </w:tc>
        <w:tc>
          <w:tcPr>
            <w:tcW w:w="2075" w:type="dxa"/>
          </w:tcPr>
          <w:p w:rsidRPr="00536F0C" w:rsidR="00F85BCD" w:rsidP="009C3C07" w:rsidRDefault="00CC58CF" w14:paraId="52F867F8" w14:textId="0DB5AFC5">
            <w:pPr>
              <w:spacing w:after="240"/>
              <w:rPr>
                <w:color w:val="000000"/>
              </w:rPr>
            </w:pPr>
            <w:r>
              <w:rPr>
                <w:color w:val="000000"/>
              </w:rPr>
              <w:lastRenderedPageBreak/>
              <w:t>Verified</w:t>
            </w:r>
          </w:p>
        </w:tc>
      </w:tr>
      <w:tr w:rsidRPr="00536F0C" w:rsidR="0039053D" w:rsidTr="0015516F" w14:paraId="3C34B6B9" w14:textId="77777777">
        <w:tc>
          <w:tcPr>
            <w:tcW w:w="2785" w:type="dxa"/>
          </w:tcPr>
          <w:p w:rsidRPr="00536F0C" w:rsidR="00FA5D18" w:rsidP="00BB0115" w:rsidRDefault="000F3E7C" w14:paraId="2CD0A91F" w14:textId="72C1B425">
            <w:pPr>
              <w:spacing w:after="240"/>
              <w:rPr>
                <w:b/>
                <w:bCs/>
                <w:color w:val="000000"/>
                <w:u w:val="single"/>
              </w:rPr>
            </w:pPr>
            <w:r w:rsidRPr="00536F0C">
              <w:rPr>
                <w:b/>
                <w:bCs/>
                <w:color w:val="000000"/>
                <w:u w:val="single"/>
              </w:rPr>
              <w:lastRenderedPageBreak/>
              <w:t>Utilities</w:t>
            </w:r>
            <w:r w:rsidR="004E6167">
              <w:rPr>
                <w:b/>
                <w:bCs/>
                <w:color w:val="000000"/>
                <w:u w:val="single"/>
              </w:rPr>
              <w:t>’</w:t>
            </w:r>
            <w:r w:rsidRPr="00536F0C">
              <w:rPr>
                <w:b/>
                <w:bCs/>
                <w:color w:val="000000"/>
                <w:u w:val="single"/>
              </w:rPr>
              <w:t xml:space="preserve"> Claims of High Risk Lack Support</w:t>
            </w:r>
            <w:r w:rsidRPr="00BB0115">
              <w:rPr>
                <w:b/>
                <w:bCs/>
                <w:color w:val="000000"/>
              </w:rPr>
              <w:t>.</w:t>
            </w:r>
            <w:r w:rsidR="00BB0115">
              <w:rPr>
                <w:b/>
                <w:bCs/>
                <w:color w:val="000000"/>
              </w:rPr>
              <w:t xml:space="preserve"> </w:t>
            </w:r>
            <w:r w:rsidRPr="00536F0C">
              <w:rPr>
                <w:color w:val="000000"/>
              </w:rPr>
              <w:t>PCF enriched the record and deliberations by eliciting testimony and providing detailed arguments showing that the Utilities</w:t>
            </w:r>
            <w:r w:rsidR="004E6167">
              <w:rPr>
                <w:color w:val="000000"/>
              </w:rPr>
              <w:t>’</w:t>
            </w:r>
            <w:r w:rsidRPr="00536F0C">
              <w:rPr>
                <w:color w:val="000000"/>
              </w:rPr>
              <w:t xml:space="preserve"> claims of risk were exaggerated and unsupported. D.21</w:t>
            </w:r>
            <w:r w:rsidR="00B52830">
              <w:rPr>
                <w:color w:val="000000"/>
              </w:rPr>
              <w:noBreakHyphen/>
            </w:r>
            <w:r w:rsidRPr="00536F0C">
              <w:rPr>
                <w:color w:val="000000"/>
              </w:rPr>
              <w:t>12</w:t>
            </w:r>
            <w:r w:rsidR="00B52830">
              <w:rPr>
                <w:color w:val="000000"/>
              </w:rPr>
              <w:noBreakHyphen/>
            </w:r>
            <w:r w:rsidRPr="00536F0C">
              <w:rPr>
                <w:color w:val="000000"/>
              </w:rPr>
              <w:t>031 adopted PCF</w:t>
            </w:r>
            <w:r w:rsidR="004E6167">
              <w:rPr>
                <w:color w:val="000000"/>
              </w:rPr>
              <w:t>’</w:t>
            </w:r>
            <w:r w:rsidRPr="00536F0C">
              <w:rPr>
                <w:color w:val="000000"/>
              </w:rPr>
              <w:t>s position in large part, agreeing with PCF that the Utilities</w:t>
            </w:r>
            <w:r w:rsidR="004E6167">
              <w:rPr>
                <w:color w:val="000000"/>
              </w:rPr>
              <w:t>’</w:t>
            </w:r>
            <w:r w:rsidRPr="00536F0C">
              <w:rPr>
                <w:color w:val="000000"/>
              </w:rPr>
              <w:t xml:space="preserve"> wildfire and other risks have been mitigated by AB 1054 and regulatory mechanisms</w:t>
            </w:r>
            <w:r w:rsidRPr="00536F0C">
              <w:rPr>
                <w:b/>
                <w:bCs/>
                <w:color w:val="000000"/>
                <w:u w:val="single"/>
              </w:rPr>
              <w:t>.</w:t>
            </w:r>
          </w:p>
        </w:tc>
        <w:tc>
          <w:tcPr>
            <w:tcW w:w="4500" w:type="dxa"/>
          </w:tcPr>
          <w:p w:rsidRPr="00536F0C" w:rsidR="00FA5D18" w:rsidP="00F57624" w:rsidRDefault="004E6167" w14:paraId="26F57573" w14:textId="2CB54ED7">
            <w:pPr>
              <w:spacing w:after="240"/>
              <w:rPr>
                <w:color w:val="000000"/>
              </w:rPr>
            </w:pPr>
            <w:r>
              <w:rPr>
                <w:color w:val="000000"/>
              </w:rPr>
              <w:t>“</w:t>
            </w:r>
            <w:r w:rsidRPr="00536F0C" w:rsidR="00FA5D18">
              <w:rPr>
                <w:color w:val="000000"/>
              </w:rPr>
              <w:t>Financial risk is tied to the utility</w:t>
            </w:r>
            <w:r>
              <w:rPr>
                <w:color w:val="000000"/>
              </w:rPr>
              <w:t>’</w:t>
            </w:r>
            <w:r w:rsidRPr="00536F0C" w:rsidR="00FA5D18">
              <w:rPr>
                <w:color w:val="000000"/>
              </w:rPr>
              <w:t>s capital structure.</w:t>
            </w:r>
            <w:r>
              <w:rPr>
                <w:color w:val="000000"/>
              </w:rPr>
              <w:t>”</w:t>
            </w:r>
            <w:r w:rsidRPr="00536F0C" w:rsidR="00FA5D18">
              <w:rPr>
                <w:color w:val="000000"/>
              </w:rPr>
              <w:t xml:space="preserve"> D.22</w:t>
            </w:r>
            <w:r w:rsidR="00B52830">
              <w:rPr>
                <w:color w:val="000000"/>
              </w:rPr>
              <w:noBreakHyphen/>
            </w:r>
            <w:r w:rsidRPr="00536F0C" w:rsidR="00FA5D18">
              <w:rPr>
                <w:color w:val="000000"/>
              </w:rPr>
              <w:t>12</w:t>
            </w:r>
            <w:r w:rsidR="00B52830">
              <w:rPr>
                <w:color w:val="000000"/>
              </w:rPr>
              <w:noBreakHyphen/>
            </w:r>
            <w:r w:rsidRPr="00536F0C" w:rsidR="00FA5D18">
              <w:rPr>
                <w:color w:val="000000"/>
              </w:rPr>
              <w:t>031,</w:t>
            </w:r>
            <w:r w:rsidR="0015516F">
              <w:rPr>
                <w:color w:val="000000"/>
              </w:rPr>
              <w:t xml:space="preserve"> p. </w:t>
            </w:r>
            <w:r w:rsidRPr="00536F0C" w:rsidR="00FA5D18">
              <w:rPr>
                <w:color w:val="000000"/>
              </w:rPr>
              <w:t>48 (FOF 32).</w:t>
            </w:r>
          </w:p>
          <w:p w:rsidRPr="00536F0C" w:rsidR="00FA5D18" w:rsidP="00F57624" w:rsidRDefault="004E6167" w14:paraId="0492055A" w14:textId="5C8A8316">
            <w:pPr>
              <w:spacing w:after="240"/>
              <w:rPr>
                <w:color w:val="000000"/>
              </w:rPr>
            </w:pPr>
            <w:r>
              <w:rPr>
                <w:color w:val="000000"/>
              </w:rPr>
              <w:t>“</w:t>
            </w:r>
            <w:r w:rsidRPr="00536F0C" w:rsidR="00FA5D18">
              <w:rPr>
                <w:color w:val="000000"/>
              </w:rPr>
              <w:t>AB 1054 has substantially mitigated wildfire liability exposure as well as liquidity concerns.</w:t>
            </w:r>
            <w:r>
              <w:rPr>
                <w:color w:val="000000"/>
              </w:rPr>
              <w:t>”</w:t>
            </w:r>
            <w:r w:rsidRPr="00536F0C" w:rsidR="00FA5D18">
              <w:rPr>
                <w:color w:val="000000"/>
              </w:rPr>
              <w:t xml:space="preserve"> D.22</w:t>
            </w:r>
            <w:r w:rsidR="00B52830">
              <w:rPr>
                <w:color w:val="000000"/>
              </w:rPr>
              <w:noBreakHyphen/>
            </w:r>
            <w:r w:rsidRPr="00536F0C" w:rsidR="00FA5D18">
              <w:rPr>
                <w:color w:val="000000"/>
              </w:rPr>
              <w:t>12</w:t>
            </w:r>
            <w:r w:rsidR="00B52830">
              <w:rPr>
                <w:color w:val="000000"/>
              </w:rPr>
              <w:noBreakHyphen/>
            </w:r>
            <w:r w:rsidRPr="00536F0C" w:rsidR="00FA5D18">
              <w:rPr>
                <w:color w:val="000000"/>
              </w:rPr>
              <w:t>031,</w:t>
            </w:r>
            <w:r w:rsidR="0015516F">
              <w:rPr>
                <w:color w:val="000000"/>
              </w:rPr>
              <w:t xml:space="preserve"> p. </w:t>
            </w:r>
            <w:r w:rsidRPr="00536F0C" w:rsidR="00FA5D18">
              <w:rPr>
                <w:color w:val="000000"/>
              </w:rPr>
              <w:t>48 (FOF 35).</w:t>
            </w:r>
          </w:p>
          <w:p w:rsidRPr="00536F0C" w:rsidR="00FA5D18" w:rsidP="00F57624" w:rsidRDefault="004E6167" w14:paraId="75448FB5" w14:textId="291D9A08">
            <w:pPr>
              <w:spacing w:after="240"/>
              <w:rPr>
                <w:color w:val="000000"/>
              </w:rPr>
            </w:pPr>
            <w:r>
              <w:rPr>
                <w:color w:val="000000"/>
              </w:rPr>
              <w:t>“</w:t>
            </w:r>
            <w:r w:rsidRPr="00536F0C" w:rsidR="00FA5D18">
              <w:rPr>
                <w:color w:val="000000"/>
              </w:rPr>
              <w:t>There are regulatory mechanisms in place to mitigate cashflow risks that arose in response to disconnection moratoriums that were applied in response to the COVID</w:t>
            </w:r>
            <w:r w:rsidR="00B52830">
              <w:rPr>
                <w:color w:val="000000"/>
              </w:rPr>
              <w:noBreakHyphen/>
            </w:r>
            <w:r w:rsidRPr="00536F0C" w:rsidR="00FA5D18">
              <w:rPr>
                <w:color w:val="000000"/>
              </w:rPr>
              <w:t>19 pandemic.</w:t>
            </w:r>
            <w:r>
              <w:rPr>
                <w:color w:val="000000"/>
              </w:rPr>
              <w:t>”</w:t>
            </w:r>
            <w:r w:rsidRPr="00536F0C" w:rsidR="00FA5D18">
              <w:rPr>
                <w:color w:val="000000"/>
              </w:rPr>
              <w:t xml:space="preserve"> D.22</w:t>
            </w:r>
            <w:r w:rsidR="00B52830">
              <w:rPr>
                <w:color w:val="000000"/>
              </w:rPr>
              <w:noBreakHyphen/>
            </w:r>
            <w:r w:rsidRPr="00536F0C" w:rsidR="00FA5D18">
              <w:rPr>
                <w:color w:val="000000"/>
              </w:rPr>
              <w:t>12</w:t>
            </w:r>
            <w:r w:rsidR="00B52830">
              <w:rPr>
                <w:color w:val="000000"/>
              </w:rPr>
              <w:noBreakHyphen/>
            </w:r>
            <w:r w:rsidRPr="00536F0C" w:rsidR="00FA5D18">
              <w:rPr>
                <w:color w:val="000000"/>
              </w:rPr>
              <w:t>031,</w:t>
            </w:r>
            <w:r w:rsidR="0015516F">
              <w:rPr>
                <w:color w:val="000000"/>
              </w:rPr>
              <w:t xml:space="preserve"> p. </w:t>
            </w:r>
            <w:r w:rsidRPr="00536F0C" w:rsidR="00FA5D18">
              <w:rPr>
                <w:color w:val="000000"/>
              </w:rPr>
              <w:t>48 (FOF 37).</w:t>
            </w:r>
          </w:p>
          <w:p w:rsidRPr="00536F0C" w:rsidR="00FA5D18" w:rsidP="00F57624" w:rsidRDefault="004E6167" w14:paraId="4BF1B357" w14:textId="7927D47B">
            <w:pPr>
              <w:spacing w:after="240"/>
              <w:rPr>
                <w:color w:val="000000"/>
              </w:rPr>
            </w:pPr>
            <w:r>
              <w:rPr>
                <w:color w:val="000000"/>
              </w:rPr>
              <w:t>“</w:t>
            </w:r>
            <w:r w:rsidRPr="00536F0C" w:rsidR="00FA5D18">
              <w:rPr>
                <w:color w:val="000000"/>
              </w:rPr>
              <w:t>There were generally no new regulatory risks presented for the Test Year 2023 Cost of Capital cycle that were not previously addressed by the Commission in prior Cost of Capital cycles.</w:t>
            </w:r>
            <w:r>
              <w:rPr>
                <w:color w:val="000000"/>
              </w:rPr>
              <w:t>”</w:t>
            </w:r>
            <w:r w:rsidRPr="00536F0C" w:rsidR="00FA5D18">
              <w:rPr>
                <w:color w:val="000000"/>
              </w:rPr>
              <w:t xml:space="preserve"> D.22</w:t>
            </w:r>
            <w:r w:rsidR="00B52830">
              <w:rPr>
                <w:color w:val="000000"/>
              </w:rPr>
              <w:noBreakHyphen/>
            </w:r>
            <w:r w:rsidRPr="00536F0C" w:rsidR="00FA5D18">
              <w:rPr>
                <w:color w:val="000000"/>
              </w:rPr>
              <w:t>12</w:t>
            </w:r>
            <w:r w:rsidR="00B52830">
              <w:rPr>
                <w:color w:val="000000"/>
              </w:rPr>
              <w:noBreakHyphen/>
            </w:r>
            <w:r w:rsidRPr="00536F0C" w:rsidR="00FA5D18">
              <w:rPr>
                <w:color w:val="000000"/>
              </w:rPr>
              <w:t>031,</w:t>
            </w:r>
            <w:r w:rsidR="0015516F">
              <w:rPr>
                <w:color w:val="000000"/>
              </w:rPr>
              <w:t xml:space="preserve"> p. </w:t>
            </w:r>
            <w:r w:rsidRPr="00536F0C" w:rsidR="00FA5D18">
              <w:rPr>
                <w:color w:val="000000"/>
              </w:rPr>
              <w:t>48 (FOF 40).</w:t>
            </w:r>
          </w:p>
          <w:p w:rsidRPr="00536F0C" w:rsidR="00FA5D18" w:rsidP="00F57624" w:rsidRDefault="00FA5D18" w14:paraId="6B85792D" w14:textId="64B505F1">
            <w:pPr>
              <w:spacing w:after="240"/>
              <w:rPr>
                <w:color w:val="000000"/>
              </w:rPr>
            </w:pPr>
            <w:r w:rsidRPr="00536F0C">
              <w:rPr>
                <w:color w:val="000000"/>
              </w:rPr>
              <w:lastRenderedPageBreak/>
              <w:t>December 5, 2022 Oral Argument Transcript,</w:t>
            </w:r>
            <w:r w:rsidR="0015516F">
              <w:rPr>
                <w:color w:val="000000"/>
              </w:rPr>
              <w:t xml:space="preserve"> p. </w:t>
            </w:r>
            <w:r w:rsidRPr="00536F0C">
              <w:rPr>
                <w:color w:val="000000"/>
              </w:rPr>
              <w:t xml:space="preserve">294; </w:t>
            </w:r>
            <w:r w:rsidRPr="00536F0C">
              <w:rPr>
                <w:i/>
                <w:iCs/>
                <w:color w:val="000000"/>
              </w:rPr>
              <w:t>id.</w:t>
            </w:r>
            <w:r w:rsidRPr="00536F0C">
              <w:rPr>
                <w:color w:val="000000"/>
              </w:rPr>
              <w:t xml:space="preserve"> at</w:t>
            </w:r>
            <w:r w:rsidR="0015516F">
              <w:rPr>
                <w:color w:val="000000"/>
              </w:rPr>
              <w:t xml:space="preserve"> p. </w:t>
            </w:r>
            <w:r w:rsidRPr="00536F0C">
              <w:rPr>
                <w:color w:val="000000"/>
              </w:rPr>
              <w:t>303, 305 (</w:t>
            </w:r>
            <w:proofErr w:type="spellStart"/>
            <w:r w:rsidRPr="00536F0C">
              <w:rPr>
                <w:color w:val="000000"/>
              </w:rPr>
              <w:t>Cmmr</w:t>
            </w:r>
            <w:proofErr w:type="spellEnd"/>
            <w:r w:rsidRPr="00536F0C">
              <w:rPr>
                <w:color w:val="000000"/>
              </w:rPr>
              <w:t xml:space="preserve">. Rechtschaffen agreeing that wildfire risk has </w:t>
            </w:r>
            <w:r w:rsidRPr="00536F0C" w:rsidR="00A354FF">
              <w:rPr>
                <w:color w:val="000000"/>
              </w:rPr>
              <w:t>been</w:t>
            </w:r>
            <w:r w:rsidRPr="00536F0C">
              <w:rPr>
                <w:color w:val="000000"/>
              </w:rPr>
              <w:t xml:space="preserve"> de</w:t>
            </w:r>
            <w:r w:rsidR="00B52830">
              <w:rPr>
                <w:color w:val="000000"/>
              </w:rPr>
              <w:noBreakHyphen/>
            </w:r>
            <w:r w:rsidRPr="00536F0C">
              <w:rPr>
                <w:color w:val="000000"/>
              </w:rPr>
              <w:t xml:space="preserve">risked and questioning the Utilities about decarbonization risks); </w:t>
            </w:r>
            <w:r w:rsidRPr="00536F0C">
              <w:rPr>
                <w:i/>
                <w:iCs/>
                <w:color w:val="000000"/>
              </w:rPr>
              <w:t>id.</w:t>
            </w:r>
            <w:r w:rsidRPr="00536F0C">
              <w:rPr>
                <w:color w:val="000000"/>
              </w:rPr>
              <w:t xml:space="preserve"> at</w:t>
            </w:r>
            <w:r w:rsidR="0015516F">
              <w:rPr>
                <w:color w:val="000000"/>
              </w:rPr>
              <w:t xml:space="preserve"> p. </w:t>
            </w:r>
            <w:r w:rsidRPr="00536F0C">
              <w:rPr>
                <w:color w:val="000000"/>
              </w:rPr>
              <w:t>322</w:t>
            </w:r>
            <w:r w:rsidR="00B52830">
              <w:rPr>
                <w:color w:val="000000"/>
              </w:rPr>
              <w:noBreakHyphen/>
            </w:r>
            <w:r w:rsidRPr="00536F0C">
              <w:rPr>
                <w:color w:val="000000"/>
              </w:rPr>
              <w:t xml:space="preserve">323 (Pres. Reynolds asking about </w:t>
            </w:r>
            <w:r w:rsidR="004E6167">
              <w:rPr>
                <w:color w:val="000000"/>
              </w:rPr>
              <w:t>“</w:t>
            </w:r>
            <w:r w:rsidRPr="00536F0C">
              <w:rPr>
                <w:color w:val="000000"/>
              </w:rPr>
              <w:t>how we think about risk from a quantitative perspective</w:t>
            </w:r>
            <w:r w:rsidR="004E6167">
              <w:rPr>
                <w:color w:val="000000"/>
              </w:rPr>
              <w:t>”</w:t>
            </w:r>
            <w:r w:rsidRPr="00536F0C">
              <w:rPr>
                <w:color w:val="000000"/>
              </w:rPr>
              <w:t xml:space="preserve">); </w:t>
            </w:r>
            <w:r w:rsidRPr="00536F0C">
              <w:rPr>
                <w:i/>
                <w:iCs/>
                <w:color w:val="000000"/>
              </w:rPr>
              <w:t>id.</w:t>
            </w:r>
            <w:r w:rsidRPr="00536F0C">
              <w:rPr>
                <w:color w:val="000000"/>
              </w:rPr>
              <w:t xml:space="preserve"> at</w:t>
            </w:r>
            <w:r w:rsidR="0015516F">
              <w:rPr>
                <w:color w:val="000000"/>
              </w:rPr>
              <w:t xml:space="preserve"> p. </w:t>
            </w:r>
            <w:r w:rsidRPr="00536F0C">
              <w:rPr>
                <w:color w:val="000000"/>
              </w:rPr>
              <w:t>325</w:t>
            </w:r>
            <w:r w:rsidR="00B52830">
              <w:rPr>
                <w:color w:val="000000"/>
              </w:rPr>
              <w:noBreakHyphen/>
            </w:r>
            <w:r w:rsidRPr="00536F0C">
              <w:rPr>
                <w:color w:val="000000"/>
              </w:rPr>
              <w:t>236 (PCF counsel responding to question by identifying specific cross</w:t>
            </w:r>
            <w:r w:rsidR="00B52830">
              <w:rPr>
                <w:color w:val="000000"/>
              </w:rPr>
              <w:noBreakHyphen/>
            </w:r>
            <w:r w:rsidRPr="00536F0C">
              <w:rPr>
                <w:color w:val="000000"/>
              </w:rPr>
              <w:t>examination testimony elicited by PCF of SDG&amp;E</w:t>
            </w:r>
            <w:r w:rsidR="004E6167">
              <w:rPr>
                <w:color w:val="000000"/>
              </w:rPr>
              <w:t>’</w:t>
            </w:r>
            <w:r w:rsidRPr="00536F0C">
              <w:rPr>
                <w:color w:val="000000"/>
              </w:rPr>
              <w:t>s and SoCalGas</w:t>
            </w:r>
            <w:r w:rsidR="004E6167">
              <w:rPr>
                <w:color w:val="000000"/>
              </w:rPr>
              <w:t>’</w:t>
            </w:r>
            <w:r w:rsidRPr="00536F0C">
              <w:rPr>
                <w:color w:val="000000"/>
              </w:rPr>
              <w:t>s witness that admitted the Utilities did not quantify risks).</w:t>
            </w:r>
          </w:p>
          <w:p w:rsidRPr="00536F0C" w:rsidR="00FA5D18" w:rsidP="00F57624" w:rsidRDefault="00FA5D18" w14:paraId="1B5868C5" w14:textId="1701FB97">
            <w:pPr>
              <w:spacing w:after="240"/>
              <w:rPr>
                <w:color w:val="000000"/>
              </w:rPr>
            </w:pPr>
            <w:r w:rsidRPr="00536F0C">
              <w:rPr>
                <w:color w:val="000000"/>
              </w:rPr>
              <w:t>May 27, 2022 PCF Protest,</w:t>
            </w:r>
            <w:r w:rsidR="0015516F">
              <w:rPr>
                <w:color w:val="000000"/>
              </w:rPr>
              <w:t xml:space="preserve"> p. </w:t>
            </w:r>
            <w:r w:rsidRPr="00536F0C">
              <w:rPr>
                <w:color w:val="000000"/>
              </w:rPr>
              <w:t>8</w:t>
            </w:r>
          </w:p>
          <w:p w:rsidRPr="00536F0C" w:rsidR="00FA5D18" w:rsidP="00F57624" w:rsidRDefault="00FA5D18" w14:paraId="1506BDE9" w14:textId="2BF487C6">
            <w:pPr>
              <w:spacing w:after="240"/>
              <w:rPr>
                <w:color w:val="000000"/>
              </w:rPr>
            </w:pPr>
            <w:r w:rsidRPr="00536F0C">
              <w:rPr>
                <w:color w:val="000000"/>
              </w:rPr>
              <w:t>PCF</w:t>
            </w:r>
            <w:r w:rsidR="00B52830">
              <w:rPr>
                <w:color w:val="000000"/>
              </w:rPr>
              <w:noBreakHyphen/>
            </w:r>
            <w:r w:rsidRPr="00536F0C">
              <w:rPr>
                <w:color w:val="000000"/>
              </w:rPr>
              <w:t>01 (Ellis Testimony),</w:t>
            </w:r>
            <w:r w:rsidR="0015516F">
              <w:rPr>
                <w:color w:val="000000"/>
              </w:rPr>
              <w:t xml:space="preserve"> p. </w:t>
            </w:r>
            <w:r w:rsidRPr="00536F0C" w:rsidR="000D4657">
              <w:rPr>
                <w:color w:val="000000"/>
              </w:rPr>
              <w:t>8,</w:t>
            </w:r>
            <w:r w:rsidRPr="00536F0C">
              <w:rPr>
                <w:color w:val="000000"/>
              </w:rPr>
              <w:t xml:space="preserve"> </w:t>
            </w:r>
            <w:r w:rsidRPr="00536F0C" w:rsidR="00951D48">
              <w:rPr>
                <w:color w:val="000000"/>
              </w:rPr>
              <w:t>13</w:t>
            </w:r>
            <w:r w:rsidR="00B52830">
              <w:rPr>
                <w:color w:val="000000"/>
              </w:rPr>
              <w:noBreakHyphen/>
            </w:r>
            <w:r w:rsidRPr="00536F0C" w:rsidR="00951D48">
              <w:rPr>
                <w:color w:val="000000"/>
              </w:rPr>
              <w:t>1</w:t>
            </w:r>
            <w:r w:rsidRPr="00536F0C" w:rsidR="009410DF">
              <w:rPr>
                <w:color w:val="000000"/>
              </w:rPr>
              <w:t>5</w:t>
            </w:r>
            <w:r w:rsidRPr="00536F0C" w:rsidR="00951D48">
              <w:rPr>
                <w:color w:val="000000"/>
              </w:rPr>
              <w:t>, 18</w:t>
            </w:r>
            <w:r w:rsidR="00B52830">
              <w:rPr>
                <w:color w:val="000000"/>
              </w:rPr>
              <w:noBreakHyphen/>
            </w:r>
            <w:r w:rsidRPr="00536F0C" w:rsidR="00951D48">
              <w:rPr>
                <w:color w:val="000000"/>
              </w:rPr>
              <w:t>20</w:t>
            </w:r>
            <w:r w:rsidRPr="00536F0C" w:rsidR="00E017E3">
              <w:rPr>
                <w:color w:val="000000"/>
              </w:rPr>
              <w:t>, 33</w:t>
            </w:r>
            <w:r w:rsidRPr="00536F0C" w:rsidR="0011436A">
              <w:rPr>
                <w:color w:val="000000"/>
              </w:rPr>
              <w:t>, 50</w:t>
            </w:r>
            <w:r w:rsidR="00B52830">
              <w:rPr>
                <w:color w:val="000000"/>
              </w:rPr>
              <w:noBreakHyphen/>
            </w:r>
            <w:r w:rsidRPr="00536F0C" w:rsidR="0011436A">
              <w:rPr>
                <w:color w:val="000000"/>
              </w:rPr>
              <w:t>76</w:t>
            </w:r>
            <w:r w:rsidRPr="00536F0C">
              <w:rPr>
                <w:color w:val="000000"/>
              </w:rPr>
              <w:t>.</w:t>
            </w:r>
          </w:p>
          <w:p w:rsidRPr="00536F0C" w:rsidR="00FA5D18" w:rsidP="00F57624" w:rsidRDefault="00FA5D18" w14:paraId="0C1DFC81" w14:textId="0BE03725">
            <w:pPr>
              <w:spacing w:after="240"/>
              <w:rPr>
                <w:color w:val="000000"/>
              </w:rPr>
            </w:pPr>
            <w:r w:rsidRPr="00536F0C">
              <w:rPr>
                <w:color w:val="000000"/>
              </w:rPr>
              <w:t>PCF</w:t>
            </w:r>
            <w:r w:rsidR="00B52830">
              <w:rPr>
                <w:color w:val="000000"/>
              </w:rPr>
              <w:noBreakHyphen/>
            </w:r>
            <w:r w:rsidRPr="00536F0C">
              <w:rPr>
                <w:color w:val="000000"/>
              </w:rPr>
              <w:t>02 (Ellis Rebuttal Testimony),</w:t>
            </w:r>
            <w:r w:rsidR="0015516F">
              <w:rPr>
                <w:color w:val="000000"/>
              </w:rPr>
              <w:t xml:space="preserve"> p. </w:t>
            </w:r>
            <w:r w:rsidRPr="00536F0C" w:rsidR="00273FA9">
              <w:rPr>
                <w:color w:val="000000"/>
              </w:rPr>
              <w:t>3</w:t>
            </w:r>
            <w:r w:rsidRPr="00536F0C" w:rsidR="00823511">
              <w:rPr>
                <w:color w:val="000000"/>
              </w:rPr>
              <w:t>, 6</w:t>
            </w:r>
            <w:r w:rsidRPr="00536F0C" w:rsidR="009B2D34">
              <w:rPr>
                <w:color w:val="000000"/>
              </w:rPr>
              <w:t>, 14</w:t>
            </w:r>
            <w:r w:rsidRPr="00536F0C" w:rsidR="007669F0">
              <w:rPr>
                <w:color w:val="000000"/>
              </w:rPr>
              <w:t>, 16</w:t>
            </w:r>
            <w:r w:rsidR="00B52830">
              <w:rPr>
                <w:color w:val="000000"/>
              </w:rPr>
              <w:noBreakHyphen/>
            </w:r>
            <w:r w:rsidRPr="00536F0C" w:rsidR="007669F0">
              <w:rPr>
                <w:color w:val="000000"/>
              </w:rPr>
              <w:t>17, 20</w:t>
            </w:r>
            <w:r w:rsidR="00B52830">
              <w:rPr>
                <w:color w:val="000000"/>
              </w:rPr>
              <w:noBreakHyphen/>
            </w:r>
            <w:r w:rsidRPr="00536F0C" w:rsidR="007669F0">
              <w:rPr>
                <w:color w:val="000000"/>
              </w:rPr>
              <w:t>21</w:t>
            </w:r>
            <w:r w:rsidRPr="00536F0C">
              <w:rPr>
                <w:color w:val="000000"/>
              </w:rPr>
              <w:t>.</w:t>
            </w:r>
          </w:p>
          <w:p w:rsidRPr="00536F0C" w:rsidR="004B1FE9" w:rsidP="00F57624" w:rsidRDefault="004B1FE9" w14:paraId="1F1A8DB4" w14:textId="33CCA34B">
            <w:pPr>
              <w:spacing w:after="240"/>
              <w:rPr>
                <w:color w:val="000000"/>
              </w:rPr>
            </w:pPr>
            <w:r w:rsidRPr="00536F0C">
              <w:rPr>
                <w:color w:val="000000"/>
              </w:rPr>
              <w:t>September 12, 2022 Evidentiary Hearing Transcript,</w:t>
            </w:r>
            <w:r w:rsidR="0015516F">
              <w:rPr>
                <w:color w:val="000000"/>
              </w:rPr>
              <w:t xml:space="preserve"> p. </w:t>
            </w:r>
            <w:r w:rsidRPr="00536F0C" w:rsidR="00C8086F">
              <w:rPr>
                <w:color w:val="000000"/>
              </w:rPr>
              <w:t xml:space="preserve">89, </w:t>
            </w:r>
            <w:r w:rsidRPr="00536F0C" w:rsidR="00614C6D">
              <w:rPr>
                <w:color w:val="000000"/>
              </w:rPr>
              <w:t>10</w:t>
            </w:r>
            <w:r w:rsidRPr="00536F0C" w:rsidR="00C678DE">
              <w:rPr>
                <w:color w:val="000000"/>
              </w:rPr>
              <w:t>3</w:t>
            </w:r>
            <w:r w:rsidR="00B52830">
              <w:rPr>
                <w:color w:val="000000"/>
              </w:rPr>
              <w:noBreakHyphen/>
            </w:r>
            <w:r w:rsidRPr="00536F0C" w:rsidR="00151194">
              <w:rPr>
                <w:color w:val="000000"/>
              </w:rPr>
              <w:t xml:space="preserve">105, </w:t>
            </w:r>
            <w:r w:rsidRPr="00536F0C" w:rsidR="00305DC3">
              <w:rPr>
                <w:color w:val="000000"/>
              </w:rPr>
              <w:t>117</w:t>
            </w:r>
            <w:r w:rsidR="00B52830">
              <w:rPr>
                <w:color w:val="000000"/>
              </w:rPr>
              <w:noBreakHyphen/>
            </w:r>
            <w:r w:rsidRPr="00536F0C" w:rsidR="005373C0">
              <w:rPr>
                <w:color w:val="000000"/>
              </w:rPr>
              <w:t xml:space="preserve">120, </w:t>
            </w:r>
            <w:r w:rsidRPr="00536F0C" w:rsidR="00864CCB">
              <w:rPr>
                <w:color w:val="000000"/>
              </w:rPr>
              <w:t>127</w:t>
            </w:r>
            <w:r w:rsidRPr="00536F0C" w:rsidR="006744DF">
              <w:rPr>
                <w:color w:val="000000"/>
              </w:rPr>
              <w:t xml:space="preserve">; </w:t>
            </w:r>
            <w:r w:rsidRPr="00536F0C" w:rsidR="006744DF">
              <w:rPr>
                <w:i/>
                <w:iCs/>
                <w:color w:val="000000"/>
              </w:rPr>
              <w:t>id.</w:t>
            </w:r>
            <w:r w:rsidRPr="00536F0C" w:rsidR="006744DF">
              <w:rPr>
                <w:color w:val="000000"/>
              </w:rPr>
              <w:t xml:space="preserve"> at</w:t>
            </w:r>
            <w:r w:rsidR="0015516F">
              <w:rPr>
                <w:color w:val="000000"/>
              </w:rPr>
              <w:t xml:space="preserve"> p. </w:t>
            </w:r>
            <w:r w:rsidRPr="00536F0C" w:rsidR="00EC6B30">
              <w:rPr>
                <w:color w:val="000000"/>
              </w:rPr>
              <w:t>177</w:t>
            </w:r>
            <w:r w:rsidRPr="00536F0C" w:rsidR="00617A0A">
              <w:rPr>
                <w:color w:val="000000"/>
              </w:rPr>
              <w:t>, 16</w:t>
            </w:r>
            <w:r w:rsidR="00B52830">
              <w:rPr>
                <w:color w:val="000000"/>
              </w:rPr>
              <w:noBreakHyphen/>
            </w:r>
            <w:r w:rsidRPr="00536F0C" w:rsidR="00617A0A">
              <w:rPr>
                <w:color w:val="000000"/>
              </w:rPr>
              <w:t>20</w:t>
            </w:r>
            <w:r w:rsidRPr="00536F0C" w:rsidR="00F6498F">
              <w:rPr>
                <w:color w:val="000000"/>
              </w:rPr>
              <w:t xml:space="preserve"> (</w:t>
            </w:r>
            <w:r w:rsidRPr="00536F0C" w:rsidR="00447AD6">
              <w:rPr>
                <w:color w:val="000000"/>
              </w:rPr>
              <w:t>SDG&amp;E</w:t>
            </w:r>
            <w:r w:rsidR="00B52830">
              <w:rPr>
                <w:color w:val="000000"/>
              </w:rPr>
              <w:noBreakHyphen/>
            </w:r>
            <w:r w:rsidRPr="00536F0C" w:rsidR="00447AD6">
              <w:rPr>
                <w:color w:val="000000"/>
              </w:rPr>
              <w:t>Beer) (</w:t>
            </w:r>
            <w:r w:rsidR="004E6167">
              <w:rPr>
                <w:color w:val="000000"/>
              </w:rPr>
              <w:t>“</w:t>
            </w:r>
            <w:r w:rsidRPr="00536F0C" w:rsidR="00BB20C2">
              <w:rPr>
                <w:color w:val="000000"/>
              </w:rPr>
              <w:t>Q: Did you perform any type of quantification of SDG&amp;E</w:t>
            </w:r>
            <w:r w:rsidR="004E6167">
              <w:rPr>
                <w:color w:val="000000"/>
              </w:rPr>
              <w:t>’</w:t>
            </w:r>
            <w:r w:rsidRPr="00536F0C" w:rsidR="00BB20C2">
              <w:rPr>
                <w:color w:val="000000"/>
              </w:rPr>
              <w:t>s wildfire mitigation activities when you were preparing your testimony? A: I did not.</w:t>
            </w:r>
            <w:r w:rsidR="004E6167">
              <w:rPr>
                <w:color w:val="000000"/>
              </w:rPr>
              <w:t>”</w:t>
            </w:r>
            <w:r w:rsidRPr="00536F0C" w:rsidR="0050715A">
              <w:rPr>
                <w:color w:val="000000"/>
              </w:rPr>
              <w:t>)</w:t>
            </w:r>
            <w:r w:rsidRPr="00536F0C" w:rsidR="003D4491">
              <w:rPr>
                <w:color w:val="000000"/>
              </w:rPr>
              <w:t xml:space="preserve">; </w:t>
            </w:r>
            <w:r w:rsidRPr="00536F0C" w:rsidR="003D4491">
              <w:rPr>
                <w:i/>
                <w:iCs/>
                <w:color w:val="000000"/>
              </w:rPr>
              <w:t xml:space="preserve">id. </w:t>
            </w:r>
            <w:r w:rsidRPr="00536F0C" w:rsidR="003D4491">
              <w:rPr>
                <w:color w:val="000000"/>
              </w:rPr>
              <w:t>at</w:t>
            </w:r>
            <w:r w:rsidR="0015516F">
              <w:rPr>
                <w:color w:val="000000"/>
              </w:rPr>
              <w:t xml:space="preserve"> p. </w:t>
            </w:r>
            <w:r w:rsidRPr="00536F0C" w:rsidR="006744DF">
              <w:rPr>
                <w:color w:val="000000"/>
              </w:rPr>
              <w:t>89</w:t>
            </w:r>
            <w:r w:rsidRPr="00536F0C" w:rsidR="008D0AA7">
              <w:rPr>
                <w:color w:val="000000"/>
              </w:rPr>
              <w:t xml:space="preserve">, </w:t>
            </w:r>
            <w:r w:rsidRPr="00536F0C" w:rsidR="00EC6B30">
              <w:rPr>
                <w:color w:val="000000"/>
              </w:rPr>
              <w:t>1.21</w:t>
            </w:r>
            <w:r w:rsidR="00B52830">
              <w:rPr>
                <w:color w:val="000000"/>
              </w:rPr>
              <w:noBreakHyphen/>
            </w:r>
            <w:r w:rsidRPr="00536F0C" w:rsidR="00EC6B30">
              <w:rPr>
                <w:color w:val="000000"/>
              </w:rPr>
              <w:t xml:space="preserve">23 </w:t>
            </w:r>
            <w:r w:rsidRPr="00536F0C" w:rsidR="003D4491">
              <w:rPr>
                <w:color w:val="000000"/>
              </w:rPr>
              <w:t xml:space="preserve">(SDG&amp;E – Coyne) </w:t>
            </w:r>
            <w:r w:rsidRPr="00536F0C" w:rsidR="00EC6B30">
              <w:rPr>
                <w:color w:val="000000"/>
              </w:rPr>
              <w:t>(</w:t>
            </w:r>
            <w:r w:rsidR="004E6167">
              <w:rPr>
                <w:color w:val="000000"/>
              </w:rPr>
              <w:t>“</w:t>
            </w:r>
            <w:r w:rsidRPr="00536F0C" w:rsidR="00617A0A">
              <w:rPr>
                <w:color w:val="000000"/>
              </w:rPr>
              <w:t xml:space="preserve">Q: </w:t>
            </w:r>
            <w:r w:rsidRPr="00536F0C" w:rsidR="00EC6B30">
              <w:rPr>
                <w:color w:val="000000"/>
              </w:rPr>
              <w:t>But you d</w:t>
            </w:r>
            <w:r w:rsidRPr="00536F0C" w:rsidR="00617A0A">
              <w:rPr>
                <w:color w:val="000000"/>
              </w:rPr>
              <w:t>idn</w:t>
            </w:r>
            <w:r w:rsidR="004E6167">
              <w:rPr>
                <w:color w:val="000000"/>
              </w:rPr>
              <w:t>’</w:t>
            </w:r>
            <w:r w:rsidRPr="00536F0C" w:rsidR="00617A0A">
              <w:rPr>
                <w:color w:val="000000"/>
              </w:rPr>
              <w:t>t actually quantify an</w:t>
            </w:r>
            <w:r w:rsidRPr="00536F0C" w:rsidR="00817F46">
              <w:rPr>
                <w:color w:val="000000"/>
              </w:rPr>
              <w:t>y credit quality risks; right? A: No, I did not.</w:t>
            </w:r>
            <w:r w:rsidR="004E6167">
              <w:rPr>
                <w:color w:val="000000"/>
              </w:rPr>
              <w:t>”</w:t>
            </w:r>
            <w:r w:rsidRPr="00536F0C" w:rsidR="003D4491">
              <w:rPr>
                <w:color w:val="000000"/>
              </w:rPr>
              <w:t>).</w:t>
            </w:r>
          </w:p>
          <w:p w:rsidRPr="00536F0C" w:rsidR="004B1FE9" w:rsidP="00F57624" w:rsidRDefault="004B1FE9" w14:paraId="17644C8D" w14:textId="61F8A247">
            <w:pPr>
              <w:spacing w:after="240"/>
              <w:rPr>
                <w:color w:val="000000"/>
              </w:rPr>
            </w:pPr>
            <w:r w:rsidRPr="00536F0C">
              <w:rPr>
                <w:color w:val="000000"/>
              </w:rPr>
              <w:t>September 13, 2022 Evidentiary Hearing Transcript,</w:t>
            </w:r>
            <w:r w:rsidR="0015516F">
              <w:rPr>
                <w:color w:val="000000"/>
              </w:rPr>
              <w:t xml:space="preserve"> p. </w:t>
            </w:r>
            <w:r w:rsidRPr="00536F0C" w:rsidR="00682B48">
              <w:rPr>
                <w:color w:val="000000"/>
              </w:rPr>
              <w:t xml:space="preserve">165, </w:t>
            </w:r>
            <w:r w:rsidRPr="00536F0C" w:rsidR="00471EB0">
              <w:rPr>
                <w:color w:val="000000"/>
              </w:rPr>
              <w:t xml:space="preserve">167, </w:t>
            </w:r>
            <w:r w:rsidRPr="00536F0C" w:rsidR="002275B1">
              <w:rPr>
                <w:color w:val="000000"/>
              </w:rPr>
              <w:t>169</w:t>
            </w:r>
            <w:r w:rsidRPr="00536F0C" w:rsidR="00795182">
              <w:rPr>
                <w:color w:val="000000"/>
              </w:rPr>
              <w:t xml:space="preserve">, </w:t>
            </w:r>
            <w:r w:rsidRPr="00536F0C" w:rsidR="001A3D2A">
              <w:rPr>
                <w:color w:val="000000"/>
              </w:rPr>
              <w:t xml:space="preserve">171, </w:t>
            </w:r>
            <w:r w:rsidRPr="00536F0C" w:rsidR="008F40EF">
              <w:rPr>
                <w:color w:val="000000"/>
              </w:rPr>
              <w:t xml:space="preserve">177, </w:t>
            </w:r>
            <w:r w:rsidRPr="00536F0C" w:rsidR="00CD75C1">
              <w:rPr>
                <w:color w:val="000000"/>
              </w:rPr>
              <w:t xml:space="preserve">178, </w:t>
            </w:r>
            <w:r w:rsidRPr="00536F0C" w:rsidR="00906925">
              <w:rPr>
                <w:color w:val="000000"/>
              </w:rPr>
              <w:t xml:space="preserve">180, </w:t>
            </w:r>
            <w:r w:rsidRPr="00536F0C" w:rsidR="00310B9F">
              <w:rPr>
                <w:color w:val="000000"/>
              </w:rPr>
              <w:t xml:space="preserve">181, </w:t>
            </w:r>
            <w:r w:rsidRPr="00536F0C" w:rsidR="00F9482D">
              <w:rPr>
                <w:color w:val="000000"/>
              </w:rPr>
              <w:t>184</w:t>
            </w:r>
            <w:r w:rsidR="00B52830">
              <w:rPr>
                <w:color w:val="000000"/>
              </w:rPr>
              <w:noBreakHyphen/>
            </w:r>
            <w:r w:rsidRPr="00536F0C" w:rsidR="00F9482D">
              <w:rPr>
                <w:color w:val="000000"/>
              </w:rPr>
              <w:t xml:space="preserve">185, </w:t>
            </w:r>
            <w:r w:rsidRPr="00536F0C" w:rsidR="00906925">
              <w:rPr>
                <w:color w:val="000000"/>
              </w:rPr>
              <w:t xml:space="preserve">188, </w:t>
            </w:r>
            <w:r w:rsidRPr="00536F0C" w:rsidR="00795182">
              <w:rPr>
                <w:color w:val="000000"/>
              </w:rPr>
              <w:t>190</w:t>
            </w:r>
            <w:r w:rsidRPr="00536F0C" w:rsidR="004C3D3B">
              <w:rPr>
                <w:color w:val="000000"/>
              </w:rPr>
              <w:t>, 232</w:t>
            </w:r>
            <w:r w:rsidRPr="00536F0C" w:rsidR="007B02E4">
              <w:rPr>
                <w:color w:val="000000"/>
              </w:rPr>
              <w:t>.</w:t>
            </w:r>
          </w:p>
          <w:p w:rsidRPr="00536F0C" w:rsidR="00FA5D18" w:rsidP="00F57624" w:rsidRDefault="00FA5D18" w14:paraId="42039333" w14:textId="0B8089E3">
            <w:pPr>
              <w:spacing w:after="240"/>
              <w:rPr>
                <w:color w:val="000000"/>
              </w:rPr>
            </w:pPr>
            <w:r w:rsidRPr="00536F0C">
              <w:rPr>
                <w:color w:val="000000"/>
              </w:rPr>
              <w:t>September 23, 2022 PCF Opening Brief,</w:t>
            </w:r>
            <w:r w:rsidR="0015516F">
              <w:rPr>
                <w:color w:val="000000"/>
              </w:rPr>
              <w:t xml:space="preserve"> p. </w:t>
            </w:r>
            <w:r w:rsidRPr="00536F0C" w:rsidR="0047227B">
              <w:rPr>
                <w:color w:val="000000"/>
              </w:rPr>
              <w:t>2</w:t>
            </w:r>
            <w:r w:rsidR="00B52830">
              <w:rPr>
                <w:color w:val="000000"/>
              </w:rPr>
              <w:noBreakHyphen/>
            </w:r>
            <w:r w:rsidRPr="00536F0C" w:rsidR="002A53F4">
              <w:rPr>
                <w:color w:val="000000"/>
              </w:rPr>
              <w:t>3</w:t>
            </w:r>
            <w:r w:rsidRPr="00536F0C" w:rsidR="00687C60">
              <w:rPr>
                <w:color w:val="000000"/>
              </w:rPr>
              <w:t>; 9</w:t>
            </w:r>
            <w:r w:rsidR="00B52830">
              <w:rPr>
                <w:color w:val="000000"/>
              </w:rPr>
              <w:noBreakHyphen/>
            </w:r>
            <w:r w:rsidRPr="00536F0C" w:rsidR="00687C60">
              <w:rPr>
                <w:color w:val="000000"/>
              </w:rPr>
              <w:t>10</w:t>
            </w:r>
            <w:r w:rsidRPr="00536F0C" w:rsidR="00450A5B">
              <w:rPr>
                <w:color w:val="000000"/>
              </w:rPr>
              <w:t>, 14</w:t>
            </w:r>
            <w:r w:rsidRPr="00536F0C" w:rsidR="00383B55">
              <w:rPr>
                <w:color w:val="000000"/>
              </w:rPr>
              <w:t>, 17</w:t>
            </w:r>
            <w:r w:rsidR="00B52830">
              <w:rPr>
                <w:color w:val="000000"/>
              </w:rPr>
              <w:noBreakHyphen/>
            </w:r>
            <w:r w:rsidRPr="00536F0C" w:rsidR="00383B55">
              <w:rPr>
                <w:color w:val="000000"/>
              </w:rPr>
              <w:t>21</w:t>
            </w:r>
            <w:r w:rsidRPr="00536F0C" w:rsidR="00BC19A0">
              <w:rPr>
                <w:color w:val="000000"/>
              </w:rPr>
              <w:t>; id. at</w:t>
            </w:r>
            <w:r w:rsidR="0015516F">
              <w:rPr>
                <w:color w:val="000000"/>
              </w:rPr>
              <w:t xml:space="preserve"> p. </w:t>
            </w:r>
            <w:r w:rsidRPr="00536F0C" w:rsidR="00BC19A0">
              <w:rPr>
                <w:color w:val="000000"/>
              </w:rPr>
              <w:t>20</w:t>
            </w:r>
            <w:r w:rsidRPr="00536F0C" w:rsidR="00AD2FAC">
              <w:rPr>
                <w:color w:val="000000"/>
              </w:rPr>
              <w:t xml:space="preserve"> (</w:t>
            </w:r>
            <w:r w:rsidR="004E6167">
              <w:rPr>
                <w:color w:val="000000"/>
              </w:rPr>
              <w:t>“</w:t>
            </w:r>
            <w:r w:rsidRPr="00536F0C" w:rsidR="00AD2FAC">
              <w:rPr>
                <w:color w:val="000000"/>
              </w:rPr>
              <w:t>SDG&amp;E presents no evidence of increased wildfire risk in SDGE</w:t>
            </w:r>
            <w:r w:rsidR="004E6167">
              <w:rPr>
                <w:color w:val="000000"/>
              </w:rPr>
              <w:t>’</w:t>
            </w:r>
            <w:r w:rsidRPr="00536F0C" w:rsidR="00AD2FAC">
              <w:rPr>
                <w:color w:val="000000"/>
              </w:rPr>
              <w:t>s service area since the Commission decided D.19</w:t>
            </w:r>
            <w:r w:rsidR="00B52830">
              <w:rPr>
                <w:color w:val="000000"/>
              </w:rPr>
              <w:noBreakHyphen/>
            </w:r>
            <w:r w:rsidRPr="00536F0C" w:rsidR="00AD2FAC">
              <w:rPr>
                <w:color w:val="000000"/>
              </w:rPr>
              <w:t>12</w:t>
            </w:r>
            <w:r w:rsidR="00B52830">
              <w:rPr>
                <w:color w:val="000000"/>
              </w:rPr>
              <w:noBreakHyphen/>
            </w:r>
            <w:r w:rsidRPr="00536F0C" w:rsidR="00AD2FAC">
              <w:rPr>
                <w:color w:val="000000"/>
              </w:rPr>
              <w:t xml:space="preserve">056. SDG&amp;E continues to ignore </w:t>
            </w:r>
            <w:r w:rsidRPr="00536F0C" w:rsidR="00AD2FAC">
              <w:rPr>
                <w:color w:val="000000"/>
              </w:rPr>
              <w:lastRenderedPageBreak/>
              <w:t>the Commission</w:t>
            </w:r>
            <w:r w:rsidR="004E6167">
              <w:rPr>
                <w:color w:val="000000"/>
              </w:rPr>
              <w:t>’</w:t>
            </w:r>
            <w:r w:rsidRPr="00536F0C" w:rsidR="00AD2FAC">
              <w:rPr>
                <w:color w:val="000000"/>
              </w:rPr>
              <w:t xml:space="preserve">s findings that </w:t>
            </w:r>
            <w:r w:rsidR="004E6167">
              <w:rPr>
                <w:color w:val="000000"/>
              </w:rPr>
              <w:t>‘</w:t>
            </w:r>
            <w:r w:rsidRPr="00536F0C" w:rsidR="00AD2FAC">
              <w:rPr>
                <w:color w:val="000000"/>
              </w:rPr>
              <w:t>AB 1054 has substantially mitigated wildfire liability exposure</w:t>
            </w:r>
            <w:r w:rsidR="004E6167">
              <w:rPr>
                <w:color w:val="000000"/>
              </w:rPr>
              <w:t>’</w:t>
            </w:r>
            <w:r w:rsidRPr="00536F0C" w:rsidR="00AD2FAC">
              <w:rPr>
                <w:color w:val="000000"/>
              </w:rPr>
              <w:t xml:space="preserve"> and </w:t>
            </w:r>
            <w:r w:rsidR="004E6167">
              <w:rPr>
                <w:color w:val="000000"/>
              </w:rPr>
              <w:t>‘</w:t>
            </w:r>
            <w:r w:rsidRPr="00536F0C" w:rsidR="00AD2FAC">
              <w:rPr>
                <w:color w:val="000000"/>
              </w:rPr>
              <w:t>there are no remaining significant unmitigated risks that warrant investor compensation through a higher ROE.</w:t>
            </w:r>
            <w:r w:rsidR="004E6167">
              <w:rPr>
                <w:color w:val="000000"/>
              </w:rPr>
              <w:t>’”</w:t>
            </w:r>
            <w:r w:rsidRPr="00536F0C" w:rsidR="00AD2FAC">
              <w:rPr>
                <w:color w:val="000000"/>
              </w:rPr>
              <w:t>)</w:t>
            </w:r>
            <w:r w:rsidRPr="00536F0C" w:rsidR="00BE500B">
              <w:rPr>
                <w:color w:val="000000"/>
              </w:rPr>
              <w:t xml:space="preserve"> (citations omitted).</w:t>
            </w:r>
          </w:p>
          <w:p w:rsidRPr="00536F0C" w:rsidR="00FA5D18" w:rsidP="00F57624" w:rsidRDefault="00FA5D18" w14:paraId="2222F27C" w14:textId="4D23998B">
            <w:pPr>
              <w:spacing w:after="240"/>
              <w:rPr>
                <w:color w:val="000000"/>
              </w:rPr>
            </w:pPr>
            <w:r w:rsidRPr="00536F0C">
              <w:rPr>
                <w:color w:val="000000"/>
              </w:rPr>
              <w:t>September 30, 2022 PCF Reply Brief,</w:t>
            </w:r>
            <w:r w:rsidR="0015516F">
              <w:rPr>
                <w:color w:val="000000"/>
              </w:rPr>
              <w:t xml:space="preserve"> p. </w:t>
            </w:r>
            <w:r w:rsidRPr="00536F0C" w:rsidR="00034E1A">
              <w:rPr>
                <w:color w:val="000000"/>
              </w:rPr>
              <w:t>4</w:t>
            </w:r>
            <w:r w:rsidR="00B52830">
              <w:rPr>
                <w:color w:val="000000"/>
              </w:rPr>
              <w:noBreakHyphen/>
            </w:r>
            <w:r w:rsidRPr="00536F0C" w:rsidR="006C2813">
              <w:rPr>
                <w:color w:val="000000"/>
              </w:rPr>
              <w:t>5</w:t>
            </w:r>
            <w:r w:rsidRPr="00536F0C" w:rsidR="00681F97">
              <w:rPr>
                <w:color w:val="000000"/>
              </w:rPr>
              <w:t>, 13</w:t>
            </w:r>
            <w:r w:rsidR="00B52830">
              <w:rPr>
                <w:color w:val="000000"/>
              </w:rPr>
              <w:noBreakHyphen/>
            </w:r>
            <w:r w:rsidRPr="00536F0C" w:rsidR="00681F97">
              <w:rPr>
                <w:color w:val="000000"/>
              </w:rPr>
              <w:t>16</w:t>
            </w:r>
            <w:r w:rsidRPr="00536F0C">
              <w:rPr>
                <w:color w:val="000000"/>
              </w:rPr>
              <w:t>.</w:t>
            </w:r>
          </w:p>
          <w:p w:rsidRPr="00536F0C" w:rsidR="00FA5D18" w:rsidP="00F57624" w:rsidRDefault="00FA5D18" w14:paraId="4672805F" w14:textId="74A21C77">
            <w:pPr>
              <w:spacing w:after="240"/>
              <w:rPr>
                <w:color w:val="000000"/>
              </w:rPr>
            </w:pPr>
            <w:r w:rsidRPr="00536F0C">
              <w:rPr>
                <w:color w:val="000000"/>
              </w:rPr>
              <w:t>November 29, 2022 PCF Comments on PD,</w:t>
            </w:r>
            <w:r w:rsidR="0015516F">
              <w:rPr>
                <w:color w:val="000000"/>
              </w:rPr>
              <w:t xml:space="preserve"> p. </w:t>
            </w:r>
            <w:r w:rsidRPr="00536F0C" w:rsidR="00FD6D15">
              <w:rPr>
                <w:color w:val="000000"/>
              </w:rPr>
              <w:t>2,</w:t>
            </w:r>
            <w:r w:rsidRPr="00536F0C" w:rsidR="00DC561B">
              <w:rPr>
                <w:color w:val="000000"/>
              </w:rPr>
              <w:t xml:space="preserve"> 9</w:t>
            </w:r>
            <w:r w:rsidR="00B52830">
              <w:rPr>
                <w:color w:val="000000"/>
              </w:rPr>
              <w:noBreakHyphen/>
            </w:r>
            <w:r w:rsidRPr="00536F0C" w:rsidR="00DC561B">
              <w:rPr>
                <w:color w:val="000000"/>
              </w:rPr>
              <w:t>12</w:t>
            </w:r>
            <w:r w:rsidRPr="00536F0C" w:rsidR="00EE747B">
              <w:rPr>
                <w:color w:val="000000"/>
              </w:rPr>
              <w:t>; Appendix</w:t>
            </w:r>
            <w:r w:rsidR="0015516F">
              <w:rPr>
                <w:color w:val="000000"/>
              </w:rPr>
              <w:t xml:space="preserve"> p. </w:t>
            </w:r>
            <w:r w:rsidRPr="00536F0C" w:rsidR="00EE747B">
              <w:rPr>
                <w:color w:val="000000"/>
              </w:rPr>
              <w:t>3</w:t>
            </w:r>
            <w:r w:rsidRPr="00536F0C" w:rsidR="00DB6C5D">
              <w:rPr>
                <w:color w:val="000000"/>
              </w:rPr>
              <w:t>, 6</w:t>
            </w:r>
          </w:p>
          <w:p w:rsidRPr="00536F0C" w:rsidR="00FA5D18" w:rsidP="00F57624" w:rsidRDefault="00FA5D18" w14:paraId="5BF4DF01" w14:textId="2D61A267">
            <w:pPr>
              <w:spacing w:after="240"/>
              <w:rPr>
                <w:color w:val="000000"/>
              </w:rPr>
            </w:pPr>
            <w:r w:rsidRPr="00536F0C">
              <w:rPr>
                <w:color w:val="000000"/>
              </w:rPr>
              <w:t>December 5, 2022 PCF Reply Comments on PD,</w:t>
            </w:r>
            <w:r w:rsidR="0015516F">
              <w:rPr>
                <w:color w:val="000000"/>
              </w:rPr>
              <w:t xml:space="preserve"> p. </w:t>
            </w:r>
            <w:r w:rsidRPr="00536F0C" w:rsidR="001C4CAB">
              <w:rPr>
                <w:color w:val="000000"/>
              </w:rPr>
              <w:t>1</w:t>
            </w:r>
            <w:r w:rsidR="00B52830">
              <w:rPr>
                <w:color w:val="000000"/>
              </w:rPr>
              <w:noBreakHyphen/>
            </w:r>
            <w:r w:rsidRPr="00536F0C" w:rsidR="00A12A14">
              <w:rPr>
                <w:color w:val="000000"/>
              </w:rPr>
              <w:t>4.</w:t>
            </w:r>
          </w:p>
        </w:tc>
        <w:tc>
          <w:tcPr>
            <w:tcW w:w="2075" w:type="dxa"/>
          </w:tcPr>
          <w:p w:rsidRPr="00536F0C" w:rsidR="00FA5D18" w:rsidP="009C3C07" w:rsidRDefault="00CC58CF" w14:paraId="5C1C13E9" w14:textId="79C2B1D1">
            <w:pPr>
              <w:spacing w:after="240"/>
              <w:rPr>
                <w:color w:val="000000"/>
              </w:rPr>
            </w:pPr>
            <w:r>
              <w:rPr>
                <w:color w:val="000000"/>
              </w:rPr>
              <w:lastRenderedPageBreak/>
              <w:t>Verified</w:t>
            </w:r>
          </w:p>
        </w:tc>
      </w:tr>
      <w:tr w:rsidRPr="00536F0C" w:rsidR="007C745B" w:rsidTr="0015516F" w14:paraId="36FF786B" w14:textId="77777777">
        <w:tc>
          <w:tcPr>
            <w:tcW w:w="2785" w:type="dxa"/>
          </w:tcPr>
          <w:p w:rsidRPr="00536F0C" w:rsidR="00E25078" w:rsidP="009554B5" w:rsidRDefault="00094399" w14:paraId="77A8C970" w14:textId="2B3EF851">
            <w:pPr>
              <w:spacing w:after="240"/>
              <w:rPr>
                <w:color w:val="000000"/>
              </w:rPr>
            </w:pPr>
            <w:r w:rsidRPr="00536F0C">
              <w:rPr>
                <w:b/>
                <w:bCs/>
                <w:color w:val="000000"/>
                <w:u w:val="single"/>
              </w:rPr>
              <w:lastRenderedPageBreak/>
              <w:t>C</w:t>
            </w:r>
            <w:r w:rsidRPr="00536F0C" w:rsidR="00827FD2">
              <w:rPr>
                <w:b/>
                <w:bCs/>
                <w:color w:val="000000"/>
                <w:u w:val="single"/>
              </w:rPr>
              <w:t>ommission</w:t>
            </w:r>
            <w:r w:rsidR="004E6167">
              <w:rPr>
                <w:b/>
                <w:bCs/>
                <w:color w:val="000000"/>
                <w:u w:val="single"/>
              </w:rPr>
              <w:t>’</w:t>
            </w:r>
            <w:r w:rsidRPr="00536F0C" w:rsidR="00827FD2">
              <w:rPr>
                <w:b/>
                <w:bCs/>
                <w:color w:val="000000"/>
                <w:u w:val="single"/>
              </w:rPr>
              <w:t>s Duty to Protect Ratepayers</w:t>
            </w:r>
            <w:r w:rsidRPr="00536F0C" w:rsidR="00D12D8A">
              <w:rPr>
                <w:b/>
                <w:bCs/>
                <w:color w:val="000000"/>
                <w:u w:val="single"/>
              </w:rPr>
              <w:t xml:space="preserve"> Exists Independent of Intervenors</w:t>
            </w:r>
            <w:r w:rsidRPr="00536F0C" w:rsidR="00827FD2">
              <w:rPr>
                <w:b/>
                <w:bCs/>
                <w:color w:val="000000"/>
              </w:rPr>
              <w:t>.</w:t>
            </w:r>
            <w:r w:rsidR="009554B5">
              <w:rPr>
                <w:b/>
                <w:bCs/>
                <w:color w:val="000000"/>
              </w:rPr>
              <w:t xml:space="preserve"> </w:t>
            </w:r>
            <w:r w:rsidRPr="00536F0C" w:rsidR="00D1409D">
              <w:rPr>
                <w:color w:val="000000"/>
              </w:rPr>
              <w:t>PCF provided detailed legal analysis showing that the Commission</w:t>
            </w:r>
            <w:r w:rsidR="004E6167">
              <w:rPr>
                <w:color w:val="000000"/>
              </w:rPr>
              <w:t>’</w:t>
            </w:r>
            <w:r w:rsidRPr="00536F0C" w:rsidR="00D1409D">
              <w:rPr>
                <w:color w:val="000000"/>
              </w:rPr>
              <w:t>s duty to protect the public does not depend on intervenors and the Commission revised the PD to remove a sentence suggesting to the contrary.</w:t>
            </w:r>
          </w:p>
        </w:tc>
        <w:tc>
          <w:tcPr>
            <w:tcW w:w="4500" w:type="dxa"/>
          </w:tcPr>
          <w:p w:rsidRPr="00536F0C" w:rsidR="00F62499" w:rsidP="00F57624" w:rsidRDefault="004E6167" w14:paraId="082B265E" w14:textId="6F1A63D5">
            <w:pPr>
              <w:spacing w:after="240"/>
              <w:rPr>
                <w:color w:val="000000"/>
              </w:rPr>
            </w:pPr>
            <w:r>
              <w:rPr>
                <w:color w:val="000000"/>
              </w:rPr>
              <w:t>“</w:t>
            </w:r>
            <w:r w:rsidRPr="00536F0C" w:rsidR="00BE476D">
              <w:rPr>
                <w:color w:val="000000"/>
              </w:rPr>
              <w:t xml:space="preserve">Although the PD concludes that it is </w:t>
            </w:r>
            <w:r>
              <w:rPr>
                <w:color w:val="000000"/>
              </w:rPr>
              <w:t>‘</w:t>
            </w:r>
            <w:r w:rsidRPr="00536F0C" w:rsidR="00BE476D">
              <w:rPr>
                <w:color w:val="000000"/>
              </w:rPr>
              <w:t>incumbent upon the Joint Utilities to file applications with empirically accurate and reasonable assumptions about past, present, and future states of the world,</w:t>
            </w:r>
            <w:r>
              <w:rPr>
                <w:color w:val="000000"/>
              </w:rPr>
              <w:t>’</w:t>
            </w:r>
            <w:r w:rsidRPr="00536F0C" w:rsidR="00BE476D">
              <w:rPr>
                <w:color w:val="000000"/>
              </w:rPr>
              <w:t xml:space="preserve"> the PD should be revised to provide express direction to the Utilities to ensure that future cost of capital proceedings applications do so.</w:t>
            </w:r>
            <w:r>
              <w:rPr>
                <w:color w:val="000000"/>
              </w:rPr>
              <w:t>”</w:t>
            </w:r>
            <w:r w:rsidRPr="00536F0C" w:rsidR="00C25BA0">
              <w:rPr>
                <w:color w:val="000000"/>
              </w:rPr>
              <w:t xml:space="preserve"> PCF Comments on Proposed Phase 2 Decision (September 30, 2024),</w:t>
            </w:r>
            <w:r w:rsidR="0015516F">
              <w:rPr>
                <w:color w:val="000000"/>
              </w:rPr>
              <w:t xml:space="preserve"> p. </w:t>
            </w:r>
            <w:r w:rsidRPr="00536F0C" w:rsidR="00C25BA0">
              <w:rPr>
                <w:color w:val="000000"/>
              </w:rPr>
              <w:t>7.</w:t>
            </w:r>
          </w:p>
          <w:p w:rsidRPr="00536F0C" w:rsidR="00F62499" w:rsidP="00F57624" w:rsidRDefault="004E6167" w14:paraId="735085CF" w14:textId="388CE6CE">
            <w:pPr>
              <w:spacing w:after="240"/>
              <w:rPr>
                <w:color w:val="000000"/>
              </w:rPr>
            </w:pPr>
            <w:r>
              <w:rPr>
                <w:color w:val="000000"/>
              </w:rPr>
              <w:t>“</w:t>
            </w:r>
            <w:r w:rsidRPr="00536F0C" w:rsidR="00494B44">
              <w:rPr>
                <w:color w:val="000000"/>
              </w:rPr>
              <w:t>The PD errs in disclaiming responsibility for ensuring its cost of capital decisions protect ratepayers</w:t>
            </w:r>
            <w:r>
              <w:rPr>
                <w:color w:val="000000"/>
              </w:rPr>
              <w:t>’</w:t>
            </w:r>
            <w:r w:rsidRPr="00536F0C" w:rsidR="00494B44">
              <w:rPr>
                <w:color w:val="000000"/>
              </w:rPr>
              <w:t xml:space="preserve"> interests and erroneously placing on intervenors the total responsibility for negating the Utilities</w:t>
            </w:r>
            <w:r>
              <w:rPr>
                <w:color w:val="000000"/>
              </w:rPr>
              <w:t>’</w:t>
            </w:r>
            <w:r w:rsidRPr="00536F0C" w:rsidR="00494B44">
              <w:rPr>
                <w:color w:val="000000"/>
              </w:rPr>
              <w:t xml:space="preserve"> flawed cost of capital applications. The California Supreme Court has made clear, contrary to the PD, that </w:t>
            </w:r>
            <w:r>
              <w:rPr>
                <w:color w:val="000000"/>
              </w:rPr>
              <w:t>“</w:t>
            </w:r>
            <w:r w:rsidRPr="00536F0C" w:rsidR="00494B44">
              <w:rPr>
                <w:color w:val="000000"/>
              </w:rPr>
              <w:t>[i]t should not be necessary for any private party to rouse the Commission to perform its duty</w:t>
            </w:r>
            <w:r>
              <w:rPr>
                <w:color w:val="000000"/>
              </w:rPr>
              <w:t>”</w:t>
            </w:r>
            <w:r w:rsidRPr="00536F0C" w:rsidR="00494B44">
              <w:rPr>
                <w:color w:val="000000"/>
              </w:rPr>
              <w:t xml:space="preserve"> to consider the public interest.</w:t>
            </w:r>
            <w:r>
              <w:rPr>
                <w:color w:val="000000"/>
              </w:rPr>
              <w:t>”</w:t>
            </w:r>
            <w:r w:rsidRPr="00536F0C" w:rsidR="00494B44">
              <w:rPr>
                <w:color w:val="000000"/>
              </w:rPr>
              <w:t xml:space="preserve"> PCF Comments on Proposed Phase 2 Decision (September 30, 2024)</w:t>
            </w:r>
            <w:r w:rsidRPr="00536F0C" w:rsidR="00D111E9">
              <w:rPr>
                <w:color w:val="000000"/>
              </w:rPr>
              <w:t>,</w:t>
            </w:r>
            <w:r w:rsidR="0015516F">
              <w:rPr>
                <w:color w:val="000000"/>
              </w:rPr>
              <w:t xml:space="preserve"> p. </w:t>
            </w:r>
            <w:r w:rsidRPr="00536F0C" w:rsidR="00D111E9">
              <w:rPr>
                <w:color w:val="000000"/>
              </w:rPr>
              <w:t>8.</w:t>
            </w:r>
          </w:p>
          <w:p w:rsidRPr="00536F0C" w:rsidR="00691528" w:rsidP="00F57624" w:rsidRDefault="004E6167" w14:paraId="0C8AD5DF" w14:textId="7E09498B">
            <w:pPr>
              <w:spacing w:after="240"/>
              <w:rPr>
                <w:color w:val="000000"/>
              </w:rPr>
            </w:pPr>
            <w:r>
              <w:t>“</w:t>
            </w:r>
            <w:r w:rsidRPr="00536F0C" w:rsidR="00874683">
              <w:rPr>
                <w:strike/>
                <w:color w:val="C00000"/>
              </w:rPr>
              <w:t xml:space="preserve">It is incumbent upon the intervenor parties to provide testimony and argument to the </w:t>
            </w:r>
            <w:r w:rsidRPr="00536F0C" w:rsidR="00874683">
              <w:rPr>
                <w:strike/>
                <w:color w:val="C00000"/>
              </w:rPr>
              <w:lastRenderedPageBreak/>
              <w:t>extent the Joint Utilities do not do so.</w:t>
            </w:r>
            <w:r>
              <w:t>”</w:t>
            </w:r>
            <w:r w:rsidRPr="00536F0C" w:rsidR="005711D1">
              <w:rPr>
                <w:strike/>
                <w:color w:val="C00000"/>
              </w:rPr>
              <w:t xml:space="preserve"> </w:t>
            </w:r>
            <w:r w:rsidRPr="00536F0C" w:rsidR="005711D1">
              <w:rPr>
                <w:color w:val="000000"/>
              </w:rPr>
              <w:t>P</w:t>
            </w:r>
            <w:r w:rsidRPr="00536F0C" w:rsidR="00B25F96">
              <w:rPr>
                <w:color w:val="000000"/>
              </w:rPr>
              <w:t xml:space="preserve">roposed Phase 2 </w:t>
            </w:r>
            <w:r w:rsidRPr="00536F0C" w:rsidR="005711D1">
              <w:rPr>
                <w:color w:val="000000"/>
              </w:rPr>
              <w:t>D</w:t>
            </w:r>
            <w:r w:rsidRPr="00536F0C" w:rsidR="00B25F96">
              <w:rPr>
                <w:color w:val="000000"/>
              </w:rPr>
              <w:t>ecision: Rev. 1</w:t>
            </w:r>
            <w:r w:rsidRPr="00536F0C" w:rsidR="00203CC0">
              <w:rPr>
                <w:color w:val="000000"/>
              </w:rPr>
              <w:t>, Redline</w:t>
            </w:r>
            <w:r w:rsidRPr="00536F0C" w:rsidR="00B25F96">
              <w:rPr>
                <w:color w:val="000000"/>
              </w:rPr>
              <w:t xml:space="preserve"> </w:t>
            </w:r>
            <w:r w:rsidRPr="00536F0C" w:rsidR="00203CC0">
              <w:rPr>
                <w:color w:val="000000"/>
              </w:rPr>
              <w:t>(</w:t>
            </w:r>
            <w:r w:rsidRPr="00536F0C" w:rsidR="00BA57FB">
              <w:rPr>
                <w:color w:val="000000"/>
              </w:rPr>
              <w:t>October 1</w:t>
            </w:r>
            <w:r w:rsidRPr="00536F0C" w:rsidR="00A07833">
              <w:rPr>
                <w:color w:val="000000"/>
              </w:rPr>
              <w:t>5</w:t>
            </w:r>
            <w:r w:rsidRPr="00536F0C" w:rsidR="00BA57FB">
              <w:rPr>
                <w:color w:val="000000"/>
              </w:rPr>
              <w:t>,</w:t>
            </w:r>
            <w:r w:rsidRPr="00536F0C" w:rsidR="00203CC0">
              <w:rPr>
                <w:color w:val="000000"/>
              </w:rPr>
              <w:t xml:space="preserve"> 2024)</w:t>
            </w:r>
            <w:r w:rsidR="0015516F">
              <w:rPr>
                <w:color w:val="000000"/>
              </w:rPr>
              <w:t xml:space="preserve"> p. </w:t>
            </w:r>
            <w:r w:rsidRPr="00536F0C" w:rsidR="005711D1">
              <w:rPr>
                <w:color w:val="000000"/>
              </w:rPr>
              <w:t>29</w:t>
            </w:r>
            <w:r w:rsidRPr="00536F0C" w:rsidR="00203CC0">
              <w:rPr>
                <w:color w:val="000000"/>
              </w:rPr>
              <w:t>.</w:t>
            </w:r>
          </w:p>
          <w:p w:rsidRPr="00536F0C" w:rsidR="00D1409D" w:rsidP="00F57624" w:rsidRDefault="004E6167" w14:paraId="105929E1" w14:textId="2448C8F9">
            <w:pPr>
              <w:spacing w:after="240"/>
              <w:rPr>
                <w:color w:val="000000"/>
              </w:rPr>
            </w:pPr>
            <w:r>
              <w:rPr>
                <w:color w:val="000000"/>
              </w:rPr>
              <w:t>“</w:t>
            </w:r>
            <w:r w:rsidRPr="00536F0C" w:rsidR="00D1409D">
              <w:rPr>
                <w:color w:val="000000"/>
              </w:rPr>
              <w:t>Comments were filed on September 30, 2024, by UCAN, SCGC, PCF, EPUC/IS, TURN, EDF, the Joint Utilities, and</w:t>
            </w:r>
            <w:r w:rsidRPr="00536F0C" w:rsidR="00AC73F8">
              <w:rPr>
                <w:color w:val="000000"/>
              </w:rPr>
              <w:t xml:space="preserve"> </w:t>
            </w:r>
            <w:r w:rsidRPr="00536F0C" w:rsidR="00D1409D">
              <w:rPr>
                <w:color w:val="000000"/>
              </w:rPr>
              <w:t>Wild Tree. Reply comments were filed on October 7, 2024, by Cal Advocates, TURN, UCAN, EPUC/IS, the Joint Utilities, EDF, and PCF. We reviewed the comments and changes have been made throughout the decision in response to these comments.</w:t>
            </w:r>
            <w:r>
              <w:rPr>
                <w:color w:val="000000"/>
              </w:rPr>
              <w:t>”</w:t>
            </w:r>
            <w:r w:rsidRPr="00536F0C" w:rsidR="00D1409D">
              <w:rPr>
                <w:color w:val="000000"/>
              </w:rPr>
              <w:t xml:space="preserve"> D.24</w:t>
            </w:r>
            <w:r w:rsidR="00B52830">
              <w:rPr>
                <w:color w:val="000000"/>
              </w:rPr>
              <w:noBreakHyphen/>
            </w:r>
            <w:r w:rsidRPr="00536F0C" w:rsidR="00D1409D">
              <w:rPr>
                <w:color w:val="000000"/>
              </w:rPr>
              <w:t>10</w:t>
            </w:r>
            <w:r w:rsidR="00B52830">
              <w:rPr>
                <w:color w:val="000000"/>
              </w:rPr>
              <w:noBreakHyphen/>
            </w:r>
            <w:r w:rsidRPr="00536F0C" w:rsidR="00D1409D">
              <w:rPr>
                <w:color w:val="000000"/>
              </w:rPr>
              <w:t>008,</w:t>
            </w:r>
            <w:r w:rsidR="0015516F">
              <w:rPr>
                <w:color w:val="000000"/>
              </w:rPr>
              <w:t xml:space="preserve"> p. </w:t>
            </w:r>
            <w:r w:rsidRPr="00536F0C" w:rsidR="00D1409D">
              <w:rPr>
                <w:color w:val="000000"/>
              </w:rPr>
              <w:t>31</w:t>
            </w:r>
            <w:r w:rsidR="00B52830">
              <w:rPr>
                <w:color w:val="000000"/>
              </w:rPr>
              <w:noBreakHyphen/>
            </w:r>
            <w:r w:rsidRPr="00536F0C" w:rsidR="00D1409D">
              <w:rPr>
                <w:color w:val="000000"/>
              </w:rPr>
              <w:t>32.</w:t>
            </w:r>
          </w:p>
          <w:p w:rsidRPr="00536F0C" w:rsidR="007919D5" w:rsidP="00F57624" w:rsidRDefault="007919D5" w14:paraId="7554E60F" w14:textId="12DD7204">
            <w:pPr>
              <w:spacing w:after="240"/>
            </w:pPr>
            <w:r w:rsidRPr="00536F0C">
              <w:t xml:space="preserve">Commissioner Houck: </w:t>
            </w:r>
            <w:r w:rsidR="004E6167">
              <w:t>“</w:t>
            </w:r>
            <w:r w:rsidRPr="00536F0C">
              <w:t>And then one final consideration is that setting ROEs well above the cost of equity distorts utility profit incentives. So basically, utilities have an extra incentive to acquire additional capital if the allowable rate of return exceeds the cost of capital. The utilities in this proceeding are all decoupled, which means their sole way to increase profits year to year is to add to rate base, and this creates incentives for utilities to expand rate base as much as possible to benefit shareholders. And we know this because increasing profits is the fiduciary duty of the firm</w:t>
            </w:r>
            <w:r w:rsidR="004E6167">
              <w:t>’</w:t>
            </w:r>
            <w:r w:rsidRPr="00536F0C">
              <w:t>s management, and it</w:t>
            </w:r>
            <w:r w:rsidR="004E6167">
              <w:t>’</w:t>
            </w:r>
            <w:r w:rsidRPr="00536F0C">
              <w:t>s our job to ensure that these returns are fair and rates are just and reasonable.</w:t>
            </w:r>
            <w:r w:rsidR="004E6167">
              <w:t>”</w:t>
            </w:r>
            <w:r w:rsidRPr="00536F0C">
              <w:t xml:space="preserve"> </w:t>
            </w:r>
            <w:r w:rsidRPr="00536F0C">
              <w:rPr>
                <w:i/>
                <w:iCs/>
              </w:rPr>
              <w:t xml:space="preserve">See </w:t>
            </w:r>
            <w:r w:rsidRPr="00536F0C">
              <w:t xml:space="preserve">Attachment </w:t>
            </w:r>
            <w:r w:rsidRPr="00536F0C" w:rsidR="00620761">
              <w:t>2</w:t>
            </w:r>
            <w:r w:rsidRPr="00536F0C">
              <w:t xml:space="preserve"> (exce</w:t>
            </w:r>
            <w:r w:rsidRPr="00536F0C" w:rsidR="00F42233">
              <w:t>r</w:t>
            </w:r>
            <w:r w:rsidRPr="00536F0C">
              <w:t>pt of October 17, 2024 Commission Meeting, Item 14),</w:t>
            </w:r>
            <w:r w:rsidR="0015516F">
              <w:t xml:space="preserve"> p. </w:t>
            </w:r>
            <w:r w:rsidRPr="00536F0C">
              <w:t>2.</w:t>
            </w:r>
          </w:p>
          <w:p w:rsidRPr="00536F0C" w:rsidR="00D1409D" w:rsidP="00F57624" w:rsidRDefault="00D1409D" w14:paraId="2144B6BD" w14:textId="5B4CCDF7">
            <w:pPr>
              <w:spacing w:after="240"/>
              <w:rPr>
                <w:color w:val="000000"/>
              </w:rPr>
            </w:pPr>
            <w:r w:rsidRPr="00536F0C">
              <w:rPr>
                <w:color w:val="000000"/>
              </w:rPr>
              <w:t xml:space="preserve">September 30, 2024 PCF Comments on </w:t>
            </w:r>
            <w:r w:rsidRPr="00536F0C" w:rsidR="007919D5">
              <w:rPr>
                <w:color w:val="000000"/>
              </w:rPr>
              <w:t xml:space="preserve">Phase 2 </w:t>
            </w:r>
            <w:r w:rsidRPr="00536F0C">
              <w:rPr>
                <w:color w:val="000000"/>
              </w:rPr>
              <w:t xml:space="preserve">PD, </w:t>
            </w:r>
            <w:r w:rsidRPr="00536F0C" w:rsidR="003341DD">
              <w:rPr>
                <w:color w:val="000000"/>
              </w:rPr>
              <w:t>6</w:t>
            </w:r>
            <w:r w:rsidR="00B52830">
              <w:rPr>
                <w:color w:val="000000"/>
              </w:rPr>
              <w:noBreakHyphen/>
            </w:r>
            <w:r w:rsidRPr="00536F0C" w:rsidR="003341DD">
              <w:rPr>
                <w:color w:val="000000"/>
              </w:rPr>
              <w:t>9.</w:t>
            </w:r>
          </w:p>
        </w:tc>
        <w:tc>
          <w:tcPr>
            <w:tcW w:w="2075" w:type="dxa"/>
          </w:tcPr>
          <w:p w:rsidRPr="00536F0C" w:rsidR="00691528" w:rsidP="009C3C07" w:rsidRDefault="00CC58CF" w14:paraId="64233D9C" w14:textId="37BC734E">
            <w:pPr>
              <w:spacing w:after="240"/>
              <w:rPr>
                <w:color w:val="000000"/>
              </w:rPr>
            </w:pPr>
            <w:r>
              <w:rPr>
                <w:color w:val="000000"/>
              </w:rPr>
              <w:lastRenderedPageBreak/>
              <w:t>Verified</w:t>
            </w:r>
            <w:r w:rsidR="004F2986">
              <w:rPr>
                <w:color w:val="000000"/>
              </w:rPr>
              <w:t>. We note that the Intervenor made edits to portions of the specific references here. No changes were made to the edits.</w:t>
            </w:r>
          </w:p>
        </w:tc>
      </w:tr>
      <w:tr w:rsidRPr="00536F0C" w:rsidR="007C745B" w:rsidTr="0015516F" w14:paraId="61F0ABBF" w14:textId="77777777">
        <w:tc>
          <w:tcPr>
            <w:tcW w:w="2785" w:type="dxa"/>
          </w:tcPr>
          <w:p w:rsidRPr="00536F0C" w:rsidR="00740385" w:rsidP="00A15077" w:rsidRDefault="007919D5" w14:paraId="1DF7CCDB" w14:textId="61449FE0">
            <w:pPr>
              <w:rPr>
                <w:color w:val="000000"/>
              </w:rPr>
            </w:pPr>
            <w:r w:rsidRPr="00536F0C">
              <w:rPr>
                <w:b/>
                <w:bCs/>
                <w:color w:val="000000"/>
                <w:u w:val="single"/>
              </w:rPr>
              <w:t>No Retroactive Ratemaking</w:t>
            </w:r>
            <w:r w:rsidRPr="00536F0C">
              <w:rPr>
                <w:b/>
                <w:bCs/>
                <w:color w:val="000000"/>
              </w:rPr>
              <w:t>.</w:t>
            </w:r>
            <w:r w:rsidR="00A15077">
              <w:rPr>
                <w:b/>
                <w:bCs/>
                <w:color w:val="000000"/>
              </w:rPr>
              <w:t xml:space="preserve"> </w:t>
            </w:r>
            <w:r w:rsidRPr="00536F0C" w:rsidR="00740385">
              <w:rPr>
                <w:color w:val="000000"/>
              </w:rPr>
              <w:t>The Commission adopted PCF</w:t>
            </w:r>
            <w:r w:rsidR="004E6167">
              <w:rPr>
                <w:color w:val="000000"/>
              </w:rPr>
              <w:t>’</w:t>
            </w:r>
            <w:r w:rsidRPr="00536F0C" w:rsidR="00740385">
              <w:rPr>
                <w:color w:val="000000"/>
              </w:rPr>
              <w:t xml:space="preserve">s </w:t>
            </w:r>
            <w:r w:rsidRPr="00536F0C" w:rsidR="00FB294F">
              <w:rPr>
                <w:color w:val="000000"/>
              </w:rPr>
              <w:t>(and others</w:t>
            </w:r>
            <w:r w:rsidR="004E6167">
              <w:rPr>
                <w:color w:val="000000"/>
              </w:rPr>
              <w:t>’</w:t>
            </w:r>
            <w:r w:rsidRPr="00536F0C" w:rsidR="00FB294F">
              <w:rPr>
                <w:color w:val="000000"/>
              </w:rPr>
              <w:t xml:space="preserve">) </w:t>
            </w:r>
            <w:r w:rsidRPr="00536F0C" w:rsidR="00740385">
              <w:rPr>
                <w:color w:val="000000"/>
              </w:rPr>
              <w:t xml:space="preserve">argument that </w:t>
            </w:r>
            <w:r w:rsidRPr="00536F0C" w:rsidR="00740385">
              <w:rPr>
                <w:color w:val="000000"/>
              </w:rPr>
              <w:lastRenderedPageBreak/>
              <w:t>modification to the CCM is not retroactive ratemaking.</w:t>
            </w:r>
          </w:p>
        </w:tc>
        <w:tc>
          <w:tcPr>
            <w:tcW w:w="4500" w:type="dxa"/>
          </w:tcPr>
          <w:p w:rsidRPr="00536F0C" w:rsidR="00740385" w:rsidP="00F57624" w:rsidRDefault="004E6167" w14:paraId="5FCD0275" w14:textId="52E7A2D9">
            <w:pPr>
              <w:spacing w:after="240"/>
              <w:rPr>
                <w:color w:val="000000"/>
              </w:rPr>
            </w:pPr>
            <w:r>
              <w:rPr>
                <w:color w:val="000000"/>
              </w:rPr>
              <w:lastRenderedPageBreak/>
              <w:t>“</w:t>
            </w:r>
            <w:r w:rsidRPr="00536F0C" w:rsidR="00740385">
              <w:rPr>
                <w:color w:val="000000"/>
              </w:rPr>
              <w:t>The modification to the CCM adopted in the proposed decision takes effect in 2025 and is thus prospective, not retroactive.</w:t>
            </w:r>
          </w:p>
          <w:p w:rsidRPr="00536F0C" w:rsidR="00740385" w:rsidP="00F57624" w:rsidRDefault="00740385" w14:paraId="56E43E0F" w14:textId="5BBFAC08">
            <w:pPr>
              <w:spacing w:after="240"/>
              <w:rPr>
                <w:color w:val="000000"/>
              </w:rPr>
            </w:pPr>
            <w:r w:rsidRPr="00536F0C">
              <w:rPr>
                <w:color w:val="000000"/>
              </w:rPr>
              <w:lastRenderedPageBreak/>
              <w:t>The prospective changes to ROE in 2025 are the logical effect of modifications to the CCM and, as correctly noted by TURN, Cal Advocates, and PCF, do not constitute retroactive ratemaking.</w:t>
            </w:r>
            <w:r w:rsidR="004E6167">
              <w:rPr>
                <w:color w:val="000000"/>
              </w:rPr>
              <w:t>”</w:t>
            </w:r>
            <w:r w:rsidRPr="00536F0C">
              <w:rPr>
                <w:color w:val="000000"/>
              </w:rPr>
              <w:t xml:space="preserve"> D.24</w:t>
            </w:r>
            <w:r w:rsidR="00B52830">
              <w:rPr>
                <w:color w:val="000000"/>
              </w:rPr>
              <w:noBreakHyphen/>
            </w:r>
            <w:r w:rsidRPr="00536F0C">
              <w:rPr>
                <w:color w:val="000000"/>
              </w:rPr>
              <w:t>10</w:t>
            </w:r>
            <w:r w:rsidR="00B52830">
              <w:rPr>
                <w:color w:val="000000"/>
              </w:rPr>
              <w:noBreakHyphen/>
            </w:r>
            <w:r w:rsidRPr="00536F0C">
              <w:rPr>
                <w:color w:val="000000"/>
              </w:rPr>
              <w:t>008,</w:t>
            </w:r>
            <w:r w:rsidR="0015516F">
              <w:rPr>
                <w:color w:val="000000"/>
              </w:rPr>
              <w:t xml:space="preserve"> p. </w:t>
            </w:r>
            <w:r w:rsidRPr="00536F0C">
              <w:rPr>
                <w:color w:val="000000"/>
              </w:rPr>
              <w:t>32 &amp; fn. 76 (citing to PCF Reply Comments on Phase 2 Proposed Decision at 2</w:t>
            </w:r>
            <w:r w:rsidR="00B52830">
              <w:rPr>
                <w:color w:val="000000"/>
              </w:rPr>
              <w:noBreakHyphen/>
            </w:r>
            <w:r w:rsidRPr="00536F0C">
              <w:rPr>
                <w:color w:val="000000"/>
              </w:rPr>
              <w:t>3); October 7, 2024 PCF Reply Comments on Proposed Phase 2 Decision,</w:t>
            </w:r>
            <w:r w:rsidR="0015516F">
              <w:rPr>
                <w:color w:val="000000"/>
              </w:rPr>
              <w:t xml:space="preserve"> p. </w:t>
            </w:r>
            <w:r w:rsidRPr="00536F0C">
              <w:rPr>
                <w:color w:val="000000"/>
              </w:rPr>
              <w:t>2</w:t>
            </w:r>
            <w:r w:rsidR="00B52830">
              <w:rPr>
                <w:color w:val="000000"/>
              </w:rPr>
              <w:noBreakHyphen/>
            </w:r>
            <w:r w:rsidRPr="00536F0C">
              <w:rPr>
                <w:color w:val="000000"/>
              </w:rPr>
              <w:t>3.</w:t>
            </w:r>
          </w:p>
          <w:p w:rsidRPr="00536F0C" w:rsidR="007919D5" w:rsidP="00F57624" w:rsidRDefault="007919D5" w14:paraId="467AAF88" w14:textId="66A240BE">
            <w:pPr>
              <w:spacing w:after="240"/>
              <w:rPr>
                <w:color w:val="000000"/>
              </w:rPr>
            </w:pPr>
            <w:r w:rsidRPr="00536F0C">
              <w:rPr>
                <w:color w:val="000000"/>
              </w:rPr>
              <w:t>October 7, 2024 PCF Reply Comments on Phase 2 PD,</w:t>
            </w:r>
            <w:r w:rsidR="0015516F">
              <w:rPr>
                <w:color w:val="000000"/>
              </w:rPr>
              <w:t xml:space="preserve"> p. </w:t>
            </w:r>
            <w:r w:rsidRPr="00536F0C">
              <w:rPr>
                <w:color w:val="000000"/>
              </w:rPr>
              <w:t>2</w:t>
            </w:r>
            <w:r w:rsidR="00B52830">
              <w:rPr>
                <w:color w:val="000000"/>
              </w:rPr>
              <w:noBreakHyphen/>
            </w:r>
            <w:r w:rsidRPr="00536F0C">
              <w:rPr>
                <w:color w:val="000000"/>
              </w:rPr>
              <w:t>3.</w:t>
            </w:r>
          </w:p>
        </w:tc>
        <w:tc>
          <w:tcPr>
            <w:tcW w:w="2075" w:type="dxa"/>
          </w:tcPr>
          <w:p w:rsidRPr="00536F0C" w:rsidR="00740385" w:rsidP="009C3C07" w:rsidRDefault="00CC58CF" w14:paraId="6BACDEEA" w14:textId="0CB5CC55">
            <w:pPr>
              <w:spacing w:after="240"/>
              <w:rPr>
                <w:color w:val="000000"/>
              </w:rPr>
            </w:pPr>
            <w:r>
              <w:rPr>
                <w:color w:val="000000"/>
              </w:rPr>
              <w:lastRenderedPageBreak/>
              <w:t>Verified</w:t>
            </w:r>
          </w:p>
        </w:tc>
      </w:tr>
      <w:tr w:rsidRPr="00536F0C" w:rsidR="007C745B" w:rsidTr="0015516F" w14:paraId="399D60A4" w14:textId="77777777">
        <w:tc>
          <w:tcPr>
            <w:tcW w:w="2785" w:type="dxa"/>
          </w:tcPr>
          <w:p w:rsidRPr="00536F0C" w:rsidR="00925DE0" w:rsidP="00221B30" w:rsidRDefault="007919D5" w14:paraId="7307E7CC" w14:textId="38C5F204">
            <w:pPr>
              <w:spacing w:after="240"/>
              <w:rPr>
                <w:color w:val="000000"/>
              </w:rPr>
            </w:pPr>
            <w:r w:rsidRPr="00536F0C">
              <w:rPr>
                <w:b/>
                <w:bCs/>
                <w:color w:val="000000"/>
                <w:u w:val="single"/>
              </w:rPr>
              <w:t>Increased Transparency for the Public</w:t>
            </w:r>
            <w:r w:rsidRPr="00726EE6">
              <w:rPr>
                <w:b/>
                <w:bCs/>
                <w:color w:val="000000"/>
              </w:rPr>
              <w:t>.</w:t>
            </w:r>
            <w:r w:rsidRPr="00221B30">
              <w:rPr>
                <w:b/>
                <w:bCs/>
                <w:color w:val="000000"/>
              </w:rPr>
              <w:t xml:space="preserve"> </w:t>
            </w:r>
            <w:r w:rsidRPr="00536F0C" w:rsidR="006E5CAE">
              <w:rPr>
                <w:color w:val="000000"/>
              </w:rPr>
              <w:t>The Commission considered all, and granted some, of PCF</w:t>
            </w:r>
            <w:r w:rsidR="004E6167">
              <w:rPr>
                <w:color w:val="000000"/>
              </w:rPr>
              <w:t>’</w:t>
            </w:r>
            <w:r w:rsidRPr="00536F0C" w:rsidR="006E5CAE">
              <w:rPr>
                <w:color w:val="000000"/>
              </w:rPr>
              <w:t>s p</w:t>
            </w:r>
            <w:r w:rsidRPr="00536F0C" w:rsidR="00925DE0">
              <w:rPr>
                <w:color w:val="000000"/>
              </w:rPr>
              <w:t>rocedural and evidentiary motions</w:t>
            </w:r>
            <w:r w:rsidRPr="00536F0C" w:rsidR="006E5CAE">
              <w:rPr>
                <w:color w:val="000000"/>
              </w:rPr>
              <w:t xml:space="preserve">. PCF motions </w:t>
            </w:r>
            <w:r w:rsidRPr="00536F0C" w:rsidR="00925DE0">
              <w:rPr>
                <w:color w:val="000000"/>
              </w:rPr>
              <w:t>enriched the deliberations and the record</w:t>
            </w:r>
            <w:r w:rsidRPr="00536F0C" w:rsidR="005E0F6F">
              <w:rPr>
                <w:color w:val="000000"/>
              </w:rPr>
              <w:t xml:space="preserve"> by promoting transparency and the public</w:t>
            </w:r>
            <w:r w:rsidR="004E6167">
              <w:rPr>
                <w:color w:val="000000"/>
              </w:rPr>
              <w:t>’</w:t>
            </w:r>
            <w:r w:rsidRPr="00536F0C" w:rsidR="006E5CAE">
              <w:rPr>
                <w:color w:val="000000"/>
              </w:rPr>
              <w:t>s</w:t>
            </w:r>
            <w:r w:rsidRPr="00536F0C" w:rsidR="005E0F6F">
              <w:rPr>
                <w:color w:val="000000"/>
              </w:rPr>
              <w:t xml:space="preserve"> right to access information and </w:t>
            </w:r>
            <w:r w:rsidRPr="00536F0C" w:rsidR="00CF691A">
              <w:rPr>
                <w:color w:val="000000"/>
              </w:rPr>
              <w:t xml:space="preserve">to </w:t>
            </w:r>
            <w:r w:rsidRPr="00536F0C" w:rsidR="005E0F6F">
              <w:rPr>
                <w:color w:val="000000"/>
              </w:rPr>
              <w:t>understand the way that business is conducted</w:t>
            </w:r>
            <w:r w:rsidRPr="00536F0C" w:rsidR="00CF691A">
              <w:rPr>
                <w:color w:val="000000"/>
              </w:rPr>
              <w:t xml:space="preserve"> on its behalf</w:t>
            </w:r>
            <w:r w:rsidRPr="00536F0C" w:rsidR="006E5CAE">
              <w:rPr>
                <w:color w:val="000000"/>
              </w:rPr>
              <w:t xml:space="preserve">. </w:t>
            </w:r>
          </w:p>
        </w:tc>
        <w:tc>
          <w:tcPr>
            <w:tcW w:w="4500" w:type="dxa"/>
          </w:tcPr>
          <w:p w:rsidRPr="00536F0C" w:rsidR="00925DE0" w:rsidP="00F57624" w:rsidRDefault="00925DE0" w14:paraId="7A5F4433" w14:textId="36B4539E">
            <w:pPr>
              <w:spacing w:after="240"/>
              <w:rPr>
                <w:color w:val="000000"/>
              </w:rPr>
            </w:pPr>
            <w:r w:rsidRPr="00536F0C">
              <w:rPr>
                <w:color w:val="000000"/>
              </w:rPr>
              <w:t>September 1</w:t>
            </w:r>
            <w:r w:rsidRPr="00536F0C" w:rsidR="00FD6FBB">
              <w:rPr>
                <w:color w:val="000000"/>
              </w:rPr>
              <w:t>6</w:t>
            </w:r>
            <w:r w:rsidRPr="00536F0C">
              <w:rPr>
                <w:color w:val="000000"/>
              </w:rPr>
              <w:t>, 2022 PCF Opposition to IOU Confidentiality Motion,</w:t>
            </w:r>
            <w:r w:rsidR="0015516F">
              <w:rPr>
                <w:color w:val="000000"/>
              </w:rPr>
              <w:t xml:space="preserve"> p. </w:t>
            </w:r>
            <w:r w:rsidRPr="00536F0C" w:rsidR="0097153A">
              <w:rPr>
                <w:color w:val="000000"/>
              </w:rPr>
              <w:t>2</w:t>
            </w:r>
            <w:r w:rsidR="00B52830">
              <w:rPr>
                <w:color w:val="000000"/>
              </w:rPr>
              <w:noBreakHyphen/>
            </w:r>
            <w:r w:rsidRPr="00536F0C" w:rsidR="0097153A">
              <w:rPr>
                <w:color w:val="000000"/>
              </w:rPr>
              <w:t>6</w:t>
            </w:r>
            <w:r w:rsidRPr="00536F0C">
              <w:rPr>
                <w:color w:val="000000"/>
              </w:rPr>
              <w:t>; September 13, 2022 Evidentiary Hearing Transcript,</w:t>
            </w:r>
            <w:r w:rsidR="0015516F">
              <w:rPr>
                <w:color w:val="000000"/>
              </w:rPr>
              <w:t xml:space="preserve"> p. </w:t>
            </w:r>
            <w:r w:rsidRPr="00536F0C" w:rsidR="00550960">
              <w:rPr>
                <w:color w:val="000000"/>
              </w:rPr>
              <w:t>207</w:t>
            </w:r>
            <w:r w:rsidR="00B52830">
              <w:rPr>
                <w:color w:val="000000"/>
              </w:rPr>
              <w:noBreakHyphen/>
            </w:r>
            <w:r w:rsidRPr="00536F0C" w:rsidR="00550960">
              <w:rPr>
                <w:color w:val="000000"/>
              </w:rPr>
              <w:t>208 (PCF counsel arguing that credit agency reports should be made public);</w:t>
            </w:r>
            <w:r w:rsidR="0015516F">
              <w:rPr>
                <w:color w:val="000000"/>
              </w:rPr>
              <w:t xml:space="preserve"> p. </w:t>
            </w:r>
            <w:r w:rsidRPr="00536F0C" w:rsidR="00550960">
              <w:rPr>
                <w:color w:val="000000"/>
              </w:rPr>
              <w:t>209 (SDG&amp;E counsel agreeing that ALJ could order the documents to be made public);</w:t>
            </w:r>
            <w:r w:rsidR="0015516F">
              <w:rPr>
                <w:color w:val="000000"/>
              </w:rPr>
              <w:t xml:space="preserve"> p. </w:t>
            </w:r>
            <w:r w:rsidRPr="00536F0C" w:rsidR="00550960">
              <w:rPr>
                <w:color w:val="000000"/>
              </w:rPr>
              <w:t>213</w:t>
            </w:r>
            <w:r w:rsidR="00B52830">
              <w:rPr>
                <w:color w:val="000000"/>
              </w:rPr>
              <w:noBreakHyphen/>
            </w:r>
            <w:r w:rsidRPr="00536F0C" w:rsidR="00550960">
              <w:rPr>
                <w:color w:val="000000"/>
              </w:rPr>
              <w:t>228 (discussion about public access)</w:t>
            </w:r>
            <w:r w:rsidRPr="00536F0C" w:rsidR="00265E0C">
              <w:rPr>
                <w:color w:val="000000"/>
              </w:rPr>
              <w:t xml:space="preserve">; </w:t>
            </w:r>
            <w:r w:rsidRPr="00536F0C" w:rsidR="00151DDE">
              <w:rPr>
                <w:color w:val="000000"/>
              </w:rPr>
              <w:t>Email Ruling Responding to Pacific Gas and Electric Company September 15, 2022 Joint M</w:t>
            </w:r>
            <w:r w:rsidRPr="00536F0C" w:rsidR="003408B3">
              <w:rPr>
                <w:color w:val="000000"/>
              </w:rPr>
              <w:t>otion Regarding Confidential Exhibits (September 16, 2022)</w:t>
            </w:r>
            <w:r w:rsidRPr="00536F0C" w:rsidR="00AD280B">
              <w:rPr>
                <w:color w:val="000000"/>
              </w:rPr>
              <w:t>,</w:t>
            </w:r>
            <w:r w:rsidR="0015516F">
              <w:rPr>
                <w:color w:val="000000"/>
              </w:rPr>
              <w:t xml:space="preserve"> p. </w:t>
            </w:r>
            <w:r w:rsidRPr="00536F0C" w:rsidR="00AD280B">
              <w:rPr>
                <w:color w:val="000000"/>
              </w:rPr>
              <w:t>2.</w:t>
            </w:r>
          </w:p>
          <w:p w:rsidRPr="00536F0C" w:rsidR="005E0F6F" w:rsidP="00F57624" w:rsidRDefault="00265E0C" w14:paraId="4185FA11" w14:textId="3186C5B6">
            <w:pPr>
              <w:spacing w:after="240"/>
              <w:rPr>
                <w:color w:val="000000"/>
              </w:rPr>
            </w:pPr>
            <w:r w:rsidRPr="00536F0C">
              <w:rPr>
                <w:color w:val="000000"/>
              </w:rPr>
              <w:t xml:space="preserve">September 23, 2022 </w:t>
            </w:r>
            <w:r w:rsidRPr="00536F0C" w:rsidR="005E0F6F">
              <w:rPr>
                <w:color w:val="000000"/>
              </w:rPr>
              <w:t>PCF Motion for Oral Argument;</w:t>
            </w:r>
            <w:r w:rsidRPr="00536F0C">
              <w:rPr>
                <w:color w:val="000000"/>
              </w:rPr>
              <w:t xml:space="preserve"> </w:t>
            </w:r>
            <w:r w:rsidRPr="00536F0C" w:rsidR="0004620F">
              <w:rPr>
                <w:color w:val="000000"/>
              </w:rPr>
              <w:t>Email Ruling Regarding Request to Present (November 22, 2022)</w:t>
            </w:r>
            <w:r w:rsidRPr="00536F0C" w:rsidR="004F7B49">
              <w:rPr>
                <w:color w:val="000000"/>
              </w:rPr>
              <w:t>,</w:t>
            </w:r>
            <w:r w:rsidR="0015516F">
              <w:rPr>
                <w:color w:val="000000"/>
              </w:rPr>
              <w:t xml:space="preserve"> p. </w:t>
            </w:r>
            <w:r w:rsidRPr="00536F0C" w:rsidR="004F7B49">
              <w:rPr>
                <w:color w:val="000000"/>
              </w:rPr>
              <w:t>2</w:t>
            </w:r>
            <w:r w:rsidRPr="00536F0C">
              <w:rPr>
                <w:color w:val="000000"/>
              </w:rPr>
              <w:t>; December 15, 2022 Oral Argument Transcript.</w:t>
            </w:r>
          </w:p>
          <w:p w:rsidRPr="00536F0C" w:rsidR="006E5CAE" w:rsidP="00F57624" w:rsidRDefault="006E5CAE" w14:paraId="774BB057" w14:textId="654CAB50">
            <w:pPr>
              <w:spacing w:after="240"/>
              <w:rPr>
                <w:color w:val="000000"/>
              </w:rPr>
            </w:pPr>
            <w:r w:rsidRPr="00536F0C">
              <w:rPr>
                <w:color w:val="000000"/>
              </w:rPr>
              <w:t>March 1, 2024 PCF Motion for Evidentiary Hearings,</w:t>
            </w:r>
            <w:r w:rsidR="0015516F">
              <w:rPr>
                <w:color w:val="000000"/>
              </w:rPr>
              <w:t xml:space="preserve"> p. </w:t>
            </w:r>
            <w:r w:rsidRPr="00536F0C">
              <w:rPr>
                <w:color w:val="000000"/>
              </w:rPr>
              <w:t>1</w:t>
            </w:r>
            <w:r w:rsidR="00B52830">
              <w:rPr>
                <w:color w:val="000000"/>
              </w:rPr>
              <w:noBreakHyphen/>
            </w:r>
            <w:r w:rsidRPr="00536F0C">
              <w:rPr>
                <w:color w:val="000000"/>
              </w:rPr>
              <w:t xml:space="preserve">13; </w:t>
            </w:r>
            <w:r w:rsidRPr="00536F0C" w:rsidR="00164EA0">
              <w:rPr>
                <w:color w:val="000000"/>
              </w:rPr>
              <w:t>Administrative Law Judge</w:t>
            </w:r>
            <w:r w:rsidR="004E6167">
              <w:rPr>
                <w:color w:val="000000"/>
              </w:rPr>
              <w:t>’</w:t>
            </w:r>
            <w:r w:rsidRPr="00536F0C" w:rsidR="00164EA0">
              <w:rPr>
                <w:color w:val="000000"/>
              </w:rPr>
              <w:t>s Ruling Denying Motion for Evidentiary Hearing (</w:t>
            </w:r>
            <w:r w:rsidRPr="00536F0C" w:rsidR="00D21C3B">
              <w:rPr>
                <w:color w:val="000000"/>
              </w:rPr>
              <w:t>March 19, 2024)</w:t>
            </w:r>
            <w:r w:rsidRPr="00536F0C" w:rsidR="0043028A">
              <w:rPr>
                <w:color w:val="000000"/>
              </w:rPr>
              <w:t>,</w:t>
            </w:r>
            <w:r w:rsidR="0015516F">
              <w:rPr>
                <w:color w:val="000000"/>
              </w:rPr>
              <w:t xml:space="preserve"> p. </w:t>
            </w:r>
            <w:r w:rsidRPr="00536F0C" w:rsidR="0043028A">
              <w:rPr>
                <w:color w:val="000000"/>
              </w:rPr>
              <w:t>2.</w:t>
            </w:r>
          </w:p>
          <w:p w:rsidRPr="00536F0C" w:rsidR="006E5CAE" w:rsidP="00F57624" w:rsidRDefault="006E5CAE" w14:paraId="11546497" w14:textId="5EA08B9A">
            <w:pPr>
              <w:spacing w:after="240"/>
              <w:rPr>
                <w:color w:val="000000"/>
              </w:rPr>
            </w:pPr>
            <w:r w:rsidRPr="00536F0C">
              <w:rPr>
                <w:color w:val="000000"/>
              </w:rPr>
              <w:t>Augst 8, 2022 PCF and UCAN Motion for Evidentiary Hearings,</w:t>
            </w:r>
            <w:r w:rsidR="0015516F">
              <w:rPr>
                <w:color w:val="000000"/>
              </w:rPr>
              <w:t xml:space="preserve"> p. </w:t>
            </w:r>
            <w:r w:rsidRPr="00536F0C">
              <w:rPr>
                <w:color w:val="000000"/>
              </w:rPr>
              <w:t>1</w:t>
            </w:r>
            <w:r w:rsidR="00B52830">
              <w:rPr>
                <w:color w:val="000000"/>
              </w:rPr>
              <w:noBreakHyphen/>
            </w:r>
            <w:r w:rsidRPr="00536F0C">
              <w:rPr>
                <w:color w:val="000000"/>
              </w:rPr>
              <w:t>15; August 31, 2022 Email ruling granting three motions seeking evidentiary hearing.</w:t>
            </w:r>
          </w:p>
        </w:tc>
        <w:tc>
          <w:tcPr>
            <w:tcW w:w="2075" w:type="dxa"/>
          </w:tcPr>
          <w:p w:rsidRPr="00536F0C" w:rsidR="00C52DC5" w:rsidP="009C3C07" w:rsidRDefault="00CC58CF" w14:paraId="6DA3A27C" w14:textId="079B1BEE">
            <w:pPr>
              <w:spacing w:after="240"/>
              <w:rPr>
                <w:color w:val="000000"/>
              </w:rPr>
            </w:pPr>
            <w:r>
              <w:rPr>
                <w:color w:val="000000"/>
              </w:rPr>
              <w:t>Verified</w:t>
            </w:r>
          </w:p>
        </w:tc>
      </w:tr>
    </w:tbl>
    <w:p w:rsidRPr="00536F0C" w:rsidR="00A92D0B" w:rsidP="008F5F5F" w:rsidRDefault="00A92D0B" w14:paraId="0D4BCD3A" w14:textId="1E3F6157">
      <w:pPr>
        <w:keepNext/>
        <w:numPr>
          <w:ilvl w:val="0"/>
          <w:numId w:val="28"/>
        </w:numPr>
        <w:spacing w:before="240" w:after="240"/>
        <w:rPr>
          <w:b/>
          <w:color w:val="000000"/>
        </w:rPr>
      </w:pPr>
      <w:r w:rsidRPr="00536F0C">
        <w:rPr>
          <w:b/>
          <w:color w:val="000000"/>
        </w:rPr>
        <w:lastRenderedPageBreak/>
        <w:t>Duplication of Effort (</w:t>
      </w:r>
      <w:r w:rsidR="004E6167">
        <w:rPr>
          <w:b/>
          <w:color w:val="000000"/>
        </w:rPr>
        <w:t>§ </w:t>
      </w:r>
      <w:r w:rsidRPr="00536F0C">
        <w:rPr>
          <w:b/>
          <w:color w:val="000000"/>
        </w:rPr>
        <w:t xml:space="preserve">1801.3(f) </w:t>
      </w:r>
      <w:r w:rsidRPr="00536F0C" w:rsidR="00F30DA8">
        <w:rPr>
          <w:b/>
          <w:color w:val="000000"/>
        </w:rPr>
        <w:t xml:space="preserve">and </w:t>
      </w:r>
      <w:r w:rsidR="004E6167">
        <w:rPr>
          <w:b/>
          <w:color w:val="000000"/>
        </w:rPr>
        <w:t>§ </w:t>
      </w:r>
      <w:r w:rsidRPr="00536F0C" w:rsidR="0022302F">
        <w:rPr>
          <w:b/>
          <w:color w:val="000000"/>
        </w:rPr>
        <w:t>1802.5)</w:t>
      </w:r>
      <w:r w:rsidRPr="00536F0C" w:rsidR="00C02649">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5805"/>
        <w:gridCol w:w="1648"/>
        <w:gridCol w:w="1907"/>
      </w:tblGrid>
      <w:tr w:rsidRPr="00536F0C" w:rsidR="00A92D0B" w:rsidTr="00EE662E" w14:paraId="76F3266C" w14:textId="77777777">
        <w:trPr>
          <w:tblHeader/>
        </w:trPr>
        <w:tc>
          <w:tcPr>
            <w:tcW w:w="6048" w:type="dxa"/>
            <w:shd w:val="clear" w:color="auto" w:fill="D9D9D9" w:themeFill="background1" w:themeFillShade="D9"/>
            <w:vAlign w:val="bottom"/>
          </w:tcPr>
          <w:p w:rsidRPr="00536F0C" w:rsidR="00A92D0B" w:rsidP="00E117B8" w:rsidRDefault="00A92D0B" w14:paraId="300CEDBC" w14:textId="77777777">
            <w:pPr>
              <w:keepNext/>
              <w:jc w:val="center"/>
              <w:rPr>
                <w:color w:val="000000"/>
              </w:rPr>
            </w:pPr>
          </w:p>
        </w:tc>
        <w:tc>
          <w:tcPr>
            <w:tcW w:w="1710" w:type="dxa"/>
            <w:tcBorders>
              <w:bottom w:val="single" w:color="auto" w:sz="4" w:space="0"/>
            </w:tcBorders>
            <w:shd w:val="clear" w:color="auto" w:fill="D9D9D9" w:themeFill="background1" w:themeFillShade="D9"/>
            <w:vAlign w:val="bottom"/>
          </w:tcPr>
          <w:p w:rsidR="00CD340C" w:rsidP="00E117B8" w:rsidRDefault="005A63D4" w14:paraId="4B1334B5" w14:textId="77777777">
            <w:pPr>
              <w:keepNext/>
              <w:jc w:val="center"/>
              <w:rPr>
                <w:b/>
                <w:color w:val="000000"/>
              </w:rPr>
            </w:pPr>
            <w:r w:rsidRPr="00536F0C">
              <w:rPr>
                <w:b/>
                <w:color w:val="000000"/>
              </w:rPr>
              <w:t>Interveno</w:t>
            </w:r>
            <w:r w:rsidRPr="00536F0C" w:rsidR="00204E3A">
              <w:rPr>
                <w:b/>
                <w:color w:val="000000"/>
              </w:rPr>
              <w:t>r</w:t>
            </w:r>
            <w:r w:rsidR="004E6167">
              <w:rPr>
                <w:b/>
                <w:color w:val="000000"/>
              </w:rPr>
              <w:t>’</w:t>
            </w:r>
            <w:r w:rsidRPr="00536F0C">
              <w:rPr>
                <w:b/>
                <w:color w:val="000000"/>
              </w:rPr>
              <w:t>s</w:t>
            </w:r>
          </w:p>
          <w:p w:rsidRPr="00536F0C" w:rsidR="00A92D0B" w:rsidP="00E117B8" w:rsidRDefault="00D075B1" w14:paraId="7B091096" w14:textId="43DB31D3">
            <w:pPr>
              <w:keepNext/>
              <w:jc w:val="center"/>
              <w:rPr>
                <w:b/>
                <w:color w:val="000000"/>
              </w:rPr>
            </w:pPr>
            <w:r w:rsidRPr="00536F0C">
              <w:rPr>
                <w:b/>
                <w:color w:val="000000"/>
              </w:rPr>
              <w:t>Assertion</w:t>
            </w:r>
          </w:p>
        </w:tc>
        <w:tc>
          <w:tcPr>
            <w:tcW w:w="1980" w:type="dxa"/>
            <w:shd w:val="clear" w:color="auto" w:fill="D9D9D9" w:themeFill="background1" w:themeFillShade="D9"/>
            <w:vAlign w:val="bottom"/>
          </w:tcPr>
          <w:p w:rsidR="00CD340C" w:rsidP="00E117B8" w:rsidRDefault="00A92D0B" w14:paraId="27EBD9A5" w14:textId="77777777">
            <w:pPr>
              <w:keepNext/>
              <w:jc w:val="center"/>
              <w:rPr>
                <w:b/>
                <w:color w:val="000000"/>
              </w:rPr>
            </w:pPr>
            <w:r w:rsidRPr="00536F0C">
              <w:rPr>
                <w:b/>
                <w:color w:val="000000"/>
              </w:rPr>
              <w:t>CPUC</w:t>
            </w:r>
          </w:p>
          <w:p w:rsidRPr="00536F0C" w:rsidR="00A92D0B" w:rsidP="00E117B8" w:rsidRDefault="00D075B1" w14:paraId="25CE5081" w14:textId="53A97B4B">
            <w:pPr>
              <w:keepNext/>
              <w:jc w:val="center"/>
              <w:rPr>
                <w:b/>
                <w:color w:val="000000"/>
              </w:rPr>
            </w:pPr>
            <w:r w:rsidRPr="00536F0C">
              <w:rPr>
                <w:b/>
                <w:color w:val="000000"/>
              </w:rPr>
              <w:t>Discussion</w:t>
            </w:r>
          </w:p>
        </w:tc>
      </w:tr>
      <w:tr w:rsidRPr="00536F0C" w:rsidR="00A92D0B" w:rsidTr="00EE662E" w14:paraId="24A12BE1" w14:textId="77777777">
        <w:tc>
          <w:tcPr>
            <w:tcW w:w="6048" w:type="dxa"/>
          </w:tcPr>
          <w:p w:rsidRPr="00536F0C" w:rsidR="00A92D0B" w:rsidP="008F5F5F" w:rsidRDefault="00A92D0B" w14:paraId="6915FAF6" w14:textId="79F72E15">
            <w:pPr>
              <w:ind w:left="360" w:hanging="360"/>
              <w:rPr>
                <w:b/>
                <w:color w:val="000000"/>
              </w:rPr>
            </w:pPr>
            <w:r w:rsidRPr="00536F0C">
              <w:rPr>
                <w:b/>
                <w:color w:val="000000"/>
              </w:rPr>
              <w:t>a.</w:t>
            </w:r>
            <w:r w:rsidRPr="00536F0C">
              <w:rPr>
                <w:b/>
                <w:color w:val="000000"/>
              </w:rPr>
              <w:tab/>
            </w:r>
            <w:r w:rsidRPr="00536F0C">
              <w:rPr>
                <w:b/>
              </w:rPr>
              <w:t xml:space="preserve">Was the </w:t>
            </w:r>
            <w:r w:rsidRPr="00536F0C" w:rsidR="009E48E4">
              <w:rPr>
                <w:b/>
                <w:color w:val="000000"/>
              </w:rPr>
              <w:t>Public Advocate</w:t>
            </w:r>
            <w:r w:rsidR="004E6167">
              <w:rPr>
                <w:b/>
                <w:color w:val="000000"/>
              </w:rPr>
              <w:t>’</w:t>
            </w:r>
            <w:r w:rsidRPr="00536F0C" w:rsidR="009E48E4">
              <w:rPr>
                <w:b/>
                <w:color w:val="000000"/>
              </w:rPr>
              <w:t>s Office of the Public Utilities Commission</w:t>
            </w:r>
            <w:r w:rsidRPr="00536F0C" w:rsidR="009E48E4">
              <w:rPr>
                <w:b/>
              </w:rPr>
              <w:t xml:space="preserve"> </w:t>
            </w:r>
            <w:r w:rsidRPr="00536F0C">
              <w:rPr>
                <w:b/>
                <w:color w:val="000000"/>
              </w:rPr>
              <w:t>(</w:t>
            </w:r>
            <w:r w:rsidRPr="00536F0C" w:rsidR="00B55D78">
              <w:rPr>
                <w:b/>
                <w:color w:val="000000"/>
              </w:rPr>
              <w:t>Cal Advocates</w:t>
            </w:r>
            <w:r w:rsidRPr="00536F0C">
              <w:rPr>
                <w:b/>
              </w:rPr>
              <w:t>) a party to the proceeding</w:t>
            </w:r>
            <w:r w:rsidRPr="00536F0C">
              <w:rPr>
                <w:b/>
                <w:color w:val="000000"/>
              </w:rPr>
              <w:t>?</w:t>
            </w:r>
          </w:p>
        </w:tc>
        <w:tc>
          <w:tcPr>
            <w:tcW w:w="1710" w:type="dxa"/>
          </w:tcPr>
          <w:p w:rsidRPr="00536F0C" w:rsidR="00A92D0B" w:rsidP="00CD340C" w:rsidRDefault="001F36AA" w14:paraId="0B49A7C8" w14:textId="3E2B8A83">
            <w:pPr>
              <w:keepNext/>
              <w:spacing w:after="240"/>
              <w:rPr>
                <w:color w:val="000000"/>
              </w:rPr>
            </w:pPr>
            <w:r w:rsidRPr="00536F0C">
              <w:rPr>
                <w:color w:val="000000"/>
              </w:rPr>
              <w:t>Yes.</w:t>
            </w:r>
          </w:p>
        </w:tc>
        <w:tc>
          <w:tcPr>
            <w:tcW w:w="1980" w:type="dxa"/>
          </w:tcPr>
          <w:p w:rsidRPr="00536F0C" w:rsidR="00A92D0B" w:rsidP="00CD340C" w:rsidRDefault="00047C7A" w14:paraId="23B6532A" w14:textId="62C0D981">
            <w:pPr>
              <w:keepNext/>
              <w:spacing w:after="240"/>
              <w:rPr>
                <w:color w:val="000000"/>
              </w:rPr>
            </w:pPr>
            <w:r>
              <w:rPr>
                <w:color w:val="000000"/>
              </w:rPr>
              <w:t>Verified</w:t>
            </w:r>
          </w:p>
        </w:tc>
      </w:tr>
      <w:tr w:rsidRPr="00536F0C" w:rsidR="00A92D0B" w:rsidTr="00440684" w14:paraId="3317BD71" w14:textId="77777777">
        <w:tc>
          <w:tcPr>
            <w:tcW w:w="6048" w:type="dxa"/>
          </w:tcPr>
          <w:p w:rsidRPr="00536F0C" w:rsidR="00A92D0B" w:rsidP="008F5F5F" w:rsidRDefault="00A92D0B" w14:paraId="561D245D" w14:textId="77777777">
            <w:pPr>
              <w:tabs>
                <w:tab w:val="left" w:pos="360"/>
              </w:tabs>
              <w:ind w:left="360" w:hanging="360"/>
              <w:rPr>
                <w:b/>
                <w:color w:val="000000"/>
              </w:rPr>
            </w:pPr>
            <w:r w:rsidRPr="00536F0C">
              <w:rPr>
                <w:b/>
                <w:color w:val="000000"/>
              </w:rPr>
              <w:t>b.</w:t>
            </w:r>
            <w:r w:rsidRPr="00536F0C">
              <w:rPr>
                <w:b/>
                <w:color w:val="000000"/>
              </w:rPr>
              <w:tab/>
              <w:t xml:space="preserve">Were there other parties to the proceeding with positions similar to yours? </w:t>
            </w:r>
          </w:p>
        </w:tc>
        <w:tc>
          <w:tcPr>
            <w:tcW w:w="1710" w:type="dxa"/>
          </w:tcPr>
          <w:p w:rsidRPr="00536F0C" w:rsidR="00A92D0B" w:rsidP="00CD340C" w:rsidRDefault="000528AC" w14:paraId="3708E485" w14:textId="63584589">
            <w:pPr>
              <w:keepNext/>
              <w:spacing w:after="240"/>
              <w:rPr>
                <w:color w:val="000000"/>
              </w:rPr>
            </w:pPr>
            <w:r w:rsidRPr="00536F0C">
              <w:rPr>
                <w:color w:val="000000"/>
              </w:rPr>
              <w:t>Yes.</w:t>
            </w:r>
          </w:p>
        </w:tc>
        <w:tc>
          <w:tcPr>
            <w:tcW w:w="1980" w:type="dxa"/>
          </w:tcPr>
          <w:p w:rsidRPr="00536F0C" w:rsidR="00A92D0B" w:rsidP="00CD340C" w:rsidRDefault="00047C7A" w14:paraId="6B3388E6" w14:textId="62ACCCDD">
            <w:pPr>
              <w:keepNext/>
              <w:spacing w:after="240"/>
              <w:rPr>
                <w:color w:val="000000"/>
              </w:rPr>
            </w:pPr>
            <w:r>
              <w:rPr>
                <w:color w:val="000000"/>
              </w:rPr>
              <w:t>Verified</w:t>
            </w:r>
          </w:p>
        </w:tc>
      </w:tr>
      <w:tr w:rsidRPr="00536F0C" w:rsidR="00A92D0B" w:rsidTr="00440684" w14:paraId="0A51B7D4" w14:textId="77777777">
        <w:tc>
          <w:tcPr>
            <w:tcW w:w="7758" w:type="dxa"/>
            <w:gridSpan w:val="2"/>
          </w:tcPr>
          <w:p w:rsidRPr="00536F0C" w:rsidR="00A92D0B" w:rsidP="008F5F5F" w:rsidRDefault="00A92D0B" w14:paraId="30CB6275" w14:textId="7D63B4F2">
            <w:pPr>
              <w:ind w:left="360" w:hanging="360"/>
              <w:rPr>
                <w:color w:val="000000"/>
              </w:rPr>
            </w:pPr>
            <w:r w:rsidRPr="00536F0C">
              <w:rPr>
                <w:b/>
                <w:color w:val="000000"/>
              </w:rPr>
              <w:t>c.</w:t>
            </w:r>
            <w:r w:rsidRPr="00536F0C">
              <w:rPr>
                <w:b/>
                <w:color w:val="000000"/>
              </w:rPr>
              <w:tab/>
              <w:t>If so, provide name of other parties:</w:t>
            </w:r>
            <w:r w:rsidRPr="00536F0C" w:rsidR="00E25078">
              <w:rPr>
                <w:color w:val="000000"/>
              </w:rPr>
              <w:t xml:space="preserve"> </w:t>
            </w:r>
          </w:p>
          <w:p w:rsidRPr="00536F0C" w:rsidR="00A92D0B" w:rsidP="008F5F5F" w:rsidRDefault="00D723AA" w14:paraId="0919176B" w14:textId="276D2DC2">
            <w:pPr>
              <w:rPr>
                <w:color w:val="000000"/>
              </w:rPr>
            </w:pPr>
            <w:r w:rsidRPr="00536F0C">
              <w:rPr>
                <w:color w:val="000000"/>
              </w:rPr>
              <w:t xml:space="preserve">EPUC, TURN, </w:t>
            </w:r>
            <w:r w:rsidRPr="00536F0C" w:rsidR="00AF41B7">
              <w:rPr>
                <w:color w:val="000000"/>
              </w:rPr>
              <w:t>WTF</w:t>
            </w:r>
            <w:r w:rsidRPr="00536F0C">
              <w:rPr>
                <w:color w:val="000000"/>
              </w:rPr>
              <w:t xml:space="preserve">, EDF, </w:t>
            </w:r>
            <w:r w:rsidRPr="00536F0C" w:rsidR="008F37FD">
              <w:rPr>
                <w:color w:val="000000"/>
              </w:rPr>
              <w:t>UCAN</w:t>
            </w:r>
            <w:r w:rsidRPr="00536F0C">
              <w:rPr>
                <w:color w:val="000000"/>
              </w:rPr>
              <w:t>, Cal Advocates</w:t>
            </w:r>
            <w:r w:rsidRPr="00536F0C" w:rsidR="00AF41B7">
              <w:rPr>
                <w:color w:val="000000"/>
              </w:rPr>
              <w:t xml:space="preserve"> </w:t>
            </w:r>
          </w:p>
        </w:tc>
        <w:tc>
          <w:tcPr>
            <w:tcW w:w="1980" w:type="dxa"/>
          </w:tcPr>
          <w:p w:rsidRPr="00536F0C" w:rsidR="00A92D0B" w:rsidP="00CD340C" w:rsidRDefault="00047C7A" w14:paraId="22A40B49" w14:textId="3348EB80">
            <w:pPr>
              <w:keepNext/>
              <w:spacing w:after="240"/>
              <w:rPr>
                <w:color w:val="000000"/>
              </w:rPr>
            </w:pPr>
            <w:r>
              <w:rPr>
                <w:color w:val="000000"/>
              </w:rPr>
              <w:t>Verified</w:t>
            </w:r>
          </w:p>
        </w:tc>
      </w:tr>
      <w:tr w:rsidRPr="00536F0C" w:rsidR="00A92D0B" w:rsidTr="00440684" w14:paraId="744830F5" w14:textId="77777777">
        <w:tc>
          <w:tcPr>
            <w:tcW w:w="7758" w:type="dxa"/>
            <w:gridSpan w:val="2"/>
          </w:tcPr>
          <w:p w:rsidRPr="00536F0C" w:rsidR="00A92D0B" w:rsidP="008F5F5F" w:rsidRDefault="00A92D0B" w14:paraId="7C05FE5A" w14:textId="55991B1A">
            <w:pPr>
              <w:tabs>
                <w:tab w:val="left" w:pos="360"/>
              </w:tabs>
              <w:ind w:left="360" w:hanging="360"/>
              <w:rPr>
                <w:color w:val="000000"/>
              </w:rPr>
            </w:pPr>
            <w:r w:rsidRPr="00536F0C">
              <w:rPr>
                <w:b/>
                <w:color w:val="000000"/>
              </w:rPr>
              <w:t>d.</w:t>
            </w:r>
            <w:r w:rsidRPr="00536F0C">
              <w:rPr>
                <w:b/>
                <w:color w:val="000000"/>
              </w:rPr>
              <w:tab/>
            </w:r>
            <w:r w:rsidRPr="00536F0C" w:rsidR="00D075B1">
              <w:rPr>
                <w:b/>
                <w:color w:val="000000"/>
              </w:rPr>
              <w:t>Intervenor</w:t>
            </w:r>
            <w:r w:rsidR="004E6167">
              <w:rPr>
                <w:b/>
                <w:color w:val="000000"/>
              </w:rPr>
              <w:t>’</w:t>
            </w:r>
            <w:r w:rsidRPr="00536F0C" w:rsidR="00D075B1">
              <w:rPr>
                <w:b/>
                <w:color w:val="000000"/>
              </w:rPr>
              <w:t xml:space="preserve">s </w:t>
            </w:r>
            <w:r w:rsidRPr="00536F0C" w:rsidR="00A319DE">
              <w:rPr>
                <w:b/>
                <w:color w:val="000000"/>
              </w:rPr>
              <w:t>c</w:t>
            </w:r>
            <w:r w:rsidRPr="00536F0C" w:rsidR="00D075B1">
              <w:rPr>
                <w:b/>
                <w:color w:val="000000"/>
              </w:rPr>
              <w:t xml:space="preserve">laim of </w:t>
            </w:r>
            <w:r w:rsidRPr="00536F0C" w:rsidR="00A319DE">
              <w:rPr>
                <w:b/>
                <w:color w:val="000000"/>
              </w:rPr>
              <w:t>n</w:t>
            </w:r>
            <w:r w:rsidRPr="00536F0C" w:rsidR="00D075B1">
              <w:rPr>
                <w:b/>
                <w:color w:val="000000"/>
              </w:rPr>
              <w:t>on</w:t>
            </w:r>
            <w:r w:rsidR="00B52830">
              <w:rPr>
                <w:b/>
                <w:color w:val="000000"/>
              </w:rPr>
              <w:noBreakHyphen/>
            </w:r>
            <w:r w:rsidRPr="00536F0C" w:rsidR="00A319DE">
              <w:rPr>
                <w:b/>
                <w:color w:val="000000"/>
              </w:rPr>
              <w:t>d</w:t>
            </w:r>
            <w:r w:rsidRPr="00536F0C" w:rsidR="00D075B1">
              <w:rPr>
                <w:b/>
                <w:color w:val="000000"/>
              </w:rPr>
              <w:t>uplication:</w:t>
            </w:r>
            <w:r w:rsidRPr="00536F0C" w:rsidR="00E25078">
              <w:rPr>
                <w:color w:val="000000"/>
              </w:rPr>
              <w:t xml:space="preserve"> </w:t>
            </w:r>
          </w:p>
          <w:p w:rsidRPr="00536F0C" w:rsidR="00527F8A" w:rsidP="003E4494" w:rsidRDefault="00AF41B7" w14:paraId="1430DCFE" w14:textId="63CDD25C">
            <w:pPr>
              <w:spacing w:after="240"/>
              <w:ind w:firstLine="360"/>
            </w:pPr>
            <w:r w:rsidRPr="00536F0C">
              <w:rPr>
                <w:color w:val="000000"/>
              </w:rPr>
              <w:t>While Cal Advocates and other intervenors in this proceeding agreed that the Utilities TY23 cost of capital applications requested rates of returns that were too high</w:t>
            </w:r>
            <w:r w:rsidRPr="00536F0C" w:rsidR="005841F7">
              <w:rPr>
                <w:color w:val="000000"/>
              </w:rPr>
              <w:t xml:space="preserve">, </w:t>
            </w:r>
            <w:r w:rsidRPr="00536F0C" w:rsidR="005841F7">
              <w:t>PCF was the only party to provide expert testimony from a uniquely qualified former utility top economic executive – Sempra</w:t>
            </w:r>
            <w:r w:rsidR="004E6167">
              <w:t>’</w:t>
            </w:r>
            <w:r w:rsidRPr="00536F0C" w:rsidR="005841F7">
              <w:t>s former head of strategy who personally developed, implemented, and oversaw the company</w:t>
            </w:r>
            <w:r w:rsidR="004E6167">
              <w:t>’</w:t>
            </w:r>
            <w:r w:rsidRPr="00536F0C" w:rsidR="005841F7">
              <w:t>s enterprise</w:t>
            </w:r>
            <w:r w:rsidR="00B52830">
              <w:noBreakHyphen/>
            </w:r>
            <w:r w:rsidRPr="00536F0C" w:rsidR="005841F7">
              <w:t xml:space="preserve">wide cost of capital function. </w:t>
            </w:r>
            <w:r w:rsidRPr="00536F0C" w:rsidR="00527F8A">
              <w:t xml:space="preserve">The techniques and methodologies </w:t>
            </w:r>
            <w:r w:rsidR="004E6167">
              <w:t>Mr. </w:t>
            </w:r>
            <w:r w:rsidRPr="00536F0C" w:rsidR="00527F8A">
              <w:t xml:space="preserve">Ellis used to produce analyses and evidence are the type </w:t>
            </w:r>
            <w:r w:rsidR="004E6167">
              <w:t>Mr. </w:t>
            </w:r>
            <w:r w:rsidRPr="00536F0C" w:rsidR="00527F8A">
              <w:t>Ellis routinely employed in support of Sempra</w:t>
            </w:r>
            <w:r w:rsidR="004E6167">
              <w:t>’</w:t>
            </w:r>
            <w:r w:rsidRPr="00536F0C" w:rsidR="00527F8A">
              <w:t xml:space="preserve">s most important and consequential strategy, investment, policy, and regulatory decisions at Sempra, a unique and relevant perspective not provided by any other party. </w:t>
            </w:r>
            <w:r w:rsidRPr="00536F0C" w:rsidR="005841F7">
              <w:t>PCF</w:t>
            </w:r>
            <w:r w:rsidR="004E6167">
              <w:t>’</w:t>
            </w:r>
            <w:r w:rsidRPr="00536F0C" w:rsidR="005841F7">
              <w:t>s non</w:t>
            </w:r>
            <w:r w:rsidR="00B52830">
              <w:noBreakHyphen/>
            </w:r>
            <w:r w:rsidRPr="00536F0C" w:rsidR="005841F7">
              <w:t>duplicative, detailed, and thorough testimony entailed novel approaches to the evidence specific to SDG&amp;E</w:t>
            </w:r>
            <w:r w:rsidR="004E6167">
              <w:t>’</w:t>
            </w:r>
            <w:r w:rsidRPr="00536F0C" w:rsidR="005841F7">
              <w:t>s and SoCalGas</w:t>
            </w:r>
            <w:r w:rsidR="004E6167">
              <w:t>’</w:t>
            </w:r>
            <w:r w:rsidRPr="00536F0C" w:rsidR="005841F7">
              <w:t xml:space="preserve">s TY23 cost of capital </w:t>
            </w:r>
            <w:r w:rsidRPr="00536F0C" w:rsidR="00280328">
              <w:t xml:space="preserve">applications </w:t>
            </w:r>
            <w:r w:rsidRPr="00536F0C" w:rsidR="005841F7">
              <w:t>and to the cost of capital analysis that can be used in future cost of capital decisions. PCF made numerous, diverse, and robustly supported arguments and recommendations that</w:t>
            </w:r>
            <w:r w:rsidRPr="00536F0C" w:rsidR="002F22C3">
              <w:t xml:space="preserve"> other parties did not make, </w:t>
            </w:r>
            <w:r w:rsidRPr="00536F0C" w:rsidR="001A7729">
              <w:t xml:space="preserve">including </w:t>
            </w:r>
            <w:r w:rsidRPr="00536F0C" w:rsidR="00527F8A">
              <w:t xml:space="preserve">detailing </w:t>
            </w:r>
            <w:r w:rsidRPr="00536F0C" w:rsidR="002F22C3">
              <w:t>the corrections necessary to conform SDG&amp;E</w:t>
            </w:r>
            <w:r w:rsidR="004E6167">
              <w:t>’</w:t>
            </w:r>
            <w:r w:rsidRPr="00536F0C" w:rsidR="002F22C3">
              <w:t>s and SoCalGas</w:t>
            </w:r>
            <w:r w:rsidR="004E6167">
              <w:t>’</w:t>
            </w:r>
            <w:r w:rsidRPr="00536F0C" w:rsidR="002F22C3">
              <w:t>s financial assumptions utilized in the DCF and CAPM financial models</w:t>
            </w:r>
            <w:r w:rsidRPr="00536F0C" w:rsidR="001A7729">
              <w:t xml:space="preserve"> to sound financial logic</w:t>
            </w:r>
            <w:r w:rsidRPr="00536F0C" w:rsidR="002F22C3">
              <w:t xml:space="preserve">, and </w:t>
            </w:r>
            <w:r w:rsidRPr="00536F0C" w:rsidR="001A7729">
              <w:t xml:space="preserve">the reasons </w:t>
            </w:r>
            <w:r w:rsidRPr="00536F0C" w:rsidR="002F22C3">
              <w:t>why the EEA and the RPM inherently cannot produce authorized costs of capital equal to the utilities</w:t>
            </w:r>
            <w:r w:rsidR="004E6167">
              <w:t>’</w:t>
            </w:r>
            <w:r w:rsidRPr="00536F0C" w:rsidR="002F22C3">
              <w:t xml:space="preserve"> actual costs of capital</w:t>
            </w:r>
            <w:r w:rsidRPr="00536F0C" w:rsidR="001A7729">
              <w:t xml:space="preserve"> and therefore should not be utilized in cost of capital proceedings</w:t>
            </w:r>
            <w:r w:rsidRPr="00536F0C" w:rsidR="002F22C3">
              <w:t>.</w:t>
            </w:r>
            <w:r w:rsidRPr="00536F0C" w:rsidR="005841F7">
              <w:t xml:space="preserve"> </w:t>
            </w:r>
          </w:p>
          <w:p w:rsidRPr="00887A19" w:rsidR="005030E9" w:rsidP="003E4494" w:rsidRDefault="001A7729" w14:paraId="3228BB07" w14:textId="6B56FE6F">
            <w:pPr>
              <w:spacing w:after="240"/>
              <w:ind w:firstLine="360"/>
            </w:pPr>
            <w:r w:rsidRPr="00536F0C">
              <w:t xml:space="preserve">PCF met with other </w:t>
            </w:r>
            <w:r w:rsidRPr="00536F0C" w:rsidR="00C26FF0">
              <w:t xml:space="preserve">intervenors in this proceeding </w:t>
            </w:r>
            <w:r w:rsidRPr="00536F0C">
              <w:t xml:space="preserve">on multiple occasions both </w:t>
            </w:r>
            <w:r w:rsidRPr="00536F0C" w:rsidR="00C26FF0">
              <w:t xml:space="preserve">to avoid duplication of effort </w:t>
            </w:r>
            <w:r w:rsidRPr="00536F0C">
              <w:t xml:space="preserve">to produce the most </w:t>
            </w:r>
            <w:r w:rsidRPr="00536F0C" w:rsidR="00C26FF0">
              <w:t xml:space="preserve">efficient and effective joint advocacy despite </w:t>
            </w:r>
            <w:r w:rsidRPr="00536F0C">
              <w:t>PCF</w:t>
            </w:r>
            <w:r w:rsidR="004E6167">
              <w:t>’</w:t>
            </w:r>
            <w:r w:rsidRPr="00536F0C">
              <w:t>s</w:t>
            </w:r>
            <w:r w:rsidRPr="00536F0C" w:rsidR="00C26FF0">
              <w:t xml:space="preserve"> distinct constituencies and interests. </w:t>
            </w:r>
            <w:r w:rsidRPr="00536F0C" w:rsidR="006B75FA">
              <w:t>PCF c</w:t>
            </w:r>
            <w:r w:rsidRPr="00536F0C" w:rsidR="00232E52">
              <w:t>ollaborated</w:t>
            </w:r>
            <w:r w:rsidRPr="00536F0C" w:rsidR="006B75FA">
              <w:t xml:space="preserve"> with UCAN</w:t>
            </w:r>
            <w:r w:rsidRPr="00536F0C" w:rsidR="00232E52">
              <w:t xml:space="preserve"> to file</w:t>
            </w:r>
            <w:r w:rsidRPr="00536F0C" w:rsidR="005D0BC8">
              <w:t xml:space="preserve"> the </w:t>
            </w:r>
            <w:r w:rsidRPr="00536F0C" w:rsidR="00262202">
              <w:t>August 24, 2024</w:t>
            </w:r>
            <w:r w:rsidRPr="00536F0C" w:rsidR="002825B0">
              <w:t xml:space="preserve"> PCF and UCAN Motion for Evidentiary Hearings.</w:t>
            </w:r>
            <w:r w:rsidRPr="00536F0C" w:rsidR="00617359">
              <w:t xml:space="preserve"> </w:t>
            </w:r>
            <w:r w:rsidRPr="00536F0C" w:rsidR="00825F8A">
              <w:t xml:space="preserve">PCF </w:t>
            </w:r>
            <w:r w:rsidRPr="00536F0C" w:rsidR="009D1113">
              <w:t>coordinated with other intervenors via email for the evidentiary hearings and oral arguments</w:t>
            </w:r>
            <w:r w:rsidRPr="00536F0C">
              <w:t xml:space="preserve"> and regarding the substantive issues</w:t>
            </w:r>
            <w:r w:rsidRPr="00536F0C" w:rsidR="009D1113">
              <w:t>.</w:t>
            </w:r>
            <w:r w:rsidRPr="00536F0C" w:rsidR="00527F8A">
              <w:t xml:space="preserve"> To the extent PCF</w:t>
            </w:r>
            <w:r w:rsidR="004E6167">
              <w:t>’</w:t>
            </w:r>
            <w:r w:rsidRPr="00536F0C" w:rsidR="00527F8A">
              <w:t>s arguments were similar to other parties</w:t>
            </w:r>
            <w:r w:rsidR="004E6167">
              <w:t>’</w:t>
            </w:r>
            <w:r w:rsidRPr="00536F0C" w:rsidR="00527F8A">
              <w:t xml:space="preserve"> arguments, they supplemented, complemented, and </w:t>
            </w:r>
            <w:r w:rsidRPr="00536F0C" w:rsidR="00527F8A">
              <w:lastRenderedPageBreak/>
              <w:t>contributed to the presentations by other parties; and they were neither unproductive nor unnecessary because the interests PCF represents, the interests of San Diego and Southern California residential ratepayers, are not otherwise adequately represented at the Commission.</w:t>
            </w:r>
            <w:r w:rsidRPr="00536F0C">
              <w:t xml:space="preserve"> </w:t>
            </w:r>
            <w:r w:rsidRPr="00536F0C" w:rsidR="00C26FF0">
              <w:t>All of PCF</w:t>
            </w:r>
            <w:r w:rsidR="004E6167">
              <w:t>’</w:t>
            </w:r>
            <w:r w:rsidRPr="00536F0C" w:rsidR="00C26FF0">
              <w:t>s participation was necessary for a fair determination o</w:t>
            </w:r>
            <w:r w:rsidRPr="00536F0C" w:rsidR="00F02417">
              <w:t>f the decisions in this proceeding</w:t>
            </w:r>
            <w:r w:rsidRPr="00536F0C" w:rsidR="00C26FF0">
              <w:t xml:space="preserve"> because PCF responded directly to the</w:t>
            </w:r>
            <w:r w:rsidRPr="00536F0C" w:rsidR="00130A8D">
              <w:t xml:space="preserve"> Utilities</w:t>
            </w:r>
            <w:r w:rsidR="004E6167">
              <w:t>’</w:t>
            </w:r>
            <w:r w:rsidRPr="00536F0C" w:rsidR="00130A8D">
              <w:t xml:space="preserve"> applications and arguments and the</w:t>
            </w:r>
            <w:r w:rsidRPr="00536F0C" w:rsidR="00C26FF0">
              <w:t xml:space="preserve"> questions in the Commission</w:t>
            </w:r>
            <w:r w:rsidR="004E6167">
              <w:t>’</w:t>
            </w:r>
            <w:r w:rsidRPr="00536F0C" w:rsidR="00C26FF0">
              <w:t xml:space="preserve">s Scoping Memo throughout the proceeding in </w:t>
            </w:r>
            <w:r w:rsidRPr="00536F0C" w:rsidR="00130A8D">
              <w:t xml:space="preserve">both Phase 1 and Phase 2 in </w:t>
            </w:r>
            <w:r w:rsidRPr="00536F0C" w:rsidR="00C26FF0">
              <w:t>its comments, its briefs, its testimony, and in its cross</w:t>
            </w:r>
            <w:r w:rsidR="00B52830">
              <w:noBreakHyphen/>
            </w:r>
            <w:r w:rsidRPr="00536F0C" w:rsidR="00C26FF0">
              <w:t xml:space="preserve">examination.  </w:t>
            </w:r>
          </w:p>
        </w:tc>
        <w:tc>
          <w:tcPr>
            <w:tcW w:w="1980" w:type="dxa"/>
          </w:tcPr>
          <w:p w:rsidRPr="00536F0C" w:rsidR="00A92D0B" w:rsidP="00CD340C" w:rsidRDefault="00047C7A" w14:paraId="5F9BBA55" w14:textId="70ADB111">
            <w:pPr>
              <w:keepNext/>
              <w:spacing w:after="240"/>
              <w:rPr>
                <w:color w:val="000000"/>
              </w:rPr>
            </w:pPr>
            <w:r>
              <w:rPr>
                <w:color w:val="000000"/>
              </w:rPr>
              <w:lastRenderedPageBreak/>
              <w:t>Noted</w:t>
            </w:r>
          </w:p>
        </w:tc>
      </w:tr>
    </w:tbl>
    <w:p w:rsidRPr="00AE217D" w:rsidR="00A92D0B" w:rsidP="008F5F5F" w:rsidRDefault="00A92D0B" w14:paraId="4415DD51" w14:textId="44A8D1B4">
      <w:pPr>
        <w:keepNext/>
        <w:numPr>
          <w:ilvl w:val="0"/>
          <w:numId w:val="28"/>
        </w:numPr>
        <w:spacing w:before="240" w:after="240"/>
        <w:rPr>
          <w:b/>
          <w:iCs/>
          <w:color w:val="000000"/>
          <w:u w:val="single"/>
        </w:rPr>
      </w:pPr>
      <w:r w:rsidRPr="00536F0C">
        <w:rPr>
          <w:b/>
          <w:color w:val="000000"/>
        </w:rPr>
        <w:t>Additional Comments on Part II</w:t>
      </w:r>
      <w:r w:rsidRPr="00536F0C" w:rsidR="00C02649">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997"/>
        <w:gridCol w:w="6288"/>
        <w:gridCol w:w="2075"/>
      </w:tblGrid>
      <w:tr w:rsidRPr="00536F0C" w:rsidR="00963EEF" w:rsidTr="00624FA0" w14:paraId="52771334" w14:textId="77777777">
        <w:trPr>
          <w:tblHeader/>
        </w:trPr>
        <w:tc>
          <w:tcPr>
            <w:tcW w:w="997" w:type="dxa"/>
            <w:tcBorders>
              <w:bottom w:val="single" w:color="auto" w:sz="4" w:space="0"/>
            </w:tcBorders>
            <w:shd w:val="clear" w:color="auto" w:fill="D9D9D9" w:themeFill="background1" w:themeFillShade="D9"/>
            <w:vAlign w:val="bottom"/>
          </w:tcPr>
          <w:p w:rsidRPr="00536F0C" w:rsidR="00963EEF" w:rsidP="00624FA0" w:rsidRDefault="00963EEF" w14:paraId="15D83D80" w14:textId="77777777">
            <w:pPr>
              <w:keepNext/>
              <w:tabs>
                <w:tab w:val="left" w:pos="360"/>
              </w:tabs>
              <w:jc w:val="center"/>
              <w:rPr>
                <w:b/>
                <w:color w:val="000000"/>
              </w:rPr>
            </w:pPr>
            <w:r w:rsidRPr="00536F0C">
              <w:rPr>
                <w:b/>
                <w:color w:val="000000"/>
              </w:rPr>
              <w:t>#</w:t>
            </w:r>
          </w:p>
        </w:tc>
        <w:tc>
          <w:tcPr>
            <w:tcW w:w="6288" w:type="dxa"/>
            <w:tcBorders>
              <w:bottom w:val="single" w:color="auto" w:sz="4" w:space="0"/>
            </w:tcBorders>
            <w:shd w:val="clear" w:color="auto" w:fill="D9D9D9" w:themeFill="background1" w:themeFillShade="D9"/>
            <w:vAlign w:val="bottom"/>
          </w:tcPr>
          <w:p w:rsidRPr="00536F0C" w:rsidR="00963EEF" w:rsidP="00624FA0" w:rsidRDefault="00963EEF" w14:paraId="23BC1F82" w14:textId="40BCCB28">
            <w:pPr>
              <w:keepNext/>
              <w:tabs>
                <w:tab w:val="left" w:pos="360"/>
              </w:tabs>
              <w:jc w:val="center"/>
              <w:rPr>
                <w:b/>
                <w:color w:val="000000"/>
              </w:rPr>
            </w:pPr>
            <w:r w:rsidRPr="00536F0C">
              <w:rPr>
                <w:b/>
                <w:color w:val="000000"/>
              </w:rPr>
              <w:t>Intervenor</w:t>
            </w:r>
            <w:r w:rsidR="004E6167">
              <w:rPr>
                <w:b/>
                <w:color w:val="000000"/>
              </w:rPr>
              <w:t>’</w:t>
            </w:r>
            <w:r w:rsidRPr="00536F0C">
              <w:rPr>
                <w:b/>
                <w:color w:val="000000"/>
              </w:rPr>
              <w:t>s Comment</w:t>
            </w:r>
          </w:p>
        </w:tc>
        <w:tc>
          <w:tcPr>
            <w:tcW w:w="2075" w:type="dxa"/>
            <w:shd w:val="clear" w:color="auto" w:fill="D9D9D9" w:themeFill="background1" w:themeFillShade="D9"/>
            <w:vAlign w:val="bottom"/>
          </w:tcPr>
          <w:p w:rsidRPr="00536F0C" w:rsidR="00963EEF" w:rsidP="00624FA0" w:rsidRDefault="00963EEF" w14:paraId="03118710" w14:textId="77777777">
            <w:pPr>
              <w:keepNext/>
              <w:tabs>
                <w:tab w:val="left" w:pos="360"/>
              </w:tabs>
              <w:jc w:val="center"/>
              <w:rPr>
                <w:b/>
                <w:color w:val="000000"/>
              </w:rPr>
            </w:pPr>
            <w:r w:rsidRPr="00536F0C">
              <w:rPr>
                <w:b/>
                <w:color w:val="000000"/>
              </w:rPr>
              <w:t>CPUC Discussion</w:t>
            </w:r>
          </w:p>
        </w:tc>
      </w:tr>
      <w:tr w:rsidRPr="00536F0C" w:rsidR="006404BE" w:rsidTr="00983B39" w14:paraId="58A3E16A" w14:textId="77777777">
        <w:tc>
          <w:tcPr>
            <w:tcW w:w="997" w:type="dxa"/>
            <w:tcBorders>
              <w:top w:val="single" w:color="auto" w:sz="4" w:space="0"/>
              <w:left w:val="single" w:color="auto" w:sz="4" w:space="0"/>
              <w:bottom w:val="single" w:color="auto" w:sz="4" w:space="0"/>
              <w:right w:val="single" w:color="auto" w:sz="4" w:space="0"/>
            </w:tcBorders>
          </w:tcPr>
          <w:p w:rsidRPr="00536F0C" w:rsidR="006404BE" w:rsidP="008F5F5F" w:rsidRDefault="006404BE" w14:paraId="3D289A0B" w14:textId="47E80EF7">
            <w:pPr>
              <w:tabs>
                <w:tab w:val="left" w:pos="360"/>
              </w:tabs>
              <w:rPr>
                <w:color w:val="000000"/>
              </w:rPr>
            </w:pPr>
            <w:r w:rsidRPr="00536F0C">
              <w:t>II(A)</w:t>
            </w:r>
          </w:p>
        </w:tc>
        <w:tc>
          <w:tcPr>
            <w:tcW w:w="6288" w:type="dxa"/>
            <w:tcBorders>
              <w:top w:val="single" w:color="auto" w:sz="4" w:space="0"/>
              <w:left w:val="single" w:color="auto" w:sz="4" w:space="0"/>
              <w:bottom w:val="single" w:color="auto" w:sz="4" w:space="0"/>
              <w:right w:val="single" w:color="auto" w:sz="4" w:space="0"/>
            </w:tcBorders>
          </w:tcPr>
          <w:p w:rsidRPr="00536F0C" w:rsidR="006404BE" w:rsidP="008F5F5F" w:rsidRDefault="006404BE" w14:paraId="2C92EC87" w14:textId="03379B2A">
            <w:pPr>
              <w:rPr>
                <w:b/>
                <w:bCs/>
              </w:rPr>
            </w:pPr>
            <w:r w:rsidRPr="00536F0C">
              <w:rPr>
                <w:b/>
                <w:bCs/>
              </w:rPr>
              <w:t>Substantial Contribution.</w:t>
            </w:r>
          </w:p>
          <w:p w:rsidRPr="00536F0C" w:rsidR="006404BE" w:rsidP="00582DF5" w:rsidRDefault="006404BE" w14:paraId="59AA74E8" w14:textId="1533119B">
            <w:pPr>
              <w:tabs>
                <w:tab w:val="left" w:pos="360"/>
              </w:tabs>
              <w:rPr>
                <w:color w:val="000000"/>
              </w:rPr>
            </w:pPr>
            <w:r w:rsidRPr="00536F0C">
              <w:t xml:space="preserve">Pursuant to Section 1802(j), </w:t>
            </w:r>
            <w:r w:rsidR="004E6167">
              <w:t>“</w:t>
            </w:r>
            <w:r w:rsidRPr="00536F0C">
              <w:t>Substantial contribution</w:t>
            </w:r>
            <w:r w:rsidR="004E6167">
              <w:t>”</w:t>
            </w:r>
            <w:r w:rsidRPr="00536F0C">
              <w:t xml:space="preserve"> means that, in the judgment of the commission, the customer</w:t>
            </w:r>
            <w:r w:rsidR="004E6167">
              <w:t>’</w:t>
            </w:r>
            <w:r w:rsidRPr="00536F0C">
              <w:t>s presentation has substantially assisted the commission in the making of its order or decision because the order or decision has adopted in whole or in part one or more factual contentions, legal contentions, or specific policy or procedural recommendations presented by the customer.</w:t>
            </w:r>
            <w:r w:rsidR="004E6167">
              <w:t>”</w:t>
            </w:r>
          </w:p>
        </w:tc>
        <w:tc>
          <w:tcPr>
            <w:tcW w:w="2075" w:type="dxa"/>
          </w:tcPr>
          <w:p w:rsidRPr="00536F0C" w:rsidR="006404BE" w:rsidP="008F5F5F" w:rsidRDefault="00047C7A" w14:paraId="7B53CB1C" w14:textId="7650CF28">
            <w:pPr>
              <w:tabs>
                <w:tab w:val="left" w:pos="360"/>
              </w:tabs>
              <w:rPr>
                <w:color w:val="000000"/>
              </w:rPr>
            </w:pPr>
            <w:r>
              <w:rPr>
                <w:color w:val="000000"/>
              </w:rPr>
              <w:t>Noted</w:t>
            </w:r>
          </w:p>
        </w:tc>
      </w:tr>
      <w:tr w:rsidRPr="00536F0C" w:rsidR="00A93AAC" w:rsidTr="00983B39" w14:paraId="530F6CE2" w14:textId="77777777">
        <w:tc>
          <w:tcPr>
            <w:tcW w:w="997" w:type="dxa"/>
            <w:tcBorders>
              <w:top w:val="single" w:color="auto" w:sz="4" w:space="0"/>
              <w:left w:val="single" w:color="auto" w:sz="4" w:space="0"/>
              <w:bottom w:val="single" w:color="auto" w:sz="4" w:space="0"/>
              <w:right w:val="single" w:color="auto" w:sz="4" w:space="0"/>
            </w:tcBorders>
          </w:tcPr>
          <w:p w:rsidRPr="00536F0C" w:rsidR="00A93AAC" w:rsidP="008F5F5F" w:rsidRDefault="00A93AAC" w14:paraId="220B7D3F" w14:textId="024F3C27">
            <w:pPr>
              <w:tabs>
                <w:tab w:val="left" w:pos="360"/>
              </w:tabs>
              <w:rPr>
                <w:color w:val="000000"/>
              </w:rPr>
            </w:pPr>
            <w:r w:rsidRPr="00536F0C">
              <w:t>II(A)</w:t>
            </w:r>
          </w:p>
        </w:tc>
        <w:tc>
          <w:tcPr>
            <w:tcW w:w="6288" w:type="dxa"/>
            <w:tcBorders>
              <w:top w:val="single" w:color="auto" w:sz="4" w:space="0"/>
              <w:left w:val="single" w:color="auto" w:sz="4" w:space="0"/>
              <w:bottom w:val="single" w:color="auto" w:sz="4" w:space="0"/>
              <w:right w:val="single" w:color="auto" w:sz="4" w:space="0"/>
            </w:tcBorders>
          </w:tcPr>
          <w:p w:rsidRPr="00536F0C" w:rsidR="00A93AAC" w:rsidP="008F5F5F" w:rsidRDefault="00A93AAC" w14:paraId="34C35911" w14:textId="77777777">
            <w:pPr>
              <w:rPr>
                <w:b/>
                <w:bCs/>
              </w:rPr>
            </w:pPr>
            <w:r w:rsidRPr="00536F0C">
              <w:rPr>
                <w:b/>
                <w:bCs/>
              </w:rPr>
              <w:t>Substantial Contribution Includes Enriching Deliberations or the Record.</w:t>
            </w:r>
          </w:p>
          <w:p w:rsidRPr="00536F0C" w:rsidR="00A93AAC" w:rsidP="008F5F5F" w:rsidRDefault="00A93AAC" w14:paraId="2DD09648" w14:textId="7F31A664">
            <w:pPr>
              <w:tabs>
                <w:tab w:val="left" w:pos="360"/>
              </w:tabs>
              <w:rPr>
                <w:color w:val="000000"/>
              </w:rPr>
            </w:pPr>
            <w:r w:rsidRPr="00536F0C">
              <w:t xml:space="preserve">Past Commission decisions instruct that intervenors substantially contribute when they have </w:t>
            </w:r>
            <w:r w:rsidR="004E6167">
              <w:t>“</w:t>
            </w:r>
            <w:r w:rsidRPr="00536F0C">
              <w:t>provided a unique perspective that enriched the Commission</w:t>
            </w:r>
            <w:r w:rsidR="004E6167">
              <w:t>’</w:t>
            </w:r>
            <w:r w:rsidRPr="00536F0C">
              <w:t>s deliberations and the record.</w:t>
            </w:r>
            <w:r w:rsidR="004E6167">
              <w:t>”</w:t>
            </w:r>
            <w:r w:rsidRPr="00536F0C">
              <w:t xml:space="preserve"> (D.05</w:t>
            </w:r>
            <w:r w:rsidR="00B52830">
              <w:noBreakHyphen/>
            </w:r>
            <w:r w:rsidRPr="00536F0C">
              <w:t>06</w:t>
            </w:r>
            <w:r w:rsidR="00B52830">
              <w:noBreakHyphen/>
            </w:r>
            <w:r w:rsidRPr="00536F0C">
              <w:t>027,</w:t>
            </w:r>
            <w:r w:rsidR="0015516F">
              <w:t xml:space="preserve"> p. </w:t>
            </w:r>
            <w:r w:rsidRPr="00536F0C">
              <w:t xml:space="preserve">5); when they have </w:t>
            </w:r>
            <w:r w:rsidR="004E6167">
              <w:t>“</w:t>
            </w:r>
            <w:r w:rsidRPr="00536F0C">
              <w:t>assisted the Commission in the decision</w:t>
            </w:r>
            <w:r w:rsidR="00B52830">
              <w:noBreakHyphen/>
            </w:r>
            <w:r w:rsidRPr="00536F0C">
              <w:t>making process</w:t>
            </w:r>
            <w:r w:rsidR="004E6167">
              <w:t>”</w:t>
            </w:r>
            <w:r w:rsidRPr="00536F0C">
              <w:t xml:space="preserve"> (D.19</w:t>
            </w:r>
            <w:r w:rsidR="00B52830">
              <w:noBreakHyphen/>
            </w:r>
            <w:r w:rsidRPr="00536F0C">
              <w:t>10</w:t>
            </w:r>
            <w:r w:rsidR="00B52830">
              <w:noBreakHyphen/>
            </w:r>
            <w:r w:rsidRPr="00536F0C">
              <w:t>019,</w:t>
            </w:r>
            <w:r w:rsidR="0015516F">
              <w:t xml:space="preserve"> p. </w:t>
            </w:r>
            <w:r w:rsidRPr="00536F0C">
              <w:t>3</w:t>
            </w:r>
            <w:r w:rsidR="00B52830">
              <w:noBreakHyphen/>
            </w:r>
            <w:r w:rsidRPr="00536F0C">
              <w:t xml:space="preserve">4); when they provide a full discussion of the matters at issue so as to allow the Commission </w:t>
            </w:r>
            <w:r w:rsidR="004E6167">
              <w:t>“</w:t>
            </w:r>
            <w:r w:rsidRPr="00536F0C">
              <w:t>to fully consider the consequences of adopting or rejecting</w:t>
            </w:r>
            <w:r w:rsidR="004E6167">
              <w:t>”</w:t>
            </w:r>
            <w:r w:rsidRPr="00536F0C">
              <w:t xml:space="preserve"> the parties</w:t>
            </w:r>
            <w:r w:rsidR="004E6167">
              <w:t>’</w:t>
            </w:r>
            <w:r w:rsidRPr="00536F0C">
              <w:t xml:space="preserve"> proposals (D.08</w:t>
            </w:r>
            <w:r w:rsidR="00B52830">
              <w:noBreakHyphen/>
            </w:r>
            <w:r w:rsidRPr="00536F0C">
              <w:t>04</w:t>
            </w:r>
            <w:r w:rsidR="00B52830">
              <w:noBreakHyphen/>
            </w:r>
            <w:r w:rsidRPr="00536F0C">
              <w:t>004,</w:t>
            </w:r>
            <w:r w:rsidR="0015516F">
              <w:t xml:space="preserve"> p. </w:t>
            </w:r>
            <w:r w:rsidRPr="00536F0C">
              <w:t>5</w:t>
            </w:r>
            <w:r w:rsidR="00B52830">
              <w:noBreakHyphen/>
            </w:r>
            <w:r w:rsidRPr="00536F0C">
              <w:t>6); and when they offer alternative evaluations of the disputes addressed (D.19</w:t>
            </w:r>
            <w:r w:rsidR="00B52830">
              <w:noBreakHyphen/>
            </w:r>
            <w:r w:rsidRPr="00536F0C">
              <w:t>10</w:t>
            </w:r>
            <w:r w:rsidR="00B52830">
              <w:noBreakHyphen/>
            </w:r>
            <w:r w:rsidRPr="00536F0C">
              <w:t>019,</w:t>
            </w:r>
            <w:r w:rsidR="0015516F">
              <w:t xml:space="preserve"> p. </w:t>
            </w:r>
            <w:r w:rsidRPr="00536F0C">
              <w:t>5</w:t>
            </w:r>
            <w:r w:rsidR="00B52830">
              <w:noBreakHyphen/>
            </w:r>
            <w:r w:rsidRPr="00536F0C">
              <w:t>6).</w:t>
            </w:r>
          </w:p>
        </w:tc>
        <w:tc>
          <w:tcPr>
            <w:tcW w:w="2075" w:type="dxa"/>
          </w:tcPr>
          <w:p w:rsidRPr="00536F0C" w:rsidR="00A93AAC" w:rsidP="008F5F5F" w:rsidRDefault="00047C7A" w14:paraId="36220B11" w14:textId="5470398E">
            <w:pPr>
              <w:tabs>
                <w:tab w:val="left" w:pos="360"/>
              </w:tabs>
              <w:rPr>
                <w:color w:val="000000"/>
              </w:rPr>
            </w:pPr>
            <w:r>
              <w:rPr>
                <w:color w:val="000000"/>
              </w:rPr>
              <w:t>Noted</w:t>
            </w:r>
          </w:p>
        </w:tc>
      </w:tr>
      <w:tr w:rsidRPr="00536F0C" w:rsidR="0068153C" w:rsidTr="00983B39" w14:paraId="2EA90CCE" w14:textId="77777777">
        <w:tc>
          <w:tcPr>
            <w:tcW w:w="997" w:type="dxa"/>
            <w:tcBorders>
              <w:top w:val="single" w:color="auto" w:sz="4" w:space="0"/>
              <w:left w:val="single" w:color="auto" w:sz="4" w:space="0"/>
              <w:bottom w:val="single" w:color="auto" w:sz="4" w:space="0"/>
              <w:right w:val="single" w:color="auto" w:sz="4" w:space="0"/>
            </w:tcBorders>
          </w:tcPr>
          <w:p w:rsidRPr="00536F0C" w:rsidR="0068153C" w:rsidP="008F5F5F" w:rsidRDefault="0068153C" w14:paraId="07116B13" w14:textId="28B85082">
            <w:pPr>
              <w:tabs>
                <w:tab w:val="left" w:pos="360"/>
              </w:tabs>
            </w:pPr>
            <w:r w:rsidRPr="00536F0C">
              <w:t>II(A)</w:t>
            </w:r>
          </w:p>
        </w:tc>
        <w:tc>
          <w:tcPr>
            <w:tcW w:w="6288" w:type="dxa"/>
            <w:tcBorders>
              <w:top w:val="single" w:color="auto" w:sz="4" w:space="0"/>
              <w:left w:val="single" w:color="auto" w:sz="4" w:space="0"/>
              <w:bottom w:val="single" w:color="auto" w:sz="4" w:space="0"/>
              <w:right w:val="single" w:color="auto" w:sz="4" w:space="0"/>
            </w:tcBorders>
          </w:tcPr>
          <w:p w:rsidRPr="00536F0C" w:rsidR="0068153C" w:rsidP="008F5F5F" w:rsidRDefault="0068153C" w14:paraId="41F55688" w14:textId="77777777">
            <w:pPr>
              <w:tabs>
                <w:tab w:val="left" w:pos="360"/>
              </w:tabs>
              <w:rPr>
                <w:b/>
                <w:bCs/>
              </w:rPr>
            </w:pPr>
            <w:r w:rsidRPr="00536F0C">
              <w:rPr>
                <w:b/>
                <w:bCs/>
              </w:rPr>
              <w:t>Substantial Contribution Includes Procedural Recommendations.</w:t>
            </w:r>
          </w:p>
          <w:p w:rsidRPr="00536F0C" w:rsidR="0068153C" w:rsidP="008F5F5F" w:rsidRDefault="0068153C" w14:paraId="42456FA6" w14:textId="19F7E8D3">
            <w:r w:rsidRPr="00536F0C">
              <w:t xml:space="preserve">The Commission recognizes that </w:t>
            </w:r>
            <w:r w:rsidR="004E6167">
              <w:t>“</w:t>
            </w:r>
            <w:r w:rsidRPr="00536F0C">
              <w:t>[p]</w:t>
            </w:r>
            <w:proofErr w:type="spellStart"/>
            <w:r w:rsidRPr="00536F0C">
              <w:t>rocedural</w:t>
            </w:r>
            <w:proofErr w:type="spellEnd"/>
            <w:r w:rsidRPr="00536F0C">
              <w:t xml:space="preserve"> outcomes are statutorily recognized as substantial contribution.</w:t>
            </w:r>
            <w:r w:rsidR="004E6167">
              <w:t>”</w:t>
            </w:r>
            <w:r w:rsidRPr="00536F0C">
              <w:t xml:space="preserve"> (D.19</w:t>
            </w:r>
            <w:r w:rsidR="00B52830">
              <w:noBreakHyphen/>
            </w:r>
            <w:r w:rsidRPr="00536F0C">
              <w:t>10</w:t>
            </w:r>
            <w:r w:rsidR="00B52830">
              <w:noBreakHyphen/>
            </w:r>
            <w:r w:rsidRPr="00536F0C">
              <w:t>019,</w:t>
            </w:r>
            <w:r w:rsidR="0015516F">
              <w:t xml:space="preserve"> p. </w:t>
            </w:r>
            <w:r w:rsidRPr="00536F0C">
              <w:t>7;</w:t>
            </w:r>
            <w:r w:rsidR="0015516F">
              <w:t xml:space="preserve"> p. </w:t>
            </w:r>
            <w:r w:rsidRPr="00536F0C">
              <w:t xml:space="preserve">4 [adoption of </w:t>
            </w:r>
            <w:r w:rsidR="004E6167">
              <w:t>“</w:t>
            </w:r>
            <w:r w:rsidRPr="00536F0C">
              <w:t>procedural recommendations related to scheduling and evidence.</w:t>
            </w:r>
            <w:r w:rsidR="004E6167">
              <w:t>”</w:t>
            </w:r>
            <w:r w:rsidRPr="00536F0C">
              <w:t>].)</w:t>
            </w:r>
          </w:p>
        </w:tc>
        <w:tc>
          <w:tcPr>
            <w:tcW w:w="2075" w:type="dxa"/>
          </w:tcPr>
          <w:p w:rsidRPr="00536F0C" w:rsidR="0068153C" w:rsidP="008F5F5F" w:rsidRDefault="00047C7A" w14:paraId="7CD91289" w14:textId="3DB055C0">
            <w:pPr>
              <w:tabs>
                <w:tab w:val="left" w:pos="360"/>
              </w:tabs>
              <w:rPr>
                <w:color w:val="000000"/>
              </w:rPr>
            </w:pPr>
            <w:r>
              <w:rPr>
                <w:color w:val="000000"/>
              </w:rPr>
              <w:t>Noted</w:t>
            </w:r>
          </w:p>
        </w:tc>
      </w:tr>
      <w:tr w:rsidRPr="00536F0C" w:rsidR="0068153C" w:rsidTr="00983B39" w14:paraId="0F75BDEE" w14:textId="77777777">
        <w:tc>
          <w:tcPr>
            <w:tcW w:w="997" w:type="dxa"/>
            <w:tcBorders>
              <w:top w:val="single" w:color="auto" w:sz="4" w:space="0"/>
              <w:left w:val="single" w:color="auto" w:sz="4" w:space="0"/>
              <w:bottom w:val="single" w:color="auto" w:sz="4" w:space="0"/>
              <w:right w:val="single" w:color="auto" w:sz="4" w:space="0"/>
            </w:tcBorders>
          </w:tcPr>
          <w:p w:rsidRPr="00536F0C" w:rsidR="0068153C" w:rsidP="008F5F5F" w:rsidRDefault="0068153C" w14:paraId="265CF834" w14:textId="7671356E">
            <w:pPr>
              <w:tabs>
                <w:tab w:val="left" w:pos="360"/>
              </w:tabs>
            </w:pPr>
            <w:r w:rsidRPr="00536F0C">
              <w:t>II(B)(d)</w:t>
            </w:r>
          </w:p>
        </w:tc>
        <w:tc>
          <w:tcPr>
            <w:tcW w:w="6288" w:type="dxa"/>
            <w:tcBorders>
              <w:top w:val="single" w:color="auto" w:sz="4" w:space="0"/>
              <w:left w:val="single" w:color="auto" w:sz="4" w:space="0"/>
              <w:bottom w:val="single" w:color="auto" w:sz="4" w:space="0"/>
              <w:right w:val="single" w:color="auto" w:sz="4" w:space="0"/>
            </w:tcBorders>
          </w:tcPr>
          <w:p w:rsidRPr="00536F0C" w:rsidR="0068153C" w:rsidP="008F5F5F" w:rsidRDefault="0068153C" w14:paraId="701BB5AB" w14:textId="77777777">
            <w:r w:rsidRPr="00536F0C">
              <w:rPr>
                <w:b/>
                <w:bCs/>
              </w:rPr>
              <w:t>No Duplication.</w:t>
            </w:r>
          </w:p>
          <w:p w:rsidRPr="00536F0C" w:rsidR="0068153C" w:rsidP="008F5F5F" w:rsidRDefault="0068153C" w14:paraId="57AAB3AA" w14:textId="77EC5A40">
            <w:pPr>
              <w:rPr>
                <w:b/>
                <w:bCs/>
              </w:rPr>
            </w:pPr>
            <w:r w:rsidRPr="00536F0C">
              <w:lastRenderedPageBreak/>
              <w:t>No reduction to PCF</w:t>
            </w:r>
            <w:r w:rsidR="004E6167">
              <w:t>’</w:t>
            </w:r>
            <w:r w:rsidRPr="00536F0C">
              <w:t>s</w:t>
            </w:r>
            <w:r w:rsidR="003E4494">
              <w:t xml:space="preserve"> </w:t>
            </w:r>
            <w:r w:rsidRPr="00536F0C">
              <w:t>compensation due to duplication</w:t>
            </w:r>
            <w:r w:rsidR="003E4494">
              <w:t xml:space="preserve"> </w:t>
            </w:r>
            <w:r w:rsidRPr="00536F0C">
              <w:t>is warranted given the standard</w:t>
            </w:r>
            <w:r w:rsidR="003E4494">
              <w:t xml:space="preserve"> </w:t>
            </w:r>
            <w:r w:rsidRPr="00536F0C">
              <w:t>adopted by the Commission in</w:t>
            </w:r>
            <w:r w:rsidR="003E4494">
              <w:t xml:space="preserve"> </w:t>
            </w:r>
            <w:r w:rsidRPr="00536F0C">
              <w:t>D.03</w:t>
            </w:r>
            <w:r w:rsidR="00B52830">
              <w:noBreakHyphen/>
            </w:r>
            <w:r w:rsidRPr="00536F0C">
              <w:t>03</w:t>
            </w:r>
            <w:r w:rsidR="00B52830">
              <w:noBreakHyphen/>
            </w:r>
            <w:r w:rsidRPr="00536F0C">
              <w:t>031 and consistent with</w:t>
            </w:r>
            <w:r w:rsidR="003E4494">
              <w:t xml:space="preserve"> </w:t>
            </w:r>
            <w:r w:rsidRPr="00536F0C">
              <w:t>Public Utilities Code Sections</w:t>
            </w:r>
            <w:r w:rsidR="003E4494">
              <w:t xml:space="preserve"> </w:t>
            </w:r>
            <w:r w:rsidRPr="00536F0C">
              <w:t>1801.3(b) &amp; (f), 1802(j), 1802.5,</w:t>
            </w:r>
            <w:r w:rsidR="003E4494">
              <w:t xml:space="preserve"> </w:t>
            </w:r>
            <w:r w:rsidRPr="00536F0C">
              <w:t>and 1803. Section 1803 sets forth the requirements for awarding</w:t>
            </w:r>
            <w:r w:rsidR="003E4494">
              <w:t xml:space="preserve"> </w:t>
            </w:r>
            <w:r w:rsidRPr="00536F0C">
              <w:t>intervenor compensation. Pub.</w:t>
            </w:r>
            <w:r w:rsidR="003E4494">
              <w:t xml:space="preserve"> </w:t>
            </w:r>
            <w:r w:rsidRPr="00536F0C">
              <w:t xml:space="preserve">Util. Code, </w:t>
            </w:r>
            <w:r w:rsidR="004E6167">
              <w:t>§ </w:t>
            </w:r>
            <w:r w:rsidRPr="00536F0C">
              <w:t>1803; D.03</w:t>
            </w:r>
            <w:r w:rsidR="00B52830">
              <w:noBreakHyphen/>
            </w:r>
            <w:r w:rsidRPr="00536F0C">
              <w:t>03</w:t>
            </w:r>
            <w:r w:rsidR="00B52830">
              <w:noBreakHyphen/>
            </w:r>
            <w:r w:rsidRPr="00536F0C">
              <w:t>031,</w:t>
            </w:r>
            <w:r w:rsidR="003E4494">
              <w:t xml:space="preserve"> p. </w:t>
            </w:r>
            <w:r w:rsidRPr="00536F0C">
              <w:t>12</w:t>
            </w:r>
            <w:r w:rsidR="00B52830">
              <w:noBreakHyphen/>
            </w:r>
            <w:r w:rsidRPr="00536F0C">
              <w:t xml:space="preserve">14. An award of compensation for reasonable fees for participation in a proceeding is required when an intervenor (1) complies with Section 1804 and (2) </w:t>
            </w:r>
            <w:r w:rsidR="004E6167">
              <w:t>“</w:t>
            </w:r>
            <w:r w:rsidRPr="00536F0C">
              <w:t>satisfies both of the following requirements: (a) The customer</w:t>
            </w:r>
            <w:r w:rsidR="004E6167">
              <w:t>’</w:t>
            </w:r>
            <w:r w:rsidRPr="00536F0C">
              <w:t>s presentation makes a substantial contribution to the adoption, in whole or in part, of the commission</w:t>
            </w:r>
            <w:r w:rsidR="004E6167">
              <w:t>’</w:t>
            </w:r>
            <w:r w:rsidRPr="00536F0C">
              <w:t>s order or decision. (b) Participation or intervention without an award of fees or costs imposes a significant financial hardship.</w:t>
            </w:r>
            <w:r w:rsidR="004E6167">
              <w:t>”</w:t>
            </w:r>
            <w:r w:rsidRPr="00536F0C">
              <w:t xml:space="preserve">  </w:t>
            </w:r>
            <w:r w:rsidR="004E6167">
              <w:t>Pub. Util.</w:t>
            </w:r>
            <w:r w:rsidRPr="00536F0C">
              <w:t xml:space="preserve"> Code, </w:t>
            </w:r>
            <w:r w:rsidR="004E6167">
              <w:t>§ </w:t>
            </w:r>
            <w:r w:rsidRPr="00536F0C">
              <w:t xml:space="preserve">1803.  Section 1801.3(f) seeks to avoid only (1) </w:t>
            </w:r>
            <w:r w:rsidR="004E6167">
              <w:t>“</w:t>
            </w:r>
            <w:r w:rsidRPr="00536F0C">
              <w:t>unproductive or unnecessary participation that duplicates the participation of similar interests otherwise adequately represented</w:t>
            </w:r>
            <w:r w:rsidR="004E6167">
              <w:t>”</w:t>
            </w:r>
            <w:r w:rsidRPr="00536F0C">
              <w:t xml:space="preserve"> or (2) </w:t>
            </w:r>
            <w:r w:rsidR="004E6167">
              <w:t>“</w:t>
            </w:r>
            <w:r w:rsidRPr="00536F0C">
              <w:t>participation that is not necessary for a fair determination of the proceeding.</w:t>
            </w:r>
            <w:r w:rsidR="004E6167">
              <w:t>”</w:t>
            </w:r>
            <w:r w:rsidRPr="00536F0C">
              <w:t xml:space="preserve"> </w:t>
            </w:r>
            <w:r w:rsidR="004E6167">
              <w:t>Pub. Util.</w:t>
            </w:r>
            <w:r w:rsidRPr="00536F0C">
              <w:t xml:space="preserve"> Code, </w:t>
            </w:r>
            <w:r w:rsidR="004E6167">
              <w:t>§ </w:t>
            </w:r>
            <w:r w:rsidRPr="00536F0C">
              <w:t>1801.3, subd. (f); D.03</w:t>
            </w:r>
            <w:r w:rsidR="00B52830">
              <w:noBreakHyphen/>
            </w:r>
            <w:r w:rsidRPr="00536F0C">
              <w:t>03</w:t>
            </w:r>
            <w:r w:rsidR="00B52830">
              <w:noBreakHyphen/>
            </w:r>
            <w:r w:rsidRPr="00536F0C">
              <w:t>031,</w:t>
            </w:r>
            <w:r w:rsidR="0015516F">
              <w:t xml:space="preserve"> p. </w:t>
            </w:r>
            <w:r w:rsidRPr="00536F0C">
              <w:t>15</w:t>
            </w:r>
            <w:r w:rsidR="00B52830">
              <w:noBreakHyphen/>
            </w:r>
            <w:r w:rsidRPr="00536F0C">
              <w:t>18. The</w:t>
            </w:r>
            <w:r w:rsidR="003E4494">
              <w:t xml:space="preserve"> </w:t>
            </w:r>
            <w:r w:rsidR="004E6167">
              <w:t>“</w:t>
            </w:r>
            <w:r w:rsidRPr="00536F0C">
              <w:t>duplication language contained</w:t>
            </w:r>
            <w:r w:rsidR="003E4494">
              <w:t xml:space="preserve"> </w:t>
            </w:r>
            <w:r w:rsidRPr="00536F0C">
              <w:t>in the first dependent clause</w:t>
            </w:r>
            <w:r w:rsidR="003E4494">
              <w:t xml:space="preserve"> </w:t>
            </w:r>
            <w:r w:rsidRPr="00536F0C">
              <w:t>requires the compensation</w:t>
            </w:r>
            <w:r w:rsidR="003E4494">
              <w:t xml:space="preserve"> </w:t>
            </w:r>
            <w:r w:rsidRPr="00536F0C">
              <w:t>opponent to establish three</w:t>
            </w:r>
            <w:r w:rsidR="003E4494">
              <w:t xml:space="preserve"> </w:t>
            </w:r>
            <w:r w:rsidRPr="00536F0C">
              <w:t>elements – duplication, similar</w:t>
            </w:r>
            <w:r w:rsidR="003E4494">
              <w:t xml:space="preserve"> </w:t>
            </w:r>
            <w:r w:rsidRPr="00536F0C">
              <w:t>interests, and adequate</w:t>
            </w:r>
            <w:r w:rsidR="003E4494">
              <w:t xml:space="preserve"> </w:t>
            </w:r>
            <w:r w:rsidRPr="00536F0C">
              <w:t>representation.</w:t>
            </w:r>
            <w:r w:rsidR="004E6167">
              <w:t>”</w:t>
            </w:r>
            <w:r w:rsidRPr="00536F0C">
              <w:t xml:space="preserve"> D.03</w:t>
            </w:r>
            <w:r w:rsidR="00B52830">
              <w:noBreakHyphen/>
            </w:r>
            <w:r w:rsidRPr="00536F0C">
              <w:t>03</w:t>
            </w:r>
            <w:r w:rsidR="00B52830">
              <w:noBreakHyphen/>
            </w:r>
            <w:r w:rsidRPr="00536F0C">
              <w:t>031,</w:t>
            </w:r>
            <w:r w:rsidR="003E4494">
              <w:t xml:space="preserve"> p. </w:t>
            </w:r>
            <w:r w:rsidRPr="00536F0C">
              <w:t xml:space="preserve">18. Section 1802.5 provides for full compensation where participation </w:t>
            </w:r>
            <w:r w:rsidR="004E6167">
              <w:t>“</w:t>
            </w:r>
            <w:r w:rsidRPr="00536F0C">
              <w:t>materially supplements, complements, or contributes to the presentation of another party.</w:t>
            </w:r>
            <w:r w:rsidR="004E6167">
              <w:t>”</w:t>
            </w:r>
            <w:r w:rsidRPr="00536F0C">
              <w:t xml:space="preserve"> </w:t>
            </w:r>
            <w:r w:rsidR="004E6167">
              <w:t>Pub. Util.</w:t>
            </w:r>
            <w:r w:rsidRPr="00536F0C">
              <w:t xml:space="preserve"> Code. </w:t>
            </w:r>
            <w:r w:rsidR="004E6167">
              <w:t>§ </w:t>
            </w:r>
            <w:r w:rsidRPr="00536F0C">
              <w:t xml:space="preserve">1802.5; </w:t>
            </w:r>
            <w:r w:rsidRPr="00536F0C">
              <w:rPr>
                <w:i/>
                <w:iCs/>
              </w:rPr>
              <w:t xml:space="preserve">see also </w:t>
            </w:r>
            <w:r w:rsidRPr="00536F0C">
              <w:t>D.03</w:t>
            </w:r>
            <w:r w:rsidR="00B52830">
              <w:noBreakHyphen/>
            </w:r>
            <w:r w:rsidRPr="00536F0C">
              <w:t>03</w:t>
            </w:r>
            <w:r w:rsidR="00B52830">
              <w:noBreakHyphen/>
            </w:r>
            <w:r w:rsidRPr="00536F0C">
              <w:t>031,</w:t>
            </w:r>
            <w:r w:rsidR="0015516F">
              <w:t xml:space="preserve"> p. </w:t>
            </w:r>
            <w:r w:rsidRPr="00536F0C">
              <w:t>14.</w:t>
            </w:r>
          </w:p>
        </w:tc>
        <w:tc>
          <w:tcPr>
            <w:tcW w:w="2075" w:type="dxa"/>
          </w:tcPr>
          <w:p w:rsidRPr="00536F0C" w:rsidR="0068153C" w:rsidP="008F5F5F" w:rsidRDefault="00047C7A" w14:paraId="4ABB5341" w14:textId="193ADADD">
            <w:pPr>
              <w:tabs>
                <w:tab w:val="left" w:pos="360"/>
              </w:tabs>
              <w:rPr>
                <w:color w:val="000000"/>
              </w:rPr>
            </w:pPr>
            <w:r>
              <w:rPr>
                <w:color w:val="000000"/>
              </w:rPr>
              <w:lastRenderedPageBreak/>
              <w:t>Noted</w:t>
            </w:r>
          </w:p>
        </w:tc>
      </w:tr>
    </w:tbl>
    <w:p w:rsidRPr="00536F0C" w:rsidR="00B312DA" w:rsidP="008F5F5F" w:rsidRDefault="00A92D0B" w14:paraId="175C3F89" w14:textId="4835545D">
      <w:pPr>
        <w:keepNext/>
        <w:spacing w:before="480" w:after="240"/>
        <w:jc w:val="center"/>
        <w:rPr>
          <w:b/>
          <w:color w:val="000000"/>
        </w:rPr>
      </w:pPr>
      <w:r w:rsidRPr="00536F0C">
        <w:rPr>
          <w:b/>
          <w:color w:val="000000"/>
        </w:rPr>
        <w:t>PART III:</w:t>
      </w:r>
      <w:r w:rsidRPr="00536F0C" w:rsidR="00D1778A">
        <w:rPr>
          <w:b/>
          <w:color w:val="000000"/>
        </w:rPr>
        <w:t xml:space="preserve">  </w:t>
      </w:r>
      <w:r w:rsidRPr="00536F0C">
        <w:rPr>
          <w:b/>
          <w:color w:val="000000"/>
        </w:rPr>
        <w:t>REASONABLENESS OF REQUESTED COMPENSATION</w:t>
      </w:r>
    </w:p>
    <w:p w:rsidRPr="00536F0C" w:rsidR="00A92D0B" w:rsidP="008F5F5F" w:rsidRDefault="00A92D0B" w14:paraId="6F74DAE2" w14:textId="22388656">
      <w:pPr>
        <w:keepNext/>
        <w:numPr>
          <w:ilvl w:val="0"/>
          <w:numId w:val="29"/>
        </w:numPr>
        <w:spacing w:before="240" w:after="240"/>
        <w:rPr>
          <w:b/>
          <w:color w:val="000000"/>
        </w:rPr>
      </w:pPr>
      <w:r w:rsidRPr="00536F0C">
        <w:rPr>
          <w:b/>
          <w:color w:val="000000"/>
        </w:rPr>
        <w:t xml:space="preserve">General Claim of Reasonableness </w:t>
      </w:r>
      <w:r w:rsidRPr="00536F0C" w:rsidR="00F30DA8">
        <w:rPr>
          <w:b/>
          <w:color w:val="000000"/>
        </w:rPr>
        <w:t>(</w:t>
      </w:r>
      <w:r w:rsidR="004E6167">
        <w:rPr>
          <w:b/>
          <w:color w:val="000000"/>
        </w:rPr>
        <w:t>§ </w:t>
      </w:r>
      <w:r w:rsidRPr="00536F0C">
        <w:rPr>
          <w:b/>
          <w:color w:val="000000"/>
        </w:rPr>
        <w:t xml:space="preserve">1801 </w:t>
      </w:r>
      <w:r w:rsidRPr="00536F0C" w:rsidR="00F30DA8">
        <w:rPr>
          <w:b/>
          <w:color w:val="000000"/>
        </w:rPr>
        <w:t xml:space="preserve">and </w:t>
      </w:r>
      <w:r w:rsidR="004E6167">
        <w:rPr>
          <w:b/>
          <w:color w:val="000000"/>
        </w:rPr>
        <w:t>§ </w:t>
      </w:r>
      <w:r w:rsidRPr="00536F0C" w:rsidR="0022302F">
        <w:rPr>
          <w:b/>
          <w:color w:val="000000"/>
        </w:rPr>
        <w:t>1806)</w:t>
      </w:r>
      <w:r w:rsidRPr="00536F0C" w:rsidR="00C02649">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285"/>
        <w:gridCol w:w="2075"/>
      </w:tblGrid>
      <w:tr w:rsidRPr="00536F0C" w:rsidR="00FE3BAE" w:rsidTr="003175F0" w14:paraId="4078AC87" w14:textId="77777777">
        <w:trPr>
          <w:tblHeader/>
        </w:trPr>
        <w:tc>
          <w:tcPr>
            <w:tcW w:w="7285" w:type="dxa"/>
            <w:tcBorders>
              <w:bottom w:val="single" w:color="auto" w:sz="4" w:space="0"/>
            </w:tcBorders>
            <w:shd w:val="clear" w:color="auto" w:fill="D9D9D9" w:themeFill="background1" w:themeFillShade="D9"/>
            <w:vAlign w:val="bottom"/>
          </w:tcPr>
          <w:p w:rsidRPr="00536F0C" w:rsidR="00FE3BAE" w:rsidP="00624FA0" w:rsidRDefault="00FE3BAE" w14:paraId="70FDF5DA" w14:textId="77777777">
            <w:pPr>
              <w:keepNext/>
              <w:jc w:val="center"/>
              <w:rPr>
                <w:b/>
                <w:color w:val="000000"/>
              </w:rPr>
            </w:pPr>
          </w:p>
        </w:tc>
        <w:tc>
          <w:tcPr>
            <w:tcW w:w="2075" w:type="dxa"/>
            <w:shd w:val="clear" w:color="auto" w:fill="D9D9D9" w:themeFill="background1" w:themeFillShade="D9"/>
            <w:vAlign w:val="bottom"/>
          </w:tcPr>
          <w:p w:rsidRPr="00536F0C" w:rsidR="00FE3BAE" w:rsidP="00624FA0" w:rsidRDefault="00FE3BAE" w14:paraId="59CD9FCF" w14:textId="77777777">
            <w:pPr>
              <w:keepNext/>
              <w:jc w:val="center"/>
              <w:rPr>
                <w:color w:val="000000"/>
              </w:rPr>
            </w:pPr>
            <w:r w:rsidRPr="00536F0C">
              <w:rPr>
                <w:b/>
                <w:color w:val="000000"/>
              </w:rPr>
              <w:t>CPUC Discussion</w:t>
            </w:r>
          </w:p>
        </w:tc>
      </w:tr>
      <w:tr w:rsidRPr="00536F0C" w:rsidR="00FE3BAE" w:rsidTr="003175F0" w14:paraId="5708510E" w14:textId="77777777">
        <w:tc>
          <w:tcPr>
            <w:tcW w:w="7285" w:type="dxa"/>
            <w:tcBorders>
              <w:bottom w:val="single" w:color="auto" w:sz="4" w:space="0"/>
            </w:tcBorders>
          </w:tcPr>
          <w:p w:rsidRPr="00536F0C" w:rsidR="00FE3BAE" w:rsidP="009D1CD6" w:rsidRDefault="00FE3BAE" w14:paraId="707F9932" w14:textId="173EF2C3">
            <w:pPr>
              <w:spacing w:after="240"/>
              <w:ind w:left="360" w:hanging="360"/>
              <w:rPr>
                <w:color w:val="000000"/>
              </w:rPr>
            </w:pPr>
            <w:r w:rsidRPr="00536F0C">
              <w:rPr>
                <w:b/>
                <w:color w:val="000000"/>
              </w:rPr>
              <w:t>a.</w:t>
            </w:r>
            <w:r w:rsidR="009D1CD6">
              <w:rPr>
                <w:b/>
                <w:color w:val="000000"/>
              </w:rPr>
              <w:tab/>
            </w:r>
            <w:r w:rsidRPr="00536F0C">
              <w:rPr>
                <w:b/>
                <w:color w:val="000000"/>
              </w:rPr>
              <w:t>Intervenor</w:t>
            </w:r>
            <w:r w:rsidR="004E6167">
              <w:rPr>
                <w:b/>
                <w:color w:val="000000"/>
              </w:rPr>
              <w:t>’</w:t>
            </w:r>
            <w:r w:rsidRPr="00536F0C">
              <w:rPr>
                <w:b/>
                <w:color w:val="000000"/>
              </w:rPr>
              <w:t>s claim of cost reasonableness:</w:t>
            </w:r>
            <w:r w:rsidRPr="00536F0C" w:rsidR="00E25078">
              <w:rPr>
                <w:color w:val="000000"/>
              </w:rPr>
              <w:t xml:space="preserve"> </w:t>
            </w:r>
          </w:p>
          <w:p w:rsidRPr="00536F0C" w:rsidR="004C7549" w:rsidP="009D1CD6" w:rsidRDefault="007F497A" w14:paraId="12D2D0A7" w14:textId="77243CB8">
            <w:pPr>
              <w:spacing w:after="240"/>
              <w:ind w:firstLine="360"/>
            </w:pPr>
            <w:r w:rsidRPr="00536F0C">
              <w:t>PCF</w:t>
            </w:r>
            <w:r w:rsidR="004E6167">
              <w:t>’</w:t>
            </w:r>
            <w:r w:rsidRPr="00536F0C">
              <w:t>s representatives</w:t>
            </w:r>
            <w:r w:rsidR="004E6167">
              <w:t>’</w:t>
            </w:r>
            <w:r w:rsidRPr="00536F0C">
              <w:t xml:space="preserve"> knowledge gained from their respective professional experiences uniquely allowed PCF to efficiently refute claims made by the utilities and present novel arguments and recommendations.</w:t>
            </w:r>
          </w:p>
          <w:p w:rsidRPr="00536F0C" w:rsidR="004C7549" w:rsidP="009D1CD6" w:rsidRDefault="007F497A" w14:paraId="617120B9" w14:textId="4B76E628">
            <w:pPr>
              <w:spacing w:after="240"/>
              <w:ind w:firstLine="360"/>
            </w:pPr>
            <w:r w:rsidRPr="00536F0C">
              <w:t>By virtue of PCF</w:t>
            </w:r>
            <w:r w:rsidR="004E6167">
              <w:t>’</w:t>
            </w:r>
            <w:r w:rsidRPr="00536F0C">
              <w:t>s expert</w:t>
            </w:r>
            <w:r w:rsidR="004E6167">
              <w:t>’</w:t>
            </w:r>
            <w:r w:rsidRPr="00536F0C">
              <w:t xml:space="preserve">s directly relevant finance background, </w:t>
            </w:r>
            <w:r w:rsidRPr="00536F0C" w:rsidR="00527F8A">
              <w:t>PCF</w:t>
            </w:r>
            <w:r w:rsidR="004E6167">
              <w:t>’</w:t>
            </w:r>
            <w:r w:rsidRPr="00536F0C" w:rsidR="00527F8A">
              <w:t xml:space="preserve">s participation provided the Commission with an unparalleled </w:t>
            </w:r>
            <w:r w:rsidRPr="00536F0C" w:rsidR="00527F8A">
              <w:lastRenderedPageBreak/>
              <w:t>expert analysis of the financial principles and models utilized in the Commission</w:t>
            </w:r>
            <w:r w:rsidR="004E6167">
              <w:t>’</w:t>
            </w:r>
            <w:r w:rsidRPr="00536F0C" w:rsidR="00527F8A">
              <w:t>s cost of capital proceedings, and a unique window into the financial priorities of utility executives</w:t>
            </w:r>
            <w:r w:rsidRPr="00536F0C">
              <w:t>.</w:t>
            </w:r>
          </w:p>
          <w:p w:rsidRPr="00536F0C" w:rsidR="004C7549" w:rsidP="009D1CD6" w:rsidRDefault="00527F8A" w14:paraId="487F261A" w14:textId="444CFAD9">
            <w:pPr>
              <w:spacing w:after="240"/>
              <w:ind w:firstLine="360"/>
            </w:pPr>
            <w:r w:rsidRPr="00536F0C">
              <w:t>PCF</w:t>
            </w:r>
            <w:r w:rsidR="004E6167">
              <w:t>’</w:t>
            </w:r>
            <w:r w:rsidRPr="00536F0C">
              <w:t>s Legal &amp; Executive Director</w:t>
            </w:r>
            <w:r w:rsidR="004E6167">
              <w:t>’</w:t>
            </w:r>
            <w:r w:rsidRPr="00536F0C">
              <w:t>s litigation and legal background allowed PCF to efficient</w:t>
            </w:r>
            <w:r w:rsidRPr="00536F0C" w:rsidR="00EA3E57">
              <w:t>ly</w:t>
            </w:r>
            <w:r w:rsidRPr="00536F0C" w:rsidR="007F497A">
              <w:t xml:space="preserve"> present </w:t>
            </w:r>
            <w:r w:rsidRPr="00536F0C">
              <w:t>the relevant legal principles in th</w:t>
            </w:r>
            <w:r w:rsidRPr="00536F0C" w:rsidR="00EA3E57">
              <w:t xml:space="preserve">e context of </w:t>
            </w:r>
            <w:r w:rsidRPr="00536F0C" w:rsidR="00DE3ACB">
              <w:t xml:space="preserve">and as they relate to </w:t>
            </w:r>
            <w:r w:rsidRPr="00536F0C" w:rsidR="00EA3E57">
              <w:t>finance principles and the facts established by PCF</w:t>
            </w:r>
            <w:r w:rsidR="004E6167">
              <w:t>’</w:t>
            </w:r>
            <w:r w:rsidRPr="00536F0C" w:rsidR="00EA3E57">
              <w:t xml:space="preserve">s </w:t>
            </w:r>
            <w:r w:rsidRPr="00536F0C">
              <w:t>expert</w:t>
            </w:r>
            <w:r w:rsidR="004E6167">
              <w:t>’</w:t>
            </w:r>
            <w:r w:rsidRPr="00536F0C" w:rsidR="00EA3E57">
              <w:t>s</w:t>
            </w:r>
            <w:r w:rsidRPr="00536F0C">
              <w:t xml:space="preserve"> testimony</w:t>
            </w:r>
            <w:r w:rsidRPr="00536F0C" w:rsidR="00EA3E57">
              <w:t>.</w:t>
            </w:r>
            <w:r w:rsidRPr="00536F0C">
              <w:t xml:space="preserve"> </w:t>
            </w:r>
          </w:p>
          <w:p w:rsidRPr="00536F0C" w:rsidR="004C7549" w:rsidP="009D1CD6" w:rsidRDefault="007F497A" w14:paraId="5D35C28C" w14:textId="2FA3DEA9">
            <w:pPr>
              <w:spacing w:after="240"/>
              <w:ind w:firstLine="360"/>
            </w:pPr>
            <w:r w:rsidRPr="00536F0C">
              <w:t xml:space="preserve">Where it would conserve resources to do so, </w:t>
            </w:r>
            <w:r w:rsidRPr="00536F0C" w:rsidR="00EA3E57">
              <w:t>PCF</w:t>
            </w:r>
            <w:r w:rsidR="004E6167">
              <w:t>’</w:t>
            </w:r>
            <w:r w:rsidRPr="00536F0C" w:rsidR="00EA3E57">
              <w:t xml:space="preserve">s Legal &amp; Executive Director utilized </w:t>
            </w:r>
            <w:r w:rsidRPr="00536F0C" w:rsidR="00527F8A">
              <w:t>PCF consultant Loretta Lynch, a</w:t>
            </w:r>
            <w:r w:rsidRPr="00536F0C" w:rsidR="00EA3E57">
              <w:t>n attorney and</w:t>
            </w:r>
            <w:r w:rsidRPr="00536F0C" w:rsidR="00527F8A">
              <w:t xml:space="preserve"> former CPUC President who </w:t>
            </w:r>
            <w:r w:rsidRPr="00536F0C">
              <w:t>also p</w:t>
            </w:r>
            <w:r w:rsidRPr="00536F0C" w:rsidR="00527F8A">
              <w:t xml:space="preserve">articipated in previous cost of capital proceedings on behalf of PCF.  </w:t>
            </w:r>
          </w:p>
          <w:p w:rsidRPr="00536F0C" w:rsidR="00527F8A" w:rsidP="009D1CD6" w:rsidRDefault="00EA3E57" w14:paraId="2B1A1242" w14:textId="48FD8A95">
            <w:pPr>
              <w:spacing w:after="240"/>
              <w:ind w:firstLine="360"/>
              <w:rPr>
                <w:color w:val="000000"/>
              </w:rPr>
            </w:pPr>
            <w:r w:rsidRPr="00536F0C">
              <w:t>While it is impossible in this case to provide an actual dollar value of the benefit to ratepayers of PCF</w:t>
            </w:r>
            <w:r w:rsidR="004E6167">
              <w:t>’</w:t>
            </w:r>
            <w:r w:rsidRPr="00536F0C">
              <w:t xml:space="preserve">s participation, application of the financial principles </w:t>
            </w:r>
            <w:r w:rsidRPr="00536F0C" w:rsidR="00D871BD">
              <w:t xml:space="preserve">which </w:t>
            </w:r>
            <w:r w:rsidRPr="00536F0C">
              <w:t>PCF</w:t>
            </w:r>
            <w:r w:rsidRPr="00536F0C" w:rsidR="00D871BD">
              <w:t xml:space="preserve"> advocated for </w:t>
            </w:r>
            <w:r w:rsidRPr="00536F0C">
              <w:t>would, if implemented by the Commission in the future</w:t>
            </w:r>
            <w:r w:rsidRPr="00536F0C" w:rsidR="007F497A">
              <w:t xml:space="preserve"> as D.24</w:t>
            </w:r>
            <w:r w:rsidR="00B52830">
              <w:noBreakHyphen/>
            </w:r>
            <w:r w:rsidRPr="00536F0C" w:rsidR="007F497A">
              <w:t>10</w:t>
            </w:r>
            <w:r w:rsidR="00B52830">
              <w:noBreakHyphen/>
            </w:r>
            <w:r w:rsidRPr="00536F0C" w:rsidR="007F497A">
              <w:t xml:space="preserve">008 </w:t>
            </w:r>
            <w:r w:rsidRPr="00536F0C" w:rsidR="00D4272F">
              <w:t>contemplates</w:t>
            </w:r>
            <w:r w:rsidRPr="00536F0C">
              <w:t xml:space="preserve">, save ratepayers </w:t>
            </w:r>
            <w:r w:rsidRPr="00536F0C" w:rsidR="00D871BD">
              <w:t xml:space="preserve">hundreds of </w:t>
            </w:r>
            <w:r w:rsidRPr="00536F0C">
              <w:t>millions of dollars.</w:t>
            </w:r>
            <w:r w:rsidRPr="00536F0C" w:rsidR="00D4272F">
              <w:t xml:space="preserve"> As Commissioner </w:t>
            </w:r>
            <w:r w:rsidRPr="00536F0C" w:rsidR="00860D83">
              <w:t>Houck discussed at the hearing</w:t>
            </w:r>
            <w:r w:rsidRPr="00536F0C" w:rsidR="00B85068">
              <w:t xml:space="preserve">, </w:t>
            </w:r>
            <w:r w:rsidR="004E6167">
              <w:t>“</w:t>
            </w:r>
            <w:r w:rsidRPr="00536F0C" w:rsidR="00B85068">
              <w:t>across the four IOU</w:t>
            </w:r>
            <w:r w:rsidR="004E6167">
              <w:t>’</w:t>
            </w:r>
            <w:r w:rsidRPr="00536F0C" w:rsidR="00B85068">
              <w:t>s, the impact of each basis point of ROE above cost of equity is $6</w:t>
            </w:r>
            <w:r w:rsidR="004E6167">
              <w:t> million</w:t>
            </w:r>
            <w:r w:rsidRPr="00536F0C" w:rsidR="00B85068">
              <w:t>.</w:t>
            </w:r>
            <w:r w:rsidR="004E6167">
              <w:t>”</w:t>
            </w:r>
            <w:r w:rsidRPr="00536F0C" w:rsidR="00863ECE">
              <w:t xml:space="preserve"> </w:t>
            </w:r>
            <w:r w:rsidRPr="00536F0C" w:rsidR="00863ECE">
              <w:rPr>
                <w:i/>
                <w:iCs/>
              </w:rPr>
              <w:t xml:space="preserve">See </w:t>
            </w:r>
            <w:r w:rsidRPr="00536F0C" w:rsidR="00863ECE">
              <w:t>Attachment 2 (excerpt of October 17, 2024 Commission Meeting, Item 14),</w:t>
            </w:r>
            <w:r w:rsidR="0015516F">
              <w:t xml:space="preserve"> p. </w:t>
            </w:r>
            <w:r w:rsidRPr="00536F0C" w:rsidR="00863ECE">
              <w:t>2.</w:t>
            </w:r>
          </w:p>
        </w:tc>
        <w:tc>
          <w:tcPr>
            <w:tcW w:w="2075" w:type="dxa"/>
          </w:tcPr>
          <w:p w:rsidRPr="00536F0C" w:rsidR="00FE3BAE" w:rsidP="008F5F5F" w:rsidRDefault="00047C7A" w14:paraId="223B4665" w14:textId="258FD30D">
            <w:pPr>
              <w:rPr>
                <w:color w:val="000000"/>
              </w:rPr>
            </w:pPr>
            <w:r>
              <w:rPr>
                <w:color w:val="000000"/>
              </w:rPr>
              <w:lastRenderedPageBreak/>
              <w:t>Noted</w:t>
            </w:r>
          </w:p>
        </w:tc>
      </w:tr>
      <w:tr w:rsidRPr="00536F0C" w:rsidR="00FE3BAE" w:rsidTr="003175F0" w14:paraId="5548029C" w14:textId="77777777">
        <w:tc>
          <w:tcPr>
            <w:tcW w:w="7285" w:type="dxa"/>
          </w:tcPr>
          <w:p w:rsidRPr="00536F0C" w:rsidR="00FE3BAE" w:rsidP="009D1CD6" w:rsidRDefault="00FE3BAE" w14:paraId="751A610C" w14:textId="157C74FA">
            <w:pPr>
              <w:spacing w:after="240"/>
              <w:ind w:left="360" w:hanging="360"/>
              <w:rPr>
                <w:color w:val="000000"/>
              </w:rPr>
            </w:pPr>
            <w:r w:rsidRPr="00536F0C">
              <w:rPr>
                <w:b/>
                <w:color w:val="000000"/>
              </w:rPr>
              <w:t>b.</w:t>
            </w:r>
            <w:r w:rsidR="009D1CD6">
              <w:rPr>
                <w:b/>
                <w:color w:val="000000"/>
              </w:rPr>
              <w:tab/>
            </w:r>
            <w:r w:rsidRPr="00536F0C">
              <w:rPr>
                <w:b/>
                <w:color w:val="000000"/>
              </w:rPr>
              <w:t>Reasonableness of hours claimed:</w:t>
            </w:r>
            <w:r w:rsidRPr="00536F0C" w:rsidR="00E25078">
              <w:rPr>
                <w:color w:val="000000"/>
              </w:rPr>
              <w:t xml:space="preserve"> </w:t>
            </w:r>
          </w:p>
          <w:p w:rsidRPr="00536F0C" w:rsidR="004C7549" w:rsidP="009D1CD6" w:rsidRDefault="00124FA6" w14:paraId="22B8BC08" w14:textId="2216A03A">
            <w:pPr>
              <w:spacing w:after="240"/>
              <w:ind w:firstLine="360"/>
            </w:pPr>
            <w:r w:rsidRPr="00536F0C">
              <w:t>PCF</w:t>
            </w:r>
            <w:r w:rsidR="004E6167">
              <w:t>’</w:t>
            </w:r>
            <w:r w:rsidRPr="00536F0C">
              <w:t xml:space="preserve">s Legal &amp; Executive Director has a background in litigation and public law that allowed her to participate in this proceeding efficiently and effectively; and she sparingly used the expertise of a former Commission </w:t>
            </w:r>
            <w:r w:rsidRPr="00536F0C" w:rsidR="007F497A">
              <w:t>P</w:t>
            </w:r>
            <w:r w:rsidRPr="00536F0C">
              <w:t xml:space="preserve">resident </w:t>
            </w:r>
            <w:r w:rsidRPr="00536F0C" w:rsidR="007F497A">
              <w:t>which further reduced the hours spent in this proceeding</w:t>
            </w:r>
            <w:r w:rsidRPr="00536F0C">
              <w:t xml:space="preserve">.  PCF provided testimony </w:t>
            </w:r>
            <w:r w:rsidRPr="00536F0C" w:rsidR="007F497A">
              <w:t>directly in r</w:t>
            </w:r>
            <w:r w:rsidRPr="00536F0C">
              <w:t>esponse to claims made by</w:t>
            </w:r>
            <w:r w:rsidRPr="00536F0C" w:rsidR="00862928">
              <w:t xml:space="preserve"> utilities</w:t>
            </w:r>
            <w:r w:rsidRPr="00536F0C" w:rsidR="007F497A">
              <w:t xml:space="preserve"> and on the issues in the scoping memo.</w:t>
            </w:r>
            <w:r w:rsidRPr="00536F0C" w:rsidR="00232E06">
              <w:t xml:space="preserve"> PCF focused on the areas where PCF had unique expertise, and did not spend time on issues where other intervenors focused their efforts unless PCF</w:t>
            </w:r>
            <w:r w:rsidR="004E6167">
              <w:t>’</w:t>
            </w:r>
            <w:r w:rsidRPr="00536F0C" w:rsidR="00232E06">
              <w:t>s perspective was important to ensure the Commission had the information it needed for informed decision</w:t>
            </w:r>
            <w:r w:rsidR="00B52830">
              <w:noBreakHyphen/>
            </w:r>
            <w:r w:rsidRPr="00536F0C" w:rsidR="00232E06">
              <w:t>making.</w:t>
            </w:r>
          </w:p>
          <w:p w:rsidRPr="00536F0C" w:rsidR="004C7549" w:rsidP="00284EE1" w:rsidRDefault="009F5C5A" w14:paraId="4EF5EF77" w14:textId="219E1CCB">
            <w:pPr>
              <w:spacing w:after="240"/>
              <w:ind w:firstLine="360"/>
            </w:pPr>
            <w:r w:rsidRPr="00536F0C">
              <w:rPr>
                <w:color w:val="000000"/>
              </w:rPr>
              <w:t xml:space="preserve">PCF engaged with SDG&amp;E and SoCalGas to </w:t>
            </w:r>
            <w:r w:rsidRPr="00536F0C" w:rsidR="00D60A9E">
              <w:rPr>
                <w:color w:val="000000"/>
              </w:rPr>
              <w:t xml:space="preserve">streamline the contested issues and </w:t>
            </w:r>
            <w:r w:rsidRPr="00536F0C">
              <w:rPr>
                <w:color w:val="000000"/>
              </w:rPr>
              <w:t>reduce the time needed to cross</w:t>
            </w:r>
            <w:r w:rsidR="00B52830">
              <w:rPr>
                <w:color w:val="000000"/>
              </w:rPr>
              <w:noBreakHyphen/>
            </w:r>
            <w:r w:rsidRPr="00536F0C">
              <w:rPr>
                <w:color w:val="000000"/>
              </w:rPr>
              <w:t xml:space="preserve">examine witnesses, and entered into stipulations </w:t>
            </w:r>
            <w:r w:rsidRPr="00536F0C" w:rsidR="007F497A">
              <w:rPr>
                <w:color w:val="000000"/>
              </w:rPr>
              <w:t>in which PCF agreed not to cross</w:t>
            </w:r>
            <w:r w:rsidR="00B52830">
              <w:rPr>
                <w:color w:val="000000"/>
              </w:rPr>
              <w:noBreakHyphen/>
            </w:r>
            <w:r w:rsidRPr="00536F0C" w:rsidR="007F497A">
              <w:rPr>
                <w:color w:val="000000"/>
              </w:rPr>
              <w:t>examine multiple witnesses in exchange for a</w:t>
            </w:r>
            <w:r w:rsidRPr="00536F0C" w:rsidR="002A208B">
              <w:rPr>
                <w:color w:val="000000"/>
              </w:rPr>
              <w:t xml:space="preserve">n agreement </w:t>
            </w:r>
            <w:r w:rsidRPr="00536F0C" w:rsidR="007F497A">
              <w:rPr>
                <w:color w:val="000000"/>
              </w:rPr>
              <w:t>o</w:t>
            </w:r>
            <w:r w:rsidRPr="00536F0C" w:rsidR="005158FB">
              <w:rPr>
                <w:color w:val="000000"/>
              </w:rPr>
              <w:t>n</w:t>
            </w:r>
            <w:r w:rsidRPr="00536F0C" w:rsidR="007F497A">
              <w:rPr>
                <w:color w:val="000000"/>
              </w:rPr>
              <w:t xml:space="preserve"> facts.</w:t>
            </w:r>
            <w:r w:rsidRPr="00536F0C">
              <w:rPr>
                <w:color w:val="000000"/>
              </w:rPr>
              <w:t xml:space="preserve"> </w:t>
            </w:r>
            <w:r w:rsidRPr="00536F0C" w:rsidR="00420086">
              <w:rPr>
                <w:color w:val="000000"/>
              </w:rPr>
              <w:t>9/6/</w:t>
            </w:r>
            <w:r w:rsidRPr="00536F0C" w:rsidR="007F497A">
              <w:rPr>
                <w:color w:val="000000"/>
              </w:rPr>
              <w:t>2022 Stipulation Between Southern California Gas Company, San Diego Gas &amp; Electric Company, and The Protect Our Communities Foundation (September 13, 2022),</w:t>
            </w:r>
            <w:r w:rsidR="0015516F">
              <w:rPr>
                <w:color w:val="000000"/>
              </w:rPr>
              <w:t xml:space="preserve"> p. </w:t>
            </w:r>
            <w:r w:rsidRPr="00536F0C" w:rsidR="007F497A">
              <w:rPr>
                <w:color w:val="000000"/>
              </w:rPr>
              <w:t>1</w:t>
            </w:r>
            <w:r w:rsidR="00B52830">
              <w:rPr>
                <w:color w:val="000000"/>
              </w:rPr>
              <w:noBreakHyphen/>
            </w:r>
            <w:r w:rsidRPr="00536F0C" w:rsidR="007F497A">
              <w:rPr>
                <w:color w:val="000000"/>
              </w:rPr>
              <w:t xml:space="preserve">2; </w:t>
            </w:r>
            <w:r w:rsidRPr="00536F0C" w:rsidR="00420086">
              <w:rPr>
                <w:color w:val="000000"/>
              </w:rPr>
              <w:t>9/9/</w:t>
            </w:r>
            <w:r w:rsidRPr="00536F0C" w:rsidR="007F497A">
              <w:rPr>
                <w:color w:val="000000"/>
              </w:rPr>
              <w:t xml:space="preserve">2022 Stipulation Between Southern </w:t>
            </w:r>
            <w:r w:rsidRPr="00536F0C" w:rsidR="007F497A">
              <w:rPr>
                <w:color w:val="000000"/>
              </w:rPr>
              <w:lastRenderedPageBreak/>
              <w:t>California Gas Company, San Diego Gas &amp; Electric Company, and The Protect Our Communities Foundation (September 13, 2022),</w:t>
            </w:r>
            <w:r w:rsidR="0015516F">
              <w:rPr>
                <w:color w:val="000000"/>
              </w:rPr>
              <w:t xml:space="preserve"> p. </w:t>
            </w:r>
            <w:r w:rsidRPr="00536F0C" w:rsidR="007F497A">
              <w:rPr>
                <w:color w:val="000000"/>
              </w:rPr>
              <w:t>1</w:t>
            </w:r>
            <w:r w:rsidR="00B52830">
              <w:rPr>
                <w:color w:val="000000"/>
              </w:rPr>
              <w:noBreakHyphen/>
            </w:r>
            <w:r w:rsidRPr="00536F0C" w:rsidR="007F497A">
              <w:rPr>
                <w:color w:val="000000"/>
              </w:rPr>
              <w:t>2.</w:t>
            </w:r>
          </w:p>
          <w:p w:rsidRPr="00536F0C" w:rsidR="004C7549" w:rsidP="00284EE1" w:rsidRDefault="00124FA6" w14:paraId="570644AD" w14:textId="42531B01">
            <w:pPr>
              <w:spacing w:after="240"/>
              <w:ind w:firstLine="360"/>
            </w:pPr>
            <w:r w:rsidRPr="00536F0C">
              <w:t xml:space="preserve">PCF does </w:t>
            </w:r>
            <w:r w:rsidRPr="00536F0C">
              <w:rPr>
                <w:u w:val="single"/>
              </w:rPr>
              <w:t xml:space="preserve">not </w:t>
            </w:r>
            <w:r w:rsidRPr="00536F0C">
              <w:t xml:space="preserve">claim time spent on any administrative matters, such as time spent filing and serving comments. Nor did PCF claim </w:t>
            </w:r>
            <w:proofErr w:type="spellStart"/>
            <w:r w:rsidRPr="00536F0C">
              <w:t>its</w:t>
            </w:r>
            <w:proofErr w:type="spellEnd"/>
            <w:r w:rsidRPr="00536F0C">
              <w:t xml:space="preserve"> time to prepare, serve, submit, and resubmit exhibits.</w:t>
            </w:r>
            <w:r w:rsidRPr="00536F0C" w:rsidR="00232E06">
              <w:t xml:space="preserve"> </w:t>
            </w:r>
            <w:r w:rsidRPr="00536F0C">
              <w:t>In an additional effort to minimize costs, PCF staff attorney</w:t>
            </w:r>
            <w:r w:rsidRPr="00536F0C" w:rsidR="005041A0">
              <w:t xml:space="preserve"> Andrea White</w:t>
            </w:r>
            <w:r w:rsidRPr="00536F0C">
              <w:t xml:space="preserve">, whose rates are significantly lower than </w:t>
            </w:r>
            <w:r w:rsidR="004E6167">
              <w:t>Ms. </w:t>
            </w:r>
            <w:r w:rsidRPr="00536F0C">
              <w:t>Dickenson</w:t>
            </w:r>
            <w:r w:rsidR="004E6167">
              <w:t>’</w:t>
            </w:r>
            <w:r w:rsidRPr="00536F0C">
              <w:t xml:space="preserve">s, assisted in preparing this request for intervenor compensation. </w:t>
            </w:r>
          </w:p>
          <w:p w:rsidRPr="00536F0C" w:rsidR="00691528" w:rsidP="00284EE1" w:rsidRDefault="00124FA6" w14:paraId="694F0B63" w14:textId="6CA32CA0">
            <w:pPr>
              <w:spacing w:after="240"/>
              <w:ind w:firstLine="360"/>
              <w:rPr>
                <w:color w:val="000000"/>
              </w:rPr>
            </w:pPr>
            <w:r w:rsidRPr="00536F0C">
              <w:t>All of the hours claimed in this request were reasonably necessary to PCF</w:t>
            </w:r>
            <w:r w:rsidR="004E6167">
              <w:t>’</w:t>
            </w:r>
            <w:r w:rsidRPr="00536F0C">
              <w:t xml:space="preserve">s participation towards </w:t>
            </w:r>
            <w:r w:rsidRPr="00536F0C" w:rsidR="005041A0">
              <w:rPr>
                <w:bCs/>
              </w:rPr>
              <w:t>the decisions in this proceeding.</w:t>
            </w:r>
          </w:p>
        </w:tc>
        <w:tc>
          <w:tcPr>
            <w:tcW w:w="2075" w:type="dxa"/>
          </w:tcPr>
          <w:p w:rsidRPr="00536F0C" w:rsidR="00FE3BAE" w:rsidP="008F5F5F" w:rsidRDefault="00047C7A" w14:paraId="1874D625" w14:textId="35EA80DE">
            <w:pPr>
              <w:rPr>
                <w:color w:val="000000"/>
              </w:rPr>
            </w:pPr>
            <w:r>
              <w:rPr>
                <w:color w:val="000000"/>
              </w:rPr>
              <w:lastRenderedPageBreak/>
              <w:t>Noted</w:t>
            </w:r>
          </w:p>
        </w:tc>
      </w:tr>
      <w:tr w:rsidRPr="00536F0C" w:rsidR="00FE3BAE" w:rsidTr="003175F0" w14:paraId="3FD38B74" w14:textId="77777777">
        <w:tc>
          <w:tcPr>
            <w:tcW w:w="7285" w:type="dxa"/>
          </w:tcPr>
          <w:p w:rsidR="00FE3BAE" w:rsidP="00284EE1" w:rsidRDefault="00FE3BAE" w14:paraId="78501013" w14:textId="3BA3A6EA">
            <w:pPr>
              <w:spacing w:after="240"/>
              <w:ind w:left="360" w:hanging="360"/>
              <w:rPr>
                <w:color w:val="000000"/>
              </w:rPr>
            </w:pPr>
            <w:r w:rsidRPr="00536F0C">
              <w:rPr>
                <w:b/>
                <w:color w:val="000000"/>
              </w:rPr>
              <w:t>c.</w:t>
            </w:r>
            <w:r w:rsidR="00284EE1">
              <w:rPr>
                <w:b/>
                <w:color w:val="000000"/>
              </w:rPr>
              <w:tab/>
            </w:r>
            <w:r w:rsidRPr="00536F0C">
              <w:rPr>
                <w:b/>
                <w:color w:val="000000"/>
              </w:rPr>
              <w:t>Allocation of hours by issue:</w:t>
            </w:r>
            <w:r w:rsidRPr="00536F0C" w:rsidR="00E25078">
              <w:rPr>
                <w:color w:val="000000"/>
              </w:rPr>
              <w:t xml:space="preserve"> </w:t>
            </w:r>
          </w:p>
          <w:tbl>
            <w:tblPr>
              <w:tblW w:w="3846" w:type="dxa"/>
              <w:tblInd w:w="360" w:type="dxa"/>
              <w:tblCellMar>
                <w:top w:w="58" w:type="dxa"/>
                <w:bottom w:w="58" w:type="dxa"/>
              </w:tblCellMar>
              <w:tblLook w:val="04A0" w:firstRow="1" w:lastRow="0" w:firstColumn="1" w:lastColumn="0" w:noHBand="0" w:noVBand="1"/>
            </w:tblPr>
            <w:tblGrid>
              <w:gridCol w:w="2406"/>
              <w:gridCol w:w="1440"/>
            </w:tblGrid>
            <w:tr w:rsidRPr="00536F0C" w:rsidR="00387571" w:rsidTr="00284EE1" w14:paraId="5B761D10" w14:textId="77777777">
              <w:tc>
                <w:tcPr>
                  <w:tcW w:w="2406" w:type="dxa"/>
                  <w:tcBorders>
                    <w:top w:val="single" w:color="auto" w:sz="4" w:space="0"/>
                    <w:left w:val="single" w:color="auto" w:sz="4" w:space="0"/>
                    <w:bottom w:val="single" w:color="auto" w:sz="4" w:space="0"/>
                    <w:right w:val="single" w:color="auto" w:sz="4" w:space="0"/>
                  </w:tcBorders>
                </w:tcPr>
                <w:p w:rsidRPr="00536F0C" w:rsidR="00387571" w:rsidP="008F5F5F" w:rsidRDefault="00387571" w14:paraId="3BE1854F" w14:textId="52476CF0">
                  <w:pPr>
                    <w:rPr>
                      <w:b/>
                      <w:bCs/>
                      <w:color w:val="000000"/>
                    </w:rPr>
                  </w:pPr>
                  <w:r w:rsidRPr="00536F0C">
                    <w:rPr>
                      <w:b/>
                      <w:bCs/>
                      <w:color w:val="000000"/>
                    </w:rPr>
                    <w:t>Topic</w:t>
                  </w:r>
                </w:p>
              </w:tc>
              <w:tc>
                <w:tcPr>
                  <w:tcW w:w="1440" w:type="dxa"/>
                  <w:tcBorders>
                    <w:top w:val="single" w:color="auto" w:sz="4" w:space="0"/>
                    <w:left w:val="nil"/>
                    <w:bottom w:val="single" w:color="auto" w:sz="4" w:space="0"/>
                    <w:right w:val="single" w:color="auto" w:sz="4" w:space="0"/>
                  </w:tcBorders>
                </w:tcPr>
                <w:p w:rsidRPr="00536F0C" w:rsidR="00387571" w:rsidP="008F5F5F" w:rsidRDefault="00387571" w14:paraId="55C40163" w14:textId="14BE606A">
                  <w:pPr>
                    <w:rPr>
                      <w:b/>
                      <w:bCs/>
                      <w:color w:val="000000"/>
                    </w:rPr>
                  </w:pPr>
                  <w:r w:rsidRPr="00536F0C">
                    <w:rPr>
                      <w:b/>
                      <w:bCs/>
                      <w:color w:val="000000"/>
                    </w:rPr>
                    <w:t>Percentage</w:t>
                  </w:r>
                </w:p>
              </w:tc>
            </w:tr>
            <w:tr w:rsidRPr="00536F0C" w:rsidR="00386BF3" w:rsidTr="00284EE1" w14:paraId="6F12A02E" w14:textId="77777777">
              <w:tc>
                <w:tcPr>
                  <w:tcW w:w="2406" w:type="dxa"/>
                  <w:tcBorders>
                    <w:top w:val="single" w:color="auto" w:sz="4" w:space="0"/>
                    <w:left w:val="single" w:color="auto" w:sz="4" w:space="0"/>
                    <w:bottom w:val="single" w:color="auto" w:sz="4" w:space="0"/>
                    <w:right w:val="single" w:color="auto" w:sz="4" w:space="0"/>
                  </w:tcBorders>
                  <w:hideMark/>
                </w:tcPr>
                <w:p w:rsidRPr="00536F0C" w:rsidR="00386BF3" w:rsidP="008F5F5F" w:rsidRDefault="00386BF3" w14:paraId="50A9D21F" w14:textId="77777777">
                  <w:pPr>
                    <w:rPr>
                      <w:color w:val="000000"/>
                    </w:rPr>
                  </w:pPr>
                  <w:r w:rsidRPr="00536F0C">
                    <w:rPr>
                      <w:color w:val="000000"/>
                    </w:rPr>
                    <w:t>Comments/Protest</w:t>
                  </w:r>
                </w:p>
              </w:tc>
              <w:tc>
                <w:tcPr>
                  <w:tcW w:w="1440" w:type="dxa"/>
                  <w:tcBorders>
                    <w:top w:val="single" w:color="auto" w:sz="4" w:space="0"/>
                    <w:left w:val="nil"/>
                    <w:bottom w:val="single" w:color="auto" w:sz="4" w:space="0"/>
                    <w:right w:val="single" w:color="auto" w:sz="4" w:space="0"/>
                  </w:tcBorders>
                  <w:hideMark/>
                </w:tcPr>
                <w:p w:rsidRPr="00536F0C" w:rsidR="00386BF3" w:rsidP="008F5F5F" w:rsidRDefault="00575DCB" w14:paraId="1DEED94A" w14:textId="2FCCB865">
                  <w:pPr>
                    <w:rPr>
                      <w:color w:val="000000"/>
                    </w:rPr>
                  </w:pPr>
                  <w:r w:rsidRPr="00536F0C">
                    <w:rPr>
                      <w:color w:val="000000"/>
                    </w:rPr>
                    <w:t>8</w:t>
                  </w:r>
                  <w:r w:rsidRPr="00536F0C" w:rsidR="006B0FE8">
                    <w:rPr>
                      <w:color w:val="000000"/>
                    </w:rPr>
                    <w:t>.1</w:t>
                  </w:r>
                  <w:r w:rsidRPr="00536F0C">
                    <w:rPr>
                      <w:color w:val="000000"/>
                    </w:rPr>
                    <w:t>2</w:t>
                  </w:r>
                  <w:r w:rsidRPr="00536F0C" w:rsidR="00386BF3">
                    <w:rPr>
                      <w:color w:val="000000"/>
                    </w:rPr>
                    <w:t>%</w:t>
                  </w:r>
                </w:p>
              </w:tc>
            </w:tr>
            <w:tr w:rsidRPr="00536F0C" w:rsidR="00386BF3" w:rsidTr="00284EE1" w14:paraId="5B288A7F" w14:textId="77777777">
              <w:tc>
                <w:tcPr>
                  <w:tcW w:w="2406" w:type="dxa"/>
                  <w:tcBorders>
                    <w:top w:val="nil"/>
                    <w:left w:val="single" w:color="auto" w:sz="4" w:space="0"/>
                    <w:bottom w:val="single" w:color="auto" w:sz="4" w:space="0"/>
                    <w:right w:val="single" w:color="auto" w:sz="4" w:space="0"/>
                  </w:tcBorders>
                  <w:hideMark/>
                </w:tcPr>
                <w:p w:rsidRPr="00536F0C" w:rsidR="00386BF3" w:rsidP="008F5F5F" w:rsidRDefault="00386BF3" w14:paraId="3897FCAC" w14:textId="77777777">
                  <w:pPr>
                    <w:rPr>
                      <w:color w:val="000000"/>
                    </w:rPr>
                  </w:pPr>
                  <w:proofErr w:type="spellStart"/>
                  <w:r w:rsidRPr="00536F0C">
                    <w:rPr>
                      <w:color w:val="000000"/>
                    </w:rPr>
                    <w:t>AfR</w:t>
                  </w:r>
                  <w:proofErr w:type="spellEnd"/>
                </w:p>
              </w:tc>
              <w:tc>
                <w:tcPr>
                  <w:tcW w:w="1440" w:type="dxa"/>
                  <w:tcBorders>
                    <w:top w:val="nil"/>
                    <w:left w:val="nil"/>
                    <w:bottom w:val="single" w:color="auto" w:sz="4" w:space="0"/>
                    <w:right w:val="single" w:color="auto" w:sz="4" w:space="0"/>
                  </w:tcBorders>
                  <w:hideMark/>
                </w:tcPr>
                <w:p w:rsidRPr="00536F0C" w:rsidR="00386BF3" w:rsidP="008F5F5F" w:rsidRDefault="006B0FE8" w14:paraId="39C524FB" w14:textId="2F025810">
                  <w:pPr>
                    <w:rPr>
                      <w:color w:val="000000"/>
                    </w:rPr>
                  </w:pPr>
                  <w:r w:rsidRPr="00536F0C">
                    <w:rPr>
                      <w:color w:val="000000"/>
                    </w:rPr>
                    <w:t>2.</w:t>
                  </w:r>
                  <w:r w:rsidRPr="00536F0C" w:rsidR="00575DCB">
                    <w:rPr>
                      <w:color w:val="000000"/>
                    </w:rPr>
                    <w:t>79</w:t>
                  </w:r>
                  <w:r w:rsidRPr="00536F0C" w:rsidR="007E4DE1">
                    <w:rPr>
                      <w:color w:val="000000"/>
                    </w:rPr>
                    <w:t>%</w:t>
                  </w:r>
                </w:p>
              </w:tc>
            </w:tr>
            <w:tr w:rsidRPr="00536F0C" w:rsidR="00386BF3" w:rsidTr="00284EE1" w14:paraId="1170714D" w14:textId="77777777">
              <w:tc>
                <w:tcPr>
                  <w:tcW w:w="2406" w:type="dxa"/>
                  <w:tcBorders>
                    <w:top w:val="nil"/>
                    <w:left w:val="single" w:color="auto" w:sz="4" w:space="0"/>
                    <w:bottom w:val="single" w:color="auto" w:sz="4" w:space="0"/>
                    <w:right w:val="single" w:color="auto" w:sz="4" w:space="0"/>
                  </w:tcBorders>
                  <w:hideMark/>
                </w:tcPr>
                <w:p w:rsidRPr="00536F0C" w:rsidR="00386BF3" w:rsidP="008F5F5F" w:rsidRDefault="00386BF3" w14:paraId="3D5617C2" w14:textId="77777777">
                  <w:pPr>
                    <w:rPr>
                      <w:color w:val="000000"/>
                    </w:rPr>
                  </w:pPr>
                  <w:r w:rsidRPr="00536F0C">
                    <w:rPr>
                      <w:color w:val="000000"/>
                    </w:rPr>
                    <w:t>Briefs</w:t>
                  </w:r>
                </w:p>
              </w:tc>
              <w:tc>
                <w:tcPr>
                  <w:tcW w:w="1440" w:type="dxa"/>
                  <w:tcBorders>
                    <w:top w:val="nil"/>
                    <w:left w:val="nil"/>
                    <w:bottom w:val="single" w:color="auto" w:sz="4" w:space="0"/>
                    <w:right w:val="single" w:color="auto" w:sz="4" w:space="0"/>
                  </w:tcBorders>
                  <w:hideMark/>
                </w:tcPr>
                <w:p w:rsidRPr="00536F0C" w:rsidR="00386BF3" w:rsidP="008F5F5F" w:rsidRDefault="006B0FE8" w14:paraId="2ADA3D5A" w14:textId="7A904C65">
                  <w:pPr>
                    <w:rPr>
                      <w:color w:val="000000"/>
                    </w:rPr>
                  </w:pPr>
                  <w:r w:rsidRPr="00536F0C">
                    <w:rPr>
                      <w:color w:val="000000"/>
                    </w:rPr>
                    <w:t>1</w:t>
                  </w:r>
                  <w:r w:rsidRPr="00536F0C" w:rsidR="00575DCB">
                    <w:rPr>
                      <w:color w:val="000000"/>
                    </w:rPr>
                    <w:t>6</w:t>
                  </w:r>
                  <w:r w:rsidRPr="00536F0C">
                    <w:rPr>
                      <w:color w:val="000000"/>
                    </w:rPr>
                    <w:t>.</w:t>
                  </w:r>
                  <w:r w:rsidRPr="00536F0C" w:rsidR="00575DCB">
                    <w:rPr>
                      <w:color w:val="000000"/>
                    </w:rPr>
                    <w:t>88</w:t>
                  </w:r>
                  <w:r w:rsidRPr="00536F0C" w:rsidR="007E4DE1">
                    <w:rPr>
                      <w:color w:val="000000"/>
                    </w:rPr>
                    <w:t>%</w:t>
                  </w:r>
                </w:p>
              </w:tc>
            </w:tr>
            <w:tr w:rsidRPr="00536F0C" w:rsidR="00386BF3" w:rsidTr="00284EE1" w14:paraId="284A3AC1" w14:textId="77777777">
              <w:tc>
                <w:tcPr>
                  <w:tcW w:w="2406" w:type="dxa"/>
                  <w:tcBorders>
                    <w:top w:val="nil"/>
                    <w:left w:val="single" w:color="auto" w:sz="4" w:space="0"/>
                    <w:bottom w:val="single" w:color="auto" w:sz="4" w:space="0"/>
                    <w:right w:val="single" w:color="auto" w:sz="4" w:space="0"/>
                  </w:tcBorders>
                  <w:hideMark/>
                </w:tcPr>
                <w:p w:rsidRPr="00536F0C" w:rsidR="00386BF3" w:rsidP="008F5F5F" w:rsidRDefault="00386BF3" w14:paraId="21B75504" w14:textId="77777777">
                  <w:pPr>
                    <w:rPr>
                      <w:color w:val="000000"/>
                    </w:rPr>
                  </w:pPr>
                  <w:r w:rsidRPr="00536F0C">
                    <w:rPr>
                      <w:color w:val="000000"/>
                    </w:rPr>
                    <w:t>Discovery</w:t>
                  </w:r>
                </w:p>
              </w:tc>
              <w:tc>
                <w:tcPr>
                  <w:tcW w:w="1440" w:type="dxa"/>
                  <w:tcBorders>
                    <w:top w:val="nil"/>
                    <w:left w:val="nil"/>
                    <w:bottom w:val="single" w:color="auto" w:sz="4" w:space="0"/>
                    <w:right w:val="single" w:color="auto" w:sz="4" w:space="0"/>
                  </w:tcBorders>
                  <w:hideMark/>
                </w:tcPr>
                <w:p w:rsidRPr="00536F0C" w:rsidR="00386BF3" w:rsidP="008F5F5F" w:rsidRDefault="00C74211" w14:paraId="11453D38" w14:textId="30A8EED6">
                  <w:pPr>
                    <w:rPr>
                      <w:color w:val="000000"/>
                    </w:rPr>
                  </w:pPr>
                  <w:r w:rsidRPr="00536F0C">
                    <w:rPr>
                      <w:color w:val="000000"/>
                    </w:rPr>
                    <w:t>3.</w:t>
                  </w:r>
                  <w:r w:rsidRPr="00536F0C" w:rsidR="00575DCB">
                    <w:rPr>
                      <w:color w:val="000000"/>
                    </w:rPr>
                    <w:t>29</w:t>
                  </w:r>
                  <w:r w:rsidRPr="00536F0C">
                    <w:rPr>
                      <w:color w:val="000000"/>
                    </w:rPr>
                    <w:t>%</w:t>
                  </w:r>
                </w:p>
              </w:tc>
            </w:tr>
            <w:tr w:rsidRPr="00536F0C" w:rsidR="00386BF3" w:rsidTr="00284EE1" w14:paraId="5C352F47" w14:textId="77777777">
              <w:tc>
                <w:tcPr>
                  <w:tcW w:w="2406" w:type="dxa"/>
                  <w:tcBorders>
                    <w:top w:val="nil"/>
                    <w:left w:val="single" w:color="auto" w:sz="4" w:space="0"/>
                    <w:bottom w:val="single" w:color="auto" w:sz="4" w:space="0"/>
                    <w:right w:val="single" w:color="auto" w:sz="4" w:space="0"/>
                  </w:tcBorders>
                  <w:hideMark/>
                </w:tcPr>
                <w:p w:rsidRPr="00536F0C" w:rsidR="00386BF3" w:rsidP="008F5F5F" w:rsidRDefault="00386BF3" w14:paraId="42BCB470" w14:textId="77777777">
                  <w:pPr>
                    <w:rPr>
                      <w:color w:val="000000"/>
                    </w:rPr>
                  </w:pPr>
                  <w:r w:rsidRPr="00536F0C">
                    <w:rPr>
                      <w:color w:val="000000"/>
                    </w:rPr>
                    <w:t>Testimony</w:t>
                  </w:r>
                </w:p>
              </w:tc>
              <w:tc>
                <w:tcPr>
                  <w:tcW w:w="1440" w:type="dxa"/>
                  <w:tcBorders>
                    <w:top w:val="nil"/>
                    <w:left w:val="nil"/>
                    <w:bottom w:val="single" w:color="auto" w:sz="4" w:space="0"/>
                    <w:right w:val="single" w:color="auto" w:sz="4" w:space="0"/>
                  </w:tcBorders>
                  <w:hideMark/>
                </w:tcPr>
                <w:p w:rsidRPr="00536F0C" w:rsidR="00386BF3" w:rsidP="008F5F5F" w:rsidRDefault="00C74211" w14:paraId="5C62FA9D" w14:textId="27E2EB8A">
                  <w:pPr>
                    <w:rPr>
                      <w:color w:val="000000"/>
                    </w:rPr>
                  </w:pPr>
                  <w:r w:rsidRPr="00536F0C">
                    <w:rPr>
                      <w:color w:val="000000"/>
                    </w:rPr>
                    <w:t>4</w:t>
                  </w:r>
                  <w:r w:rsidRPr="00536F0C" w:rsidR="00EB5FB3">
                    <w:rPr>
                      <w:color w:val="000000"/>
                    </w:rPr>
                    <w:t>8</w:t>
                  </w:r>
                  <w:r w:rsidRPr="00536F0C">
                    <w:rPr>
                      <w:color w:val="000000"/>
                    </w:rPr>
                    <w:t>.</w:t>
                  </w:r>
                  <w:r w:rsidRPr="00536F0C" w:rsidR="00EB5FB3">
                    <w:rPr>
                      <w:color w:val="000000"/>
                    </w:rPr>
                    <w:t>08</w:t>
                  </w:r>
                  <w:r w:rsidRPr="00536F0C" w:rsidR="007E4DE1">
                    <w:rPr>
                      <w:color w:val="000000"/>
                    </w:rPr>
                    <w:t>%</w:t>
                  </w:r>
                </w:p>
              </w:tc>
            </w:tr>
            <w:tr w:rsidRPr="00536F0C" w:rsidR="00386BF3" w:rsidTr="00284EE1" w14:paraId="03473052" w14:textId="77777777">
              <w:tc>
                <w:tcPr>
                  <w:tcW w:w="2406" w:type="dxa"/>
                  <w:tcBorders>
                    <w:top w:val="nil"/>
                    <w:left w:val="single" w:color="auto" w:sz="4" w:space="0"/>
                    <w:bottom w:val="single" w:color="auto" w:sz="4" w:space="0"/>
                    <w:right w:val="single" w:color="auto" w:sz="4" w:space="0"/>
                  </w:tcBorders>
                  <w:hideMark/>
                </w:tcPr>
                <w:p w:rsidRPr="00536F0C" w:rsidR="00386BF3" w:rsidP="008F5F5F" w:rsidRDefault="00386BF3" w14:paraId="7F639340" w14:textId="0F944A02">
                  <w:pPr>
                    <w:rPr>
                      <w:color w:val="000000"/>
                    </w:rPr>
                  </w:pPr>
                  <w:r w:rsidRPr="00536F0C">
                    <w:rPr>
                      <w:color w:val="000000"/>
                    </w:rPr>
                    <w:t>Evidentiary hearing</w:t>
                  </w:r>
                </w:p>
              </w:tc>
              <w:tc>
                <w:tcPr>
                  <w:tcW w:w="1440" w:type="dxa"/>
                  <w:tcBorders>
                    <w:top w:val="nil"/>
                    <w:left w:val="nil"/>
                    <w:bottom w:val="single" w:color="auto" w:sz="4" w:space="0"/>
                    <w:right w:val="single" w:color="auto" w:sz="4" w:space="0"/>
                  </w:tcBorders>
                  <w:hideMark/>
                </w:tcPr>
                <w:p w:rsidRPr="00536F0C" w:rsidR="00386BF3" w:rsidP="008F5F5F" w:rsidRDefault="00C74211" w14:paraId="2A150400" w14:textId="35BA5B20">
                  <w:pPr>
                    <w:rPr>
                      <w:color w:val="000000"/>
                    </w:rPr>
                  </w:pPr>
                  <w:r w:rsidRPr="00536F0C">
                    <w:rPr>
                      <w:color w:val="000000"/>
                    </w:rPr>
                    <w:t>15.</w:t>
                  </w:r>
                  <w:r w:rsidRPr="00536F0C" w:rsidR="00EB5FB3">
                    <w:rPr>
                      <w:color w:val="000000"/>
                    </w:rPr>
                    <w:t>06</w:t>
                  </w:r>
                  <w:r w:rsidRPr="00536F0C" w:rsidR="007E4DE1">
                    <w:rPr>
                      <w:color w:val="000000"/>
                    </w:rPr>
                    <w:t>%</w:t>
                  </w:r>
                </w:p>
              </w:tc>
            </w:tr>
            <w:tr w:rsidRPr="00536F0C" w:rsidR="00386BF3" w:rsidTr="00284EE1" w14:paraId="44235FEA" w14:textId="77777777">
              <w:tc>
                <w:tcPr>
                  <w:tcW w:w="2406" w:type="dxa"/>
                  <w:tcBorders>
                    <w:top w:val="nil"/>
                    <w:left w:val="single" w:color="auto" w:sz="4" w:space="0"/>
                    <w:bottom w:val="single" w:color="auto" w:sz="4" w:space="0"/>
                    <w:right w:val="single" w:color="auto" w:sz="4" w:space="0"/>
                  </w:tcBorders>
                  <w:hideMark/>
                </w:tcPr>
                <w:p w:rsidRPr="00536F0C" w:rsidR="00386BF3" w:rsidP="008F5F5F" w:rsidRDefault="00386BF3" w14:paraId="5D1575BB" w14:textId="77777777">
                  <w:pPr>
                    <w:rPr>
                      <w:color w:val="000000"/>
                    </w:rPr>
                  </w:pPr>
                  <w:r w:rsidRPr="00536F0C">
                    <w:rPr>
                      <w:color w:val="000000"/>
                    </w:rPr>
                    <w:t>Oral argument</w:t>
                  </w:r>
                </w:p>
              </w:tc>
              <w:tc>
                <w:tcPr>
                  <w:tcW w:w="1440" w:type="dxa"/>
                  <w:tcBorders>
                    <w:top w:val="nil"/>
                    <w:left w:val="nil"/>
                    <w:bottom w:val="single" w:color="auto" w:sz="4" w:space="0"/>
                    <w:right w:val="single" w:color="auto" w:sz="4" w:space="0"/>
                  </w:tcBorders>
                  <w:hideMark/>
                </w:tcPr>
                <w:p w:rsidRPr="00536F0C" w:rsidR="00386BF3" w:rsidP="008F5F5F" w:rsidRDefault="00C74211" w14:paraId="1B526CC4" w14:textId="70CC0D44">
                  <w:pPr>
                    <w:rPr>
                      <w:color w:val="000000"/>
                    </w:rPr>
                  </w:pPr>
                  <w:r w:rsidRPr="00536F0C">
                    <w:rPr>
                      <w:color w:val="000000"/>
                    </w:rPr>
                    <w:t>0.7</w:t>
                  </w:r>
                  <w:r w:rsidRPr="00536F0C" w:rsidR="00EB5FB3">
                    <w:rPr>
                      <w:color w:val="000000"/>
                    </w:rPr>
                    <w:t>8</w:t>
                  </w:r>
                  <w:r w:rsidRPr="00536F0C" w:rsidR="007E4DE1">
                    <w:rPr>
                      <w:color w:val="000000"/>
                    </w:rPr>
                    <w:t>%</w:t>
                  </w:r>
                </w:p>
              </w:tc>
            </w:tr>
            <w:tr w:rsidRPr="00536F0C" w:rsidR="00386BF3" w:rsidTr="00284EE1" w14:paraId="384FC3A3" w14:textId="77777777">
              <w:tc>
                <w:tcPr>
                  <w:tcW w:w="2406" w:type="dxa"/>
                  <w:tcBorders>
                    <w:top w:val="nil"/>
                    <w:left w:val="single" w:color="auto" w:sz="4" w:space="0"/>
                    <w:bottom w:val="single" w:color="auto" w:sz="4" w:space="0"/>
                    <w:right w:val="single" w:color="auto" w:sz="4" w:space="0"/>
                  </w:tcBorders>
                  <w:hideMark/>
                </w:tcPr>
                <w:p w:rsidRPr="00536F0C" w:rsidR="00386BF3" w:rsidP="008F5F5F" w:rsidRDefault="00386BF3" w14:paraId="1C235D24" w14:textId="77777777">
                  <w:pPr>
                    <w:rPr>
                      <w:color w:val="000000"/>
                    </w:rPr>
                  </w:pPr>
                  <w:r w:rsidRPr="00536F0C">
                    <w:rPr>
                      <w:color w:val="000000"/>
                    </w:rPr>
                    <w:t>General participation</w:t>
                  </w:r>
                </w:p>
              </w:tc>
              <w:tc>
                <w:tcPr>
                  <w:tcW w:w="1440" w:type="dxa"/>
                  <w:tcBorders>
                    <w:top w:val="nil"/>
                    <w:left w:val="nil"/>
                    <w:bottom w:val="single" w:color="auto" w:sz="4" w:space="0"/>
                    <w:right w:val="single" w:color="auto" w:sz="4" w:space="0"/>
                  </w:tcBorders>
                  <w:hideMark/>
                </w:tcPr>
                <w:p w:rsidRPr="00536F0C" w:rsidR="00386BF3" w:rsidP="008F5F5F" w:rsidRDefault="00EB5FB3" w14:paraId="13B8EC59" w14:textId="0B1A6CCA">
                  <w:pPr>
                    <w:rPr>
                      <w:color w:val="000000"/>
                    </w:rPr>
                  </w:pPr>
                  <w:r w:rsidRPr="00536F0C">
                    <w:rPr>
                      <w:color w:val="000000"/>
                    </w:rPr>
                    <w:t>5</w:t>
                  </w:r>
                  <w:r w:rsidRPr="00536F0C" w:rsidR="00C74211">
                    <w:rPr>
                      <w:color w:val="000000"/>
                    </w:rPr>
                    <w:t>.</w:t>
                  </w:r>
                  <w:r w:rsidRPr="00536F0C">
                    <w:rPr>
                      <w:color w:val="000000"/>
                    </w:rPr>
                    <w:t>01</w:t>
                  </w:r>
                  <w:r w:rsidRPr="00536F0C" w:rsidR="007E4DE1">
                    <w:rPr>
                      <w:color w:val="000000"/>
                    </w:rPr>
                    <w:t>%</w:t>
                  </w:r>
                </w:p>
              </w:tc>
            </w:tr>
            <w:tr w:rsidRPr="00536F0C" w:rsidR="00386BF3" w:rsidTr="00284EE1" w14:paraId="203DBAC4" w14:textId="77777777">
              <w:tc>
                <w:tcPr>
                  <w:tcW w:w="2406" w:type="dxa"/>
                  <w:tcBorders>
                    <w:top w:val="nil"/>
                    <w:left w:val="single" w:color="auto" w:sz="4" w:space="0"/>
                    <w:bottom w:val="single" w:color="auto" w:sz="4" w:space="0"/>
                    <w:right w:val="single" w:color="auto" w:sz="4" w:space="0"/>
                  </w:tcBorders>
                  <w:hideMark/>
                </w:tcPr>
                <w:p w:rsidRPr="00536F0C" w:rsidR="00386BF3" w:rsidP="008F5F5F" w:rsidRDefault="00386BF3" w14:paraId="67110B9F" w14:textId="77777777">
                  <w:pPr>
                    <w:rPr>
                      <w:color w:val="000000"/>
                    </w:rPr>
                  </w:pPr>
                  <w:r w:rsidRPr="00536F0C">
                    <w:rPr>
                      <w:color w:val="000000"/>
                    </w:rPr>
                    <w:t>Total</w:t>
                  </w:r>
                </w:p>
              </w:tc>
              <w:tc>
                <w:tcPr>
                  <w:tcW w:w="1440" w:type="dxa"/>
                  <w:tcBorders>
                    <w:top w:val="nil"/>
                    <w:left w:val="nil"/>
                    <w:bottom w:val="single" w:color="auto" w:sz="4" w:space="0"/>
                    <w:right w:val="single" w:color="auto" w:sz="4" w:space="0"/>
                  </w:tcBorders>
                  <w:hideMark/>
                </w:tcPr>
                <w:p w:rsidRPr="00536F0C" w:rsidR="00386BF3" w:rsidP="008F5F5F" w:rsidRDefault="00386BF3" w14:paraId="13F7B093" w14:textId="77777777">
                  <w:pPr>
                    <w:rPr>
                      <w:color w:val="000000"/>
                    </w:rPr>
                  </w:pPr>
                  <w:r w:rsidRPr="00536F0C">
                    <w:rPr>
                      <w:color w:val="000000"/>
                    </w:rPr>
                    <w:t>100.00%</w:t>
                  </w:r>
                </w:p>
              </w:tc>
            </w:tr>
          </w:tbl>
          <w:p w:rsidRPr="00536F0C" w:rsidR="00691528" w:rsidP="008F5F5F" w:rsidRDefault="00691528" w14:paraId="3285939A" w14:textId="77777777">
            <w:pPr>
              <w:rPr>
                <w:color w:val="000000"/>
              </w:rPr>
            </w:pPr>
          </w:p>
        </w:tc>
        <w:tc>
          <w:tcPr>
            <w:tcW w:w="2075" w:type="dxa"/>
          </w:tcPr>
          <w:p w:rsidRPr="00536F0C" w:rsidR="00FE3BAE" w:rsidP="008F5F5F" w:rsidRDefault="00110C86" w14:paraId="497C4799" w14:textId="4A7405A0">
            <w:pPr>
              <w:rPr>
                <w:color w:val="000000"/>
              </w:rPr>
            </w:pPr>
            <w:r>
              <w:rPr>
                <w:color w:val="000000"/>
              </w:rPr>
              <w:t>Noted</w:t>
            </w:r>
          </w:p>
        </w:tc>
      </w:tr>
    </w:tbl>
    <w:p w:rsidRPr="00536F0C" w:rsidR="00A92D0B" w:rsidP="008F5F5F" w:rsidRDefault="00A92D0B" w14:paraId="710BC7D6" w14:textId="77777777">
      <w:pPr>
        <w:keepNext/>
        <w:numPr>
          <w:ilvl w:val="0"/>
          <w:numId w:val="29"/>
        </w:numPr>
        <w:spacing w:before="240" w:after="240"/>
        <w:rPr>
          <w:b/>
          <w:color w:val="000000"/>
        </w:rPr>
      </w:pPr>
      <w:r w:rsidRPr="00536F0C">
        <w:rPr>
          <w:b/>
          <w:color w:val="000000"/>
        </w:rPr>
        <w:t>Specific Claim</w:t>
      </w:r>
      <w:r w:rsidRPr="00536F0C" w:rsidR="00C02649">
        <w:rPr>
          <w:b/>
          <w:color w:val="000000"/>
        </w:rPr>
        <w:t>:</w:t>
      </w:r>
      <w:r w:rsidRPr="00536F0C" w:rsidR="00D075B1">
        <w:rPr>
          <w:b/>
          <w:color w:val="000000"/>
        </w:rPr>
        <w:t>*</w:t>
      </w:r>
    </w:p>
    <w:tbl>
      <w:tblPr>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885"/>
        <w:gridCol w:w="668"/>
        <w:gridCol w:w="52"/>
        <w:gridCol w:w="810"/>
        <w:gridCol w:w="946"/>
        <w:gridCol w:w="224"/>
        <w:gridCol w:w="1620"/>
        <w:gridCol w:w="318"/>
        <w:gridCol w:w="942"/>
        <w:gridCol w:w="810"/>
        <w:gridCol w:w="1080"/>
        <w:gridCol w:w="1200"/>
      </w:tblGrid>
      <w:tr w:rsidRPr="00A11B95" w:rsidR="00A92D0B" w:rsidTr="001038CB" w14:paraId="780664A2" w14:textId="77777777">
        <w:trPr>
          <w:cantSplit/>
          <w:tblHeader/>
          <w:jc w:val="center"/>
        </w:trPr>
        <w:tc>
          <w:tcPr>
            <w:tcW w:w="7465" w:type="dxa"/>
            <w:gridSpan w:val="9"/>
            <w:tcBorders>
              <w:bottom w:val="single" w:color="auto" w:sz="4" w:space="0"/>
              <w:right w:val="single" w:color="auto" w:sz="24" w:space="0"/>
            </w:tcBorders>
            <w:shd w:val="clear" w:color="auto" w:fill="D9D9D9" w:themeFill="background1" w:themeFillShade="D9"/>
            <w:vAlign w:val="bottom"/>
          </w:tcPr>
          <w:p w:rsidRPr="00A11B95" w:rsidR="00A92D0B" w:rsidP="0034746C" w:rsidRDefault="00A92D0B" w14:paraId="6BFE54DA" w14:textId="77777777">
            <w:pPr>
              <w:keepNext/>
              <w:jc w:val="center"/>
              <w:rPr>
                <w:b/>
                <w:smallCaps/>
                <w:color w:val="000000"/>
                <w:sz w:val="20"/>
              </w:rPr>
            </w:pPr>
            <w:r w:rsidRPr="00A11B95">
              <w:rPr>
                <w:b/>
                <w:smallCaps/>
                <w:color w:val="000000"/>
                <w:sz w:val="20"/>
              </w:rPr>
              <w:t>Claimed</w:t>
            </w:r>
          </w:p>
        </w:tc>
        <w:tc>
          <w:tcPr>
            <w:tcW w:w="3090" w:type="dxa"/>
            <w:gridSpan w:val="3"/>
            <w:tcBorders>
              <w:left w:val="single" w:color="auto" w:sz="24" w:space="0"/>
              <w:bottom w:val="single" w:color="auto" w:sz="4" w:space="0"/>
            </w:tcBorders>
            <w:shd w:val="clear" w:color="auto" w:fill="D9D9D9" w:themeFill="background1" w:themeFillShade="D9"/>
            <w:vAlign w:val="bottom"/>
          </w:tcPr>
          <w:p w:rsidRPr="00A11B95" w:rsidR="00A92D0B" w:rsidP="0034746C" w:rsidRDefault="00A92D0B" w14:paraId="170A0FA1" w14:textId="77777777">
            <w:pPr>
              <w:keepNext/>
              <w:jc w:val="center"/>
              <w:rPr>
                <w:b/>
                <w:smallCaps/>
                <w:color w:val="000000"/>
                <w:sz w:val="20"/>
              </w:rPr>
            </w:pPr>
            <w:r w:rsidRPr="00A11B95">
              <w:rPr>
                <w:b/>
                <w:smallCaps/>
                <w:color w:val="000000"/>
                <w:sz w:val="20"/>
              </w:rPr>
              <w:t>CPUC Award</w:t>
            </w:r>
          </w:p>
        </w:tc>
      </w:tr>
      <w:tr w:rsidRPr="00A11B95" w:rsidR="00A92D0B" w:rsidTr="004A665F" w14:paraId="0F5B6CAA"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A11B95" w:rsidR="00A92D0B" w:rsidP="0034746C" w:rsidRDefault="00A92D0B" w14:paraId="284F9031" w14:textId="77777777">
            <w:pPr>
              <w:keepNext/>
              <w:jc w:val="center"/>
              <w:rPr>
                <w:b/>
                <w:sz w:val="20"/>
              </w:rPr>
            </w:pPr>
            <w:r w:rsidRPr="00A11B95">
              <w:rPr>
                <w:b/>
                <w:sz w:val="20"/>
              </w:rPr>
              <w:t>ATTORNEY, EXPERT, AND ADVOCATE FEES</w:t>
            </w:r>
          </w:p>
        </w:tc>
      </w:tr>
      <w:tr w:rsidRPr="00A11B95" w:rsidR="00A11B95" w:rsidTr="001038CB" w14:paraId="5A70C962" w14:textId="77777777">
        <w:trPr>
          <w:cantSplit/>
          <w:jc w:val="center"/>
        </w:trPr>
        <w:tc>
          <w:tcPr>
            <w:tcW w:w="1885" w:type="dxa"/>
            <w:tcBorders>
              <w:top w:val="single" w:color="auto" w:sz="4" w:space="0"/>
              <w:bottom w:val="single" w:color="auto" w:sz="4" w:space="0"/>
            </w:tcBorders>
            <w:vAlign w:val="bottom"/>
          </w:tcPr>
          <w:p w:rsidRPr="00A11B95" w:rsidR="00A92D0B" w:rsidP="0034746C" w:rsidRDefault="00A92D0B" w14:paraId="41646676" w14:textId="77777777">
            <w:pPr>
              <w:keepNext/>
              <w:jc w:val="center"/>
              <w:rPr>
                <w:b/>
                <w:color w:val="000000"/>
                <w:sz w:val="20"/>
              </w:rPr>
            </w:pPr>
            <w:r w:rsidRPr="00A11B95">
              <w:rPr>
                <w:b/>
                <w:color w:val="000000"/>
                <w:sz w:val="20"/>
              </w:rPr>
              <w:t>Item</w:t>
            </w:r>
          </w:p>
        </w:tc>
        <w:tc>
          <w:tcPr>
            <w:tcW w:w="720" w:type="dxa"/>
            <w:gridSpan w:val="2"/>
            <w:tcBorders>
              <w:top w:val="single" w:color="auto" w:sz="4" w:space="0"/>
              <w:bottom w:val="single" w:color="auto" w:sz="4" w:space="0"/>
            </w:tcBorders>
            <w:vAlign w:val="bottom"/>
          </w:tcPr>
          <w:p w:rsidRPr="00A11B95" w:rsidR="00A92D0B" w:rsidP="0034746C" w:rsidRDefault="00A92D0B" w14:paraId="43BB9941" w14:textId="77777777">
            <w:pPr>
              <w:keepNext/>
              <w:jc w:val="center"/>
              <w:rPr>
                <w:b/>
                <w:color w:val="000000"/>
                <w:sz w:val="20"/>
              </w:rPr>
            </w:pPr>
            <w:r w:rsidRPr="00A11B95">
              <w:rPr>
                <w:b/>
                <w:color w:val="000000"/>
                <w:sz w:val="20"/>
              </w:rPr>
              <w:t>Year</w:t>
            </w:r>
          </w:p>
        </w:tc>
        <w:tc>
          <w:tcPr>
            <w:tcW w:w="810" w:type="dxa"/>
            <w:tcBorders>
              <w:top w:val="single" w:color="auto" w:sz="4" w:space="0"/>
              <w:bottom w:val="single" w:color="auto" w:sz="4" w:space="0"/>
            </w:tcBorders>
            <w:vAlign w:val="bottom"/>
          </w:tcPr>
          <w:p w:rsidRPr="00A11B95" w:rsidR="00A92D0B" w:rsidP="0034746C" w:rsidRDefault="00A92D0B" w14:paraId="0EF32B08" w14:textId="77777777">
            <w:pPr>
              <w:keepNext/>
              <w:jc w:val="center"/>
              <w:rPr>
                <w:b/>
                <w:color w:val="000000"/>
                <w:sz w:val="20"/>
              </w:rPr>
            </w:pPr>
            <w:r w:rsidRPr="00A11B95">
              <w:rPr>
                <w:b/>
                <w:color w:val="000000"/>
                <w:sz w:val="20"/>
              </w:rPr>
              <w:t>Hours</w:t>
            </w:r>
          </w:p>
        </w:tc>
        <w:tc>
          <w:tcPr>
            <w:tcW w:w="1170" w:type="dxa"/>
            <w:gridSpan w:val="2"/>
            <w:tcBorders>
              <w:top w:val="single" w:color="auto" w:sz="4" w:space="0"/>
              <w:bottom w:val="single" w:color="auto" w:sz="4" w:space="0"/>
            </w:tcBorders>
            <w:vAlign w:val="bottom"/>
          </w:tcPr>
          <w:p w:rsidRPr="00A11B95" w:rsidR="00A92D0B" w:rsidP="0034746C" w:rsidRDefault="00A92D0B" w14:paraId="21C69246" w14:textId="77777777">
            <w:pPr>
              <w:keepNext/>
              <w:jc w:val="center"/>
              <w:rPr>
                <w:b/>
                <w:color w:val="000000"/>
                <w:sz w:val="20"/>
              </w:rPr>
            </w:pPr>
            <w:r w:rsidRPr="00A11B95">
              <w:rPr>
                <w:b/>
                <w:color w:val="000000"/>
                <w:sz w:val="20"/>
              </w:rPr>
              <w:t>Rate</w:t>
            </w:r>
            <w:r w:rsidRPr="00A11B95" w:rsidR="00E3786F">
              <w:rPr>
                <w:b/>
                <w:color w:val="000000"/>
                <w:sz w:val="20"/>
              </w:rPr>
              <w:t xml:space="preserve"> $</w:t>
            </w:r>
          </w:p>
        </w:tc>
        <w:tc>
          <w:tcPr>
            <w:tcW w:w="1620" w:type="dxa"/>
            <w:tcBorders>
              <w:top w:val="single" w:color="auto" w:sz="4" w:space="0"/>
              <w:bottom w:val="single" w:color="auto" w:sz="4" w:space="0"/>
              <w:right w:val="single" w:color="auto" w:sz="4" w:space="0"/>
            </w:tcBorders>
            <w:vAlign w:val="bottom"/>
          </w:tcPr>
          <w:p w:rsidRPr="00A11B95" w:rsidR="00A92D0B" w:rsidP="0034746C" w:rsidRDefault="00A92D0B" w14:paraId="59E63C07" w14:textId="77777777">
            <w:pPr>
              <w:keepNext/>
              <w:jc w:val="center"/>
              <w:rPr>
                <w:b/>
                <w:color w:val="000000"/>
                <w:sz w:val="20"/>
              </w:rPr>
            </w:pPr>
            <w:r w:rsidRPr="00A11B95">
              <w:rPr>
                <w:b/>
                <w:color w:val="000000"/>
                <w:sz w:val="20"/>
              </w:rPr>
              <w:t>Basis for Rate*</w:t>
            </w:r>
          </w:p>
        </w:tc>
        <w:tc>
          <w:tcPr>
            <w:tcW w:w="1260" w:type="dxa"/>
            <w:gridSpan w:val="2"/>
            <w:tcBorders>
              <w:top w:val="single" w:color="auto" w:sz="4" w:space="0"/>
              <w:left w:val="single" w:color="auto" w:sz="4" w:space="0"/>
              <w:bottom w:val="single" w:color="auto" w:sz="4" w:space="0"/>
              <w:right w:val="single" w:color="auto" w:sz="24" w:space="0"/>
            </w:tcBorders>
            <w:vAlign w:val="bottom"/>
          </w:tcPr>
          <w:p w:rsidRPr="00A11B95" w:rsidR="00A92D0B" w:rsidP="0034746C" w:rsidRDefault="00A92D0B" w14:paraId="7099C603" w14:textId="77777777">
            <w:pPr>
              <w:keepNext/>
              <w:jc w:val="center"/>
              <w:rPr>
                <w:b/>
                <w:color w:val="000000"/>
                <w:sz w:val="20"/>
              </w:rPr>
            </w:pPr>
            <w:r w:rsidRPr="00A11B95">
              <w:rPr>
                <w:b/>
                <w:color w:val="000000"/>
                <w:sz w:val="20"/>
              </w:rPr>
              <w:t>Total $</w:t>
            </w:r>
          </w:p>
        </w:tc>
        <w:tc>
          <w:tcPr>
            <w:tcW w:w="810" w:type="dxa"/>
            <w:tcBorders>
              <w:top w:val="single" w:color="auto" w:sz="4" w:space="0"/>
              <w:left w:val="single" w:color="auto" w:sz="4" w:space="0"/>
            </w:tcBorders>
            <w:vAlign w:val="bottom"/>
          </w:tcPr>
          <w:p w:rsidRPr="00A11B95" w:rsidR="00A92D0B" w:rsidP="0034746C" w:rsidRDefault="00A92D0B" w14:paraId="564E4964" w14:textId="77777777">
            <w:pPr>
              <w:keepNext/>
              <w:jc w:val="center"/>
              <w:rPr>
                <w:b/>
                <w:color w:val="000000"/>
                <w:sz w:val="20"/>
              </w:rPr>
            </w:pPr>
            <w:r w:rsidRPr="00A11B95">
              <w:rPr>
                <w:b/>
                <w:color w:val="000000"/>
                <w:sz w:val="20"/>
              </w:rPr>
              <w:t>Hours</w:t>
            </w:r>
          </w:p>
        </w:tc>
        <w:tc>
          <w:tcPr>
            <w:tcW w:w="1080" w:type="dxa"/>
            <w:tcBorders>
              <w:top w:val="single" w:color="auto" w:sz="4" w:space="0"/>
            </w:tcBorders>
            <w:vAlign w:val="bottom"/>
          </w:tcPr>
          <w:p w:rsidRPr="00A11B95" w:rsidR="00A92D0B" w:rsidP="0034746C" w:rsidRDefault="00A92D0B" w14:paraId="1462552D" w14:textId="77777777">
            <w:pPr>
              <w:keepNext/>
              <w:jc w:val="center"/>
              <w:rPr>
                <w:b/>
                <w:color w:val="000000"/>
                <w:sz w:val="20"/>
              </w:rPr>
            </w:pPr>
            <w:r w:rsidRPr="00A11B95">
              <w:rPr>
                <w:b/>
                <w:color w:val="000000"/>
                <w:sz w:val="20"/>
              </w:rPr>
              <w:t>Rate</w:t>
            </w:r>
            <w:r w:rsidRPr="00A11B95" w:rsidR="00E3786F">
              <w:rPr>
                <w:b/>
                <w:color w:val="000000"/>
                <w:sz w:val="20"/>
              </w:rPr>
              <w:t xml:space="preserve"> $</w:t>
            </w:r>
          </w:p>
        </w:tc>
        <w:tc>
          <w:tcPr>
            <w:tcW w:w="1200" w:type="dxa"/>
            <w:tcBorders>
              <w:top w:val="single" w:color="auto" w:sz="4" w:space="0"/>
            </w:tcBorders>
            <w:vAlign w:val="bottom"/>
          </w:tcPr>
          <w:p w:rsidRPr="00A11B95" w:rsidR="00A92D0B" w:rsidP="0034746C" w:rsidRDefault="00A92D0B" w14:paraId="1B6A5CA4" w14:textId="77777777">
            <w:pPr>
              <w:keepNext/>
              <w:jc w:val="center"/>
              <w:rPr>
                <w:b/>
                <w:color w:val="000000"/>
                <w:sz w:val="20"/>
              </w:rPr>
            </w:pPr>
            <w:r w:rsidRPr="00A11B95">
              <w:rPr>
                <w:b/>
                <w:color w:val="000000"/>
                <w:sz w:val="20"/>
              </w:rPr>
              <w:t>Total $</w:t>
            </w:r>
          </w:p>
        </w:tc>
      </w:tr>
      <w:tr w:rsidRPr="00A11B95" w:rsidR="00A11B95" w:rsidTr="001038CB" w14:paraId="62E8A168" w14:textId="77777777">
        <w:trPr>
          <w:cantSplit/>
          <w:jc w:val="center"/>
        </w:trPr>
        <w:tc>
          <w:tcPr>
            <w:tcW w:w="1885" w:type="dxa"/>
          </w:tcPr>
          <w:p w:rsidR="001038CB" w:rsidP="0034746C" w:rsidRDefault="003F5687" w14:paraId="24DF40C2" w14:textId="77777777">
            <w:pPr>
              <w:rPr>
                <w:color w:val="000000"/>
                <w:sz w:val="20"/>
              </w:rPr>
            </w:pPr>
            <w:r w:rsidRPr="00A11B95">
              <w:rPr>
                <w:color w:val="000000"/>
                <w:sz w:val="20"/>
              </w:rPr>
              <w:t>Malinda Dickenson</w:t>
            </w:r>
            <w:r w:rsidRPr="00A11B95" w:rsidR="004529CC">
              <w:rPr>
                <w:color w:val="000000"/>
                <w:sz w:val="20"/>
              </w:rPr>
              <w:t xml:space="preserve"> </w:t>
            </w:r>
          </w:p>
          <w:p w:rsidRPr="00A11B95" w:rsidR="00A92D0B" w:rsidP="0034746C" w:rsidRDefault="004529CC" w14:paraId="33EA8B38" w14:textId="1B68F72D">
            <w:pPr>
              <w:rPr>
                <w:color w:val="000000"/>
                <w:sz w:val="20"/>
              </w:rPr>
            </w:pPr>
            <w:r w:rsidRPr="00A11B95">
              <w:rPr>
                <w:color w:val="000000"/>
                <w:sz w:val="20"/>
              </w:rPr>
              <w:t>[Legal Director</w:t>
            </w:r>
            <w:r w:rsidRPr="00A11B95" w:rsidR="00E434E5">
              <w:rPr>
                <w:color w:val="000000"/>
                <w:sz w:val="20"/>
              </w:rPr>
              <w:t>]</w:t>
            </w:r>
          </w:p>
        </w:tc>
        <w:tc>
          <w:tcPr>
            <w:tcW w:w="720" w:type="dxa"/>
            <w:gridSpan w:val="2"/>
          </w:tcPr>
          <w:p w:rsidRPr="00A11B95" w:rsidR="00A92D0B" w:rsidP="0034746C" w:rsidRDefault="00CD4963" w14:paraId="47EBBC49" w14:textId="013CB1C9">
            <w:pPr>
              <w:jc w:val="center"/>
              <w:rPr>
                <w:color w:val="000000"/>
                <w:sz w:val="20"/>
              </w:rPr>
            </w:pPr>
            <w:r w:rsidRPr="00A11B95">
              <w:rPr>
                <w:color w:val="000000"/>
                <w:sz w:val="20"/>
              </w:rPr>
              <w:t>2024</w:t>
            </w:r>
          </w:p>
        </w:tc>
        <w:tc>
          <w:tcPr>
            <w:tcW w:w="810" w:type="dxa"/>
          </w:tcPr>
          <w:p w:rsidRPr="00A11B95" w:rsidR="00A92D0B" w:rsidP="0034746C" w:rsidRDefault="00E75148" w14:paraId="39A3074C" w14:textId="5EE09EE3">
            <w:pPr>
              <w:jc w:val="center"/>
              <w:rPr>
                <w:color w:val="000000"/>
                <w:sz w:val="20"/>
              </w:rPr>
            </w:pPr>
            <w:r w:rsidRPr="00A11B95">
              <w:rPr>
                <w:color w:val="000000"/>
                <w:sz w:val="20"/>
              </w:rPr>
              <w:t>11</w:t>
            </w:r>
            <w:r w:rsidRPr="00A11B95" w:rsidR="000732C0">
              <w:rPr>
                <w:color w:val="000000"/>
                <w:sz w:val="20"/>
              </w:rPr>
              <w:t>0</w:t>
            </w:r>
            <w:r w:rsidRPr="00A11B95">
              <w:rPr>
                <w:color w:val="000000"/>
                <w:sz w:val="20"/>
              </w:rPr>
              <w:t>.</w:t>
            </w:r>
            <w:r w:rsidRPr="00A11B95" w:rsidR="000732C0">
              <w:rPr>
                <w:color w:val="000000"/>
                <w:sz w:val="20"/>
              </w:rPr>
              <w:t>2</w:t>
            </w:r>
          </w:p>
        </w:tc>
        <w:tc>
          <w:tcPr>
            <w:tcW w:w="1170" w:type="dxa"/>
            <w:gridSpan w:val="2"/>
          </w:tcPr>
          <w:p w:rsidRPr="00A11B95" w:rsidR="00681E9A" w:rsidP="00681E9A" w:rsidRDefault="00561020" w14:paraId="48282014" w14:textId="3EAD25CA">
            <w:pPr>
              <w:jc w:val="right"/>
              <w:rPr>
                <w:color w:val="000000" w:themeColor="text1"/>
                <w:sz w:val="20"/>
              </w:rPr>
            </w:pPr>
            <w:r w:rsidRPr="00A11B95">
              <w:rPr>
                <w:color w:val="000000" w:themeColor="text1"/>
                <w:sz w:val="20"/>
              </w:rPr>
              <w:t>$</w:t>
            </w:r>
            <w:r w:rsidRPr="00A11B95" w:rsidR="00BE2C12">
              <w:rPr>
                <w:color w:val="000000" w:themeColor="text1"/>
                <w:sz w:val="20"/>
              </w:rPr>
              <w:t>730</w:t>
            </w:r>
            <w:r w:rsidRPr="00A11B95" w:rsidR="00681E9A">
              <w:rPr>
                <w:color w:val="000000" w:themeColor="text1"/>
                <w:sz w:val="20"/>
              </w:rPr>
              <w:t>.00</w:t>
            </w:r>
          </w:p>
          <w:p w:rsidR="00315B02" w:rsidP="00681E9A" w:rsidRDefault="00232E06" w14:paraId="3B9AB2C5" w14:textId="77777777">
            <w:pPr>
              <w:ind w:left="288"/>
              <w:rPr>
                <w:color w:val="000000" w:themeColor="text1"/>
                <w:sz w:val="20"/>
              </w:rPr>
            </w:pPr>
            <w:r w:rsidRPr="00A11B95">
              <w:rPr>
                <w:color w:val="000000" w:themeColor="text1"/>
                <w:sz w:val="20"/>
              </w:rPr>
              <w:t xml:space="preserve">+ </w:t>
            </w:r>
            <w:r w:rsidRPr="00A11B95" w:rsidR="00BE2C12">
              <w:rPr>
                <w:color w:val="000000" w:themeColor="text1"/>
                <w:sz w:val="20"/>
              </w:rPr>
              <w:t>step increase</w:t>
            </w:r>
            <w:r w:rsidRPr="00A11B95" w:rsidR="00681E9A">
              <w:rPr>
                <w:color w:val="000000" w:themeColor="text1"/>
                <w:sz w:val="20"/>
              </w:rPr>
              <w:t xml:space="preserve"> </w:t>
            </w:r>
          </w:p>
          <w:p w:rsidRPr="00A11B95" w:rsidR="00A92D0B" w:rsidP="00681E9A" w:rsidRDefault="00232E06" w14:paraId="3E5BD317" w14:textId="1657A67C">
            <w:pPr>
              <w:ind w:left="288"/>
              <w:rPr>
                <w:color w:val="000000"/>
                <w:sz w:val="20"/>
              </w:rPr>
            </w:pPr>
            <w:r w:rsidRPr="00A11B95">
              <w:rPr>
                <w:color w:val="000000" w:themeColor="text1"/>
                <w:sz w:val="20"/>
              </w:rPr>
              <w:t>= $</w:t>
            </w:r>
            <w:r w:rsidRPr="00A11B95" w:rsidR="4336BF93">
              <w:rPr>
                <w:color w:val="000000" w:themeColor="text1"/>
                <w:sz w:val="20"/>
              </w:rPr>
              <w:t>765</w:t>
            </w:r>
          </w:p>
        </w:tc>
        <w:tc>
          <w:tcPr>
            <w:tcW w:w="1620" w:type="dxa"/>
            <w:tcBorders>
              <w:right w:val="single" w:color="auto" w:sz="4" w:space="0"/>
            </w:tcBorders>
          </w:tcPr>
          <w:p w:rsidRPr="00A11B95" w:rsidR="00A92D0B" w:rsidP="0034746C" w:rsidRDefault="00AA23F8" w14:paraId="63BDE315" w14:textId="0B3C0491">
            <w:pPr>
              <w:rPr>
                <w:color w:val="000000"/>
                <w:sz w:val="20"/>
              </w:rPr>
            </w:pPr>
            <w:r w:rsidRPr="00A11B95">
              <w:rPr>
                <w:i/>
                <w:iCs/>
                <w:color w:val="000000"/>
                <w:sz w:val="20"/>
              </w:rPr>
              <w:t>See</w:t>
            </w:r>
            <w:r w:rsidRPr="00A11B95">
              <w:rPr>
                <w:color w:val="000000"/>
                <w:sz w:val="20"/>
              </w:rPr>
              <w:t xml:space="preserve"> comment #1.</w:t>
            </w:r>
          </w:p>
        </w:tc>
        <w:tc>
          <w:tcPr>
            <w:tcW w:w="1260" w:type="dxa"/>
            <w:gridSpan w:val="2"/>
            <w:tcBorders>
              <w:top w:val="single" w:color="auto" w:sz="4" w:space="0"/>
              <w:left w:val="single" w:color="auto" w:sz="4" w:space="0"/>
              <w:bottom w:val="single" w:color="auto" w:sz="4" w:space="0"/>
              <w:right w:val="single" w:color="auto" w:sz="24" w:space="0"/>
            </w:tcBorders>
          </w:tcPr>
          <w:p w:rsidRPr="00A11B95" w:rsidR="00A92D0B" w:rsidP="0034746C" w:rsidRDefault="00641C87" w14:paraId="06BD92A5" w14:textId="5F5D000D">
            <w:pPr>
              <w:jc w:val="right"/>
              <w:rPr>
                <w:color w:val="000000"/>
                <w:sz w:val="20"/>
              </w:rPr>
            </w:pPr>
            <w:r w:rsidRPr="00A11B95">
              <w:rPr>
                <w:color w:val="000000"/>
                <w:sz w:val="20"/>
              </w:rPr>
              <w:t>$8</w:t>
            </w:r>
            <w:r w:rsidRPr="00A11B95" w:rsidR="008312F6">
              <w:rPr>
                <w:color w:val="000000"/>
                <w:sz w:val="20"/>
              </w:rPr>
              <w:t>4</w:t>
            </w:r>
            <w:r w:rsidRPr="00A11B95">
              <w:rPr>
                <w:color w:val="000000"/>
                <w:sz w:val="20"/>
              </w:rPr>
              <w:t>,</w:t>
            </w:r>
            <w:r w:rsidRPr="00A11B95" w:rsidR="008312F6">
              <w:rPr>
                <w:color w:val="000000"/>
                <w:sz w:val="20"/>
              </w:rPr>
              <w:t>3</w:t>
            </w:r>
            <w:r w:rsidRPr="00A11B95">
              <w:rPr>
                <w:color w:val="000000"/>
                <w:sz w:val="20"/>
              </w:rPr>
              <w:t>0</w:t>
            </w:r>
            <w:r w:rsidRPr="00A11B95" w:rsidR="008312F6">
              <w:rPr>
                <w:color w:val="000000"/>
                <w:sz w:val="20"/>
              </w:rPr>
              <w:t>3</w:t>
            </w:r>
          </w:p>
        </w:tc>
        <w:tc>
          <w:tcPr>
            <w:tcW w:w="810" w:type="dxa"/>
            <w:tcBorders>
              <w:left w:val="single" w:color="auto" w:sz="4" w:space="0"/>
            </w:tcBorders>
          </w:tcPr>
          <w:p w:rsidRPr="00A11B95" w:rsidR="00A92D0B" w:rsidP="0034746C" w:rsidRDefault="00751E35" w14:paraId="32D8548F" w14:textId="36CA4920">
            <w:pPr>
              <w:jc w:val="center"/>
              <w:rPr>
                <w:color w:val="000000"/>
                <w:sz w:val="20"/>
              </w:rPr>
            </w:pPr>
            <w:r w:rsidRPr="00A11B95">
              <w:rPr>
                <w:color w:val="000000"/>
                <w:sz w:val="20"/>
              </w:rPr>
              <w:t>4</w:t>
            </w:r>
            <w:r w:rsidRPr="00A11B95" w:rsidR="00EB38DB">
              <w:rPr>
                <w:color w:val="000000"/>
                <w:sz w:val="20"/>
              </w:rPr>
              <w:t>4.08</w:t>
            </w:r>
          </w:p>
          <w:p w:rsidRPr="00A11B95" w:rsidR="007F4133" w:rsidP="00FA1744" w:rsidRDefault="00D93BF1" w14:paraId="31AF7AA4" w14:textId="7AA5696C">
            <w:pPr>
              <w:jc w:val="center"/>
              <w:rPr>
                <w:color w:val="000000"/>
                <w:sz w:val="20"/>
              </w:rPr>
            </w:pPr>
            <w:r w:rsidRPr="00A11B95">
              <w:rPr>
                <w:color w:val="000000"/>
                <w:sz w:val="20"/>
              </w:rPr>
              <w:t>[</w:t>
            </w:r>
            <w:r w:rsidRPr="00A11B95" w:rsidR="00322107">
              <w:rPr>
                <w:color w:val="000000"/>
                <w:sz w:val="20"/>
              </w:rPr>
              <w:t>7</w:t>
            </w:r>
            <w:r w:rsidRPr="00A11B95">
              <w:rPr>
                <w:color w:val="000000"/>
                <w:sz w:val="20"/>
              </w:rPr>
              <w:t>]</w:t>
            </w:r>
          </w:p>
        </w:tc>
        <w:tc>
          <w:tcPr>
            <w:tcW w:w="1080" w:type="dxa"/>
          </w:tcPr>
          <w:p w:rsidRPr="00A11B95" w:rsidR="00A92D0B" w:rsidP="00FA1744" w:rsidRDefault="009B1C5D" w14:paraId="14D898BA" w14:textId="1DEB2698">
            <w:pPr>
              <w:jc w:val="right"/>
              <w:rPr>
                <w:color w:val="000000"/>
                <w:sz w:val="20"/>
              </w:rPr>
            </w:pPr>
            <w:r w:rsidRPr="00A11B95">
              <w:rPr>
                <w:color w:val="000000"/>
                <w:sz w:val="20"/>
              </w:rPr>
              <w:t>$</w:t>
            </w:r>
            <w:r w:rsidR="002D6924">
              <w:rPr>
                <w:color w:val="000000"/>
                <w:sz w:val="20"/>
              </w:rPr>
              <w:t>725</w:t>
            </w:r>
            <w:r w:rsidRPr="00A11B95" w:rsidR="00FA1744">
              <w:rPr>
                <w:color w:val="000000"/>
                <w:sz w:val="20"/>
              </w:rPr>
              <w:t>.00</w:t>
            </w:r>
          </w:p>
          <w:p w:rsidRPr="00A11B95" w:rsidR="00EB2A73" w:rsidP="00FA1744" w:rsidRDefault="00EB2A73" w14:paraId="3400AFFC" w14:textId="2D9C3F24">
            <w:pPr>
              <w:ind w:left="288"/>
              <w:jc w:val="center"/>
              <w:rPr>
                <w:color w:val="000000"/>
                <w:sz w:val="20"/>
              </w:rPr>
            </w:pPr>
            <w:r w:rsidRPr="00A11B95">
              <w:rPr>
                <w:color w:val="000000"/>
                <w:sz w:val="20"/>
              </w:rPr>
              <w:t>[</w:t>
            </w:r>
            <w:r w:rsidRPr="00A11B95" w:rsidR="005C5E42">
              <w:rPr>
                <w:color w:val="000000"/>
                <w:sz w:val="20"/>
              </w:rPr>
              <w:t>1</w:t>
            </w:r>
            <w:r w:rsidRPr="00A11B95">
              <w:rPr>
                <w:color w:val="000000"/>
                <w:sz w:val="20"/>
              </w:rPr>
              <w:t>]</w:t>
            </w:r>
          </w:p>
        </w:tc>
        <w:tc>
          <w:tcPr>
            <w:tcW w:w="1200" w:type="dxa"/>
          </w:tcPr>
          <w:p w:rsidRPr="00A11B95" w:rsidR="00A92D0B" w:rsidP="00AC2135" w:rsidRDefault="00B23912" w14:paraId="196C1830" w14:textId="11B35E89">
            <w:pPr>
              <w:jc w:val="right"/>
              <w:rPr>
                <w:color w:val="000000"/>
                <w:sz w:val="20"/>
              </w:rPr>
            </w:pPr>
            <w:r w:rsidRPr="00A11B95">
              <w:rPr>
                <w:color w:val="000000"/>
                <w:sz w:val="20"/>
              </w:rPr>
              <w:t>$</w:t>
            </w:r>
            <w:r w:rsidR="002D6924">
              <w:rPr>
                <w:color w:val="000000"/>
                <w:sz w:val="20"/>
              </w:rPr>
              <w:t>31,958.00</w:t>
            </w:r>
          </w:p>
        </w:tc>
      </w:tr>
      <w:tr w:rsidRPr="00A11B95" w:rsidR="00A11B95" w:rsidTr="001038CB" w14:paraId="3A23E994" w14:textId="77777777">
        <w:trPr>
          <w:cantSplit/>
          <w:jc w:val="center"/>
        </w:trPr>
        <w:tc>
          <w:tcPr>
            <w:tcW w:w="1885" w:type="dxa"/>
          </w:tcPr>
          <w:p w:rsidR="001038CB" w:rsidP="0034746C" w:rsidRDefault="00E434E5" w14:paraId="32BD8C76" w14:textId="77777777">
            <w:pPr>
              <w:rPr>
                <w:color w:val="000000"/>
                <w:sz w:val="20"/>
              </w:rPr>
            </w:pPr>
            <w:r w:rsidRPr="00A11B95">
              <w:rPr>
                <w:color w:val="000000"/>
                <w:sz w:val="20"/>
              </w:rPr>
              <w:t xml:space="preserve">Malinda Dickenson </w:t>
            </w:r>
          </w:p>
          <w:p w:rsidRPr="00A11B95" w:rsidR="00E434E5" w:rsidP="0034746C" w:rsidRDefault="00E434E5" w14:paraId="3FCEFA29" w14:textId="23C409ED">
            <w:pPr>
              <w:rPr>
                <w:color w:val="000000"/>
                <w:sz w:val="20"/>
              </w:rPr>
            </w:pPr>
            <w:r w:rsidRPr="00A11B95">
              <w:rPr>
                <w:color w:val="000000"/>
                <w:sz w:val="20"/>
              </w:rPr>
              <w:t>[Legal Director]</w:t>
            </w:r>
          </w:p>
        </w:tc>
        <w:tc>
          <w:tcPr>
            <w:tcW w:w="720" w:type="dxa"/>
            <w:gridSpan w:val="2"/>
          </w:tcPr>
          <w:p w:rsidRPr="00A11B95" w:rsidR="00E434E5" w:rsidP="0034746C" w:rsidRDefault="00CD4963" w14:paraId="025FC01B" w14:textId="7B93D7C0">
            <w:pPr>
              <w:jc w:val="center"/>
              <w:rPr>
                <w:color w:val="000000"/>
                <w:sz w:val="20"/>
              </w:rPr>
            </w:pPr>
            <w:r w:rsidRPr="00A11B95">
              <w:rPr>
                <w:color w:val="000000"/>
                <w:sz w:val="20"/>
              </w:rPr>
              <w:t>2023</w:t>
            </w:r>
          </w:p>
        </w:tc>
        <w:tc>
          <w:tcPr>
            <w:tcW w:w="810" w:type="dxa"/>
          </w:tcPr>
          <w:p w:rsidRPr="00A11B95" w:rsidR="00630E3B" w:rsidP="0034746C" w:rsidRDefault="00630E3B" w14:paraId="2E596AAE" w14:textId="35C53753">
            <w:pPr>
              <w:jc w:val="center"/>
              <w:rPr>
                <w:color w:val="000000"/>
                <w:sz w:val="20"/>
              </w:rPr>
            </w:pPr>
            <w:r w:rsidRPr="00A11B95">
              <w:rPr>
                <w:color w:val="000000"/>
                <w:sz w:val="20"/>
              </w:rPr>
              <w:t>23.9</w:t>
            </w:r>
          </w:p>
        </w:tc>
        <w:tc>
          <w:tcPr>
            <w:tcW w:w="1170" w:type="dxa"/>
            <w:gridSpan w:val="2"/>
          </w:tcPr>
          <w:p w:rsidRPr="00A11B95" w:rsidR="00681E9A" w:rsidP="00681E9A" w:rsidRDefault="00336F06" w14:paraId="07D58011" w14:textId="77777777">
            <w:pPr>
              <w:jc w:val="right"/>
              <w:rPr>
                <w:color w:val="000000" w:themeColor="text1"/>
                <w:sz w:val="20"/>
              </w:rPr>
            </w:pPr>
            <w:r w:rsidRPr="00A11B95">
              <w:rPr>
                <w:color w:val="000000" w:themeColor="text1"/>
                <w:sz w:val="20"/>
              </w:rPr>
              <w:t>$</w:t>
            </w:r>
            <w:r w:rsidRPr="00A11B95" w:rsidR="00BE2C12">
              <w:rPr>
                <w:color w:val="000000" w:themeColor="text1"/>
                <w:sz w:val="20"/>
              </w:rPr>
              <w:t>700</w:t>
            </w:r>
            <w:r w:rsidRPr="00A11B95" w:rsidR="00681E9A">
              <w:rPr>
                <w:color w:val="000000" w:themeColor="text1"/>
                <w:sz w:val="20"/>
              </w:rPr>
              <w:t>.00</w:t>
            </w:r>
          </w:p>
          <w:p w:rsidR="00E60572" w:rsidP="00681E9A" w:rsidRDefault="00232E06" w14:paraId="57FFE6E2" w14:textId="77777777">
            <w:pPr>
              <w:ind w:left="288"/>
              <w:rPr>
                <w:color w:val="000000" w:themeColor="text1"/>
                <w:sz w:val="20"/>
              </w:rPr>
            </w:pPr>
            <w:r w:rsidRPr="00A11B95">
              <w:rPr>
                <w:color w:val="000000" w:themeColor="text1"/>
                <w:sz w:val="20"/>
              </w:rPr>
              <w:t>+ step increase</w:t>
            </w:r>
            <w:r w:rsidRPr="00A11B95" w:rsidR="00681E9A">
              <w:rPr>
                <w:color w:val="000000" w:themeColor="text1"/>
                <w:sz w:val="20"/>
              </w:rPr>
              <w:t xml:space="preserve"> </w:t>
            </w:r>
          </w:p>
          <w:p w:rsidRPr="00A11B95" w:rsidR="00E434E5" w:rsidP="00681E9A" w:rsidRDefault="00232E06" w14:paraId="375E68C2" w14:textId="0E2C63DE">
            <w:pPr>
              <w:ind w:left="288"/>
              <w:rPr>
                <w:color w:val="000000"/>
                <w:sz w:val="20"/>
              </w:rPr>
            </w:pPr>
            <w:r w:rsidRPr="00A11B95">
              <w:rPr>
                <w:color w:val="000000" w:themeColor="text1"/>
                <w:sz w:val="20"/>
              </w:rPr>
              <w:t>= $</w:t>
            </w:r>
            <w:r w:rsidRPr="00A11B95" w:rsidR="3016DCCF">
              <w:rPr>
                <w:color w:val="000000" w:themeColor="text1"/>
                <w:sz w:val="20"/>
              </w:rPr>
              <w:t>735</w:t>
            </w:r>
          </w:p>
        </w:tc>
        <w:tc>
          <w:tcPr>
            <w:tcW w:w="1620" w:type="dxa"/>
            <w:tcBorders>
              <w:right w:val="single" w:color="auto" w:sz="4" w:space="0"/>
            </w:tcBorders>
          </w:tcPr>
          <w:p w:rsidRPr="00A11B95" w:rsidR="00E434E5" w:rsidP="0034746C" w:rsidRDefault="00AA23F8" w14:paraId="3BE5B943" w14:textId="4ACFA18B">
            <w:pPr>
              <w:rPr>
                <w:color w:val="000000"/>
                <w:sz w:val="20"/>
              </w:rPr>
            </w:pPr>
            <w:r w:rsidRPr="00A11B95">
              <w:rPr>
                <w:i/>
                <w:iCs/>
                <w:color w:val="000000"/>
                <w:sz w:val="20"/>
              </w:rPr>
              <w:t>See</w:t>
            </w:r>
            <w:r w:rsidRPr="00A11B95">
              <w:rPr>
                <w:color w:val="000000"/>
                <w:sz w:val="20"/>
              </w:rPr>
              <w:t xml:space="preserve"> comment #1.</w:t>
            </w:r>
          </w:p>
        </w:tc>
        <w:tc>
          <w:tcPr>
            <w:tcW w:w="1260" w:type="dxa"/>
            <w:gridSpan w:val="2"/>
            <w:tcBorders>
              <w:top w:val="single" w:color="auto" w:sz="4" w:space="0"/>
              <w:left w:val="single" w:color="auto" w:sz="4" w:space="0"/>
              <w:bottom w:val="single" w:color="auto" w:sz="4" w:space="0"/>
              <w:right w:val="single" w:color="auto" w:sz="24" w:space="0"/>
            </w:tcBorders>
          </w:tcPr>
          <w:p w:rsidRPr="00A11B95" w:rsidR="00E434E5" w:rsidP="0034746C" w:rsidRDefault="00641C87" w14:paraId="7701108F" w14:textId="0C3EA30C">
            <w:pPr>
              <w:jc w:val="right"/>
              <w:rPr>
                <w:color w:val="000000"/>
                <w:sz w:val="20"/>
              </w:rPr>
            </w:pPr>
            <w:r w:rsidRPr="00A11B95">
              <w:rPr>
                <w:color w:val="000000"/>
                <w:sz w:val="20"/>
              </w:rPr>
              <w:t>$17,566.50</w:t>
            </w:r>
          </w:p>
        </w:tc>
        <w:tc>
          <w:tcPr>
            <w:tcW w:w="810" w:type="dxa"/>
            <w:tcBorders>
              <w:left w:val="single" w:color="auto" w:sz="4" w:space="0"/>
            </w:tcBorders>
          </w:tcPr>
          <w:p w:rsidRPr="00A11B95" w:rsidR="00B12548" w:rsidP="0034746C" w:rsidRDefault="007A2B4E" w14:paraId="7F4570B2" w14:textId="38409B86">
            <w:pPr>
              <w:jc w:val="center"/>
              <w:rPr>
                <w:color w:val="000000"/>
                <w:sz w:val="20"/>
              </w:rPr>
            </w:pPr>
            <w:r w:rsidRPr="00A11B95">
              <w:rPr>
                <w:color w:val="000000"/>
                <w:sz w:val="20"/>
              </w:rPr>
              <w:t>9.56</w:t>
            </w:r>
          </w:p>
          <w:p w:rsidRPr="00A11B95" w:rsidR="00EB2A73" w:rsidP="0034746C" w:rsidRDefault="00EB2A73" w14:paraId="7EE53A40" w14:textId="0BAFEBE9">
            <w:pPr>
              <w:jc w:val="center"/>
              <w:rPr>
                <w:color w:val="000000"/>
                <w:sz w:val="20"/>
              </w:rPr>
            </w:pPr>
            <w:r w:rsidRPr="00A11B95">
              <w:rPr>
                <w:color w:val="000000"/>
                <w:sz w:val="20"/>
              </w:rPr>
              <w:t>[</w:t>
            </w:r>
            <w:r w:rsidRPr="00A11B95" w:rsidR="00322107">
              <w:rPr>
                <w:color w:val="000000"/>
                <w:sz w:val="20"/>
              </w:rPr>
              <w:t>7</w:t>
            </w:r>
            <w:r w:rsidRPr="00A11B95">
              <w:rPr>
                <w:color w:val="000000"/>
                <w:sz w:val="20"/>
              </w:rPr>
              <w:t>]</w:t>
            </w:r>
          </w:p>
        </w:tc>
        <w:tc>
          <w:tcPr>
            <w:tcW w:w="1080" w:type="dxa"/>
          </w:tcPr>
          <w:p w:rsidRPr="00A11B95" w:rsidR="00E434E5" w:rsidP="00FA1744" w:rsidRDefault="009B1C5D" w14:paraId="0C91C46C" w14:textId="29B915BC">
            <w:pPr>
              <w:jc w:val="right"/>
              <w:rPr>
                <w:color w:val="000000"/>
                <w:sz w:val="20"/>
              </w:rPr>
            </w:pPr>
            <w:r w:rsidRPr="00A11B95">
              <w:rPr>
                <w:color w:val="000000"/>
                <w:sz w:val="20"/>
              </w:rPr>
              <w:t>$665</w:t>
            </w:r>
            <w:r w:rsidRPr="00A11B95" w:rsidR="00FA1744">
              <w:rPr>
                <w:color w:val="000000"/>
                <w:sz w:val="20"/>
              </w:rPr>
              <w:t>.00</w:t>
            </w:r>
          </w:p>
          <w:p w:rsidRPr="00A11B95" w:rsidR="00EB2A73" w:rsidP="00FA1744" w:rsidRDefault="00EB2A73" w14:paraId="3AF8B6A4" w14:textId="6E00707C">
            <w:pPr>
              <w:ind w:left="288"/>
              <w:jc w:val="center"/>
              <w:rPr>
                <w:color w:val="000000"/>
                <w:sz w:val="20"/>
              </w:rPr>
            </w:pPr>
            <w:r w:rsidRPr="00A11B95">
              <w:rPr>
                <w:color w:val="000000"/>
                <w:sz w:val="20"/>
              </w:rPr>
              <w:t>[</w:t>
            </w:r>
            <w:r w:rsidRPr="00A11B95" w:rsidR="00322107">
              <w:rPr>
                <w:color w:val="000000"/>
                <w:sz w:val="20"/>
              </w:rPr>
              <w:t>1</w:t>
            </w:r>
            <w:r w:rsidRPr="00A11B95">
              <w:rPr>
                <w:color w:val="000000"/>
                <w:sz w:val="20"/>
              </w:rPr>
              <w:t>]</w:t>
            </w:r>
          </w:p>
        </w:tc>
        <w:tc>
          <w:tcPr>
            <w:tcW w:w="1200" w:type="dxa"/>
          </w:tcPr>
          <w:p w:rsidRPr="00A11B95" w:rsidR="00E434E5" w:rsidP="00AC2135" w:rsidRDefault="00B23912" w14:paraId="72838220" w14:textId="447DA4FA">
            <w:pPr>
              <w:jc w:val="right"/>
              <w:rPr>
                <w:color w:val="000000"/>
                <w:sz w:val="20"/>
              </w:rPr>
            </w:pPr>
            <w:r w:rsidRPr="00A11B95">
              <w:rPr>
                <w:color w:val="000000"/>
                <w:sz w:val="20"/>
              </w:rPr>
              <w:t>$</w:t>
            </w:r>
            <w:r w:rsidRPr="00A11B95" w:rsidR="007A2B4E">
              <w:rPr>
                <w:color w:val="000000"/>
                <w:sz w:val="20"/>
              </w:rPr>
              <w:t>6,357.40</w:t>
            </w:r>
          </w:p>
        </w:tc>
      </w:tr>
      <w:tr w:rsidRPr="00A11B95" w:rsidR="00A11B95" w:rsidTr="001038CB" w14:paraId="5D1C350A" w14:textId="77777777">
        <w:trPr>
          <w:cantSplit/>
          <w:jc w:val="center"/>
        </w:trPr>
        <w:tc>
          <w:tcPr>
            <w:tcW w:w="1885" w:type="dxa"/>
          </w:tcPr>
          <w:p w:rsidR="001038CB" w:rsidP="0034746C" w:rsidRDefault="00E434E5" w14:paraId="3490941D" w14:textId="77777777">
            <w:pPr>
              <w:rPr>
                <w:color w:val="000000"/>
                <w:sz w:val="20"/>
              </w:rPr>
            </w:pPr>
            <w:r w:rsidRPr="00A11B95">
              <w:rPr>
                <w:color w:val="000000"/>
                <w:sz w:val="20"/>
              </w:rPr>
              <w:lastRenderedPageBreak/>
              <w:t xml:space="preserve">Malinda Dickenson </w:t>
            </w:r>
          </w:p>
          <w:p w:rsidRPr="00A11B95" w:rsidR="00E434E5" w:rsidP="0034746C" w:rsidRDefault="00E434E5" w14:paraId="402E6997" w14:textId="2CC249A9">
            <w:pPr>
              <w:rPr>
                <w:color w:val="000000"/>
                <w:sz w:val="20"/>
              </w:rPr>
            </w:pPr>
            <w:r w:rsidRPr="00A11B95">
              <w:rPr>
                <w:color w:val="000000"/>
                <w:sz w:val="20"/>
              </w:rPr>
              <w:t>[Legal Director]</w:t>
            </w:r>
          </w:p>
        </w:tc>
        <w:tc>
          <w:tcPr>
            <w:tcW w:w="720" w:type="dxa"/>
            <w:gridSpan w:val="2"/>
          </w:tcPr>
          <w:p w:rsidRPr="00A11B95" w:rsidR="00E434E5" w:rsidP="0034746C" w:rsidRDefault="00CD4963" w14:paraId="4F95A9F6" w14:textId="73979D04">
            <w:pPr>
              <w:jc w:val="center"/>
              <w:rPr>
                <w:color w:val="000000"/>
                <w:sz w:val="20"/>
              </w:rPr>
            </w:pPr>
            <w:r w:rsidRPr="00A11B95">
              <w:rPr>
                <w:color w:val="000000"/>
                <w:sz w:val="20"/>
              </w:rPr>
              <w:t>2022</w:t>
            </w:r>
          </w:p>
        </w:tc>
        <w:tc>
          <w:tcPr>
            <w:tcW w:w="810" w:type="dxa"/>
          </w:tcPr>
          <w:p w:rsidRPr="00A11B95" w:rsidR="00E434E5" w:rsidP="0034746C" w:rsidRDefault="00F731E2" w14:paraId="3BA60F9E" w14:textId="314B5A90">
            <w:pPr>
              <w:jc w:val="center"/>
              <w:rPr>
                <w:color w:val="000000"/>
                <w:sz w:val="20"/>
              </w:rPr>
            </w:pPr>
            <w:r w:rsidRPr="00A11B95">
              <w:rPr>
                <w:color w:val="000000"/>
                <w:sz w:val="20"/>
              </w:rPr>
              <w:t>193</w:t>
            </w:r>
            <w:r w:rsidRPr="00A11B95" w:rsidR="00286188">
              <w:rPr>
                <w:color w:val="000000"/>
                <w:sz w:val="20"/>
              </w:rPr>
              <w:t>.</w:t>
            </w:r>
            <w:r w:rsidRPr="00A11B95">
              <w:rPr>
                <w:color w:val="000000"/>
                <w:sz w:val="20"/>
              </w:rPr>
              <w:t>9</w:t>
            </w:r>
          </w:p>
        </w:tc>
        <w:tc>
          <w:tcPr>
            <w:tcW w:w="1170" w:type="dxa"/>
            <w:gridSpan w:val="2"/>
          </w:tcPr>
          <w:p w:rsidRPr="00A11B95" w:rsidR="00681E9A" w:rsidP="00681E9A" w:rsidRDefault="00336F06" w14:paraId="0283C0E5" w14:textId="77777777">
            <w:pPr>
              <w:jc w:val="right"/>
              <w:rPr>
                <w:color w:val="000000" w:themeColor="text1"/>
                <w:sz w:val="20"/>
              </w:rPr>
            </w:pPr>
            <w:r w:rsidRPr="00A11B95">
              <w:rPr>
                <w:color w:val="000000" w:themeColor="text1"/>
                <w:sz w:val="20"/>
              </w:rPr>
              <w:t>$</w:t>
            </w:r>
            <w:r w:rsidRPr="00A11B95" w:rsidR="00BE2C12">
              <w:rPr>
                <w:color w:val="000000" w:themeColor="text1"/>
                <w:sz w:val="20"/>
              </w:rPr>
              <w:t>6</w:t>
            </w:r>
            <w:r w:rsidRPr="00A11B95">
              <w:rPr>
                <w:color w:val="000000" w:themeColor="text1"/>
                <w:sz w:val="20"/>
              </w:rPr>
              <w:t>7</w:t>
            </w:r>
            <w:r w:rsidRPr="00A11B95" w:rsidR="00BE2C12">
              <w:rPr>
                <w:color w:val="000000" w:themeColor="text1"/>
                <w:sz w:val="20"/>
              </w:rPr>
              <w:t>0</w:t>
            </w:r>
            <w:r w:rsidRPr="00A11B95" w:rsidR="00681E9A">
              <w:rPr>
                <w:color w:val="000000" w:themeColor="text1"/>
                <w:sz w:val="20"/>
              </w:rPr>
              <w:t>.00</w:t>
            </w:r>
          </w:p>
          <w:p w:rsidR="00D26DE6" w:rsidP="00681E9A" w:rsidRDefault="00232E06" w14:paraId="08C803DF" w14:textId="77777777">
            <w:pPr>
              <w:ind w:left="288"/>
              <w:rPr>
                <w:color w:val="000000" w:themeColor="text1"/>
                <w:sz w:val="20"/>
              </w:rPr>
            </w:pPr>
            <w:r w:rsidRPr="00A11B95">
              <w:rPr>
                <w:color w:val="000000" w:themeColor="text1"/>
                <w:sz w:val="20"/>
              </w:rPr>
              <w:t>+ step increase</w:t>
            </w:r>
          </w:p>
          <w:p w:rsidRPr="00A11B95" w:rsidR="00E434E5" w:rsidP="00681E9A" w:rsidRDefault="00232E06" w14:paraId="6CB204A6" w14:textId="6FA0D994">
            <w:pPr>
              <w:ind w:left="288"/>
              <w:rPr>
                <w:color w:val="000000"/>
                <w:sz w:val="20"/>
              </w:rPr>
            </w:pPr>
            <w:r w:rsidRPr="00A11B95">
              <w:rPr>
                <w:color w:val="000000" w:themeColor="text1"/>
                <w:sz w:val="20"/>
              </w:rPr>
              <w:t>= $</w:t>
            </w:r>
            <w:r w:rsidRPr="00A11B95" w:rsidR="0D24977B">
              <w:rPr>
                <w:color w:val="000000" w:themeColor="text1"/>
                <w:sz w:val="20"/>
              </w:rPr>
              <w:t>705</w:t>
            </w:r>
          </w:p>
        </w:tc>
        <w:tc>
          <w:tcPr>
            <w:tcW w:w="1620" w:type="dxa"/>
            <w:tcBorders>
              <w:right w:val="single" w:color="auto" w:sz="4" w:space="0"/>
            </w:tcBorders>
          </w:tcPr>
          <w:p w:rsidRPr="00A11B95" w:rsidR="00E434E5" w:rsidP="0034746C" w:rsidRDefault="00AA23F8" w14:paraId="046955DC" w14:textId="27AE8672">
            <w:pPr>
              <w:rPr>
                <w:color w:val="000000"/>
                <w:sz w:val="20"/>
              </w:rPr>
            </w:pPr>
            <w:r w:rsidRPr="00A11B95">
              <w:rPr>
                <w:i/>
                <w:iCs/>
                <w:color w:val="000000"/>
                <w:sz w:val="20"/>
              </w:rPr>
              <w:t>See</w:t>
            </w:r>
            <w:r w:rsidRPr="00A11B95">
              <w:rPr>
                <w:color w:val="000000"/>
                <w:sz w:val="20"/>
              </w:rPr>
              <w:t xml:space="preserve"> comment #1.</w:t>
            </w:r>
          </w:p>
        </w:tc>
        <w:tc>
          <w:tcPr>
            <w:tcW w:w="1260" w:type="dxa"/>
            <w:gridSpan w:val="2"/>
            <w:tcBorders>
              <w:top w:val="single" w:color="auto" w:sz="4" w:space="0"/>
              <w:left w:val="single" w:color="auto" w:sz="4" w:space="0"/>
              <w:bottom w:val="single" w:color="auto" w:sz="4" w:space="0"/>
              <w:right w:val="single" w:color="auto" w:sz="24" w:space="0"/>
            </w:tcBorders>
          </w:tcPr>
          <w:p w:rsidRPr="00A11B95" w:rsidR="00E434E5" w:rsidP="0034746C" w:rsidRDefault="00641C87" w14:paraId="580F8EA5" w14:textId="388A0777">
            <w:pPr>
              <w:jc w:val="right"/>
              <w:rPr>
                <w:color w:val="000000"/>
                <w:sz w:val="20"/>
              </w:rPr>
            </w:pPr>
            <w:r w:rsidRPr="00A11B95">
              <w:rPr>
                <w:color w:val="000000"/>
                <w:sz w:val="20"/>
              </w:rPr>
              <w:t>$1</w:t>
            </w:r>
            <w:r w:rsidRPr="00A11B95" w:rsidR="00E167F3">
              <w:rPr>
                <w:color w:val="000000"/>
                <w:sz w:val="20"/>
              </w:rPr>
              <w:t>36</w:t>
            </w:r>
            <w:r w:rsidRPr="00A11B95" w:rsidR="004C3BF7">
              <w:rPr>
                <w:color w:val="000000"/>
                <w:sz w:val="20"/>
              </w:rPr>
              <w:t>,</w:t>
            </w:r>
            <w:r w:rsidRPr="00A11B95" w:rsidR="00E167F3">
              <w:rPr>
                <w:color w:val="000000"/>
                <w:sz w:val="20"/>
              </w:rPr>
              <w:t>699</w:t>
            </w:r>
            <w:r w:rsidRPr="00A11B95" w:rsidR="004C3BF7">
              <w:rPr>
                <w:color w:val="000000"/>
                <w:sz w:val="20"/>
              </w:rPr>
              <w:t>.50</w:t>
            </w:r>
          </w:p>
        </w:tc>
        <w:tc>
          <w:tcPr>
            <w:tcW w:w="810" w:type="dxa"/>
            <w:tcBorders>
              <w:left w:val="single" w:color="auto" w:sz="4" w:space="0"/>
            </w:tcBorders>
          </w:tcPr>
          <w:p w:rsidRPr="00A11B95" w:rsidR="00E434E5" w:rsidP="0034746C" w:rsidRDefault="00CE4563" w14:paraId="6656D26C" w14:textId="5B32B912">
            <w:pPr>
              <w:jc w:val="center"/>
              <w:rPr>
                <w:color w:val="000000"/>
                <w:sz w:val="20"/>
              </w:rPr>
            </w:pPr>
            <w:r w:rsidRPr="00A11B95">
              <w:rPr>
                <w:color w:val="000000"/>
                <w:sz w:val="20"/>
              </w:rPr>
              <w:t>77.56</w:t>
            </w:r>
          </w:p>
          <w:p w:rsidRPr="00A11B95" w:rsidR="007F4133" w:rsidP="008B7543" w:rsidRDefault="00EB2A73" w14:paraId="67E032D8" w14:textId="4446B6E0">
            <w:pPr>
              <w:jc w:val="center"/>
              <w:rPr>
                <w:color w:val="000000"/>
                <w:sz w:val="20"/>
              </w:rPr>
            </w:pPr>
            <w:r w:rsidRPr="00A11B95">
              <w:rPr>
                <w:color w:val="000000"/>
                <w:sz w:val="20"/>
              </w:rPr>
              <w:t>[</w:t>
            </w:r>
            <w:r w:rsidRPr="00A11B95" w:rsidR="00280079">
              <w:rPr>
                <w:color w:val="000000"/>
                <w:sz w:val="20"/>
              </w:rPr>
              <w:t>7</w:t>
            </w:r>
            <w:r w:rsidRPr="00A11B95">
              <w:rPr>
                <w:color w:val="000000"/>
                <w:sz w:val="20"/>
              </w:rPr>
              <w:t>]</w:t>
            </w:r>
          </w:p>
        </w:tc>
        <w:tc>
          <w:tcPr>
            <w:tcW w:w="1080" w:type="dxa"/>
          </w:tcPr>
          <w:p w:rsidRPr="00A11B95" w:rsidR="00E434E5" w:rsidP="00FA1744" w:rsidRDefault="009B1C5D" w14:paraId="1E1766A2" w14:textId="3C83983A">
            <w:pPr>
              <w:jc w:val="right"/>
              <w:rPr>
                <w:color w:val="000000"/>
                <w:sz w:val="20"/>
              </w:rPr>
            </w:pPr>
            <w:r w:rsidRPr="00A11B95">
              <w:rPr>
                <w:color w:val="000000"/>
                <w:sz w:val="20"/>
              </w:rPr>
              <w:t>$610</w:t>
            </w:r>
            <w:r w:rsidRPr="00A11B95" w:rsidR="00FA1744">
              <w:rPr>
                <w:color w:val="000000"/>
                <w:sz w:val="20"/>
              </w:rPr>
              <w:t>.00</w:t>
            </w:r>
          </w:p>
          <w:p w:rsidRPr="00A11B95" w:rsidR="00EB2A73" w:rsidP="00FA1744" w:rsidRDefault="00EB2A73" w14:paraId="1F0B7FAF" w14:textId="509658CD">
            <w:pPr>
              <w:ind w:left="288"/>
              <w:jc w:val="center"/>
              <w:rPr>
                <w:color w:val="000000"/>
                <w:sz w:val="20"/>
              </w:rPr>
            </w:pPr>
            <w:r w:rsidRPr="00A11B95">
              <w:rPr>
                <w:color w:val="000000"/>
                <w:sz w:val="20"/>
              </w:rPr>
              <w:t>[</w:t>
            </w:r>
            <w:r w:rsidRPr="00A11B95" w:rsidR="00280079">
              <w:rPr>
                <w:color w:val="000000"/>
                <w:sz w:val="20"/>
              </w:rPr>
              <w:t>1</w:t>
            </w:r>
            <w:r w:rsidRPr="00A11B95">
              <w:rPr>
                <w:color w:val="000000"/>
                <w:sz w:val="20"/>
              </w:rPr>
              <w:t>]</w:t>
            </w:r>
          </w:p>
        </w:tc>
        <w:tc>
          <w:tcPr>
            <w:tcW w:w="1200" w:type="dxa"/>
          </w:tcPr>
          <w:p w:rsidRPr="00A11B95" w:rsidR="00250C8C" w:rsidP="00953D32" w:rsidRDefault="00B23912" w14:paraId="172E0FAE" w14:textId="5DAEE724">
            <w:pPr>
              <w:jc w:val="right"/>
              <w:rPr>
                <w:color w:val="000000"/>
                <w:sz w:val="20"/>
              </w:rPr>
            </w:pPr>
            <w:r w:rsidRPr="00A11B95">
              <w:rPr>
                <w:color w:val="000000"/>
                <w:sz w:val="20"/>
              </w:rPr>
              <w:t>$</w:t>
            </w:r>
            <w:r w:rsidRPr="00A11B95" w:rsidR="00250B5D">
              <w:rPr>
                <w:color w:val="000000"/>
                <w:sz w:val="20"/>
              </w:rPr>
              <w:t>47,311</w:t>
            </w:r>
            <w:r w:rsidRPr="00A11B95" w:rsidR="00031353">
              <w:rPr>
                <w:color w:val="000000"/>
                <w:sz w:val="20"/>
              </w:rPr>
              <w:t>.6</w:t>
            </w:r>
            <w:r w:rsidRPr="00A11B95">
              <w:rPr>
                <w:color w:val="000000"/>
                <w:sz w:val="20"/>
              </w:rPr>
              <w:t>0</w:t>
            </w:r>
          </w:p>
        </w:tc>
      </w:tr>
      <w:tr w:rsidRPr="00A11B95" w:rsidR="00A11B95" w:rsidTr="001038CB" w14:paraId="465FC722" w14:textId="77777777">
        <w:trPr>
          <w:cantSplit/>
          <w:jc w:val="center"/>
        </w:trPr>
        <w:tc>
          <w:tcPr>
            <w:tcW w:w="1885" w:type="dxa"/>
          </w:tcPr>
          <w:p w:rsidR="001038CB" w:rsidP="0034746C" w:rsidRDefault="00EC394A" w14:paraId="6B3881EF" w14:textId="77777777">
            <w:pPr>
              <w:rPr>
                <w:color w:val="000000"/>
                <w:sz w:val="20"/>
              </w:rPr>
            </w:pPr>
            <w:r w:rsidRPr="00A11B95">
              <w:rPr>
                <w:color w:val="000000"/>
                <w:sz w:val="20"/>
              </w:rPr>
              <w:t xml:space="preserve">Loretta Lynch </w:t>
            </w:r>
          </w:p>
          <w:p w:rsidRPr="00A11B95" w:rsidR="00EC394A" w:rsidP="0034746C" w:rsidRDefault="00EC394A" w14:paraId="440FA58C" w14:textId="298EED76">
            <w:pPr>
              <w:rPr>
                <w:color w:val="000000"/>
                <w:sz w:val="20"/>
              </w:rPr>
            </w:pPr>
            <w:r w:rsidRPr="00A11B95">
              <w:rPr>
                <w:color w:val="000000"/>
                <w:sz w:val="20"/>
              </w:rPr>
              <w:t>[Attorney]</w:t>
            </w:r>
          </w:p>
        </w:tc>
        <w:tc>
          <w:tcPr>
            <w:tcW w:w="720" w:type="dxa"/>
            <w:gridSpan w:val="2"/>
          </w:tcPr>
          <w:p w:rsidRPr="00A11B95" w:rsidR="00EC394A" w:rsidP="0034746C" w:rsidRDefault="00EC394A" w14:paraId="274ED3A3" w14:textId="5F84412D">
            <w:pPr>
              <w:jc w:val="center"/>
              <w:rPr>
                <w:color w:val="000000"/>
                <w:sz w:val="20"/>
              </w:rPr>
            </w:pPr>
            <w:r w:rsidRPr="00A11B95">
              <w:rPr>
                <w:color w:val="000000"/>
                <w:sz w:val="20"/>
              </w:rPr>
              <w:t>2023</w:t>
            </w:r>
          </w:p>
        </w:tc>
        <w:tc>
          <w:tcPr>
            <w:tcW w:w="810" w:type="dxa"/>
          </w:tcPr>
          <w:p w:rsidRPr="00A11B95" w:rsidR="00EC394A" w:rsidP="0034746C" w:rsidRDefault="00FD3D39" w14:paraId="1619DDA6" w14:textId="48250919">
            <w:pPr>
              <w:jc w:val="center"/>
              <w:rPr>
                <w:color w:val="000000"/>
                <w:sz w:val="20"/>
              </w:rPr>
            </w:pPr>
            <w:r w:rsidRPr="00A11B95">
              <w:rPr>
                <w:color w:val="000000"/>
                <w:sz w:val="20"/>
              </w:rPr>
              <w:t>2.3</w:t>
            </w:r>
          </w:p>
        </w:tc>
        <w:tc>
          <w:tcPr>
            <w:tcW w:w="1170" w:type="dxa"/>
            <w:gridSpan w:val="2"/>
          </w:tcPr>
          <w:p w:rsidRPr="00A11B95" w:rsidR="00EC394A" w:rsidP="0066755D" w:rsidRDefault="003B0C88" w14:paraId="7958DD14" w14:textId="3BB11648">
            <w:pPr>
              <w:jc w:val="right"/>
              <w:rPr>
                <w:color w:val="000000" w:themeColor="text1"/>
                <w:sz w:val="20"/>
              </w:rPr>
            </w:pPr>
            <w:r w:rsidRPr="00A11B95">
              <w:rPr>
                <w:color w:val="000000" w:themeColor="text1"/>
                <w:sz w:val="20"/>
              </w:rPr>
              <w:t>$745</w:t>
            </w:r>
            <w:r w:rsidRPr="00A11B95" w:rsidR="0066755D">
              <w:rPr>
                <w:color w:val="000000" w:themeColor="text1"/>
                <w:sz w:val="20"/>
              </w:rPr>
              <w:t>.00</w:t>
            </w:r>
          </w:p>
        </w:tc>
        <w:tc>
          <w:tcPr>
            <w:tcW w:w="1620" w:type="dxa"/>
            <w:tcBorders>
              <w:right w:val="single" w:color="auto" w:sz="4" w:space="0"/>
            </w:tcBorders>
          </w:tcPr>
          <w:p w:rsidRPr="00A11B95" w:rsidR="00EC394A" w:rsidP="0034746C" w:rsidRDefault="00DF062B" w14:paraId="612635CF" w14:textId="708A3A07">
            <w:pPr>
              <w:rPr>
                <w:color w:val="000000"/>
                <w:sz w:val="20"/>
              </w:rPr>
            </w:pPr>
            <w:r w:rsidRPr="00A11B95">
              <w:rPr>
                <w:i/>
                <w:iCs/>
                <w:color w:val="000000"/>
                <w:sz w:val="20"/>
              </w:rPr>
              <w:t>See</w:t>
            </w:r>
            <w:r w:rsidRPr="00A11B95">
              <w:rPr>
                <w:color w:val="000000"/>
                <w:sz w:val="20"/>
              </w:rPr>
              <w:t xml:space="preserve"> comment #2.</w:t>
            </w:r>
          </w:p>
        </w:tc>
        <w:tc>
          <w:tcPr>
            <w:tcW w:w="1260" w:type="dxa"/>
            <w:gridSpan w:val="2"/>
            <w:tcBorders>
              <w:top w:val="single" w:color="auto" w:sz="4" w:space="0"/>
              <w:left w:val="single" w:color="auto" w:sz="4" w:space="0"/>
              <w:bottom w:val="single" w:color="auto" w:sz="4" w:space="0"/>
              <w:right w:val="single" w:color="auto" w:sz="24" w:space="0"/>
            </w:tcBorders>
          </w:tcPr>
          <w:p w:rsidRPr="00A11B95" w:rsidR="00EC394A" w:rsidP="0034746C" w:rsidRDefault="00F4396C" w14:paraId="11EB359F" w14:textId="49EED224">
            <w:pPr>
              <w:jc w:val="right"/>
              <w:rPr>
                <w:color w:val="000000"/>
                <w:sz w:val="20"/>
              </w:rPr>
            </w:pPr>
            <w:r w:rsidRPr="00A11B95">
              <w:rPr>
                <w:color w:val="000000"/>
                <w:sz w:val="20"/>
              </w:rPr>
              <w:t>$1</w:t>
            </w:r>
            <w:r w:rsidRPr="00A11B95" w:rsidR="003A789F">
              <w:rPr>
                <w:color w:val="000000"/>
                <w:sz w:val="20"/>
              </w:rPr>
              <w:t>,</w:t>
            </w:r>
            <w:r w:rsidRPr="00A11B95">
              <w:rPr>
                <w:color w:val="000000"/>
                <w:sz w:val="20"/>
              </w:rPr>
              <w:t>713.50</w:t>
            </w:r>
          </w:p>
        </w:tc>
        <w:tc>
          <w:tcPr>
            <w:tcW w:w="810" w:type="dxa"/>
            <w:tcBorders>
              <w:left w:val="single" w:color="auto" w:sz="4" w:space="0"/>
            </w:tcBorders>
          </w:tcPr>
          <w:p w:rsidRPr="00A11B95" w:rsidR="00B12548" w:rsidP="0034746C" w:rsidRDefault="00250B5D" w14:paraId="3E31C159" w14:textId="1E15499F">
            <w:pPr>
              <w:jc w:val="center"/>
              <w:rPr>
                <w:color w:val="000000"/>
                <w:sz w:val="20"/>
              </w:rPr>
            </w:pPr>
            <w:r w:rsidRPr="00A11B95">
              <w:rPr>
                <w:color w:val="000000"/>
                <w:sz w:val="20"/>
              </w:rPr>
              <w:t>.92</w:t>
            </w:r>
          </w:p>
          <w:p w:rsidRPr="00A11B95" w:rsidR="005C5E42" w:rsidP="0034746C" w:rsidRDefault="005C5E42" w14:paraId="0774CC10" w14:textId="2F81D786">
            <w:pPr>
              <w:jc w:val="center"/>
              <w:rPr>
                <w:color w:val="000000"/>
                <w:sz w:val="20"/>
              </w:rPr>
            </w:pPr>
            <w:r w:rsidRPr="00A11B95">
              <w:rPr>
                <w:color w:val="000000"/>
                <w:sz w:val="20"/>
              </w:rPr>
              <w:t>[</w:t>
            </w:r>
            <w:r w:rsidRPr="00A11B95" w:rsidR="00280079">
              <w:rPr>
                <w:color w:val="000000"/>
                <w:sz w:val="20"/>
              </w:rPr>
              <w:t>7</w:t>
            </w:r>
            <w:r w:rsidRPr="00A11B95">
              <w:rPr>
                <w:color w:val="000000"/>
                <w:sz w:val="20"/>
              </w:rPr>
              <w:t>]</w:t>
            </w:r>
          </w:p>
        </w:tc>
        <w:tc>
          <w:tcPr>
            <w:tcW w:w="1080" w:type="dxa"/>
          </w:tcPr>
          <w:p w:rsidRPr="00A11B95" w:rsidR="00EC394A" w:rsidP="00FA1744" w:rsidRDefault="009B1C5D" w14:paraId="6424A583" w14:textId="1F73B520">
            <w:pPr>
              <w:jc w:val="right"/>
              <w:rPr>
                <w:color w:val="000000"/>
                <w:sz w:val="20"/>
              </w:rPr>
            </w:pPr>
            <w:r w:rsidRPr="00A11B95">
              <w:rPr>
                <w:color w:val="000000"/>
                <w:sz w:val="20"/>
              </w:rPr>
              <w:t>$745</w:t>
            </w:r>
            <w:r w:rsidRPr="00A11B95" w:rsidR="00FA1744">
              <w:rPr>
                <w:color w:val="000000"/>
                <w:sz w:val="20"/>
              </w:rPr>
              <w:t>.00</w:t>
            </w:r>
          </w:p>
          <w:p w:rsidRPr="00A11B95" w:rsidR="00EB2A73" w:rsidP="00FA1744" w:rsidRDefault="00EB2A73" w14:paraId="26C5373D" w14:textId="40ABC368">
            <w:pPr>
              <w:ind w:left="288"/>
              <w:jc w:val="center"/>
              <w:rPr>
                <w:color w:val="000000"/>
                <w:sz w:val="20"/>
              </w:rPr>
            </w:pPr>
            <w:r w:rsidRPr="00A11B95">
              <w:rPr>
                <w:color w:val="000000"/>
                <w:sz w:val="20"/>
              </w:rPr>
              <w:t>[</w:t>
            </w:r>
            <w:r w:rsidRPr="00A11B95" w:rsidR="00796291">
              <w:rPr>
                <w:color w:val="000000"/>
                <w:sz w:val="20"/>
              </w:rPr>
              <w:t>2</w:t>
            </w:r>
            <w:r w:rsidRPr="00A11B95" w:rsidR="003D6BA9">
              <w:rPr>
                <w:color w:val="000000"/>
                <w:sz w:val="20"/>
              </w:rPr>
              <w:t>,9</w:t>
            </w:r>
            <w:r w:rsidRPr="00A11B95">
              <w:rPr>
                <w:color w:val="000000"/>
                <w:sz w:val="20"/>
              </w:rPr>
              <w:t>]</w:t>
            </w:r>
          </w:p>
        </w:tc>
        <w:tc>
          <w:tcPr>
            <w:tcW w:w="1200" w:type="dxa"/>
          </w:tcPr>
          <w:p w:rsidRPr="00A11B95" w:rsidR="00EC394A" w:rsidP="00AC2135" w:rsidRDefault="00B23912" w14:paraId="76E4E630" w14:textId="401C4F8E">
            <w:pPr>
              <w:jc w:val="right"/>
              <w:rPr>
                <w:color w:val="000000"/>
                <w:sz w:val="20"/>
              </w:rPr>
            </w:pPr>
            <w:r w:rsidRPr="00A11B95">
              <w:rPr>
                <w:color w:val="000000"/>
                <w:sz w:val="20"/>
              </w:rPr>
              <w:t>$</w:t>
            </w:r>
            <w:r w:rsidRPr="00A11B95" w:rsidR="00250B5D">
              <w:rPr>
                <w:color w:val="000000"/>
                <w:sz w:val="20"/>
              </w:rPr>
              <w:t>685.40</w:t>
            </w:r>
          </w:p>
        </w:tc>
      </w:tr>
      <w:tr w:rsidRPr="00A11B95" w:rsidR="00A11B95" w:rsidTr="001038CB" w14:paraId="5BF6A154" w14:textId="77777777">
        <w:trPr>
          <w:cantSplit/>
          <w:jc w:val="center"/>
        </w:trPr>
        <w:tc>
          <w:tcPr>
            <w:tcW w:w="1885" w:type="dxa"/>
          </w:tcPr>
          <w:p w:rsidR="001038CB" w:rsidP="0034746C" w:rsidRDefault="003F5687" w14:paraId="5F19C37F" w14:textId="77777777">
            <w:pPr>
              <w:rPr>
                <w:color w:val="000000"/>
                <w:sz w:val="20"/>
              </w:rPr>
            </w:pPr>
            <w:r w:rsidRPr="00A11B95">
              <w:rPr>
                <w:color w:val="000000"/>
                <w:sz w:val="20"/>
              </w:rPr>
              <w:t>Loretta Lynch</w:t>
            </w:r>
            <w:r w:rsidRPr="00A11B95" w:rsidR="00CD4963">
              <w:rPr>
                <w:color w:val="000000"/>
                <w:sz w:val="20"/>
              </w:rPr>
              <w:t xml:space="preserve"> </w:t>
            </w:r>
          </w:p>
          <w:p w:rsidRPr="00A11B95" w:rsidR="00A92D0B" w:rsidP="0034746C" w:rsidRDefault="00CD4963" w14:paraId="118506EC" w14:textId="71DDA542">
            <w:pPr>
              <w:rPr>
                <w:color w:val="000000"/>
                <w:sz w:val="20"/>
              </w:rPr>
            </w:pPr>
            <w:r w:rsidRPr="00A11B95">
              <w:rPr>
                <w:color w:val="000000"/>
                <w:sz w:val="20"/>
              </w:rPr>
              <w:t>[Attorney]</w:t>
            </w:r>
          </w:p>
        </w:tc>
        <w:tc>
          <w:tcPr>
            <w:tcW w:w="720" w:type="dxa"/>
            <w:gridSpan w:val="2"/>
          </w:tcPr>
          <w:p w:rsidRPr="00A11B95" w:rsidR="00A92D0B" w:rsidP="0034746C" w:rsidRDefault="00945032" w14:paraId="3767540B" w14:textId="5D98AF43">
            <w:pPr>
              <w:jc w:val="center"/>
              <w:rPr>
                <w:color w:val="000000"/>
                <w:sz w:val="20"/>
              </w:rPr>
            </w:pPr>
            <w:r w:rsidRPr="00A11B95">
              <w:rPr>
                <w:color w:val="000000"/>
                <w:sz w:val="20"/>
              </w:rPr>
              <w:t>2022</w:t>
            </w:r>
          </w:p>
        </w:tc>
        <w:tc>
          <w:tcPr>
            <w:tcW w:w="810" w:type="dxa"/>
          </w:tcPr>
          <w:p w:rsidRPr="00A11B95" w:rsidR="00A92D0B" w:rsidP="0034746C" w:rsidRDefault="00CF4B41" w14:paraId="120FE857" w14:textId="2F43CB92">
            <w:pPr>
              <w:jc w:val="center"/>
              <w:rPr>
                <w:color w:val="000000"/>
                <w:sz w:val="20"/>
              </w:rPr>
            </w:pPr>
            <w:r w:rsidRPr="00A11B95">
              <w:rPr>
                <w:color w:val="000000"/>
                <w:sz w:val="20"/>
              </w:rPr>
              <w:t>21.9</w:t>
            </w:r>
          </w:p>
        </w:tc>
        <w:tc>
          <w:tcPr>
            <w:tcW w:w="1170" w:type="dxa"/>
            <w:gridSpan w:val="2"/>
          </w:tcPr>
          <w:p w:rsidRPr="00A11B95" w:rsidR="00A92D0B" w:rsidP="0066755D" w:rsidRDefault="00336F06" w14:paraId="075109E1" w14:textId="13B0993B">
            <w:pPr>
              <w:jc w:val="right"/>
              <w:rPr>
                <w:color w:val="000000"/>
                <w:sz w:val="20"/>
              </w:rPr>
            </w:pPr>
            <w:r w:rsidRPr="00A11B95">
              <w:rPr>
                <w:color w:val="000000" w:themeColor="text1"/>
                <w:sz w:val="20"/>
              </w:rPr>
              <w:t>$715</w:t>
            </w:r>
            <w:r w:rsidRPr="00A11B95" w:rsidR="0066755D">
              <w:rPr>
                <w:color w:val="000000" w:themeColor="text1"/>
                <w:sz w:val="20"/>
              </w:rPr>
              <w:t>.00</w:t>
            </w:r>
          </w:p>
        </w:tc>
        <w:tc>
          <w:tcPr>
            <w:tcW w:w="1620" w:type="dxa"/>
            <w:tcBorders>
              <w:right w:val="single" w:color="auto" w:sz="4" w:space="0"/>
            </w:tcBorders>
          </w:tcPr>
          <w:p w:rsidRPr="00A11B95" w:rsidR="00A92D0B" w:rsidP="0034746C" w:rsidRDefault="00D4078A" w14:paraId="4AF4C006" w14:textId="50A1C724">
            <w:pPr>
              <w:rPr>
                <w:color w:val="000000"/>
                <w:sz w:val="20"/>
              </w:rPr>
            </w:pPr>
            <w:r w:rsidRPr="00A11B95">
              <w:rPr>
                <w:color w:val="000000"/>
                <w:sz w:val="20"/>
              </w:rPr>
              <w:t>D.24</w:t>
            </w:r>
            <w:r w:rsidR="00B52830">
              <w:rPr>
                <w:color w:val="000000"/>
                <w:sz w:val="20"/>
              </w:rPr>
              <w:noBreakHyphen/>
            </w:r>
            <w:r w:rsidRPr="00A11B95">
              <w:rPr>
                <w:color w:val="000000"/>
                <w:sz w:val="20"/>
              </w:rPr>
              <w:t>09</w:t>
            </w:r>
            <w:r w:rsidR="00B52830">
              <w:rPr>
                <w:color w:val="000000"/>
                <w:sz w:val="20"/>
              </w:rPr>
              <w:noBreakHyphen/>
            </w:r>
            <w:r w:rsidRPr="00A11B95">
              <w:rPr>
                <w:color w:val="000000"/>
                <w:sz w:val="20"/>
              </w:rPr>
              <w:t>48</w:t>
            </w:r>
            <w:r w:rsidRPr="00A11B95" w:rsidR="00B0547B">
              <w:rPr>
                <w:color w:val="000000"/>
                <w:sz w:val="20"/>
              </w:rPr>
              <w:t>,</w:t>
            </w:r>
            <w:r w:rsidRPr="00A11B95" w:rsidR="0015516F">
              <w:rPr>
                <w:color w:val="000000"/>
                <w:sz w:val="20"/>
              </w:rPr>
              <w:t xml:space="preserve"> p. </w:t>
            </w:r>
            <w:r w:rsidRPr="00A11B95" w:rsidR="00B0547B">
              <w:rPr>
                <w:color w:val="000000"/>
                <w:sz w:val="20"/>
              </w:rPr>
              <w:t>36</w:t>
            </w:r>
          </w:p>
        </w:tc>
        <w:tc>
          <w:tcPr>
            <w:tcW w:w="1260" w:type="dxa"/>
            <w:gridSpan w:val="2"/>
            <w:tcBorders>
              <w:top w:val="single" w:color="auto" w:sz="4" w:space="0"/>
              <w:left w:val="single" w:color="auto" w:sz="4" w:space="0"/>
              <w:bottom w:val="single" w:color="auto" w:sz="4" w:space="0"/>
              <w:right w:val="single" w:color="auto" w:sz="24" w:space="0"/>
            </w:tcBorders>
          </w:tcPr>
          <w:p w:rsidRPr="00A11B95" w:rsidR="00A92D0B" w:rsidP="0034746C" w:rsidRDefault="00F4396C" w14:paraId="2A77845E" w14:textId="7648B412">
            <w:pPr>
              <w:jc w:val="right"/>
              <w:rPr>
                <w:color w:val="000000"/>
                <w:sz w:val="20"/>
              </w:rPr>
            </w:pPr>
            <w:r w:rsidRPr="00A11B95">
              <w:rPr>
                <w:color w:val="000000"/>
                <w:sz w:val="20"/>
              </w:rPr>
              <w:t>$15,658.50</w:t>
            </w:r>
          </w:p>
        </w:tc>
        <w:tc>
          <w:tcPr>
            <w:tcW w:w="810" w:type="dxa"/>
            <w:tcBorders>
              <w:left w:val="single" w:color="auto" w:sz="4" w:space="0"/>
            </w:tcBorders>
          </w:tcPr>
          <w:p w:rsidRPr="00A11B95" w:rsidR="00A92D0B" w:rsidP="0034746C" w:rsidRDefault="005F784B" w14:paraId="058833E8" w14:textId="6F1585B7">
            <w:pPr>
              <w:jc w:val="center"/>
              <w:rPr>
                <w:color w:val="000000"/>
                <w:sz w:val="20"/>
              </w:rPr>
            </w:pPr>
            <w:r w:rsidRPr="00A11B95">
              <w:rPr>
                <w:color w:val="000000"/>
                <w:sz w:val="20"/>
              </w:rPr>
              <w:t>8.76</w:t>
            </w:r>
          </w:p>
          <w:p w:rsidRPr="00A11B95" w:rsidR="005C5E42" w:rsidP="0034746C" w:rsidRDefault="005C5E42" w14:paraId="461DC9FD" w14:textId="31E52C94">
            <w:pPr>
              <w:jc w:val="center"/>
              <w:rPr>
                <w:color w:val="000000"/>
                <w:sz w:val="20"/>
              </w:rPr>
            </w:pPr>
            <w:r w:rsidRPr="00A11B95">
              <w:rPr>
                <w:color w:val="000000"/>
                <w:sz w:val="20"/>
              </w:rPr>
              <w:t>[</w:t>
            </w:r>
            <w:r w:rsidRPr="00A11B95" w:rsidR="00796291">
              <w:rPr>
                <w:color w:val="000000"/>
                <w:sz w:val="20"/>
              </w:rPr>
              <w:t>7</w:t>
            </w:r>
            <w:r w:rsidRPr="00A11B95">
              <w:rPr>
                <w:color w:val="000000"/>
                <w:sz w:val="20"/>
              </w:rPr>
              <w:t>]</w:t>
            </w:r>
          </w:p>
        </w:tc>
        <w:tc>
          <w:tcPr>
            <w:tcW w:w="1080" w:type="dxa"/>
          </w:tcPr>
          <w:p w:rsidRPr="00A11B95" w:rsidR="00A92D0B" w:rsidP="00FA1744" w:rsidRDefault="009B1C5D" w14:paraId="4EDEC270" w14:textId="34F84E1D">
            <w:pPr>
              <w:jc w:val="right"/>
              <w:rPr>
                <w:color w:val="000000"/>
                <w:sz w:val="20"/>
              </w:rPr>
            </w:pPr>
            <w:r w:rsidRPr="00A11B95">
              <w:rPr>
                <w:color w:val="000000"/>
                <w:sz w:val="20"/>
              </w:rPr>
              <w:t>$715</w:t>
            </w:r>
            <w:r w:rsidRPr="00A11B95" w:rsidR="00FA1744">
              <w:rPr>
                <w:color w:val="000000"/>
                <w:sz w:val="20"/>
              </w:rPr>
              <w:t>.00</w:t>
            </w:r>
          </w:p>
          <w:p w:rsidRPr="00A11B95" w:rsidR="00EB2A73" w:rsidP="00FA1744" w:rsidRDefault="00EB2A73" w14:paraId="7FDABF74" w14:textId="13EB445C">
            <w:pPr>
              <w:ind w:left="288"/>
              <w:jc w:val="center"/>
              <w:rPr>
                <w:color w:val="000000"/>
                <w:sz w:val="20"/>
              </w:rPr>
            </w:pPr>
            <w:r w:rsidRPr="00A11B95">
              <w:rPr>
                <w:color w:val="000000"/>
                <w:sz w:val="20"/>
              </w:rPr>
              <w:t>[</w:t>
            </w:r>
            <w:r w:rsidRPr="00A11B95" w:rsidR="00796291">
              <w:rPr>
                <w:color w:val="000000"/>
                <w:sz w:val="20"/>
              </w:rPr>
              <w:t>2</w:t>
            </w:r>
            <w:r w:rsidRPr="00A11B95" w:rsidR="003D6BA9">
              <w:rPr>
                <w:color w:val="000000"/>
                <w:sz w:val="20"/>
              </w:rPr>
              <w:t>,9</w:t>
            </w:r>
            <w:r w:rsidRPr="00A11B95">
              <w:rPr>
                <w:color w:val="000000"/>
                <w:sz w:val="20"/>
              </w:rPr>
              <w:t>]</w:t>
            </w:r>
          </w:p>
        </w:tc>
        <w:tc>
          <w:tcPr>
            <w:tcW w:w="1200" w:type="dxa"/>
          </w:tcPr>
          <w:p w:rsidRPr="00A11B95" w:rsidR="00250C8C" w:rsidP="00AC2135" w:rsidRDefault="00E53A96" w14:paraId="05EFCF76" w14:textId="02F66ECB">
            <w:pPr>
              <w:jc w:val="right"/>
              <w:rPr>
                <w:color w:val="000000"/>
                <w:sz w:val="20"/>
              </w:rPr>
            </w:pPr>
            <w:r w:rsidRPr="00A11B95">
              <w:rPr>
                <w:color w:val="000000"/>
                <w:sz w:val="20"/>
              </w:rPr>
              <w:t>$</w:t>
            </w:r>
            <w:r w:rsidRPr="00A11B95" w:rsidR="005F784B">
              <w:rPr>
                <w:color w:val="000000"/>
                <w:sz w:val="20"/>
              </w:rPr>
              <w:t>6,263.40</w:t>
            </w:r>
          </w:p>
        </w:tc>
      </w:tr>
      <w:tr w:rsidRPr="00A11B95" w:rsidR="00A11B95" w:rsidTr="001038CB" w14:paraId="38E0B4EA" w14:textId="77777777">
        <w:trPr>
          <w:cantSplit/>
          <w:jc w:val="center"/>
        </w:trPr>
        <w:tc>
          <w:tcPr>
            <w:tcW w:w="1885" w:type="dxa"/>
          </w:tcPr>
          <w:p w:rsidRPr="00A11B95" w:rsidR="00A92D0B" w:rsidP="0034746C" w:rsidRDefault="0024516C" w14:paraId="0B87EE5E" w14:textId="77777777">
            <w:pPr>
              <w:rPr>
                <w:color w:val="000000"/>
                <w:sz w:val="20"/>
              </w:rPr>
            </w:pPr>
            <w:r w:rsidRPr="00A11B95">
              <w:rPr>
                <w:color w:val="000000"/>
                <w:sz w:val="20"/>
              </w:rPr>
              <w:t>Jonathan Webster</w:t>
            </w:r>
          </w:p>
          <w:p w:rsidRPr="00A11B95" w:rsidR="00BC5F20" w:rsidP="0034746C" w:rsidRDefault="00BC5F20" w14:paraId="1F980DF3" w14:textId="0EF38A02">
            <w:pPr>
              <w:rPr>
                <w:color w:val="000000"/>
                <w:sz w:val="20"/>
              </w:rPr>
            </w:pPr>
            <w:r w:rsidRPr="00A11B95">
              <w:rPr>
                <w:color w:val="000000"/>
                <w:sz w:val="20"/>
              </w:rPr>
              <w:t>[Attorney]</w:t>
            </w:r>
          </w:p>
        </w:tc>
        <w:tc>
          <w:tcPr>
            <w:tcW w:w="720" w:type="dxa"/>
            <w:gridSpan w:val="2"/>
          </w:tcPr>
          <w:p w:rsidRPr="00A11B95" w:rsidR="00A92D0B" w:rsidP="0034746C" w:rsidRDefault="00945032" w14:paraId="275BF57A" w14:textId="38761FE8">
            <w:pPr>
              <w:jc w:val="center"/>
              <w:rPr>
                <w:color w:val="000000"/>
                <w:sz w:val="20"/>
              </w:rPr>
            </w:pPr>
            <w:r w:rsidRPr="00A11B95">
              <w:rPr>
                <w:color w:val="000000"/>
                <w:sz w:val="20"/>
              </w:rPr>
              <w:t>2024</w:t>
            </w:r>
          </w:p>
        </w:tc>
        <w:tc>
          <w:tcPr>
            <w:tcW w:w="810" w:type="dxa"/>
          </w:tcPr>
          <w:p w:rsidRPr="00A11B95" w:rsidR="00A92D0B" w:rsidP="0034746C" w:rsidRDefault="00F731E2" w14:paraId="0DE506C4" w14:textId="0AEFE1D2">
            <w:pPr>
              <w:jc w:val="center"/>
              <w:rPr>
                <w:color w:val="000000"/>
                <w:sz w:val="20"/>
              </w:rPr>
            </w:pPr>
            <w:r w:rsidRPr="00A11B95">
              <w:rPr>
                <w:color w:val="000000"/>
                <w:sz w:val="20"/>
              </w:rPr>
              <w:t>25.3</w:t>
            </w:r>
          </w:p>
        </w:tc>
        <w:tc>
          <w:tcPr>
            <w:tcW w:w="1170" w:type="dxa"/>
            <w:gridSpan w:val="2"/>
          </w:tcPr>
          <w:p w:rsidRPr="00A11B95" w:rsidR="00A92D0B" w:rsidP="0066755D" w:rsidRDefault="00E650D1" w14:paraId="26413E95" w14:textId="78F33470">
            <w:pPr>
              <w:jc w:val="right"/>
              <w:rPr>
                <w:color w:val="000000"/>
                <w:sz w:val="20"/>
              </w:rPr>
            </w:pPr>
            <w:r w:rsidRPr="00A11B95">
              <w:rPr>
                <w:color w:val="000000" w:themeColor="text1"/>
                <w:sz w:val="20"/>
              </w:rPr>
              <w:t>$260</w:t>
            </w:r>
            <w:r w:rsidRPr="00A11B95" w:rsidR="0066755D">
              <w:rPr>
                <w:color w:val="000000" w:themeColor="text1"/>
                <w:sz w:val="20"/>
              </w:rPr>
              <w:t>.00</w:t>
            </w:r>
          </w:p>
        </w:tc>
        <w:tc>
          <w:tcPr>
            <w:tcW w:w="1620" w:type="dxa"/>
            <w:tcBorders>
              <w:right w:val="single" w:color="auto" w:sz="4" w:space="0"/>
            </w:tcBorders>
          </w:tcPr>
          <w:p w:rsidRPr="00A11B95" w:rsidR="00A92D0B" w:rsidP="0034746C" w:rsidRDefault="243EC15D" w14:paraId="300AA881" w14:textId="34D0F451">
            <w:pPr>
              <w:rPr>
                <w:sz w:val="20"/>
              </w:rPr>
            </w:pPr>
            <w:r w:rsidRPr="00A11B95">
              <w:rPr>
                <w:i/>
                <w:iCs/>
                <w:color w:val="000000" w:themeColor="text1"/>
                <w:sz w:val="20"/>
              </w:rPr>
              <w:t xml:space="preserve">See </w:t>
            </w:r>
            <w:r w:rsidRPr="00A11B95">
              <w:rPr>
                <w:color w:val="000000" w:themeColor="text1"/>
                <w:sz w:val="20"/>
              </w:rPr>
              <w:t>Comment #</w:t>
            </w:r>
            <w:r w:rsidRPr="00A11B95" w:rsidR="00DF062B">
              <w:rPr>
                <w:color w:val="000000" w:themeColor="text1"/>
                <w:sz w:val="20"/>
              </w:rPr>
              <w:t>3</w:t>
            </w:r>
            <w:r w:rsidRPr="00A11B95">
              <w:rPr>
                <w:color w:val="000000" w:themeColor="text1"/>
                <w:sz w:val="20"/>
              </w:rPr>
              <w:t>.</w:t>
            </w:r>
          </w:p>
        </w:tc>
        <w:tc>
          <w:tcPr>
            <w:tcW w:w="1260" w:type="dxa"/>
            <w:gridSpan w:val="2"/>
            <w:tcBorders>
              <w:top w:val="single" w:color="auto" w:sz="4" w:space="0"/>
              <w:left w:val="single" w:color="auto" w:sz="4" w:space="0"/>
              <w:bottom w:val="single" w:color="auto" w:sz="4" w:space="0"/>
              <w:right w:val="single" w:color="auto" w:sz="24" w:space="0"/>
            </w:tcBorders>
          </w:tcPr>
          <w:p w:rsidRPr="00A11B95" w:rsidR="00A92D0B" w:rsidP="0034746C" w:rsidRDefault="00F4396C" w14:paraId="23EF368E" w14:textId="3D5C3D07">
            <w:pPr>
              <w:jc w:val="right"/>
              <w:rPr>
                <w:color w:val="000000"/>
                <w:sz w:val="20"/>
              </w:rPr>
            </w:pPr>
            <w:r w:rsidRPr="00A11B95">
              <w:rPr>
                <w:color w:val="000000"/>
                <w:sz w:val="20"/>
              </w:rPr>
              <w:t>$</w:t>
            </w:r>
            <w:r w:rsidRPr="00A11B95" w:rsidR="00E167F3">
              <w:rPr>
                <w:color w:val="000000"/>
                <w:sz w:val="20"/>
              </w:rPr>
              <w:t>6,578</w:t>
            </w:r>
          </w:p>
        </w:tc>
        <w:tc>
          <w:tcPr>
            <w:tcW w:w="810" w:type="dxa"/>
            <w:tcBorders>
              <w:left w:val="single" w:color="auto" w:sz="4" w:space="0"/>
            </w:tcBorders>
          </w:tcPr>
          <w:p w:rsidRPr="00A11B95" w:rsidR="00A92D0B" w:rsidP="0034746C" w:rsidRDefault="00F9669F" w14:paraId="08BFE8C9" w14:textId="5DC00A53">
            <w:pPr>
              <w:jc w:val="center"/>
              <w:rPr>
                <w:color w:val="000000"/>
                <w:sz w:val="20"/>
              </w:rPr>
            </w:pPr>
            <w:r w:rsidRPr="00A11B95">
              <w:rPr>
                <w:color w:val="000000"/>
                <w:sz w:val="20"/>
              </w:rPr>
              <w:t>1</w:t>
            </w:r>
            <w:r w:rsidRPr="00A11B95" w:rsidR="00800B98">
              <w:rPr>
                <w:color w:val="000000"/>
                <w:sz w:val="20"/>
              </w:rPr>
              <w:t>0.12</w:t>
            </w:r>
          </w:p>
          <w:p w:rsidRPr="00A11B95" w:rsidR="005C5E42" w:rsidP="0034746C" w:rsidRDefault="005C5E42" w14:paraId="2B0CA953" w14:textId="0CD84728">
            <w:pPr>
              <w:jc w:val="center"/>
              <w:rPr>
                <w:color w:val="000000"/>
                <w:sz w:val="20"/>
              </w:rPr>
            </w:pPr>
            <w:r w:rsidRPr="00A11B95">
              <w:rPr>
                <w:color w:val="000000"/>
                <w:sz w:val="20"/>
              </w:rPr>
              <w:t>[</w:t>
            </w:r>
            <w:r w:rsidRPr="00A11B95" w:rsidR="00796291">
              <w:rPr>
                <w:color w:val="000000"/>
                <w:sz w:val="20"/>
              </w:rPr>
              <w:t>7</w:t>
            </w:r>
            <w:r w:rsidRPr="00A11B95">
              <w:rPr>
                <w:color w:val="000000"/>
                <w:sz w:val="20"/>
              </w:rPr>
              <w:t>]</w:t>
            </w:r>
          </w:p>
        </w:tc>
        <w:tc>
          <w:tcPr>
            <w:tcW w:w="1080" w:type="dxa"/>
          </w:tcPr>
          <w:p w:rsidRPr="00A11B95" w:rsidR="00A92D0B" w:rsidP="00FA1744" w:rsidRDefault="00731937" w14:paraId="0A035459" w14:textId="57B901FE">
            <w:pPr>
              <w:jc w:val="right"/>
              <w:rPr>
                <w:color w:val="000000"/>
                <w:sz w:val="20"/>
              </w:rPr>
            </w:pPr>
            <w:r w:rsidRPr="00A11B95">
              <w:rPr>
                <w:color w:val="000000"/>
                <w:sz w:val="20"/>
              </w:rPr>
              <w:t>$</w:t>
            </w:r>
            <w:r w:rsidRPr="00A11B95" w:rsidR="00923CDC">
              <w:rPr>
                <w:color w:val="000000"/>
                <w:sz w:val="20"/>
              </w:rPr>
              <w:t>2</w:t>
            </w:r>
            <w:r w:rsidR="009B0C9A">
              <w:rPr>
                <w:color w:val="000000"/>
                <w:sz w:val="20"/>
              </w:rPr>
              <w:t>6</w:t>
            </w:r>
            <w:r w:rsidRPr="00A11B95" w:rsidR="00923CDC">
              <w:rPr>
                <w:color w:val="000000"/>
                <w:sz w:val="20"/>
              </w:rPr>
              <w:t>0</w:t>
            </w:r>
            <w:r w:rsidRPr="00A11B95" w:rsidR="00FA1744">
              <w:rPr>
                <w:color w:val="000000"/>
                <w:sz w:val="20"/>
              </w:rPr>
              <w:t>.00</w:t>
            </w:r>
          </w:p>
          <w:p w:rsidRPr="00A11B95" w:rsidR="00EB2A73" w:rsidP="00FA1744" w:rsidRDefault="00E53A96" w14:paraId="1FC8906C" w14:textId="5B77C95A">
            <w:pPr>
              <w:ind w:left="288"/>
              <w:jc w:val="center"/>
              <w:rPr>
                <w:color w:val="000000"/>
                <w:sz w:val="20"/>
              </w:rPr>
            </w:pPr>
            <w:r w:rsidRPr="00A11B95">
              <w:rPr>
                <w:color w:val="000000"/>
                <w:sz w:val="20"/>
              </w:rPr>
              <w:t>[</w:t>
            </w:r>
            <w:r w:rsidRPr="00A11B95" w:rsidR="00796291">
              <w:rPr>
                <w:color w:val="000000"/>
                <w:sz w:val="20"/>
              </w:rPr>
              <w:t>3</w:t>
            </w:r>
            <w:r w:rsidRPr="00A11B95" w:rsidR="00EB2A73">
              <w:rPr>
                <w:color w:val="000000"/>
                <w:sz w:val="20"/>
              </w:rPr>
              <w:t>]</w:t>
            </w:r>
          </w:p>
        </w:tc>
        <w:tc>
          <w:tcPr>
            <w:tcW w:w="1200" w:type="dxa"/>
          </w:tcPr>
          <w:p w:rsidRPr="00A11B95" w:rsidR="00A92D0B" w:rsidP="00AC2135" w:rsidRDefault="00F9669F" w14:paraId="6C594CB5" w14:textId="757A4593">
            <w:pPr>
              <w:jc w:val="right"/>
              <w:rPr>
                <w:color w:val="000000"/>
                <w:sz w:val="20"/>
              </w:rPr>
            </w:pPr>
            <w:r w:rsidRPr="00A11B95">
              <w:rPr>
                <w:color w:val="000000"/>
                <w:sz w:val="20"/>
              </w:rPr>
              <w:t>$</w:t>
            </w:r>
            <w:r w:rsidRPr="00A11B95" w:rsidR="00800B98">
              <w:rPr>
                <w:color w:val="000000"/>
                <w:sz w:val="20"/>
              </w:rPr>
              <w:t>2,</w:t>
            </w:r>
            <w:r w:rsidR="009B0C9A">
              <w:rPr>
                <w:color w:val="000000"/>
                <w:sz w:val="20"/>
              </w:rPr>
              <w:t>631.20</w:t>
            </w:r>
          </w:p>
        </w:tc>
      </w:tr>
      <w:tr w:rsidRPr="00A11B95" w:rsidR="00A11B95" w:rsidTr="001038CB" w14:paraId="78FC5ECE" w14:textId="77777777">
        <w:trPr>
          <w:cantSplit/>
          <w:jc w:val="center"/>
        </w:trPr>
        <w:tc>
          <w:tcPr>
            <w:tcW w:w="1885" w:type="dxa"/>
          </w:tcPr>
          <w:p w:rsidRPr="00A11B95" w:rsidR="00A92D0B" w:rsidP="0034746C" w:rsidRDefault="006C2CDC" w14:paraId="1F8943E9" w14:textId="19D4CB1F">
            <w:pPr>
              <w:rPr>
                <w:color w:val="000000"/>
                <w:sz w:val="20"/>
              </w:rPr>
            </w:pPr>
            <w:r w:rsidRPr="00A11B95">
              <w:rPr>
                <w:color w:val="000000"/>
                <w:sz w:val="20"/>
              </w:rPr>
              <w:t>Mark Ellis</w:t>
            </w:r>
          </w:p>
        </w:tc>
        <w:tc>
          <w:tcPr>
            <w:tcW w:w="720" w:type="dxa"/>
            <w:gridSpan w:val="2"/>
          </w:tcPr>
          <w:p w:rsidRPr="00A11B95" w:rsidR="00A92D0B" w:rsidP="0034746C" w:rsidRDefault="00945032" w14:paraId="6FFEFF62" w14:textId="36088007">
            <w:pPr>
              <w:jc w:val="center"/>
              <w:rPr>
                <w:color w:val="000000"/>
                <w:sz w:val="20"/>
              </w:rPr>
            </w:pPr>
            <w:r w:rsidRPr="00A11B95">
              <w:rPr>
                <w:color w:val="000000"/>
                <w:sz w:val="20"/>
              </w:rPr>
              <w:t>2024</w:t>
            </w:r>
          </w:p>
        </w:tc>
        <w:tc>
          <w:tcPr>
            <w:tcW w:w="810" w:type="dxa"/>
          </w:tcPr>
          <w:p w:rsidRPr="00A11B95" w:rsidR="00A92D0B" w:rsidP="0034746C" w:rsidRDefault="00E75148" w14:paraId="24984638" w14:textId="0284CDC7">
            <w:pPr>
              <w:jc w:val="center"/>
              <w:rPr>
                <w:color w:val="000000"/>
                <w:sz w:val="20"/>
              </w:rPr>
            </w:pPr>
            <w:r w:rsidRPr="00A11B95">
              <w:rPr>
                <w:color w:val="000000"/>
                <w:sz w:val="20"/>
              </w:rPr>
              <w:t>130.2</w:t>
            </w:r>
          </w:p>
        </w:tc>
        <w:tc>
          <w:tcPr>
            <w:tcW w:w="1170" w:type="dxa"/>
            <w:gridSpan w:val="2"/>
          </w:tcPr>
          <w:p w:rsidRPr="00A11B95" w:rsidR="00A92D0B" w:rsidP="0066755D" w:rsidRDefault="00C868F2" w14:paraId="00CA9050" w14:textId="2E7BF5DC">
            <w:pPr>
              <w:jc w:val="right"/>
              <w:rPr>
                <w:color w:val="000000"/>
                <w:sz w:val="20"/>
              </w:rPr>
            </w:pPr>
            <w:r w:rsidRPr="00A11B95">
              <w:rPr>
                <w:color w:val="000000"/>
                <w:sz w:val="20"/>
              </w:rPr>
              <w:t>$</w:t>
            </w:r>
            <w:r w:rsidRPr="00A11B95" w:rsidR="00A01EC7">
              <w:rPr>
                <w:color w:val="000000"/>
                <w:sz w:val="20"/>
              </w:rPr>
              <w:t>1</w:t>
            </w:r>
            <w:r w:rsidRPr="00A11B95" w:rsidR="0066755D">
              <w:rPr>
                <w:color w:val="000000"/>
                <w:sz w:val="20"/>
              </w:rPr>
              <w:t>,</w:t>
            </w:r>
            <w:r w:rsidRPr="00A11B95" w:rsidR="00A01EC7">
              <w:rPr>
                <w:color w:val="000000"/>
                <w:sz w:val="20"/>
              </w:rPr>
              <w:t>125</w:t>
            </w:r>
            <w:r w:rsidRPr="00A11B95" w:rsidR="0066755D">
              <w:rPr>
                <w:color w:val="000000" w:themeColor="text1"/>
                <w:sz w:val="20"/>
              </w:rPr>
              <w:t>.00</w:t>
            </w:r>
          </w:p>
        </w:tc>
        <w:tc>
          <w:tcPr>
            <w:tcW w:w="1620" w:type="dxa"/>
            <w:tcBorders>
              <w:right w:val="single" w:color="auto" w:sz="4" w:space="0"/>
            </w:tcBorders>
          </w:tcPr>
          <w:p w:rsidRPr="00A11B95" w:rsidR="00A92D0B" w:rsidP="0034746C" w:rsidRDefault="009D57EE" w14:paraId="760F08DA" w14:textId="6F3A89E7">
            <w:pPr>
              <w:rPr>
                <w:color w:val="000000"/>
                <w:sz w:val="20"/>
              </w:rPr>
            </w:pPr>
            <w:r w:rsidRPr="00A11B95">
              <w:rPr>
                <w:i/>
                <w:iCs/>
                <w:color w:val="000000" w:themeColor="text1"/>
                <w:sz w:val="20"/>
              </w:rPr>
              <w:t xml:space="preserve">See </w:t>
            </w:r>
            <w:r w:rsidRPr="00A11B95">
              <w:rPr>
                <w:color w:val="000000" w:themeColor="text1"/>
                <w:sz w:val="20"/>
              </w:rPr>
              <w:t>Comment #</w:t>
            </w:r>
            <w:r w:rsidRPr="00A11B95" w:rsidR="00DF062B">
              <w:rPr>
                <w:color w:val="000000" w:themeColor="text1"/>
                <w:sz w:val="20"/>
              </w:rPr>
              <w:t>4</w:t>
            </w:r>
            <w:r w:rsidRPr="00A11B95">
              <w:rPr>
                <w:color w:val="000000" w:themeColor="text1"/>
                <w:sz w:val="20"/>
              </w:rPr>
              <w:t>.</w:t>
            </w:r>
          </w:p>
        </w:tc>
        <w:tc>
          <w:tcPr>
            <w:tcW w:w="1260" w:type="dxa"/>
            <w:gridSpan w:val="2"/>
            <w:tcBorders>
              <w:top w:val="single" w:color="auto" w:sz="4" w:space="0"/>
              <w:left w:val="single" w:color="auto" w:sz="4" w:space="0"/>
              <w:bottom w:val="single" w:color="auto" w:sz="4" w:space="0"/>
              <w:right w:val="single" w:color="auto" w:sz="24" w:space="0"/>
            </w:tcBorders>
          </w:tcPr>
          <w:p w:rsidRPr="00A11B95" w:rsidR="00A92D0B" w:rsidP="0034746C" w:rsidRDefault="00F4396C" w14:paraId="39D39174" w14:textId="769006FD">
            <w:pPr>
              <w:jc w:val="right"/>
              <w:rPr>
                <w:color w:val="000000"/>
                <w:sz w:val="20"/>
              </w:rPr>
            </w:pPr>
            <w:r w:rsidRPr="00A11B95">
              <w:rPr>
                <w:color w:val="000000"/>
                <w:sz w:val="20"/>
              </w:rPr>
              <w:t>$146</w:t>
            </w:r>
            <w:r w:rsidRPr="00A11B95" w:rsidR="006A21F7">
              <w:rPr>
                <w:color w:val="000000"/>
                <w:sz w:val="20"/>
              </w:rPr>
              <w:t>,475</w:t>
            </w:r>
          </w:p>
        </w:tc>
        <w:tc>
          <w:tcPr>
            <w:tcW w:w="810" w:type="dxa"/>
            <w:tcBorders>
              <w:left w:val="single" w:color="auto" w:sz="4" w:space="0"/>
            </w:tcBorders>
          </w:tcPr>
          <w:p w:rsidRPr="00A11B95" w:rsidR="007F4133" w:rsidP="0034746C" w:rsidRDefault="00673FAE" w14:paraId="405258F4" w14:textId="34B9D74B">
            <w:pPr>
              <w:jc w:val="center"/>
              <w:rPr>
                <w:color w:val="000000"/>
                <w:sz w:val="20"/>
              </w:rPr>
            </w:pPr>
            <w:r w:rsidRPr="00A11B95">
              <w:rPr>
                <w:color w:val="000000"/>
                <w:sz w:val="20"/>
              </w:rPr>
              <w:t>5</w:t>
            </w:r>
            <w:r w:rsidRPr="00A11B95" w:rsidR="00800B98">
              <w:rPr>
                <w:color w:val="000000"/>
                <w:sz w:val="20"/>
              </w:rPr>
              <w:t>2.08</w:t>
            </w:r>
          </w:p>
          <w:p w:rsidRPr="00A11B95" w:rsidR="007F4133" w:rsidP="00DE7565" w:rsidRDefault="00EB2A73" w14:paraId="047FD0B5" w14:textId="22219617">
            <w:pPr>
              <w:jc w:val="center"/>
              <w:rPr>
                <w:color w:val="000000"/>
                <w:sz w:val="20"/>
              </w:rPr>
            </w:pPr>
            <w:r w:rsidRPr="00A11B95">
              <w:rPr>
                <w:color w:val="000000"/>
                <w:sz w:val="20"/>
              </w:rPr>
              <w:t>[</w:t>
            </w:r>
            <w:r w:rsidRPr="00A11B95" w:rsidR="00796291">
              <w:rPr>
                <w:color w:val="000000"/>
                <w:sz w:val="20"/>
              </w:rPr>
              <w:t>7</w:t>
            </w:r>
            <w:r w:rsidRPr="00A11B95">
              <w:rPr>
                <w:color w:val="000000"/>
                <w:sz w:val="20"/>
              </w:rPr>
              <w:t>]</w:t>
            </w:r>
          </w:p>
        </w:tc>
        <w:tc>
          <w:tcPr>
            <w:tcW w:w="1080" w:type="dxa"/>
          </w:tcPr>
          <w:p w:rsidRPr="00A11B95" w:rsidR="00A92D0B" w:rsidP="00FA1744" w:rsidRDefault="00731937" w14:paraId="3ACAC68D" w14:textId="16E76CD8">
            <w:pPr>
              <w:jc w:val="right"/>
              <w:rPr>
                <w:color w:val="000000"/>
                <w:sz w:val="20"/>
              </w:rPr>
            </w:pPr>
            <w:r w:rsidRPr="00A11B95">
              <w:rPr>
                <w:color w:val="000000"/>
                <w:sz w:val="20"/>
              </w:rPr>
              <w:t>$1</w:t>
            </w:r>
            <w:r w:rsidRPr="00A11B95" w:rsidR="00923CDC">
              <w:rPr>
                <w:color w:val="000000"/>
                <w:sz w:val="20"/>
              </w:rPr>
              <w:t>,</w:t>
            </w:r>
            <w:r w:rsidRPr="00A11B95">
              <w:rPr>
                <w:color w:val="000000"/>
                <w:sz w:val="20"/>
              </w:rPr>
              <w:t>125</w:t>
            </w:r>
            <w:r w:rsidRPr="00A11B95" w:rsidR="00FA1744">
              <w:rPr>
                <w:color w:val="000000"/>
                <w:sz w:val="20"/>
              </w:rPr>
              <w:t>.00</w:t>
            </w:r>
          </w:p>
          <w:p w:rsidRPr="00A11B95" w:rsidR="00EB2A73" w:rsidP="0034746C" w:rsidRDefault="00EB2A73" w14:paraId="367660C2" w14:textId="2FA805D6">
            <w:pPr>
              <w:jc w:val="center"/>
              <w:rPr>
                <w:color w:val="000000"/>
                <w:sz w:val="20"/>
              </w:rPr>
            </w:pPr>
            <w:r w:rsidRPr="00A11B95">
              <w:rPr>
                <w:color w:val="000000"/>
                <w:sz w:val="20"/>
              </w:rPr>
              <w:t>[</w:t>
            </w:r>
            <w:r w:rsidRPr="00A11B95" w:rsidR="00796291">
              <w:rPr>
                <w:color w:val="000000"/>
                <w:sz w:val="20"/>
              </w:rPr>
              <w:t>4</w:t>
            </w:r>
            <w:r w:rsidRPr="00A11B95" w:rsidR="003D6BA9">
              <w:rPr>
                <w:color w:val="000000"/>
                <w:sz w:val="20"/>
              </w:rPr>
              <w:t>,9</w:t>
            </w:r>
            <w:r w:rsidRPr="00A11B95">
              <w:rPr>
                <w:color w:val="000000"/>
                <w:sz w:val="20"/>
              </w:rPr>
              <w:t>]</w:t>
            </w:r>
          </w:p>
        </w:tc>
        <w:tc>
          <w:tcPr>
            <w:tcW w:w="1200" w:type="dxa"/>
          </w:tcPr>
          <w:p w:rsidRPr="00A11B95" w:rsidR="00A92D0B" w:rsidP="00AC2135" w:rsidRDefault="00F9669F" w14:paraId="766AC45F" w14:textId="233352A6">
            <w:pPr>
              <w:jc w:val="right"/>
              <w:rPr>
                <w:color w:val="000000"/>
                <w:sz w:val="20"/>
              </w:rPr>
            </w:pPr>
            <w:r w:rsidRPr="00A11B95">
              <w:rPr>
                <w:color w:val="000000"/>
                <w:sz w:val="20"/>
              </w:rPr>
              <w:t>$</w:t>
            </w:r>
            <w:r w:rsidRPr="00A11B95" w:rsidR="00B35D54">
              <w:rPr>
                <w:color w:val="000000"/>
                <w:sz w:val="20"/>
              </w:rPr>
              <w:t>58,590.00</w:t>
            </w:r>
          </w:p>
        </w:tc>
      </w:tr>
      <w:tr w:rsidRPr="00A11B95" w:rsidR="00A11B95" w:rsidTr="001038CB" w14:paraId="68CA22DB" w14:textId="77777777">
        <w:trPr>
          <w:cantSplit/>
          <w:jc w:val="center"/>
        </w:trPr>
        <w:tc>
          <w:tcPr>
            <w:tcW w:w="1885" w:type="dxa"/>
          </w:tcPr>
          <w:p w:rsidRPr="00A11B95" w:rsidR="00577862" w:rsidP="0034746C" w:rsidRDefault="00577862" w14:paraId="0D66A6E7" w14:textId="7AEBC0DD">
            <w:pPr>
              <w:rPr>
                <w:color w:val="000000"/>
                <w:sz w:val="20"/>
              </w:rPr>
            </w:pPr>
            <w:r w:rsidRPr="00A11B95">
              <w:rPr>
                <w:color w:val="000000"/>
                <w:sz w:val="20"/>
              </w:rPr>
              <w:t>Mark Ellis</w:t>
            </w:r>
          </w:p>
        </w:tc>
        <w:tc>
          <w:tcPr>
            <w:tcW w:w="720" w:type="dxa"/>
            <w:gridSpan w:val="2"/>
          </w:tcPr>
          <w:p w:rsidRPr="00A11B95" w:rsidR="00577862" w:rsidP="0034746C" w:rsidRDefault="00945032" w14:paraId="361DA264" w14:textId="3C93CECA">
            <w:pPr>
              <w:jc w:val="center"/>
              <w:rPr>
                <w:color w:val="000000"/>
                <w:sz w:val="20"/>
              </w:rPr>
            </w:pPr>
            <w:r w:rsidRPr="00A11B95">
              <w:rPr>
                <w:color w:val="000000"/>
                <w:sz w:val="20"/>
              </w:rPr>
              <w:t>2023</w:t>
            </w:r>
          </w:p>
        </w:tc>
        <w:tc>
          <w:tcPr>
            <w:tcW w:w="810" w:type="dxa"/>
          </w:tcPr>
          <w:p w:rsidRPr="00A11B95" w:rsidR="00FD3D39" w:rsidP="0034746C" w:rsidRDefault="00FD3D39" w14:paraId="29EBB231" w14:textId="73179BDC">
            <w:pPr>
              <w:jc w:val="center"/>
              <w:rPr>
                <w:sz w:val="20"/>
              </w:rPr>
            </w:pPr>
            <w:r w:rsidRPr="00A11B95">
              <w:rPr>
                <w:color w:val="000000"/>
                <w:sz w:val="20"/>
              </w:rPr>
              <w:t>6.5</w:t>
            </w:r>
          </w:p>
        </w:tc>
        <w:tc>
          <w:tcPr>
            <w:tcW w:w="1170" w:type="dxa"/>
            <w:gridSpan w:val="2"/>
          </w:tcPr>
          <w:p w:rsidRPr="00A11B95" w:rsidR="00577862" w:rsidP="0066755D" w:rsidRDefault="00C868F2" w14:paraId="521FCFCD" w14:textId="126E9E07">
            <w:pPr>
              <w:jc w:val="right"/>
              <w:rPr>
                <w:color w:val="000000"/>
                <w:sz w:val="20"/>
              </w:rPr>
            </w:pPr>
            <w:r w:rsidRPr="00A11B95">
              <w:rPr>
                <w:color w:val="000000"/>
                <w:sz w:val="20"/>
              </w:rPr>
              <w:t>$</w:t>
            </w:r>
            <w:r w:rsidRPr="00A11B95" w:rsidR="00977D64">
              <w:rPr>
                <w:color w:val="000000"/>
                <w:sz w:val="20"/>
              </w:rPr>
              <w:t>1</w:t>
            </w:r>
            <w:r w:rsidRPr="00A11B95" w:rsidR="0066755D">
              <w:rPr>
                <w:color w:val="000000"/>
                <w:sz w:val="20"/>
              </w:rPr>
              <w:t>,</w:t>
            </w:r>
            <w:r w:rsidRPr="00A11B95" w:rsidR="00977D64">
              <w:rPr>
                <w:color w:val="000000"/>
                <w:sz w:val="20"/>
              </w:rPr>
              <w:t>080</w:t>
            </w:r>
            <w:r w:rsidRPr="00A11B95" w:rsidR="0066755D">
              <w:rPr>
                <w:color w:val="000000" w:themeColor="text1"/>
                <w:sz w:val="20"/>
              </w:rPr>
              <w:t>.00</w:t>
            </w:r>
          </w:p>
        </w:tc>
        <w:tc>
          <w:tcPr>
            <w:tcW w:w="1620" w:type="dxa"/>
            <w:tcBorders>
              <w:right w:val="single" w:color="auto" w:sz="4" w:space="0"/>
            </w:tcBorders>
          </w:tcPr>
          <w:p w:rsidRPr="00A11B95" w:rsidR="00577862" w:rsidP="0034746C" w:rsidRDefault="002158D3" w14:paraId="2973C8AF" w14:textId="4FC42FD2">
            <w:pPr>
              <w:rPr>
                <w:color w:val="000000"/>
                <w:sz w:val="20"/>
              </w:rPr>
            </w:pPr>
            <w:r w:rsidRPr="00A11B95">
              <w:rPr>
                <w:i/>
                <w:iCs/>
                <w:color w:val="000000" w:themeColor="text1"/>
                <w:sz w:val="20"/>
              </w:rPr>
              <w:t xml:space="preserve">See </w:t>
            </w:r>
            <w:r w:rsidRPr="00A11B95">
              <w:rPr>
                <w:color w:val="000000" w:themeColor="text1"/>
                <w:sz w:val="20"/>
              </w:rPr>
              <w:t>Comment #</w:t>
            </w:r>
            <w:r w:rsidRPr="00A11B95" w:rsidR="009D57EE">
              <w:rPr>
                <w:color w:val="000000" w:themeColor="text1"/>
                <w:sz w:val="20"/>
              </w:rPr>
              <w:t xml:space="preserve"> </w:t>
            </w:r>
            <w:r w:rsidRPr="00A11B95" w:rsidR="00DF062B">
              <w:rPr>
                <w:color w:val="000000" w:themeColor="text1"/>
                <w:sz w:val="20"/>
              </w:rPr>
              <w:t>4</w:t>
            </w:r>
            <w:r w:rsidRPr="00A11B95" w:rsidR="009D57EE">
              <w:rPr>
                <w:color w:val="000000" w:themeColor="text1"/>
                <w:sz w:val="20"/>
              </w:rPr>
              <w:t>.</w:t>
            </w:r>
          </w:p>
        </w:tc>
        <w:tc>
          <w:tcPr>
            <w:tcW w:w="1260" w:type="dxa"/>
            <w:gridSpan w:val="2"/>
            <w:tcBorders>
              <w:top w:val="single" w:color="auto" w:sz="4" w:space="0"/>
              <w:left w:val="single" w:color="auto" w:sz="4" w:space="0"/>
              <w:bottom w:val="single" w:color="auto" w:sz="4" w:space="0"/>
              <w:right w:val="single" w:color="auto" w:sz="24" w:space="0"/>
            </w:tcBorders>
          </w:tcPr>
          <w:p w:rsidRPr="00A11B95" w:rsidR="00577862" w:rsidP="0034746C" w:rsidRDefault="006A21F7" w14:paraId="59E6B9EA" w14:textId="6A5BB36D">
            <w:pPr>
              <w:jc w:val="right"/>
              <w:rPr>
                <w:color w:val="000000"/>
                <w:sz w:val="20"/>
              </w:rPr>
            </w:pPr>
            <w:r w:rsidRPr="00A11B95">
              <w:rPr>
                <w:color w:val="000000"/>
                <w:sz w:val="20"/>
              </w:rPr>
              <w:t>$7,</w:t>
            </w:r>
            <w:r w:rsidRPr="00A11B95" w:rsidR="003A789F">
              <w:rPr>
                <w:color w:val="000000"/>
                <w:sz w:val="20"/>
              </w:rPr>
              <w:t>020</w:t>
            </w:r>
          </w:p>
        </w:tc>
        <w:tc>
          <w:tcPr>
            <w:tcW w:w="810" w:type="dxa"/>
            <w:tcBorders>
              <w:left w:val="single" w:color="auto" w:sz="4" w:space="0"/>
            </w:tcBorders>
          </w:tcPr>
          <w:p w:rsidRPr="00A11B95" w:rsidR="00577862" w:rsidP="0034746C" w:rsidRDefault="00B35D54" w14:paraId="475C7E8C" w14:textId="3255CD8C">
            <w:pPr>
              <w:jc w:val="center"/>
              <w:rPr>
                <w:color w:val="000000"/>
                <w:sz w:val="20"/>
              </w:rPr>
            </w:pPr>
            <w:r w:rsidRPr="00A11B95">
              <w:rPr>
                <w:color w:val="000000"/>
                <w:sz w:val="20"/>
              </w:rPr>
              <w:t>2.6</w:t>
            </w:r>
          </w:p>
          <w:p w:rsidRPr="00A11B95" w:rsidR="005C5E42" w:rsidP="0034746C" w:rsidRDefault="005C5E42" w14:paraId="037725C5" w14:textId="4C16A3E8">
            <w:pPr>
              <w:jc w:val="center"/>
              <w:rPr>
                <w:color w:val="000000"/>
                <w:sz w:val="20"/>
              </w:rPr>
            </w:pPr>
            <w:r w:rsidRPr="00A11B95">
              <w:rPr>
                <w:color w:val="000000"/>
                <w:sz w:val="20"/>
              </w:rPr>
              <w:t>[</w:t>
            </w:r>
            <w:r w:rsidRPr="00A11B95" w:rsidR="00796291">
              <w:rPr>
                <w:color w:val="000000"/>
                <w:sz w:val="20"/>
              </w:rPr>
              <w:t>7</w:t>
            </w:r>
            <w:r w:rsidRPr="00A11B95">
              <w:rPr>
                <w:color w:val="000000"/>
                <w:sz w:val="20"/>
              </w:rPr>
              <w:t>]</w:t>
            </w:r>
          </w:p>
        </w:tc>
        <w:tc>
          <w:tcPr>
            <w:tcW w:w="1080" w:type="dxa"/>
          </w:tcPr>
          <w:p w:rsidRPr="00A11B95" w:rsidR="00577862" w:rsidP="00FA1744" w:rsidRDefault="00731937" w14:paraId="5286E06E" w14:textId="47476206">
            <w:pPr>
              <w:jc w:val="right"/>
              <w:rPr>
                <w:color w:val="000000"/>
                <w:sz w:val="20"/>
              </w:rPr>
            </w:pPr>
            <w:r w:rsidRPr="00A11B95">
              <w:rPr>
                <w:color w:val="000000"/>
                <w:sz w:val="20"/>
              </w:rPr>
              <w:t>$1</w:t>
            </w:r>
            <w:r w:rsidRPr="00A11B95" w:rsidR="00923CDC">
              <w:rPr>
                <w:color w:val="000000"/>
                <w:sz w:val="20"/>
              </w:rPr>
              <w:t>,</w:t>
            </w:r>
            <w:r w:rsidRPr="00A11B95">
              <w:rPr>
                <w:color w:val="000000"/>
                <w:sz w:val="20"/>
              </w:rPr>
              <w:t>080</w:t>
            </w:r>
            <w:r w:rsidRPr="00A11B95" w:rsidR="00FA1744">
              <w:rPr>
                <w:color w:val="000000"/>
                <w:sz w:val="20"/>
              </w:rPr>
              <w:t>.00</w:t>
            </w:r>
          </w:p>
          <w:p w:rsidRPr="00A11B95" w:rsidR="00EB2A73" w:rsidP="0034746C" w:rsidRDefault="00EB2A73" w14:paraId="0CF0AF4A" w14:textId="7B5A074F">
            <w:pPr>
              <w:jc w:val="center"/>
              <w:rPr>
                <w:color w:val="000000"/>
                <w:sz w:val="20"/>
              </w:rPr>
            </w:pPr>
            <w:r w:rsidRPr="00A11B95">
              <w:rPr>
                <w:color w:val="000000"/>
                <w:sz w:val="20"/>
              </w:rPr>
              <w:t>[</w:t>
            </w:r>
            <w:r w:rsidRPr="00A11B95" w:rsidR="00796291">
              <w:rPr>
                <w:color w:val="000000"/>
                <w:sz w:val="20"/>
              </w:rPr>
              <w:t>4</w:t>
            </w:r>
            <w:r w:rsidRPr="00A11B95" w:rsidR="003D6BA9">
              <w:rPr>
                <w:color w:val="000000"/>
                <w:sz w:val="20"/>
              </w:rPr>
              <w:t>,9</w:t>
            </w:r>
            <w:r w:rsidRPr="00A11B95">
              <w:rPr>
                <w:color w:val="000000"/>
                <w:sz w:val="20"/>
              </w:rPr>
              <w:t>]</w:t>
            </w:r>
          </w:p>
        </w:tc>
        <w:tc>
          <w:tcPr>
            <w:tcW w:w="1200" w:type="dxa"/>
          </w:tcPr>
          <w:p w:rsidRPr="00A11B95" w:rsidR="00577862" w:rsidP="00AC2135" w:rsidRDefault="0098738E" w14:paraId="0881709E" w14:textId="51DE61F5">
            <w:pPr>
              <w:jc w:val="right"/>
              <w:rPr>
                <w:color w:val="000000"/>
                <w:sz w:val="20"/>
              </w:rPr>
            </w:pPr>
            <w:r w:rsidRPr="00A11B95">
              <w:rPr>
                <w:color w:val="000000"/>
                <w:sz w:val="20"/>
              </w:rPr>
              <w:t>$2</w:t>
            </w:r>
            <w:r w:rsidRPr="00A11B95" w:rsidR="004A3DE3">
              <w:rPr>
                <w:color w:val="000000"/>
                <w:sz w:val="20"/>
              </w:rPr>
              <w:t>,</w:t>
            </w:r>
            <w:r w:rsidRPr="00A11B95">
              <w:rPr>
                <w:color w:val="000000"/>
                <w:sz w:val="20"/>
              </w:rPr>
              <w:t>808.00</w:t>
            </w:r>
          </w:p>
        </w:tc>
      </w:tr>
      <w:tr w:rsidRPr="00A11B95" w:rsidR="00A11B95" w:rsidTr="001038CB" w14:paraId="2C23C900" w14:textId="77777777">
        <w:trPr>
          <w:cantSplit/>
          <w:jc w:val="center"/>
        </w:trPr>
        <w:tc>
          <w:tcPr>
            <w:tcW w:w="1885" w:type="dxa"/>
          </w:tcPr>
          <w:p w:rsidRPr="00A11B95" w:rsidR="00945032" w:rsidP="0034746C" w:rsidRDefault="00945032" w14:paraId="6C2E0593" w14:textId="3967458F">
            <w:pPr>
              <w:rPr>
                <w:color w:val="000000"/>
                <w:sz w:val="20"/>
              </w:rPr>
            </w:pPr>
            <w:r w:rsidRPr="00A11B95">
              <w:rPr>
                <w:color w:val="000000"/>
                <w:sz w:val="20"/>
              </w:rPr>
              <w:t>Mark Ellis</w:t>
            </w:r>
          </w:p>
        </w:tc>
        <w:tc>
          <w:tcPr>
            <w:tcW w:w="720" w:type="dxa"/>
            <w:gridSpan w:val="2"/>
          </w:tcPr>
          <w:p w:rsidRPr="00A11B95" w:rsidR="00945032" w:rsidP="0034746C" w:rsidRDefault="00945032" w14:paraId="3C98C786" w14:textId="11F013C1">
            <w:pPr>
              <w:jc w:val="center"/>
              <w:rPr>
                <w:color w:val="000000"/>
                <w:sz w:val="20"/>
              </w:rPr>
            </w:pPr>
            <w:r w:rsidRPr="00A11B95">
              <w:rPr>
                <w:color w:val="000000"/>
                <w:sz w:val="20"/>
              </w:rPr>
              <w:t>2022</w:t>
            </w:r>
          </w:p>
        </w:tc>
        <w:tc>
          <w:tcPr>
            <w:tcW w:w="810" w:type="dxa"/>
          </w:tcPr>
          <w:p w:rsidRPr="00A11B95" w:rsidR="00945032" w:rsidP="0034746C" w:rsidRDefault="00CF4B41" w14:paraId="4C2B218B" w14:textId="53BA9B31">
            <w:pPr>
              <w:jc w:val="center"/>
              <w:rPr>
                <w:color w:val="000000"/>
                <w:sz w:val="20"/>
              </w:rPr>
            </w:pPr>
            <w:r w:rsidRPr="00A11B95">
              <w:rPr>
                <w:color w:val="000000"/>
                <w:sz w:val="20"/>
              </w:rPr>
              <w:t>170.5</w:t>
            </w:r>
          </w:p>
        </w:tc>
        <w:tc>
          <w:tcPr>
            <w:tcW w:w="1170" w:type="dxa"/>
            <w:gridSpan w:val="2"/>
          </w:tcPr>
          <w:p w:rsidRPr="00A11B95" w:rsidR="00945032" w:rsidP="0066755D" w:rsidRDefault="00C868F2" w14:paraId="2DB29E60" w14:textId="01C12053">
            <w:pPr>
              <w:jc w:val="right"/>
              <w:rPr>
                <w:color w:val="000000"/>
                <w:sz w:val="20"/>
              </w:rPr>
            </w:pPr>
            <w:r w:rsidRPr="00A11B95">
              <w:rPr>
                <w:color w:val="000000"/>
                <w:sz w:val="20"/>
              </w:rPr>
              <w:t>$</w:t>
            </w:r>
            <w:r w:rsidRPr="00A11B95" w:rsidR="003D67DF">
              <w:rPr>
                <w:color w:val="000000"/>
                <w:sz w:val="20"/>
              </w:rPr>
              <w:t>1</w:t>
            </w:r>
            <w:r w:rsidRPr="00A11B95" w:rsidR="0066755D">
              <w:rPr>
                <w:color w:val="000000"/>
                <w:sz w:val="20"/>
              </w:rPr>
              <w:t>,</w:t>
            </w:r>
            <w:r w:rsidRPr="00A11B95" w:rsidR="003D67DF">
              <w:rPr>
                <w:color w:val="000000"/>
                <w:sz w:val="20"/>
              </w:rPr>
              <w:t>035</w:t>
            </w:r>
            <w:r w:rsidRPr="00A11B95" w:rsidR="0066755D">
              <w:rPr>
                <w:color w:val="000000" w:themeColor="text1"/>
                <w:sz w:val="20"/>
              </w:rPr>
              <w:t>.00</w:t>
            </w:r>
          </w:p>
        </w:tc>
        <w:tc>
          <w:tcPr>
            <w:tcW w:w="1620" w:type="dxa"/>
            <w:tcBorders>
              <w:right w:val="single" w:color="auto" w:sz="4" w:space="0"/>
            </w:tcBorders>
          </w:tcPr>
          <w:p w:rsidRPr="00A11B95" w:rsidR="00945032" w:rsidP="0034746C" w:rsidRDefault="00433265" w14:paraId="38728A4A" w14:textId="19BC0870">
            <w:pPr>
              <w:rPr>
                <w:color w:val="000000"/>
                <w:sz w:val="20"/>
              </w:rPr>
            </w:pPr>
            <w:r w:rsidRPr="00A11B95">
              <w:rPr>
                <w:color w:val="000000"/>
                <w:sz w:val="20"/>
              </w:rPr>
              <w:t>D.24</w:t>
            </w:r>
            <w:r w:rsidR="00B52830">
              <w:rPr>
                <w:color w:val="000000"/>
                <w:sz w:val="20"/>
              </w:rPr>
              <w:noBreakHyphen/>
            </w:r>
            <w:r w:rsidRPr="00A11B95">
              <w:rPr>
                <w:color w:val="000000"/>
                <w:sz w:val="20"/>
              </w:rPr>
              <w:t>09</w:t>
            </w:r>
            <w:r w:rsidR="00B52830">
              <w:rPr>
                <w:color w:val="000000"/>
                <w:sz w:val="20"/>
              </w:rPr>
              <w:noBreakHyphen/>
            </w:r>
            <w:r w:rsidRPr="00A11B95">
              <w:rPr>
                <w:color w:val="000000"/>
                <w:sz w:val="20"/>
              </w:rPr>
              <w:t>048,</w:t>
            </w:r>
            <w:r w:rsidRPr="00A11B95" w:rsidR="0015516F">
              <w:rPr>
                <w:color w:val="000000"/>
                <w:sz w:val="20"/>
              </w:rPr>
              <w:t xml:space="preserve"> p. </w:t>
            </w:r>
            <w:r w:rsidRPr="00A11B95">
              <w:rPr>
                <w:color w:val="000000"/>
                <w:sz w:val="20"/>
              </w:rPr>
              <w:t>35</w:t>
            </w:r>
            <w:r w:rsidR="00B52830">
              <w:rPr>
                <w:color w:val="000000"/>
                <w:sz w:val="20"/>
              </w:rPr>
              <w:noBreakHyphen/>
            </w:r>
            <w:r w:rsidRPr="00A11B95">
              <w:rPr>
                <w:color w:val="000000"/>
                <w:sz w:val="20"/>
              </w:rPr>
              <w:t>36</w:t>
            </w:r>
          </w:p>
        </w:tc>
        <w:tc>
          <w:tcPr>
            <w:tcW w:w="1260" w:type="dxa"/>
            <w:gridSpan w:val="2"/>
            <w:tcBorders>
              <w:top w:val="single" w:color="auto" w:sz="4" w:space="0"/>
              <w:left w:val="single" w:color="auto" w:sz="4" w:space="0"/>
              <w:bottom w:val="single" w:color="auto" w:sz="4" w:space="0"/>
              <w:right w:val="single" w:color="auto" w:sz="24" w:space="0"/>
            </w:tcBorders>
          </w:tcPr>
          <w:p w:rsidRPr="00A11B95" w:rsidR="00945032" w:rsidP="0034746C" w:rsidRDefault="006A21F7" w14:paraId="1D300251" w14:textId="62714321">
            <w:pPr>
              <w:jc w:val="right"/>
              <w:rPr>
                <w:color w:val="000000"/>
                <w:sz w:val="20"/>
              </w:rPr>
            </w:pPr>
            <w:r w:rsidRPr="00A11B95">
              <w:rPr>
                <w:color w:val="000000"/>
                <w:sz w:val="20"/>
              </w:rPr>
              <w:t>$1</w:t>
            </w:r>
            <w:r w:rsidRPr="00A11B95" w:rsidR="003A789F">
              <w:rPr>
                <w:color w:val="000000"/>
                <w:sz w:val="20"/>
              </w:rPr>
              <w:t>7</w:t>
            </w:r>
            <w:r w:rsidRPr="00A11B95">
              <w:rPr>
                <w:color w:val="000000"/>
                <w:sz w:val="20"/>
              </w:rPr>
              <w:t>6,4</w:t>
            </w:r>
            <w:r w:rsidRPr="00A11B95" w:rsidR="003A789F">
              <w:rPr>
                <w:color w:val="000000"/>
                <w:sz w:val="20"/>
              </w:rPr>
              <w:t>6</w:t>
            </w:r>
            <w:r w:rsidRPr="00A11B95">
              <w:rPr>
                <w:color w:val="000000"/>
                <w:sz w:val="20"/>
              </w:rPr>
              <w:t>7</w:t>
            </w:r>
            <w:r w:rsidRPr="00A11B95" w:rsidR="00E167F3">
              <w:rPr>
                <w:color w:val="000000"/>
                <w:sz w:val="20"/>
              </w:rPr>
              <w:t>.50</w:t>
            </w:r>
          </w:p>
        </w:tc>
        <w:tc>
          <w:tcPr>
            <w:tcW w:w="810" w:type="dxa"/>
            <w:tcBorders>
              <w:left w:val="single" w:color="auto" w:sz="4" w:space="0"/>
            </w:tcBorders>
          </w:tcPr>
          <w:p w:rsidRPr="00A11B95" w:rsidR="00E2027A" w:rsidP="0034746C" w:rsidRDefault="0098738E" w14:paraId="2D31A0AD" w14:textId="588531B6">
            <w:pPr>
              <w:jc w:val="center"/>
              <w:rPr>
                <w:color w:val="000000"/>
                <w:sz w:val="20"/>
              </w:rPr>
            </w:pPr>
            <w:r w:rsidRPr="00A11B95">
              <w:rPr>
                <w:color w:val="000000"/>
                <w:sz w:val="20"/>
              </w:rPr>
              <w:t>68.20</w:t>
            </w:r>
          </w:p>
          <w:p w:rsidRPr="00A11B95" w:rsidR="00EB2A73" w:rsidP="0034746C" w:rsidRDefault="00EB2A73" w14:paraId="55D59133" w14:textId="2EF4FF4F">
            <w:pPr>
              <w:jc w:val="center"/>
              <w:rPr>
                <w:color w:val="000000"/>
                <w:sz w:val="20"/>
              </w:rPr>
            </w:pPr>
            <w:r w:rsidRPr="00A11B95">
              <w:rPr>
                <w:color w:val="000000"/>
                <w:sz w:val="20"/>
              </w:rPr>
              <w:t>[</w:t>
            </w:r>
            <w:r w:rsidRPr="00A11B95" w:rsidR="00796291">
              <w:rPr>
                <w:color w:val="000000"/>
                <w:sz w:val="20"/>
              </w:rPr>
              <w:t>7</w:t>
            </w:r>
            <w:r w:rsidRPr="00A11B95">
              <w:rPr>
                <w:color w:val="000000"/>
                <w:sz w:val="20"/>
              </w:rPr>
              <w:t>]</w:t>
            </w:r>
          </w:p>
        </w:tc>
        <w:tc>
          <w:tcPr>
            <w:tcW w:w="1080" w:type="dxa"/>
          </w:tcPr>
          <w:p w:rsidRPr="00A11B95" w:rsidR="00945032" w:rsidP="00FA1744" w:rsidRDefault="00731937" w14:paraId="0B2448FF" w14:textId="18886BEE">
            <w:pPr>
              <w:jc w:val="right"/>
              <w:rPr>
                <w:color w:val="000000"/>
                <w:sz w:val="20"/>
              </w:rPr>
            </w:pPr>
            <w:r w:rsidRPr="00A11B95">
              <w:rPr>
                <w:color w:val="000000"/>
                <w:sz w:val="20"/>
              </w:rPr>
              <w:t>$1</w:t>
            </w:r>
            <w:r w:rsidRPr="00A11B95" w:rsidR="00923CDC">
              <w:rPr>
                <w:color w:val="000000"/>
                <w:sz w:val="20"/>
              </w:rPr>
              <w:t>,</w:t>
            </w:r>
            <w:r w:rsidRPr="00A11B95">
              <w:rPr>
                <w:color w:val="000000"/>
                <w:sz w:val="20"/>
              </w:rPr>
              <w:t>035</w:t>
            </w:r>
            <w:r w:rsidRPr="00A11B95" w:rsidR="00FA1744">
              <w:rPr>
                <w:color w:val="000000"/>
                <w:sz w:val="20"/>
              </w:rPr>
              <w:t>.00</w:t>
            </w:r>
          </w:p>
          <w:p w:rsidRPr="00A11B95" w:rsidR="00EB2A73" w:rsidP="0034746C" w:rsidRDefault="00EB2A73" w14:paraId="7D303F12" w14:textId="10C5764B">
            <w:pPr>
              <w:jc w:val="center"/>
              <w:rPr>
                <w:color w:val="000000"/>
                <w:sz w:val="20"/>
              </w:rPr>
            </w:pPr>
            <w:r w:rsidRPr="00A11B95">
              <w:rPr>
                <w:color w:val="000000"/>
                <w:sz w:val="20"/>
              </w:rPr>
              <w:t>[</w:t>
            </w:r>
            <w:r w:rsidRPr="00A11B95" w:rsidR="00796291">
              <w:rPr>
                <w:color w:val="000000"/>
                <w:sz w:val="20"/>
              </w:rPr>
              <w:t>4</w:t>
            </w:r>
            <w:r w:rsidRPr="00A11B95" w:rsidR="003D6BA9">
              <w:rPr>
                <w:color w:val="000000"/>
                <w:sz w:val="20"/>
              </w:rPr>
              <w:t>,9</w:t>
            </w:r>
            <w:r w:rsidRPr="00A11B95">
              <w:rPr>
                <w:color w:val="000000"/>
                <w:sz w:val="20"/>
              </w:rPr>
              <w:t>]</w:t>
            </w:r>
          </w:p>
        </w:tc>
        <w:tc>
          <w:tcPr>
            <w:tcW w:w="1200" w:type="dxa"/>
          </w:tcPr>
          <w:p w:rsidRPr="00A11B95" w:rsidR="00945032" w:rsidP="00AC2135" w:rsidRDefault="00F9669F" w14:paraId="3EF084CF" w14:textId="69AFEC0C">
            <w:pPr>
              <w:jc w:val="right"/>
              <w:rPr>
                <w:color w:val="000000"/>
                <w:sz w:val="20"/>
              </w:rPr>
            </w:pPr>
            <w:r w:rsidRPr="00A11B95">
              <w:rPr>
                <w:color w:val="000000"/>
                <w:sz w:val="20"/>
              </w:rPr>
              <w:t>$</w:t>
            </w:r>
            <w:r w:rsidRPr="00A11B95" w:rsidR="00E41C57">
              <w:rPr>
                <w:color w:val="000000"/>
                <w:sz w:val="20"/>
              </w:rPr>
              <w:t>7</w:t>
            </w:r>
            <w:r w:rsidRPr="00A11B95" w:rsidR="004276D3">
              <w:rPr>
                <w:color w:val="000000"/>
                <w:sz w:val="20"/>
              </w:rPr>
              <w:t>0,587.00</w:t>
            </w:r>
          </w:p>
        </w:tc>
      </w:tr>
      <w:tr w:rsidRPr="00A11B95" w:rsidR="00A11B95" w:rsidTr="001038CB" w14:paraId="4E698889" w14:textId="77777777">
        <w:trPr>
          <w:cantSplit/>
          <w:jc w:val="center"/>
        </w:trPr>
        <w:tc>
          <w:tcPr>
            <w:tcW w:w="1885" w:type="dxa"/>
          </w:tcPr>
          <w:p w:rsidRPr="00A11B95" w:rsidR="00A92D0B" w:rsidP="0034746C" w:rsidRDefault="006C2CDC" w14:paraId="04CDED11" w14:textId="4F3D790E">
            <w:pPr>
              <w:rPr>
                <w:color w:val="000000"/>
                <w:sz w:val="20"/>
              </w:rPr>
            </w:pPr>
            <w:r w:rsidRPr="00A11B95">
              <w:rPr>
                <w:color w:val="000000"/>
                <w:sz w:val="20"/>
              </w:rPr>
              <w:t>Julia Severson</w:t>
            </w:r>
          </w:p>
        </w:tc>
        <w:tc>
          <w:tcPr>
            <w:tcW w:w="720" w:type="dxa"/>
            <w:gridSpan w:val="2"/>
          </w:tcPr>
          <w:p w:rsidRPr="00A11B95" w:rsidR="00A92D0B" w:rsidP="0034746C" w:rsidRDefault="00945032" w14:paraId="6B0C4BC3" w14:textId="7AFE41F2">
            <w:pPr>
              <w:jc w:val="center"/>
              <w:rPr>
                <w:color w:val="000000"/>
                <w:sz w:val="20"/>
              </w:rPr>
            </w:pPr>
            <w:r w:rsidRPr="00A11B95">
              <w:rPr>
                <w:color w:val="000000"/>
                <w:sz w:val="20"/>
              </w:rPr>
              <w:t>2022</w:t>
            </w:r>
          </w:p>
        </w:tc>
        <w:tc>
          <w:tcPr>
            <w:tcW w:w="810" w:type="dxa"/>
          </w:tcPr>
          <w:p w:rsidRPr="00A11B95" w:rsidR="00A92D0B" w:rsidP="0034746C" w:rsidRDefault="00286188" w14:paraId="51C36695" w14:textId="5B38FC53">
            <w:pPr>
              <w:jc w:val="center"/>
              <w:rPr>
                <w:color w:val="000000"/>
                <w:sz w:val="20"/>
              </w:rPr>
            </w:pPr>
            <w:r w:rsidRPr="00A11B95">
              <w:rPr>
                <w:color w:val="000000"/>
                <w:sz w:val="20"/>
              </w:rPr>
              <w:t>1</w:t>
            </w:r>
            <w:r w:rsidRPr="00A11B95" w:rsidR="008E23D0">
              <w:rPr>
                <w:color w:val="000000"/>
                <w:sz w:val="20"/>
              </w:rPr>
              <w:t>2</w:t>
            </w:r>
          </w:p>
        </w:tc>
        <w:tc>
          <w:tcPr>
            <w:tcW w:w="1170" w:type="dxa"/>
            <w:gridSpan w:val="2"/>
          </w:tcPr>
          <w:p w:rsidRPr="00A11B95" w:rsidR="00A92D0B" w:rsidP="0066755D" w:rsidRDefault="00C868F2" w14:paraId="50434DF3" w14:textId="6901C772">
            <w:pPr>
              <w:jc w:val="right"/>
              <w:rPr>
                <w:color w:val="000000"/>
                <w:sz w:val="20"/>
              </w:rPr>
            </w:pPr>
            <w:r w:rsidRPr="00A11B95">
              <w:rPr>
                <w:color w:val="000000"/>
                <w:sz w:val="20"/>
              </w:rPr>
              <w:t>$120</w:t>
            </w:r>
            <w:r w:rsidRPr="00A11B95" w:rsidR="0066755D">
              <w:rPr>
                <w:color w:val="000000" w:themeColor="text1"/>
                <w:sz w:val="20"/>
              </w:rPr>
              <w:t>.00</w:t>
            </w:r>
          </w:p>
        </w:tc>
        <w:tc>
          <w:tcPr>
            <w:tcW w:w="1620" w:type="dxa"/>
            <w:tcBorders>
              <w:right w:val="single" w:color="auto" w:sz="4" w:space="0"/>
            </w:tcBorders>
          </w:tcPr>
          <w:p w:rsidRPr="00A11B95" w:rsidR="00A92D0B" w:rsidP="0034746C" w:rsidRDefault="004F6EC7" w14:paraId="41124BBA" w14:textId="008A21B2">
            <w:pPr>
              <w:rPr>
                <w:color w:val="000000"/>
                <w:sz w:val="20"/>
              </w:rPr>
            </w:pPr>
            <w:r w:rsidRPr="00A11B95">
              <w:rPr>
                <w:color w:val="000000"/>
                <w:sz w:val="20"/>
              </w:rPr>
              <w:t>D.23</w:t>
            </w:r>
            <w:r w:rsidR="00B52830">
              <w:rPr>
                <w:color w:val="000000"/>
                <w:sz w:val="20"/>
              </w:rPr>
              <w:noBreakHyphen/>
            </w:r>
            <w:r w:rsidRPr="00A11B95">
              <w:rPr>
                <w:color w:val="000000"/>
                <w:sz w:val="20"/>
              </w:rPr>
              <w:t>08</w:t>
            </w:r>
            <w:r w:rsidR="00B52830">
              <w:rPr>
                <w:color w:val="000000"/>
                <w:sz w:val="20"/>
              </w:rPr>
              <w:noBreakHyphen/>
            </w:r>
            <w:r w:rsidRPr="00A11B95">
              <w:rPr>
                <w:color w:val="000000"/>
                <w:sz w:val="20"/>
              </w:rPr>
              <w:t>020</w:t>
            </w:r>
            <w:r w:rsidRPr="00A11B95" w:rsidR="00D91EFE">
              <w:rPr>
                <w:color w:val="000000"/>
                <w:sz w:val="20"/>
              </w:rPr>
              <w:t>,</w:t>
            </w:r>
            <w:r w:rsidRPr="00A11B95" w:rsidR="0015516F">
              <w:rPr>
                <w:color w:val="000000"/>
                <w:sz w:val="20"/>
              </w:rPr>
              <w:t xml:space="preserve"> p. </w:t>
            </w:r>
            <w:r w:rsidRPr="00A11B95" w:rsidR="00D91EFE">
              <w:rPr>
                <w:color w:val="000000"/>
                <w:sz w:val="20"/>
              </w:rPr>
              <w:t>20.</w:t>
            </w:r>
          </w:p>
        </w:tc>
        <w:tc>
          <w:tcPr>
            <w:tcW w:w="1260" w:type="dxa"/>
            <w:gridSpan w:val="2"/>
            <w:tcBorders>
              <w:top w:val="single" w:color="auto" w:sz="4" w:space="0"/>
              <w:left w:val="single" w:color="auto" w:sz="4" w:space="0"/>
              <w:bottom w:val="single" w:color="auto" w:sz="4" w:space="0"/>
              <w:right w:val="single" w:color="auto" w:sz="24" w:space="0"/>
            </w:tcBorders>
          </w:tcPr>
          <w:p w:rsidRPr="00A11B95" w:rsidR="00A92D0B" w:rsidP="0034746C" w:rsidRDefault="003A789F" w14:paraId="75F00059" w14:textId="180F3E9A">
            <w:pPr>
              <w:jc w:val="right"/>
              <w:rPr>
                <w:color w:val="000000"/>
                <w:sz w:val="20"/>
              </w:rPr>
            </w:pPr>
            <w:r w:rsidRPr="00A11B95">
              <w:rPr>
                <w:color w:val="000000"/>
                <w:sz w:val="20"/>
              </w:rPr>
              <w:t>$</w:t>
            </w:r>
            <w:r w:rsidRPr="00A11B95" w:rsidR="00B82E38">
              <w:rPr>
                <w:color w:val="000000"/>
                <w:sz w:val="20"/>
              </w:rPr>
              <w:t>1,440</w:t>
            </w:r>
          </w:p>
        </w:tc>
        <w:tc>
          <w:tcPr>
            <w:tcW w:w="810" w:type="dxa"/>
            <w:tcBorders>
              <w:left w:val="single" w:color="auto" w:sz="4" w:space="0"/>
            </w:tcBorders>
          </w:tcPr>
          <w:p w:rsidRPr="00A11B95" w:rsidR="00A92D0B" w:rsidP="0034746C" w:rsidRDefault="004276D3" w14:paraId="41AD74A0" w14:textId="08D0E850">
            <w:pPr>
              <w:jc w:val="center"/>
              <w:rPr>
                <w:color w:val="000000"/>
                <w:sz w:val="20"/>
              </w:rPr>
            </w:pPr>
            <w:r w:rsidRPr="00A11B95">
              <w:rPr>
                <w:color w:val="000000"/>
                <w:sz w:val="20"/>
              </w:rPr>
              <w:t>4.80</w:t>
            </w:r>
          </w:p>
          <w:p w:rsidRPr="00A11B95" w:rsidR="005C5E42" w:rsidP="0034746C" w:rsidRDefault="005C5E42" w14:paraId="134A581C" w14:textId="58B5448D">
            <w:pPr>
              <w:jc w:val="center"/>
              <w:rPr>
                <w:color w:val="000000"/>
                <w:sz w:val="20"/>
              </w:rPr>
            </w:pPr>
            <w:r w:rsidRPr="00A11B95">
              <w:rPr>
                <w:color w:val="000000"/>
                <w:sz w:val="20"/>
              </w:rPr>
              <w:t>[</w:t>
            </w:r>
            <w:r w:rsidRPr="00A11B95" w:rsidR="00796291">
              <w:rPr>
                <w:color w:val="000000"/>
                <w:sz w:val="20"/>
              </w:rPr>
              <w:t>7</w:t>
            </w:r>
            <w:r w:rsidRPr="00A11B95">
              <w:rPr>
                <w:color w:val="000000"/>
                <w:sz w:val="20"/>
              </w:rPr>
              <w:t>]</w:t>
            </w:r>
          </w:p>
        </w:tc>
        <w:tc>
          <w:tcPr>
            <w:tcW w:w="1080" w:type="dxa"/>
          </w:tcPr>
          <w:p w:rsidRPr="00A11B95" w:rsidR="00A92D0B" w:rsidP="00FA1744" w:rsidRDefault="003D2369" w14:paraId="00EF2F70" w14:textId="44A14494">
            <w:pPr>
              <w:jc w:val="right"/>
              <w:rPr>
                <w:color w:val="000000"/>
                <w:sz w:val="20"/>
              </w:rPr>
            </w:pPr>
            <w:r w:rsidRPr="00A11B95">
              <w:rPr>
                <w:color w:val="000000"/>
                <w:sz w:val="20"/>
              </w:rPr>
              <w:t>$120</w:t>
            </w:r>
            <w:r w:rsidRPr="00A11B95" w:rsidR="00FA1744">
              <w:rPr>
                <w:color w:val="000000"/>
                <w:sz w:val="20"/>
              </w:rPr>
              <w:t>.00</w:t>
            </w:r>
          </w:p>
          <w:p w:rsidRPr="00A11B95" w:rsidR="00EB2A73" w:rsidP="00FA1744" w:rsidRDefault="00EB2A73" w14:paraId="2622F4BA" w14:textId="36F92CF1">
            <w:pPr>
              <w:ind w:left="288"/>
              <w:jc w:val="center"/>
              <w:rPr>
                <w:color w:val="000000"/>
                <w:sz w:val="20"/>
              </w:rPr>
            </w:pPr>
            <w:r w:rsidRPr="00A11B95">
              <w:rPr>
                <w:color w:val="000000"/>
                <w:sz w:val="20"/>
              </w:rPr>
              <w:t>[</w:t>
            </w:r>
            <w:r w:rsidRPr="00A11B95" w:rsidR="00796291">
              <w:rPr>
                <w:color w:val="000000"/>
                <w:sz w:val="20"/>
              </w:rPr>
              <w:t>5</w:t>
            </w:r>
            <w:r w:rsidRPr="00A11B95">
              <w:rPr>
                <w:color w:val="000000"/>
                <w:sz w:val="20"/>
              </w:rPr>
              <w:t>]</w:t>
            </w:r>
          </w:p>
        </w:tc>
        <w:tc>
          <w:tcPr>
            <w:tcW w:w="1200" w:type="dxa"/>
          </w:tcPr>
          <w:p w:rsidRPr="00A11B95" w:rsidR="00A92D0B" w:rsidP="00AC2135" w:rsidRDefault="00F9669F" w14:paraId="26135325" w14:textId="54E5AEC0">
            <w:pPr>
              <w:jc w:val="right"/>
              <w:rPr>
                <w:color w:val="000000"/>
                <w:sz w:val="20"/>
              </w:rPr>
            </w:pPr>
            <w:r w:rsidRPr="00A11B95">
              <w:rPr>
                <w:color w:val="000000"/>
                <w:sz w:val="20"/>
              </w:rPr>
              <w:t xml:space="preserve"> $</w:t>
            </w:r>
            <w:r w:rsidRPr="00A11B95" w:rsidR="004276D3">
              <w:rPr>
                <w:color w:val="000000"/>
                <w:sz w:val="20"/>
              </w:rPr>
              <w:t>576</w:t>
            </w:r>
            <w:r w:rsidRPr="00A11B95">
              <w:rPr>
                <w:color w:val="000000"/>
                <w:sz w:val="20"/>
              </w:rPr>
              <w:t>.00</w:t>
            </w:r>
          </w:p>
        </w:tc>
      </w:tr>
      <w:tr w:rsidRPr="00A11B95" w:rsidR="00E3786F" w:rsidTr="001038CB" w14:paraId="1B237C11" w14:textId="77777777">
        <w:trPr>
          <w:cantSplit/>
          <w:jc w:val="center"/>
        </w:trPr>
        <w:tc>
          <w:tcPr>
            <w:tcW w:w="7465" w:type="dxa"/>
            <w:gridSpan w:val="9"/>
            <w:tcBorders>
              <w:bottom w:val="single" w:color="auto" w:sz="4" w:space="0"/>
              <w:right w:val="single" w:color="auto" w:sz="24" w:space="0"/>
            </w:tcBorders>
            <w:vAlign w:val="bottom"/>
          </w:tcPr>
          <w:p w:rsidRPr="00A11B95" w:rsidR="00E3786F" w:rsidP="00FA1744" w:rsidRDefault="00E3786F" w14:paraId="2ECB6744" w14:textId="2B12411F">
            <w:pPr>
              <w:tabs>
                <w:tab w:val="left" w:pos="957"/>
              </w:tabs>
              <w:jc w:val="right"/>
              <w:rPr>
                <w:b/>
                <w:i/>
                <w:color w:val="000000"/>
                <w:sz w:val="20"/>
              </w:rPr>
            </w:pPr>
            <w:r w:rsidRPr="00A11B95">
              <w:rPr>
                <w:b/>
                <w:i/>
                <w:color w:val="000000"/>
                <w:sz w:val="20"/>
              </w:rPr>
              <w:t>Subtotal: $</w:t>
            </w:r>
            <w:r w:rsidRPr="00A11B95" w:rsidR="00B82E38">
              <w:rPr>
                <w:b/>
                <w:i/>
                <w:color w:val="000000"/>
                <w:sz w:val="20"/>
              </w:rPr>
              <w:t>593,921.50</w:t>
            </w:r>
          </w:p>
        </w:tc>
        <w:tc>
          <w:tcPr>
            <w:tcW w:w="3090" w:type="dxa"/>
            <w:gridSpan w:val="3"/>
            <w:tcBorders>
              <w:left w:val="single" w:color="auto" w:sz="24" w:space="0"/>
              <w:bottom w:val="single" w:color="auto" w:sz="4" w:space="0"/>
            </w:tcBorders>
            <w:vAlign w:val="bottom"/>
          </w:tcPr>
          <w:p w:rsidRPr="00A11B95" w:rsidR="00E3786F" w:rsidP="00FA1744" w:rsidRDefault="00E3786F" w14:paraId="4C4556E5" w14:textId="64651501">
            <w:pPr>
              <w:tabs>
                <w:tab w:val="left" w:pos="957"/>
              </w:tabs>
              <w:jc w:val="right"/>
              <w:rPr>
                <w:color w:val="000000"/>
                <w:sz w:val="20"/>
              </w:rPr>
            </w:pPr>
            <w:r w:rsidRPr="00A11B95">
              <w:rPr>
                <w:b/>
                <w:i/>
                <w:color w:val="000000"/>
                <w:sz w:val="20"/>
              </w:rPr>
              <w:t xml:space="preserve">Subtotal: </w:t>
            </w:r>
            <w:r w:rsidRPr="00A11B95" w:rsidR="002E2E4A">
              <w:rPr>
                <w:b/>
                <w:i/>
                <w:iCs/>
                <w:color w:val="000000"/>
                <w:sz w:val="20"/>
              </w:rPr>
              <w:t xml:space="preserve"> $</w:t>
            </w:r>
            <w:r w:rsidR="002D6924">
              <w:rPr>
                <w:b/>
                <w:i/>
                <w:color w:val="000000"/>
                <w:sz w:val="20"/>
              </w:rPr>
              <w:t>227,</w:t>
            </w:r>
            <w:r w:rsidR="009B0C9A">
              <w:rPr>
                <w:b/>
                <w:i/>
                <w:color w:val="000000"/>
                <w:sz w:val="20"/>
              </w:rPr>
              <w:t>768.00</w:t>
            </w:r>
          </w:p>
        </w:tc>
      </w:tr>
      <w:tr w:rsidRPr="00A11B95" w:rsidR="00A92D0B" w:rsidTr="004A665F" w14:paraId="4F8FAF05"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A11B95" w:rsidR="00A92D0B" w:rsidP="0034746C" w:rsidRDefault="00A92D0B" w14:paraId="41FE304C" w14:textId="77777777">
            <w:pPr>
              <w:keepNext/>
              <w:jc w:val="center"/>
              <w:rPr>
                <w:color w:val="000000"/>
                <w:sz w:val="20"/>
              </w:rPr>
            </w:pPr>
            <w:r w:rsidRPr="00A11B95">
              <w:rPr>
                <w:b/>
                <w:color w:val="000000"/>
                <w:sz w:val="20"/>
              </w:rPr>
              <w:t xml:space="preserve">INTERVENOR COMPENSATION CLAIM PREPARATION </w:t>
            </w:r>
            <w:r w:rsidRPr="00A11B95">
              <w:rPr>
                <w:b/>
                <w:smallCaps/>
                <w:color w:val="000000"/>
                <w:sz w:val="20"/>
              </w:rPr>
              <w:t xml:space="preserve"> **</w:t>
            </w:r>
          </w:p>
        </w:tc>
      </w:tr>
      <w:tr w:rsidRPr="00A11B95" w:rsidR="00A11B95" w:rsidTr="001038CB" w14:paraId="48B3E535" w14:textId="77777777">
        <w:trPr>
          <w:cantSplit/>
          <w:jc w:val="center"/>
        </w:trPr>
        <w:tc>
          <w:tcPr>
            <w:tcW w:w="1885" w:type="dxa"/>
            <w:tcBorders>
              <w:top w:val="single" w:color="auto" w:sz="4" w:space="0"/>
              <w:bottom w:val="single" w:color="auto" w:sz="4" w:space="0"/>
            </w:tcBorders>
            <w:vAlign w:val="bottom"/>
          </w:tcPr>
          <w:p w:rsidRPr="00A11B95" w:rsidR="00A92D0B" w:rsidP="0034746C" w:rsidRDefault="00A92D0B" w14:paraId="563A43BB" w14:textId="77777777">
            <w:pPr>
              <w:keepNext/>
              <w:jc w:val="center"/>
              <w:rPr>
                <w:b/>
                <w:color w:val="000000"/>
                <w:sz w:val="20"/>
              </w:rPr>
            </w:pPr>
            <w:r w:rsidRPr="00A11B95">
              <w:rPr>
                <w:b/>
                <w:color w:val="000000"/>
                <w:sz w:val="20"/>
              </w:rPr>
              <w:t>Item</w:t>
            </w:r>
          </w:p>
        </w:tc>
        <w:tc>
          <w:tcPr>
            <w:tcW w:w="720" w:type="dxa"/>
            <w:gridSpan w:val="2"/>
            <w:tcBorders>
              <w:top w:val="single" w:color="auto" w:sz="4" w:space="0"/>
              <w:bottom w:val="single" w:color="auto" w:sz="4" w:space="0"/>
            </w:tcBorders>
            <w:vAlign w:val="bottom"/>
          </w:tcPr>
          <w:p w:rsidRPr="00A11B95" w:rsidR="00A92D0B" w:rsidP="0034746C" w:rsidRDefault="00A92D0B" w14:paraId="144552E0" w14:textId="77777777">
            <w:pPr>
              <w:keepNext/>
              <w:jc w:val="center"/>
              <w:rPr>
                <w:b/>
                <w:color w:val="000000"/>
                <w:sz w:val="20"/>
              </w:rPr>
            </w:pPr>
            <w:r w:rsidRPr="00A11B95">
              <w:rPr>
                <w:b/>
                <w:color w:val="000000"/>
                <w:sz w:val="20"/>
              </w:rPr>
              <w:t>Year</w:t>
            </w:r>
          </w:p>
        </w:tc>
        <w:tc>
          <w:tcPr>
            <w:tcW w:w="810" w:type="dxa"/>
            <w:tcBorders>
              <w:top w:val="single" w:color="auto" w:sz="4" w:space="0"/>
              <w:bottom w:val="single" w:color="auto" w:sz="4" w:space="0"/>
            </w:tcBorders>
            <w:vAlign w:val="bottom"/>
          </w:tcPr>
          <w:p w:rsidRPr="00A11B95" w:rsidR="00A92D0B" w:rsidP="0034746C" w:rsidRDefault="00A92D0B" w14:paraId="42890B1B" w14:textId="77777777">
            <w:pPr>
              <w:keepNext/>
              <w:jc w:val="center"/>
              <w:rPr>
                <w:b/>
                <w:color w:val="000000"/>
                <w:sz w:val="20"/>
              </w:rPr>
            </w:pPr>
            <w:r w:rsidRPr="00A11B95">
              <w:rPr>
                <w:b/>
                <w:color w:val="000000"/>
                <w:sz w:val="20"/>
              </w:rPr>
              <w:t>Hours</w:t>
            </w:r>
          </w:p>
        </w:tc>
        <w:tc>
          <w:tcPr>
            <w:tcW w:w="1170" w:type="dxa"/>
            <w:gridSpan w:val="2"/>
            <w:tcBorders>
              <w:top w:val="single" w:color="auto" w:sz="4" w:space="0"/>
              <w:bottom w:val="single" w:color="auto" w:sz="4" w:space="0"/>
            </w:tcBorders>
            <w:vAlign w:val="bottom"/>
          </w:tcPr>
          <w:p w:rsidRPr="00A11B95" w:rsidR="00A92D0B" w:rsidP="0034746C" w:rsidRDefault="00A92D0B" w14:paraId="1E7BD956" w14:textId="243077B9">
            <w:pPr>
              <w:keepNext/>
              <w:jc w:val="center"/>
              <w:rPr>
                <w:b/>
                <w:color w:val="000000"/>
                <w:sz w:val="20"/>
              </w:rPr>
            </w:pPr>
            <w:r w:rsidRPr="00A11B95">
              <w:rPr>
                <w:b/>
                <w:color w:val="000000"/>
                <w:sz w:val="20"/>
              </w:rPr>
              <w:t>Rate</w:t>
            </w:r>
            <w:r w:rsidRPr="00A11B95" w:rsidR="00380703">
              <w:rPr>
                <w:b/>
                <w:color w:val="000000"/>
                <w:sz w:val="20"/>
              </w:rPr>
              <w:t xml:space="preserve"> $</w:t>
            </w:r>
          </w:p>
        </w:tc>
        <w:tc>
          <w:tcPr>
            <w:tcW w:w="1620" w:type="dxa"/>
            <w:tcBorders>
              <w:top w:val="single" w:color="auto" w:sz="4" w:space="0"/>
              <w:bottom w:val="single" w:color="auto" w:sz="4" w:space="0"/>
              <w:right w:val="single" w:color="auto" w:sz="4" w:space="0"/>
            </w:tcBorders>
            <w:vAlign w:val="bottom"/>
          </w:tcPr>
          <w:p w:rsidRPr="00A11B95" w:rsidR="00A92D0B" w:rsidP="0034746C" w:rsidRDefault="00A92D0B" w14:paraId="104D7982" w14:textId="77777777">
            <w:pPr>
              <w:keepNext/>
              <w:jc w:val="center"/>
              <w:rPr>
                <w:b/>
                <w:color w:val="000000"/>
                <w:sz w:val="20"/>
              </w:rPr>
            </w:pPr>
            <w:r w:rsidRPr="00A11B95">
              <w:rPr>
                <w:b/>
                <w:color w:val="000000"/>
                <w:sz w:val="20"/>
              </w:rPr>
              <w:t>Basis for Rate*</w:t>
            </w:r>
          </w:p>
        </w:tc>
        <w:tc>
          <w:tcPr>
            <w:tcW w:w="1260" w:type="dxa"/>
            <w:gridSpan w:val="2"/>
            <w:tcBorders>
              <w:top w:val="single" w:color="auto" w:sz="4" w:space="0"/>
              <w:left w:val="single" w:color="auto" w:sz="4" w:space="0"/>
              <w:bottom w:val="single" w:color="auto" w:sz="4" w:space="0"/>
              <w:right w:val="single" w:color="auto" w:sz="24" w:space="0"/>
            </w:tcBorders>
            <w:vAlign w:val="bottom"/>
          </w:tcPr>
          <w:p w:rsidRPr="00A11B95" w:rsidR="00A92D0B" w:rsidP="0034746C" w:rsidRDefault="00A92D0B" w14:paraId="073B2BB9" w14:textId="77777777">
            <w:pPr>
              <w:keepNext/>
              <w:jc w:val="center"/>
              <w:rPr>
                <w:b/>
                <w:color w:val="000000"/>
                <w:sz w:val="20"/>
              </w:rPr>
            </w:pPr>
            <w:r w:rsidRPr="00A11B95">
              <w:rPr>
                <w:b/>
                <w:color w:val="000000"/>
                <w:sz w:val="20"/>
              </w:rPr>
              <w:t>Total $</w:t>
            </w:r>
          </w:p>
        </w:tc>
        <w:tc>
          <w:tcPr>
            <w:tcW w:w="810" w:type="dxa"/>
            <w:tcBorders>
              <w:top w:val="single" w:color="auto" w:sz="4" w:space="0"/>
              <w:left w:val="single" w:color="auto" w:sz="4" w:space="0"/>
            </w:tcBorders>
            <w:vAlign w:val="bottom"/>
          </w:tcPr>
          <w:p w:rsidRPr="00A11B95" w:rsidR="00A92D0B" w:rsidP="0034746C" w:rsidRDefault="00A92D0B" w14:paraId="0409143B" w14:textId="77777777">
            <w:pPr>
              <w:keepNext/>
              <w:jc w:val="center"/>
              <w:rPr>
                <w:b/>
                <w:color w:val="000000"/>
                <w:sz w:val="20"/>
              </w:rPr>
            </w:pPr>
            <w:r w:rsidRPr="00A11B95">
              <w:rPr>
                <w:b/>
                <w:color w:val="000000"/>
                <w:sz w:val="20"/>
              </w:rPr>
              <w:t>Hours</w:t>
            </w:r>
          </w:p>
        </w:tc>
        <w:tc>
          <w:tcPr>
            <w:tcW w:w="1080" w:type="dxa"/>
            <w:tcBorders>
              <w:top w:val="single" w:color="auto" w:sz="4" w:space="0"/>
            </w:tcBorders>
            <w:vAlign w:val="bottom"/>
          </w:tcPr>
          <w:p w:rsidRPr="00A11B95" w:rsidR="00A92D0B" w:rsidP="0034746C" w:rsidRDefault="00A92D0B" w14:paraId="6B59BB80" w14:textId="2C791D8E">
            <w:pPr>
              <w:keepNext/>
              <w:jc w:val="center"/>
              <w:rPr>
                <w:b/>
                <w:color w:val="000000"/>
                <w:sz w:val="20"/>
              </w:rPr>
            </w:pPr>
            <w:r w:rsidRPr="00A11B95">
              <w:rPr>
                <w:b/>
                <w:color w:val="000000"/>
                <w:sz w:val="20"/>
              </w:rPr>
              <w:t xml:space="preserve">Rate </w:t>
            </w:r>
            <w:r w:rsidRPr="00A11B95" w:rsidR="00B17005">
              <w:rPr>
                <w:b/>
                <w:color w:val="000000"/>
                <w:sz w:val="20"/>
              </w:rPr>
              <w:t>$</w:t>
            </w:r>
          </w:p>
        </w:tc>
        <w:tc>
          <w:tcPr>
            <w:tcW w:w="1200" w:type="dxa"/>
            <w:tcBorders>
              <w:top w:val="single" w:color="auto" w:sz="4" w:space="0"/>
            </w:tcBorders>
            <w:vAlign w:val="bottom"/>
          </w:tcPr>
          <w:p w:rsidRPr="00A11B95" w:rsidR="00A92D0B" w:rsidP="0034746C" w:rsidRDefault="00A92D0B" w14:paraId="6C7B13CF" w14:textId="77777777">
            <w:pPr>
              <w:keepNext/>
              <w:jc w:val="center"/>
              <w:rPr>
                <w:b/>
                <w:color w:val="000000"/>
                <w:sz w:val="20"/>
              </w:rPr>
            </w:pPr>
            <w:r w:rsidRPr="00A11B95">
              <w:rPr>
                <w:b/>
                <w:color w:val="000000"/>
                <w:sz w:val="20"/>
              </w:rPr>
              <w:t>Total $</w:t>
            </w:r>
          </w:p>
        </w:tc>
      </w:tr>
      <w:tr w:rsidRPr="00A11B95" w:rsidR="00A11B95" w:rsidTr="001038CB" w14:paraId="25086E67" w14:textId="77777777">
        <w:trPr>
          <w:cantSplit/>
          <w:jc w:val="center"/>
        </w:trPr>
        <w:tc>
          <w:tcPr>
            <w:tcW w:w="1885" w:type="dxa"/>
          </w:tcPr>
          <w:p w:rsidRPr="00A11B95" w:rsidR="00A92D0B" w:rsidP="0034746C" w:rsidRDefault="00FD69BB" w14:paraId="386D0995" w14:textId="24FB0B5A">
            <w:pPr>
              <w:rPr>
                <w:color w:val="000000"/>
                <w:sz w:val="20"/>
              </w:rPr>
            </w:pPr>
            <w:r w:rsidRPr="00A11B95">
              <w:rPr>
                <w:color w:val="000000"/>
                <w:sz w:val="20"/>
              </w:rPr>
              <w:t>Julia Severson</w:t>
            </w:r>
          </w:p>
        </w:tc>
        <w:tc>
          <w:tcPr>
            <w:tcW w:w="720" w:type="dxa"/>
            <w:gridSpan w:val="2"/>
          </w:tcPr>
          <w:p w:rsidRPr="00A11B95" w:rsidR="00A92D0B" w:rsidP="0034746C" w:rsidRDefault="003253B5" w14:paraId="4A155F1D" w14:textId="6E7E693E">
            <w:pPr>
              <w:jc w:val="center"/>
              <w:rPr>
                <w:color w:val="000000"/>
                <w:sz w:val="20"/>
              </w:rPr>
            </w:pPr>
            <w:r w:rsidRPr="00A11B95">
              <w:rPr>
                <w:color w:val="000000"/>
                <w:sz w:val="20"/>
              </w:rPr>
              <w:t>2022</w:t>
            </w:r>
          </w:p>
        </w:tc>
        <w:tc>
          <w:tcPr>
            <w:tcW w:w="810" w:type="dxa"/>
          </w:tcPr>
          <w:p w:rsidRPr="00A11B95" w:rsidR="00A92D0B" w:rsidP="0034746C" w:rsidRDefault="006649C1" w14:paraId="30EEA80A" w14:textId="036FB621">
            <w:pPr>
              <w:jc w:val="center"/>
              <w:rPr>
                <w:color w:val="000000"/>
                <w:sz w:val="20"/>
              </w:rPr>
            </w:pPr>
            <w:r w:rsidRPr="00A11B95">
              <w:rPr>
                <w:color w:val="000000"/>
                <w:sz w:val="20"/>
              </w:rPr>
              <w:t>3</w:t>
            </w:r>
          </w:p>
        </w:tc>
        <w:tc>
          <w:tcPr>
            <w:tcW w:w="1170" w:type="dxa"/>
            <w:gridSpan w:val="2"/>
          </w:tcPr>
          <w:p w:rsidRPr="00A11B95" w:rsidR="00A92D0B" w:rsidP="0066755D" w:rsidRDefault="00C868F2" w14:paraId="4EB14C91" w14:textId="044D6292">
            <w:pPr>
              <w:jc w:val="right"/>
              <w:rPr>
                <w:color w:val="000000"/>
                <w:sz w:val="20"/>
              </w:rPr>
            </w:pPr>
            <w:r w:rsidRPr="00A11B95">
              <w:rPr>
                <w:color w:val="000000"/>
                <w:sz w:val="20"/>
              </w:rPr>
              <w:t>$60</w:t>
            </w:r>
            <w:r w:rsidRPr="00A11B95" w:rsidR="0066755D">
              <w:rPr>
                <w:color w:val="000000" w:themeColor="text1"/>
                <w:sz w:val="20"/>
              </w:rPr>
              <w:t>.00</w:t>
            </w:r>
          </w:p>
        </w:tc>
        <w:tc>
          <w:tcPr>
            <w:tcW w:w="1620" w:type="dxa"/>
            <w:tcBorders>
              <w:right w:val="single" w:color="auto" w:sz="4" w:space="0"/>
            </w:tcBorders>
          </w:tcPr>
          <w:p w:rsidRPr="00A11B95" w:rsidR="00A92D0B" w:rsidP="0034746C" w:rsidRDefault="00005A59" w14:paraId="02D334B7" w14:textId="24331CFB">
            <w:pPr>
              <w:rPr>
                <w:color w:val="000000"/>
                <w:sz w:val="20"/>
              </w:rPr>
            </w:pPr>
            <w:r w:rsidRPr="00A11B95">
              <w:rPr>
                <w:color w:val="000000"/>
                <w:sz w:val="20"/>
              </w:rPr>
              <w:t>½ of hourly rate.</w:t>
            </w:r>
          </w:p>
        </w:tc>
        <w:tc>
          <w:tcPr>
            <w:tcW w:w="1260" w:type="dxa"/>
            <w:gridSpan w:val="2"/>
            <w:tcBorders>
              <w:top w:val="single" w:color="auto" w:sz="4" w:space="0"/>
              <w:left w:val="single" w:color="auto" w:sz="4" w:space="0"/>
              <w:bottom w:val="single" w:color="auto" w:sz="4" w:space="0"/>
              <w:right w:val="single" w:color="auto" w:sz="24" w:space="0"/>
            </w:tcBorders>
          </w:tcPr>
          <w:p w:rsidRPr="00A11B95" w:rsidR="00A92D0B" w:rsidP="0034746C" w:rsidRDefault="002559F0" w14:paraId="7B9A0261" w14:textId="2135B406">
            <w:pPr>
              <w:jc w:val="right"/>
              <w:rPr>
                <w:color w:val="000000"/>
                <w:sz w:val="20"/>
              </w:rPr>
            </w:pPr>
            <w:r w:rsidRPr="00A11B95">
              <w:rPr>
                <w:color w:val="000000"/>
                <w:sz w:val="20"/>
              </w:rPr>
              <w:t>$</w:t>
            </w:r>
            <w:r w:rsidRPr="00A11B95" w:rsidR="003A789F">
              <w:rPr>
                <w:color w:val="000000"/>
                <w:sz w:val="20"/>
              </w:rPr>
              <w:t>180</w:t>
            </w:r>
          </w:p>
        </w:tc>
        <w:tc>
          <w:tcPr>
            <w:tcW w:w="810" w:type="dxa"/>
            <w:tcBorders>
              <w:left w:val="single" w:color="auto" w:sz="4" w:space="0"/>
              <w:right w:val="single" w:color="auto" w:sz="4" w:space="0"/>
            </w:tcBorders>
          </w:tcPr>
          <w:p w:rsidRPr="00A11B95" w:rsidR="00A92D0B" w:rsidP="0034746C" w:rsidRDefault="001045C8" w14:paraId="5E5A4264" w14:textId="7896664A">
            <w:pPr>
              <w:jc w:val="center"/>
              <w:rPr>
                <w:color w:val="000000"/>
                <w:sz w:val="20"/>
              </w:rPr>
            </w:pPr>
            <w:r w:rsidRPr="00A11B95">
              <w:rPr>
                <w:color w:val="000000"/>
                <w:sz w:val="20"/>
              </w:rPr>
              <w:t>3</w:t>
            </w:r>
          </w:p>
        </w:tc>
        <w:tc>
          <w:tcPr>
            <w:tcW w:w="1080" w:type="dxa"/>
            <w:tcBorders>
              <w:left w:val="single" w:color="auto" w:sz="4" w:space="0"/>
            </w:tcBorders>
          </w:tcPr>
          <w:p w:rsidRPr="00A11B95" w:rsidR="00A92D0B" w:rsidP="00FA1744" w:rsidRDefault="00731937" w14:paraId="15B21761" w14:textId="79D0C7AA">
            <w:pPr>
              <w:jc w:val="right"/>
              <w:rPr>
                <w:color w:val="000000"/>
                <w:sz w:val="20"/>
              </w:rPr>
            </w:pPr>
            <w:r w:rsidRPr="00A11B95">
              <w:rPr>
                <w:color w:val="000000"/>
                <w:sz w:val="20"/>
              </w:rPr>
              <w:t>$60</w:t>
            </w:r>
            <w:r w:rsidRPr="00A11B95" w:rsidR="00FA1744">
              <w:rPr>
                <w:color w:val="000000"/>
                <w:sz w:val="20"/>
              </w:rPr>
              <w:t>.00</w:t>
            </w:r>
          </w:p>
          <w:p w:rsidRPr="00A11B95" w:rsidR="003D6BA9" w:rsidP="00FA1744" w:rsidRDefault="003D6BA9" w14:paraId="47B1F089" w14:textId="79DAA89F">
            <w:pPr>
              <w:ind w:left="288"/>
              <w:jc w:val="center"/>
              <w:rPr>
                <w:color w:val="000000"/>
                <w:sz w:val="20"/>
              </w:rPr>
            </w:pPr>
            <w:r w:rsidRPr="00A11B95">
              <w:rPr>
                <w:color w:val="000000"/>
                <w:sz w:val="20"/>
              </w:rPr>
              <w:t>[5]</w:t>
            </w:r>
          </w:p>
        </w:tc>
        <w:tc>
          <w:tcPr>
            <w:tcW w:w="1200" w:type="dxa"/>
          </w:tcPr>
          <w:p w:rsidRPr="00A11B95" w:rsidR="00A92D0B" w:rsidP="00601A9F" w:rsidRDefault="00250C8C" w14:paraId="10659B6D" w14:textId="124ADC38">
            <w:pPr>
              <w:jc w:val="right"/>
              <w:rPr>
                <w:color w:val="000000"/>
                <w:sz w:val="20"/>
              </w:rPr>
            </w:pPr>
            <w:r w:rsidRPr="00A11B95">
              <w:rPr>
                <w:color w:val="000000"/>
                <w:sz w:val="20"/>
              </w:rPr>
              <w:t>$180</w:t>
            </w:r>
          </w:p>
        </w:tc>
      </w:tr>
      <w:tr w:rsidRPr="00A11B95" w:rsidR="00A11B95" w:rsidTr="001038CB" w14:paraId="23811979" w14:textId="77777777">
        <w:trPr>
          <w:cantSplit/>
          <w:jc w:val="center"/>
        </w:trPr>
        <w:tc>
          <w:tcPr>
            <w:tcW w:w="1885" w:type="dxa"/>
          </w:tcPr>
          <w:p w:rsidRPr="00A11B95" w:rsidR="003253B5" w:rsidP="0034746C" w:rsidRDefault="003253B5" w14:paraId="4F98BA59" w14:textId="143C1ED5">
            <w:pPr>
              <w:rPr>
                <w:color w:val="000000"/>
                <w:sz w:val="20"/>
              </w:rPr>
            </w:pPr>
            <w:r w:rsidRPr="00A11B95">
              <w:rPr>
                <w:color w:val="000000"/>
                <w:sz w:val="20"/>
              </w:rPr>
              <w:t>Malinda Dickenson</w:t>
            </w:r>
          </w:p>
        </w:tc>
        <w:tc>
          <w:tcPr>
            <w:tcW w:w="720" w:type="dxa"/>
            <w:gridSpan w:val="2"/>
          </w:tcPr>
          <w:p w:rsidRPr="00A11B95" w:rsidR="003253B5" w:rsidP="0034746C" w:rsidRDefault="003253B5" w14:paraId="3131C34C" w14:textId="6B90E1C7">
            <w:pPr>
              <w:jc w:val="center"/>
              <w:rPr>
                <w:color w:val="000000"/>
                <w:sz w:val="20"/>
              </w:rPr>
            </w:pPr>
            <w:r w:rsidRPr="00A11B95">
              <w:rPr>
                <w:color w:val="000000"/>
                <w:sz w:val="20"/>
              </w:rPr>
              <w:t>202</w:t>
            </w:r>
            <w:r w:rsidRPr="00A11B95" w:rsidR="00BE2C12">
              <w:rPr>
                <w:color w:val="000000"/>
                <w:sz w:val="20"/>
              </w:rPr>
              <w:t>4</w:t>
            </w:r>
          </w:p>
        </w:tc>
        <w:tc>
          <w:tcPr>
            <w:tcW w:w="810" w:type="dxa"/>
          </w:tcPr>
          <w:p w:rsidRPr="00A11B95" w:rsidR="003253B5" w:rsidP="0034746C" w:rsidRDefault="006649C1" w14:paraId="5D1E01B7" w14:textId="4E2FE9D3">
            <w:pPr>
              <w:jc w:val="center"/>
              <w:rPr>
                <w:color w:val="000000"/>
                <w:sz w:val="20"/>
              </w:rPr>
            </w:pPr>
            <w:r w:rsidRPr="00A11B95">
              <w:rPr>
                <w:color w:val="000000"/>
                <w:sz w:val="20"/>
              </w:rPr>
              <w:t>0.5</w:t>
            </w:r>
          </w:p>
        </w:tc>
        <w:tc>
          <w:tcPr>
            <w:tcW w:w="1170" w:type="dxa"/>
            <w:gridSpan w:val="2"/>
          </w:tcPr>
          <w:p w:rsidRPr="00A11B95" w:rsidR="003253B5" w:rsidP="0066755D" w:rsidRDefault="009E5A49" w14:paraId="6334B1C7" w14:textId="27CB32B6">
            <w:pPr>
              <w:jc w:val="right"/>
              <w:rPr>
                <w:color w:val="000000"/>
                <w:sz w:val="20"/>
              </w:rPr>
            </w:pPr>
            <w:r w:rsidRPr="00A11B95">
              <w:rPr>
                <w:color w:val="000000"/>
                <w:sz w:val="20"/>
              </w:rPr>
              <w:t>$</w:t>
            </w:r>
            <w:r w:rsidRPr="00A11B95" w:rsidR="008602FB">
              <w:rPr>
                <w:color w:val="000000"/>
                <w:sz w:val="20"/>
              </w:rPr>
              <w:t>382.5</w:t>
            </w:r>
            <w:r w:rsidRPr="00A11B95" w:rsidR="0066755D">
              <w:rPr>
                <w:color w:val="000000"/>
                <w:sz w:val="20"/>
              </w:rPr>
              <w:t>0</w:t>
            </w:r>
          </w:p>
        </w:tc>
        <w:tc>
          <w:tcPr>
            <w:tcW w:w="1620" w:type="dxa"/>
            <w:tcBorders>
              <w:right w:val="single" w:color="auto" w:sz="4" w:space="0"/>
            </w:tcBorders>
          </w:tcPr>
          <w:p w:rsidRPr="00A11B95" w:rsidR="003253B5" w:rsidP="0034746C" w:rsidRDefault="00005A59" w14:paraId="7795197F" w14:textId="63B0CB28">
            <w:pPr>
              <w:rPr>
                <w:color w:val="000000"/>
                <w:sz w:val="20"/>
              </w:rPr>
            </w:pPr>
            <w:r w:rsidRPr="00A11B95">
              <w:rPr>
                <w:color w:val="000000"/>
                <w:sz w:val="20"/>
              </w:rPr>
              <w:t>½ of hourly rate.</w:t>
            </w:r>
            <w:r w:rsidRPr="00A11B95" w:rsidR="00DB2FA7">
              <w:rPr>
                <w:i/>
                <w:iCs/>
                <w:color w:val="000000"/>
                <w:sz w:val="20"/>
              </w:rPr>
              <w:t xml:space="preserve"> See </w:t>
            </w:r>
            <w:r w:rsidRPr="00A11B95" w:rsidR="00DB2FA7">
              <w:rPr>
                <w:color w:val="000000"/>
                <w:sz w:val="20"/>
              </w:rPr>
              <w:t>Comment #1.</w:t>
            </w:r>
          </w:p>
        </w:tc>
        <w:tc>
          <w:tcPr>
            <w:tcW w:w="1260" w:type="dxa"/>
            <w:gridSpan w:val="2"/>
            <w:tcBorders>
              <w:top w:val="single" w:color="auto" w:sz="4" w:space="0"/>
              <w:left w:val="single" w:color="auto" w:sz="4" w:space="0"/>
              <w:bottom w:val="single" w:color="auto" w:sz="4" w:space="0"/>
              <w:right w:val="single" w:color="auto" w:sz="24" w:space="0"/>
            </w:tcBorders>
          </w:tcPr>
          <w:p w:rsidRPr="00A11B95" w:rsidR="003253B5" w:rsidP="0034746C" w:rsidRDefault="002559F0" w14:paraId="2E002728" w14:textId="244800F4">
            <w:pPr>
              <w:jc w:val="right"/>
              <w:rPr>
                <w:color w:val="000000"/>
                <w:sz w:val="20"/>
              </w:rPr>
            </w:pPr>
            <w:r w:rsidRPr="00A11B95">
              <w:rPr>
                <w:color w:val="000000"/>
                <w:sz w:val="20"/>
              </w:rPr>
              <w:t>$</w:t>
            </w:r>
            <w:r w:rsidRPr="00A11B95" w:rsidR="003A789F">
              <w:rPr>
                <w:color w:val="000000"/>
                <w:sz w:val="20"/>
              </w:rPr>
              <w:t>191.25</w:t>
            </w:r>
          </w:p>
        </w:tc>
        <w:tc>
          <w:tcPr>
            <w:tcW w:w="810" w:type="dxa"/>
            <w:tcBorders>
              <w:left w:val="single" w:color="auto" w:sz="4" w:space="0"/>
              <w:right w:val="single" w:color="auto" w:sz="4" w:space="0"/>
            </w:tcBorders>
          </w:tcPr>
          <w:p w:rsidRPr="00A11B95" w:rsidR="003253B5" w:rsidP="0034746C" w:rsidRDefault="001045C8" w14:paraId="56EAF37C" w14:textId="2077F48F">
            <w:pPr>
              <w:jc w:val="center"/>
              <w:rPr>
                <w:color w:val="000000"/>
                <w:sz w:val="20"/>
              </w:rPr>
            </w:pPr>
            <w:r w:rsidRPr="00A11B95">
              <w:rPr>
                <w:color w:val="000000"/>
                <w:sz w:val="20"/>
              </w:rPr>
              <w:t>0.5</w:t>
            </w:r>
          </w:p>
        </w:tc>
        <w:tc>
          <w:tcPr>
            <w:tcW w:w="1080" w:type="dxa"/>
            <w:tcBorders>
              <w:left w:val="single" w:color="auto" w:sz="4" w:space="0"/>
            </w:tcBorders>
          </w:tcPr>
          <w:p w:rsidRPr="00A11B95" w:rsidR="003253B5" w:rsidP="00FA1744" w:rsidRDefault="00731937" w14:paraId="54819117" w14:textId="616AD836">
            <w:pPr>
              <w:jc w:val="right"/>
              <w:rPr>
                <w:color w:val="000000"/>
                <w:sz w:val="20"/>
              </w:rPr>
            </w:pPr>
            <w:r w:rsidRPr="00A11B95">
              <w:rPr>
                <w:color w:val="000000"/>
                <w:sz w:val="20"/>
              </w:rPr>
              <w:t>$</w:t>
            </w:r>
            <w:r w:rsidR="002D6924">
              <w:rPr>
                <w:color w:val="000000"/>
                <w:sz w:val="20"/>
              </w:rPr>
              <w:t>362.50</w:t>
            </w:r>
          </w:p>
          <w:p w:rsidRPr="00A11B95" w:rsidR="003D6BA9" w:rsidP="00FA1744" w:rsidRDefault="003D6BA9" w14:paraId="0E8BC09B" w14:textId="6A352D7A">
            <w:pPr>
              <w:ind w:left="288"/>
              <w:jc w:val="center"/>
              <w:rPr>
                <w:color w:val="000000"/>
                <w:sz w:val="20"/>
              </w:rPr>
            </w:pPr>
            <w:r w:rsidRPr="00A11B95">
              <w:rPr>
                <w:color w:val="000000"/>
                <w:sz w:val="20"/>
              </w:rPr>
              <w:t>[</w:t>
            </w:r>
            <w:r w:rsidRPr="00A11B95" w:rsidR="00826097">
              <w:rPr>
                <w:color w:val="000000"/>
                <w:sz w:val="20"/>
              </w:rPr>
              <w:t>1]</w:t>
            </w:r>
          </w:p>
        </w:tc>
        <w:tc>
          <w:tcPr>
            <w:tcW w:w="1200" w:type="dxa"/>
          </w:tcPr>
          <w:p w:rsidRPr="00A11B95" w:rsidR="003253B5" w:rsidP="00601A9F" w:rsidRDefault="00FA6DB8" w14:paraId="2268A4A5" w14:textId="4A7CDAA0">
            <w:pPr>
              <w:jc w:val="right"/>
              <w:rPr>
                <w:color w:val="000000"/>
                <w:sz w:val="20"/>
              </w:rPr>
            </w:pPr>
            <w:r w:rsidRPr="00A11B95">
              <w:rPr>
                <w:color w:val="000000"/>
                <w:sz w:val="20"/>
              </w:rPr>
              <w:t>$</w:t>
            </w:r>
            <w:r w:rsidR="002D6924">
              <w:rPr>
                <w:color w:val="000000"/>
                <w:sz w:val="20"/>
              </w:rPr>
              <w:t>181.25</w:t>
            </w:r>
          </w:p>
        </w:tc>
      </w:tr>
      <w:tr w:rsidRPr="00A11B95" w:rsidR="00A11B95" w:rsidTr="001038CB" w14:paraId="7AB9EF54" w14:textId="77777777">
        <w:trPr>
          <w:cantSplit/>
          <w:jc w:val="center"/>
        </w:trPr>
        <w:tc>
          <w:tcPr>
            <w:tcW w:w="1885" w:type="dxa"/>
          </w:tcPr>
          <w:p w:rsidRPr="00A11B95" w:rsidR="00A92D0B" w:rsidP="0034746C" w:rsidRDefault="00FD69BB" w14:paraId="4F803C09" w14:textId="75F431B4">
            <w:pPr>
              <w:rPr>
                <w:color w:val="000000"/>
                <w:sz w:val="20"/>
              </w:rPr>
            </w:pPr>
            <w:r w:rsidRPr="00A11B95">
              <w:rPr>
                <w:color w:val="000000"/>
                <w:sz w:val="20"/>
              </w:rPr>
              <w:t>Malinda Dickenson</w:t>
            </w:r>
          </w:p>
        </w:tc>
        <w:tc>
          <w:tcPr>
            <w:tcW w:w="720" w:type="dxa"/>
            <w:gridSpan w:val="2"/>
          </w:tcPr>
          <w:p w:rsidRPr="00A11B95" w:rsidR="00A92D0B" w:rsidP="0034746C" w:rsidRDefault="003253B5" w14:paraId="058BFE37" w14:textId="1E5EB0D2">
            <w:pPr>
              <w:jc w:val="center"/>
              <w:rPr>
                <w:color w:val="000000"/>
                <w:sz w:val="20"/>
              </w:rPr>
            </w:pPr>
            <w:r w:rsidRPr="00A11B95">
              <w:rPr>
                <w:color w:val="000000"/>
                <w:sz w:val="20"/>
              </w:rPr>
              <w:t>202</w:t>
            </w:r>
            <w:r w:rsidRPr="00A11B95" w:rsidR="00BE2C12">
              <w:rPr>
                <w:color w:val="000000"/>
                <w:sz w:val="20"/>
              </w:rPr>
              <w:t>2</w:t>
            </w:r>
          </w:p>
        </w:tc>
        <w:tc>
          <w:tcPr>
            <w:tcW w:w="810" w:type="dxa"/>
          </w:tcPr>
          <w:p w:rsidRPr="00A11B95" w:rsidR="00A92D0B" w:rsidP="0034746C" w:rsidRDefault="006649C1" w14:paraId="66A42865" w14:textId="253EC495">
            <w:pPr>
              <w:jc w:val="center"/>
              <w:rPr>
                <w:color w:val="000000"/>
                <w:sz w:val="20"/>
              </w:rPr>
            </w:pPr>
            <w:r w:rsidRPr="00A11B95">
              <w:rPr>
                <w:color w:val="000000"/>
                <w:sz w:val="20"/>
              </w:rPr>
              <w:t>3.5</w:t>
            </w:r>
          </w:p>
        </w:tc>
        <w:tc>
          <w:tcPr>
            <w:tcW w:w="1170" w:type="dxa"/>
            <w:gridSpan w:val="2"/>
          </w:tcPr>
          <w:p w:rsidRPr="00A11B95" w:rsidR="00A92D0B" w:rsidP="0066755D" w:rsidRDefault="009E5A49" w14:paraId="42AE8F2C" w14:textId="39654862">
            <w:pPr>
              <w:jc w:val="right"/>
              <w:rPr>
                <w:color w:val="000000"/>
                <w:sz w:val="20"/>
              </w:rPr>
            </w:pPr>
            <w:r w:rsidRPr="00A11B95">
              <w:rPr>
                <w:color w:val="000000"/>
                <w:sz w:val="20"/>
              </w:rPr>
              <w:t>$35</w:t>
            </w:r>
            <w:r w:rsidRPr="00A11B95" w:rsidR="00C7361A">
              <w:rPr>
                <w:color w:val="000000"/>
                <w:sz w:val="20"/>
              </w:rPr>
              <w:t>2.5</w:t>
            </w:r>
            <w:r w:rsidRPr="00A11B95" w:rsidR="0066755D">
              <w:rPr>
                <w:color w:val="000000"/>
                <w:sz w:val="20"/>
              </w:rPr>
              <w:t>0</w:t>
            </w:r>
          </w:p>
        </w:tc>
        <w:tc>
          <w:tcPr>
            <w:tcW w:w="1620" w:type="dxa"/>
            <w:tcBorders>
              <w:right w:val="single" w:color="auto" w:sz="4" w:space="0"/>
            </w:tcBorders>
          </w:tcPr>
          <w:p w:rsidRPr="00A11B95" w:rsidR="00A92D0B" w:rsidP="0034746C" w:rsidRDefault="00005A59" w14:paraId="3DB754B7" w14:textId="621E63D4">
            <w:pPr>
              <w:rPr>
                <w:color w:val="000000"/>
                <w:sz w:val="20"/>
              </w:rPr>
            </w:pPr>
            <w:r w:rsidRPr="00A11B95">
              <w:rPr>
                <w:color w:val="000000"/>
                <w:sz w:val="20"/>
              </w:rPr>
              <w:t>½ of hourly rate.</w:t>
            </w:r>
            <w:r w:rsidRPr="00A11B95" w:rsidR="00DB2FA7">
              <w:rPr>
                <w:color w:val="000000"/>
                <w:sz w:val="20"/>
              </w:rPr>
              <w:t xml:space="preserve"> </w:t>
            </w:r>
            <w:r w:rsidRPr="00A11B95" w:rsidR="00DB2FA7">
              <w:rPr>
                <w:i/>
                <w:iCs/>
                <w:color w:val="000000"/>
                <w:sz w:val="20"/>
              </w:rPr>
              <w:t xml:space="preserve">See </w:t>
            </w:r>
            <w:r w:rsidRPr="00A11B95" w:rsidR="00DB2FA7">
              <w:rPr>
                <w:color w:val="000000"/>
                <w:sz w:val="20"/>
              </w:rPr>
              <w:t>comment #1.</w:t>
            </w:r>
          </w:p>
        </w:tc>
        <w:tc>
          <w:tcPr>
            <w:tcW w:w="1260" w:type="dxa"/>
            <w:gridSpan w:val="2"/>
            <w:tcBorders>
              <w:top w:val="single" w:color="auto" w:sz="4" w:space="0"/>
              <w:left w:val="single" w:color="auto" w:sz="4" w:space="0"/>
              <w:bottom w:val="single" w:color="auto" w:sz="4" w:space="0"/>
              <w:right w:val="single" w:color="auto" w:sz="24" w:space="0"/>
            </w:tcBorders>
          </w:tcPr>
          <w:p w:rsidRPr="00A11B95" w:rsidR="00A92D0B" w:rsidP="0034746C" w:rsidRDefault="002559F0" w14:paraId="3D39C021" w14:textId="03BDA49D">
            <w:pPr>
              <w:jc w:val="right"/>
              <w:rPr>
                <w:color w:val="000000"/>
                <w:sz w:val="20"/>
              </w:rPr>
            </w:pPr>
            <w:r w:rsidRPr="00A11B95">
              <w:rPr>
                <w:color w:val="000000"/>
                <w:sz w:val="20"/>
              </w:rPr>
              <w:t>$</w:t>
            </w:r>
            <w:r w:rsidRPr="00A11B95" w:rsidR="003A789F">
              <w:rPr>
                <w:color w:val="000000"/>
                <w:sz w:val="20"/>
              </w:rPr>
              <w:t>1</w:t>
            </w:r>
            <w:r w:rsidRPr="00A11B95">
              <w:rPr>
                <w:color w:val="000000"/>
                <w:sz w:val="20"/>
              </w:rPr>
              <w:t>,233.75</w:t>
            </w:r>
          </w:p>
        </w:tc>
        <w:tc>
          <w:tcPr>
            <w:tcW w:w="810" w:type="dxa"/>
            <w:tcBorders>
              <w:left w:val="single" w:color="auto" w:sz="4" w:space="0"/>
              <w:right w:val="single" w:color="auto" w:sz="4" w:space="0"/>
            </w:tcBorders>
          </w:tcPr>
          <w:p w:rsidRPr="00A11B95" w:rsidR="00A92D0B" w:rsidP="0034746C" w:rsidRDefault="001045C8" w14:paraId="6B8C8F0C" w14:textId="157475CF">
            <w:pPr>
              <w:jc w:val="center"/>
              <w:rPr>
                <w:color w:val="000000"/>
                <w:sz w:val="20"/>
              </w:rPr>
            </w:pPr>
            <w:r w:rsidRPr="00A11B95">
              <w:rPr>
                <w:color w:val="000000"/>
                <w:sz w:val="20"/>
              </w:rPr>
              <w:t>3.5</w:t>
            </w:r>
          </w:p>
        </w:tc>
        <w:tc>
          <w:tcPr>
            <w:tcW w:w="1080" w:type="dxa"/>
            <w:tcBorders>
              <w:left w:val="single" w:color="auto" w:sz="4" w:space="0"/>
            </w:tcBorders>
          </w:tcPr>
          <w:p w:rsidRPr="00A11B95" w:rsidR="00A92D0B" w:rsidP="00FA1744" w:rsidRDefault="00731937" w14:paraId="4291A433" w14:textId="6F26E10B">
            <w:pPr>
              <w:jc w:val="right"/>
              <w:rPr>
                <w:color w:val="000000"/>
                <w:sz w:val="20"/>
              </w:rPr>
            </w:pPr>
            <w:r w:rsidRPr="00A11B95">
              <w:rPr>
                <w:color w:val="000000"/>
                <w:sz w:val="20"/>
              </w:rPr>
              <w:t>$</w:t>
            </w:r>
            <w:r w:rsidRPr="00A11B95" w:rsidR="00EB2A73">
              <w:rPr>
                <w:color w:val="000000"/>
                <w:sz w:val="20"/>
              </w:rPr>
              <w:t>305</w:t>
            </w:r>
            <w:r w:rsidRPr="00A11B95" w:rsidR="00FA1744">
              <w:rPr>
                <w:color w:val="000000"/>
                <w:sz w:val="20"/>
              </w:rPr>
              <w:t>.00</w:t>
            </w:r>
          </w:p>
          <w:p w:rsidRPr="00A11B95" w:rsidR="00826097" w:rsidP="0034746C" w:rsidRDefault="00826097" w14:paraId="0A58B021" w14:textId="3D93E63A">
            <w:pPr>
              <w:jc w:val="center"/>
              <w:rPr>
                <w:color w:val="000000"/>
                <w:sz w:val="20"/>
              </w:rPr>
            </w:pPr>
            <w:r w:rsidRPr="00A11B95">
              <w:rPr>
                <w:color w:val="000000"/>
                <w:sz w:val="20"/>
              </w:rPr>
              <w:t>[1]</w:t>
            </w:r>
          </w:p>
        </w:tc>
        <w:tc>
          <w:tcPr>
            <w:tcW w:w="1200" w:type="dxa"/>
          </w:tcPr>
          <w:p w:rsidRPr="00A11B95" w:rsidR="00FA6DB8" w:rsidP="00601A9F" w:rsidRDefault="00FA6DB8" w14:paraId="0769A3B4" w14:textId="6B0FC835">
            <w:pPr>
              <w:jc w:val="right"/>
              <w:rPr>
                <w:sz w:val="20"/>
              </w:rPr>
            </w:pPr>
            <w:r w:rsidRPr="00A11B95">
              <w:rPr>
                <w:color w:val="000000"/>
                <w:sz w:val="20"/>
              </w:rPr>
              <w:t>$1,</w:t>
            </w:r>
            <w:r w:rsidRPr="00A11B95" w:rsidR="00EB2A73">
              <w:rPr>
                <w:color w:val="000000"/>
                <w:sz w:val="20"/>
              </w:rPr>
              <w:t>067.50</w:t>
            </w:r>
          </w:p>
        </w:tc>
      </w:tr>
      <w:tr w:rsidRPr="00A11B95" w:rsidR="00A11B95" w:rsidTr="001038CB" w14:paraId="1CCCCEF2" w14:textId="77777777">
        <w:trPr>
          <w:cantSplit/>
          <w:jc w:val="center"/>
        </w:trPr>
        <w:tc>
          <w:tcPr>
            <w:tcW w:w="1885" w:type="dxa"/>
          </w:tcPr>
          <w:p w:rsidRPr="00A11B95" w:rsidR="00FD69BB" w:rsidP="0034746C" w:rsidRDefault="00FD69BB" w14:paraId="5F103EF6" w14:textId="21A384B7">
            <w:pPr>
              <w:rPr>
                <w:color w:val="000000"/>
                <w:sz w:val="20"/>
              </w:rPr>
            </w:pPr>
            <w:r w:rsidRPr="00A11B95">
              <w:rPr>
                <w:color w:val="000000"/>
                <w:sz w:val="20"/>
              </w:rPr>
              <w:t>Andrea White</w:t>
            </w:r>
          </w:p>
        </w:tc>
        <w:tc>
          <w:tcPr>
            <w:tcW w:w="720" w:type="dxa"/>
            <w:gridSpan w:val="2"/>
          </w:tcPr>
          <w:p w:rsidRPr="00A11B95" w:rsidR="00FD69BB" w:rsidP="0034746C" w:rsidRDefault="003253B5" w14:paraId="0D4C5962" w14:textId="1FAF5EA1">
            <w:pPr>
              <w:jc w:val="center"/>
              <w:rPr>
                <w:color w:val="000000"/>
                <w:sz w:val="20"/>
              </w:rPr>
            </w:pPr>
            <w:r w:rsidRPr="00A11B95">
              <w:rPr>
                <w:color w:val="000000"/>
                <w:sz w:val="20"/>
              </w:rPr>
              <w:t>2024</w:t>
            </w:r>
          </w:p>
        </w:tc>
        <w:tc>
          <w:tcPr>
            <w:tcW w:w="810" w:type="dxa"/>
          </w:tcPr>
          <w:p w:rsidRPr="00A11B95" w:rsidR="00FD69BB" w:rsidP="0034746C" w:rsidRDefault="006649C1" w14:paraId="450DBB4D" w14:textId="74085634">
            <w:pPr>
              <w:jc w:val="center"/>
              <w:rPr>
                <w:color w:val="000000"/>
                <w:sz w:val="20"/>
              </w:rPr>
            </w:pPr>
            <w:r w:rsidRPr="00A11B95">
              <w:rPr>
                <w:color w:val="000000"/>
                <w:sz w:val="20"/>
              </w:rPr>
              <w:t>8</w:t>
            </w:r>
          </w:p>
        </w:tc>
        <w:tc>
          <w:tcPr>
            <w:tcW w:w="1170" w:type="dxa"/>
            <w:gridSpan w:val="2"/>
          </w:tcPr>
          <w:p w:rsidRPr="00A11B95" w:rsidR="00232E06" w:rsidP="0066755D" w:rsidRDefault="00C868F2" w14:paraId="3AD74361" w14:textId="7D96B063">
            <w:pPr>
              <w:jc w:val="right"/>
              <w:rPr>
                <w:color w:val="000000"/>
                <w:sz w:val="20"/>
              </w:rPr>
            </w:pPr>
            <w:r w:rsidRPr="00A11B95">
              <w:rPr>
                <w:color w:val="000000"/>
                <w:sz w:val="20"/>
              </w:rPr>
              <w:t>$</w:t>
            </w:r>
            <w:r w:rsidRPr="00A11B95" w:rsidR="008460AA">
              <w:rPr>
                <w:color w:val="000000"/>
                <w:sz w:val="20"/>
              </w:rPr>
              <w:t>1</w:t>
            </w:r>
            <w:r w:rsidRPr="00A11B95" w:rsidR="006E2A1A">
              <w:rPr>
                <w:color w:val="000000"/>
                <w:sz w:val="20"/>
              </w:rPr>
              <w:t>3</w:t>
            </w:r>
            <w:r w:rsidRPr="00A11B95" w:rsidR="00E650D1">
              <w:rPr>
                <w:color w:val="000000"/>
                <w:sz w:val="20"/>
              </w:rPr>
              <w:t>2.5</w:t>
            </w:r>
            <w:r w:rsidRPr="00A11B95" w:rsidR="0066755D">
              <w:rPr>
                <w:color w:val="000000"/>
                <w:sz w:val="20"/>
              </w:rPr>
              <w:t>0</w:t>
            </w:r>
          </w:p>
        </w:tc>
        <w:tc>
          <w:tcPr>
            <w:tcW w:w="1620" w:type="dxa"/>
            <w:tcBorders>
              <w:right w:val="single" w:color="auto" w:sz="4" w:space="0"/>
            </w:tcBorders>
          </w:tcPr>
          <w:p w:rsidRPr="00A11B95" w:rsidR="003B24D9" w:rsidP="004A665F" w:rsidRDefault="00E1425C" w14:paraId="6F40A1DF" w14:textId="5B464B61">
            <w:pPr>
              <w:rPr>
                <w:color w:val="000000"/>
                <w:sz w:val="20"/>
              </w:rPr>
            </w:pPr>
            <w:r w:rsidRPr="00A11B95">
              <w:rPr>
                <w:color w:val="000000"/>
                <w:sz w:val="20"/>
              </w:rPr>
              <w:t xml:space="preserve">½ of hourly rate. </w:t>
            </w:r>
            <w:r w:rsidRPr="00A11B95">
              <w:rPr>
                <w:i/>
                <w:iCs/>
                <w:color w:val="000000"/>
                <w:sz w:val="20"/>
              </w:rPr>
              <w:t xml:space="preserve">See </w:t>
            </w:r>
            <w:r w:rsidRPr="00A11B95">
              <w:rPr>
                <w:color w:val="000000"/>
                <w:sz w:val="20"/>
              </w:rPr>
              <w:t>Comment #</w:t>
            </w:r>
            <w:r w:rsidRPr="00A11B95" w:rsidR="00957234">
              <w:rPr>
                <w:color w:val="000000"/>
                <w:sz w:val="20"/>
              </w:rPr>
              <w:t>5</w:t>
            </w:r>
            <w:r w:rsidRPr="00A11B95">
              <w:rPr>
                <w:color w:val="000000"/>
                <w:sz w:val="20"/>
              </w:rPr>
              <w:t>.</w:t>
            </w:r>
            <w:r w:rsidRPr="00A11B95" w:rsidR="004A665F">
              <w:rPr>
                <w:color w:val="000000"/>
                <w:sz w:val="20"/>
              </w:rPr>
              <w:t xml:space="preserve"> </w:t>
            </w:r>
            <w:r w:rsidRPr="00A11B95" w:rsidR="00F81996">
              <w:rPr>
                <w:color w:val="000000"/>
                <w:sz w:val="20"/>
              </w:rPr>
              <w:t>D.24</w:t>
            </w:r>
            <w:r w:rsidR="00B52830">
              <w:rPr>
                <w:color w:val="000000"/>
                <w:sz w:val="20"/>
              </w:rPr>
              <w:noBreakHyphen/>
            </w:r>
            <w:r w:rsidRPr="00A11B95" w:rsidR="00F81996">
              <w:rPr>
                <w:color w:val="000000"/>
                <w:sz w:val="20"/>
              </w:rPr>
              <w:t>12</w:t>
            </w:r>
            <w:r w:rsidR="00B52830">
              <w:rPr>
                <w:color w:val="000000"/>
                <w:sz w:val="20"/>
              </w:rPr>
              <w:noBreakHyphen/>
            </w:r>
            <w:r w:rsidRPr="00A11B95" w:rsidR="00F81996">
              <w:rPr>
                <w:color w:val="000000"/>
                <w:sz w:val="20"/>
              </w:rPr>
              <w:t>021</w:t>
            </w:r>
            <w:r w:rsidRPr="00A11B95" w:rsidR="008460AA">
              <w:rPr>
                <w:color w:val="000000"/>
                <w:sz w:val="20"/>
              </w:rPr>
              <w:t>,</w:t>
            </w:r>
            <w:r w:rsidRPr="00A11B95" w:rsidR="0015516F">
              <w:rPr>
                <w:color w:val="000000"/>
                <w:sz w:val="20"/>
              </w:rPr>
              <w:t xml:space="preserve"> p. </w:t>
            </w:r>
            <w:r w:rsidRPr="00A11B95" w:rsidR="008460AA">
              <w:rPr>
                <w:color w:val="000000"/>
                <w:sz w:val="20"/>
              </w:rPr>
              <w:t>20</w:t>
            </w:r>
            <w:r w:rsidRPr="00A11B95" w:rsidR="004A665F">
              <w:rPr>
                <w:color w:val="000000"/>
                <w:sz w:val="20"/>
              </w:rPr>
              <w:t xml:space="preserve"> </w:t>
            </w:r>
          </w:p>
        </w:tc>
        <w:tc>
          <w:tcPr>
            <w:tcW w:w="1260" w:type="dxa"/>
            <w:gridSpan w:val="2"/>
            <w:tcBorders>
              <w:top w:val="single" w:color="auto" w:sz="4" w:space="0"/>
              <w:left w:val="single" w:color="auto" w:sz="4" w:space="0"/>
              <w:bottom w:val="single" w:color="auto" w:sz="4" w:space="0"/>
              <w:right w:val="single" w:color="auto" w:sz="24" w:space="0"/>
            </w:tcBorders>
          </w:tcPr>
          <w:p w:rsidRPr="00A11B95" w:rsidR="00FD69BB" w:rsidP="0034746C" w:rsidRDefault="002559F0" w14:paraId="1D8EECB6" w14:textId="6F36724C">
            <w:pPr>
              <w:jc w:val="right"/>
              <w:rPr>
                <w:color w:val="000000"/>
                <w:sz w:val="20"/>
              </w:rPr>
            </w:pPr>
            <w:r w:rsidRPr="00A11B95">
              <w:rPr>
                <w:color w:val="000000"/>
                <w:sz w:val="20"/>
              </w:rPr>
              <w:t>$1,060</w:t>
            </w:r>
          </w:p>
        </w:tc>
        <w:tc>
          <w:tcPr>
            <w:tcW w:w="810" w:type="dxa"/>
            <w:tcBorders>
              <w:left w:val="single" w:color="auto" w:sz="4" w:space="0"/>
              <w:right w:val="single" w:color="auto" w:sz="4" w:space="0"/>
            </w:tcBorders>
          </w:tcPr>
          <w:p w:rsidRPr="00A11B95" w:rsidR="00FD69BB" w:rsidP="0034746C" w:rsidRDefault="001045C8" w14:paraId="0F1BCFF9" w14:textId="2FD839E7">
            <w:pPr>
              <w:jc w:val="center"/>
              <w:rPr>
                <w:color w:val="000000"/>
                <w:sz w:val="20"/>
              </w:rPr>
            </w:pPr>
            <w:r w:rsidRPr="00A11B95">
              <w:rPr>
                <w:color w:val="000000"/>
                <w:sz w:val="20"/>
              </w:rPr>
              <w:t>8</w:t>
            </w:r>
          </w:p>
        </w:tc>
        <w:tc>
          <w:tcPr>
            <w:tcW w:w="1080" w:type="dxa"/>
            <w:tcBorders>
              <w:left w:val="single" w:color="auto" w:sz="4" w:space="0"/>
            </w:tcBorders>
          </w:tcPr>
          <w:p w:rsidRPr="00A11B95" w:rsidR="00FD69BB" w:rsidP="00FA1744" w:rsidRDefault="00731937" w14:paraId="7AC0CEF2" w14:textId="41944E25">
            <w:pPr>
              <w:jc w:val="right"/>
              <w:rPr>
                <w:color w:val="000000"/>
                <w:sz w:val="20"/>
              </w:rPr>
            </w:pPr>
            <w:r w:rsidRPr="00A11B95">
              <w:rPr>
                <w:color w:val="000000"/>
                <w:sz w:val="20"/>
              </w:rPr>
              <w:t>$132.5</w:t>
            </w:r>
            <w:r w:rsidRPr="00A11B95" w:rsidR="00FA1744">
              <w:rPr>
                <w:color w:val="000000"/>
                <w:sz w:val="20"/>
              </w:rPr>
              <w:t>0</w:t>
            </w:r>
          </w:p>
          <w:p w:rsidRPr="00A11B95" w:rsidR="00EB2A73" w:rsidP="0034746C" w:rsidRDefault="00EB2A73" w14:paraId="39062C5E" w14:textId="5A7904AC">
            <w:pPr>
              <w:jc w:val="center"/>
              <w:rPr>
                <w:color w:val="000000"/>
                <w:sz w:val="20"/>
              </w:rPr>
            </w:pPr>
            <w:r w:rsidRPr="00A11B95">
              <w:rPr>
                <w:color w:val="000000"/>
                <w:sz w:val="20"/>
              </w:rPr>
              <w:t>[</w:t>
            </w:r>
            <w:r w:rsidRPr="00A11B95" w:rsidR="00826097">
              <w:rPr>
                <w:color w:val="000000"/>
                <w:sz w:val="20"/>
              </w:rPr>
              <w:t>6</w:t>
            </w:r>
            <w:r w:rsidRPr="00A11B95">
              <w:rPr>
                <w:color w:val="000000"/>
                <w:sz w:val="20"/>
              </w:rPr>
              <w:t>]</w:t>
            </w:r>
          </w:p>
        </w:tc>
        <w:tc>
          <w:tcPr>
            <w:tcW w:w="1200" w:type="dxa"/>
          </w:tcPr>
          <w:p w:rsidRPr="00A11B95" w:rsidR="00FD69BB" w:rsidP="00601A9F" w:rsidRDefault="00FA6DB8" w14:paraId="3CE0F2BB" w14:textId="4DC9401B">
            <w:pPr>
              <w:jc w:val="right"/>
              <w:rPr>
                <w:color w:val="000000"/>
                <w:sz w:val="20"/>
              </w:rPr>
            </w:pPr>
            <w:r w:rsidRPr="00A11B95">
              <w:rPr>
                <w:color w:val="000000"/>
                <w:sz w:val="20"/>
              </w:rPr>
              <w:t>$1,060</w:t>
            </w:r>
          </w:p>
        </w:tc>
      </w:tr>
      <w:tr w:rsidRPr="00A11B95" w:rsidR="00E15DC3" w:rsidTr="001038CB" w14:paraId="266CEDD5" w14:textId="77777777">
        <w:trPr>
          <w:cantSplit/>
          <w:jc w:val="center"/>
        </w:trPr>
        <w:tc>
          <w:tcPr>
            <w:tcW w:w="7465" w:type="dxa"/>
            <w:gridSpan w:val="9"/>
            <w:tcBorders>
              <w:bottom w:val="single" w:color="auto" w:sz="4" w:space="0"/>
              <w:right w:val="single" w:color="auto" w:sz="24" w:space="0"/>
            </w:tcBorders>
            <w:vAlign w:val="bottom"/>
          </w:tcPr>
          <w:p w:rsidRPr="00A11B95" w:rsidR="00E15DC3" w:rsidP="00FA1744" w:rsidRDefault="00E15DC3" w14:paraId="4A1F5988" w14:textId="3FD331CE">
            <w:pPr>
              <w:tabs>
                <w:tab w:val="left" w:pos="957"/>
              </w:tabs>
              <w:jc w:val="right"/>
              <w:rPr>
                <w:b/>
                <w:i/>
                <w:color w:val="000000"/>
                <w:sz w:val="20"/>
              </w:rPr>
            </w:pPr>
            <w:r w:rsidRPr="00A11B95">
              <w:rPr>
                <w:b/>
                <w:i/>
                <w:color w:val="000000"/>
                <w:sz w:val="20"/>
              </w:rPr>
              <w:t>Subtotal: $</w:t>
            </w:r>
            <w:r w:rsidRPr="00A11B95" w:rsidR="002559F0">
              <w:rPr>
                <w:b/>
                <w:i/>
                <w:color w:val="000000"/>
                <w:sz w:val="20"/>
              </w:rPr>
              <w:t>2,665</w:t>
            </w:r>
          </w:p>
        </w:tc>
        <w:tc>
          <w:tcPr>
            <w:tcW w:w="3090" w:type="dxa"/>
            <w:gridSpan w:val="3"/>
            <w:tcBorders>
              <w:left w:val="single" w:color="auto" w:sz="24" w:space="0"/>
              <w:bottom w:val="single" w:color="auto" w:sz="4" w:space="0"/>
            </w:tcBorders>
            <w:vAlign w:val="bottom"/>
          </w:tcPr>
          <w:p w:rsidRPr="00A11B95" w:rsidR="00E15DC3" w:rsidP="00FA1744" w:rsidRDefault="00E15DC3" w14:paraId="2FBAA587" w14:textId="0BA247F7">
            <w:pPr>
              <w:tabs>
                <w:tab w:val="left" w:pos="957"/>
              </w:tabs>
              <w:jc w:val="right"/>
              <w:rPr>
                <w:b/>
                <w:i/>
                <w:color w:val="000000"/>
                <w:sz w:val="20"/>
              </w:rPr>
            </w:pPr>
            <w:r w:rsidRPr="00A11B95">
              <w:rPr>
                <w:b/>
                <w:i/>
                <w:color w:val="000000"/>
                <w:sz w:val="20"/>
              </w:rPr>
              <w:t>Subtotal: $</w:t>
            </w:r>
            <w:r w:rsidRPr="00A11B95" w:rsidR="00FA6DB8">
              <w:rPr>
                <w:b/>
                <w:i/>
                <w:color w:val="000000"/>
                <w:sz w:val="20"/>
              </w:rPr>
              <w:t>2,</w:t>
            </w:r>
            <w:r w:rsidRPr="00A11B95" w:rsidR="00EB2A73">
              <w:rPr>
                <w:b/>
                <w:i/>
                <w:color w:val="000000"/>
                <w:sz w:val="20"/>
              </w:rPr>
              <w:t>4</w:t>
            </w:r>
            <w:r w:rsidR="009B0C9A">
              <w:rPr>
                <w:b/>
                <w:i/>
                <w:color w:val="000000"/>
                <w:sz w:val="20"/>
              </w:rPr>
              <w:t>88.75</w:t>
            </w:r>
          </w:p>
        </w:tc>
      </w:tr>
      <w:tr w:rsidRPr="00A11B95" w:rsidR="003B6A1B" w:rsidTr="001038CB" w14:paraId="06E7371A" w14:textId="77777777">
        <w:trPr>
          <w:cantSplit/>
          <w:jc w:val="center"/>
        </w:trPr>
        <w:tc>
          <w:tcPr>
            <w:tcW w:w="7465" w:type="dxa"/>
            <w:gridSpan w:val="9"/>
            <w:tcBorders>
              <w:top w:val="single" w:color="auto" w:sz="4" w:space="0"/>
              <w:bottom w:val="single" w:color="auto" w:sz="4" w:space="0"/>
              <w:right w:val="single" w:color="auto" w:sz="24" w:space="0"/>
            </w:tcBorders>
            <w:shd w:val="clear" w:color="auto" w:fill="D9D9D9" w:themeFill="background1" w:themeFillShade="D9"/>
            <w:vAlign w:val="bottom"/>
          </w:tcPr>
          <w:p w:rsidRPr="00A11B95" w:rsidR="003B6A1B" w:rsidP="00FA1744" w:rsidRDefault="003B6A1B" w14:paraId="11B3B704" w14:textId="528C0EE6">
            <w:pPr>
              <w:tabs>
                <w:tab w:val="left" w:pos="957"/>
              </w:tabs>
              <w:jc w:val="right"/>
              <w:rPr>
                <w:b/>
                <w:color w:val="000000"/>
                <w:sz w:val="20"/>
              </w:rPr>
            </w:pPr>
            <w:r w:rsidRPr="00A11B95">
              <w:rPr>
                <w:b/>
                <w:i/>
                <w:color w:val="000000"/>
                <w:sz w:val="20"/>
              </w:rPr>
              <w:t>TOTAL REQUEST: $</w:t>
            </w:r>
            <w:r w:rsidRPr="00A11B95" w:rsidR="006C677F">
              <w:rPr>
                <w:b/>
                <w:i/>
                <w:color w:val="000000"/>
                <w:sz w:val="20"/>
              </w:rPr>
              <w:t>596,586.</w:t>
            </w:r>
            <w:r w:rsidRPr="00A11B95" w:rsidR="006105D4">
              <w:rPr>
                <w:b/>
                <w:i/>
                <w:color w:val="000000"/>
                <w:sz w:val="20"/>
              </w:rPr>
              <w:t>50</w:t>
            </w:r>
          </w:p>
        </w:tc>
        <w:tc>
          <w:tcPr>
            <w:tcW w:w="3090" w:type="dxa"/>
            <w:gridSpan w:val="3"/>
            <w:tcBorders>
              <w:left w:val="single" w:color="auto" w:sz="24" w:space="0"/>
            </w:tcBorders>
            <w:shd w:val="clear" w:color="auto" w:fill="D9D9D9" w:themeFill="background1" w:themeFillShade="D9"/>
            <w:vAlign w:val="bottom"/>
          </w:tcPr>
          <w:p w:rsidRPr="00A11B95" w:rsidR="003B6A1B" w:rsidP="00FA1744" w:rsidRDefault="003B6A1B" w14:paraId="3680D139" w14:textId="21C3B40D">
            <w:pPr>
              <w:tabs>
                <w:tab w:val="left" w:pos="957"/>
              </w:tabs>
              <w:jc w:val="right"/>
              <w:rPr>
                <w:b/>
                <w:color w:val="000000"/>
                <w:sz w:val="20"/>
              </w:rPr>
            </w:pPr>
            <w:r w:rsidRPr="00A11B95">
              <w:rPr>
                <w:b/>
                <w:i/>
                <w:color w:val="000000"/>
                <w:sz w:val="20"/>
              </w:rPr>
              <w:t xml:space="preserve">TOTAL AWARD: </w:t>
            </w:r>
            <w:r w:rsidRPr="00A11B95" w:rsidR="00F9669F">
              <w:rPr>
                <w:b/>
                <w:i/>
                <w:color w:val="000000"/>
                <w:sz w:val="20"/>
              </w:rPr>
              <w:t xml:space="preserve"> $</w:t>
            </w:r>
            <w:r w:rsidR="009B0C9A">
              <w:rPr>
                <w:b/>
                <w:i/>
                <w:color w:val="000000"/>
                <w:sz w:val="20"/>
              </w:rPr>
              <w:t>230,256.75</w:t>
            </w:r>
          </w:p>
        </w:tc>
      </w:tr>
      <w:tr w:rsidRPr="00A11B95" w:rsidR="003B6A1B" w:rsidTr="004A665F" w14:paraId="6A909BC1" w14:textId="77777777">
        <w:trPr>
          <w:jc w:val="center"/>
        </w:trPr>
        <w:tc>
          <w:tcPr>
            <w:tcW w:w="10555" w:type="dxa"/>
            <w:gridSpan w:val="12"/>
            <w:tcBorders>
              <w:top w:val="single" w:color="auto" w:sz="4" w:space="0"/>
              <w:bottom w:val="single" w:color="auto" w:sz="4" w:space="0"/>
            </w:tcBorders>
          </w:tcPr>
          <w:p w:rsidRPr="00A11B95" w:rsidR="003B6A1B" w:rsidP="00F639EB" w:rsidRDefault="003B6A1B" w14:paraId="6F39872E" w14:textId="08CC6E38">
            <w:pPr>
              <w:spacing w:after="120"/>
              <w:rPr>
                <w:color w:val="000000"/>
                <w:sz w:val="20"/>
              </w:rPr>
            </w:pPr>
            <w:r w:rsidRPr="00A11B95">
              <w:rPr>
                <w:color w:val="000000"/>
                <w:sz w:val="20"/>
              </w:rPr>
              <w:t xml:space="preserve">  *We remind all intervenors that Commission staff may audit </w:t>
            </w:r>
            <w:r w:rsidRPr="00A11B95">
              <w:rPr>
                <w:sz w:val="20"/>
              </w:rPr>
              <w:t>the records and books of the intervenors to the extent necessary to verify the basis for the award (</w:t>
            </w:r>
            <w:r w:rsidRPr="00A11B95" w:rsidR="004E6167">
              <w:rPr>
                <w:sz w:val="20"/>
              </w:rPr>
              <w:t>§ </w:t>
            </w:r>
            <w:r w:rsidRPr="00A11B95">
              <w:rPr>
                <w:sz w:val="20"/>
              </w:rPr>
              <w:t>1804(d)).  I</w:t>
            </w:r>
            <w:r w:rsidRPr="00A11B95">
              <w:rPr>
                <w:color w:val="000000"/>
                <w:sz w:val="20"/>
              </w:rPr>
              <w:t>ntervenors must make and retain adequate accounting and other documentation to support all claims for intervenor compensation.  Intervenor</w:t>
            </w:r>
            <w:r w:rsidRPr="00A11B95" w:rsidR="004E6167">
              <w:rPr>
                <w:color w:val="000000"/>
                <w:sz w:val="20"/>
              </w:rPr>
              <w:t>’</w:t>
            </w:r>
            <w:r w:rsidRPr="00A11B95">
              <w:rPr>
                <w:color w:val="000000"/>
                <w:sz w:val="20"/>
              </w:rPr>
              <w:t xml:space="preserve">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A11B95" w:rsidR="003B6A1B" w:rsidP="0034746C" w:rsidRDefault="003B6A1B" w14:paraId="0D03EC65" w14:textId="7D1D0A42">
            <w:pPr>
              <w:rPr>
                <w:color w:val="000000"/>
                <w:sz w:val="20"/>
              </w:rPr>
            </w:pPr>
            <w:r w:rsidRPr="00A11B95">
              <w:rPr>
                <w:color w:val="000000"/>
                <w:sz w:val="20"/>
              </w:rPr>
              <w:t>**Travel and Reasonable Claim preparation time are typically compensated at ½ of preparer</w:t>
            </w:r>
            <w:r w:rsidRPr="00A11B95" w:rsidR="004E6167">
              <w:rPr>
                <w:color w:val="000000"/>
                <w:sz w:val="20"/>
              </w:rPr>
              <w:t>’</w:t>
            </w:r>
            <w:r w:rsidRPr="00A11B95">
              <w:rPr>
                <w:color w:val="000000"/>
                <w:sz w:val="20"/>
              </w:rPr>
              <w:t>s normal hourly rate</w:t>
            </w:r>
            <w:r w:rsidRPr="00A11B95" w:rsidDel="00D075B1">
              <w:rPr>
                <w:color w:val="000000"/>
                <w:sz w:val="20"/>
              </w:rPr>
              <w:t xml:space="preserve"> </w:t>
            </w:r>
          </w:p>
        </w:tc>
      </w:tr>
      <w:tr w:rsidRPr="00A11B95" w:rsidR="003B6A1B" w:rsidTr="004A665F" w14:paraId="458B01A4"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11B95" w:rsidR="003B6A1B" w:rsidP="0034746C" w:rsidRDefault="003B6A1B" w14:paraId="48B43CBD" w14:textId="77777777">
            <w:pPr>
              <w:keepNext/>
              <w:jc w:val="center"/>
              <w:rPr>
                <w:b/>
                <w:smallCaps/>
                <w:color w:val="000000"/>
                <w:sz w:val="20"/>
              </w:rPr>
            </w:pPr>
            <w:r w:rsidRPr="00A11B95">
              <w:rPr>
                <w:b/>
                <w:smallCaps/>
                <w:color w:val="000000"/>
                <w:sz w:val="20"/>
              </w:rPr>
              <w:lastRenderedPageBreak/>
              <w:t>ATTORNEY INFORMATION</w:t>
            </w:r>
          </w:p>
        </w:tc>
      </w:tr>
      <w:tr w:rsidRPr="00A11B95" w:rsidR="003B6A1B" w:rsidTr="004A665F" w14:paraId="790C92C0" w14:textId="77777777">
        <w:trPr>
          <w:cantSplit/>
          <w:jc w:val="center"/>
        </w:trPr>
        <w:tc>
          <w:tcPr>
            <w:tcW w:w="2553" w:type="dxa"/>
            <w:gridSpan w:val="2"/>
            <w:tcBorders>
              <w:top w:val="single" w:color="auto" w:sz="4" w:space="0"/>
              <w:bottom w:val="single" w:color="auto" w:sz="4" w:space="0"/>
            </w:tcBorders>
            <w:shd w:val="clear" w:color="auto" w:fill="FFFFFF" w:themeFill="background1"/>
            <w:vAlign w:val="bottom"/>
          </w:tcPr>
          <w:p w:rsidRPr="00A11B95" w:rsidR="003B6A1B" w:rsidP="0034746C" w:rsidRDefault="003B6A1B" w14:paraId="00CAC866" w14:textId="77777777">
            <w:pPr>
              <w:keepNext/>
              <w:jc w:val="center"/>
              <w:rPr>
                <w:b/>
                <w:color w:val="000000"/>
                <w:sz w:val="20"/>
              </w:rPr>
            </w:pPr>
            <w:r w:rsidRPr="00A11B95">
              <w:rPr>
                <w:b/>
                <w:sz w:val="20"/>
              </w:rPr>
              <w:t>Attorney</w:t>
            </w:r>
          </w:p>
        </w:tc>
        <w:tc>
          <w:tcPr>
            <w:tcW w:w="1808" w:type="dxa"/>
            <w:gridSpan w:val="3"/>
            <w:tcBorders>
              <w:top w:val="single" w:color="auto" w:sz="4" w:space="0"/>
              <w:bottom w:val="single" w:color="auto" w:sz="4" w:space="0"/>
            </w:tcBorders>
            <w:shd w:val="clear" w:color="auto" w:fill="FFFFFF" w:themeFill="background1"/>
            <w:vAlign w:val="bottom"/>
          </w:tcPr>
          <w:p w:rsidR="001038CB" w:rsidP="0034746C" w:rsidRDefault="003B6A1B" w14:paraId="2110CFB0" w14:textId="77777777">
            <w:pPr>
              <w:keepNext/>
              <w:jc w:val="center"/>
              <w:rPr>
                <w:b/>
                <w:sz w:val="20"/>
              </w:rPr>
            </w:pPr>
            <w:r w:rsidRPr="00A11B95">
              <w:rPr>
                <w:b/>
                <w:sz w:val="20"/>
              </w:rPr>
              <w:t>Date Admitted</w:t>
            </w:r>
          </w:p>
          <w:p w:rsidRPr="00A11B95" w:rsidR="003B6A1B" w:rsidP="0034746C" w:rsidRDefault="003B6A1B" w14:paraId="7E76A008" w14:textId="5DEB25AA">
            <w:pPr>
              <w:keepNext/>
              <w:jc w:val="center"/>
              <w:rPr>
                <w:b/>
                <w:color w:val="000000"/>
                <w:sz w:val="20"/>
              </w:rPr>
            </w:pPr>
            <w:r w:rsidRPr="00A11B95">
              <w:rPr>
                <w:b/>
                <w:sz w:val="20"/>
              </w:rPr>
              <w:t>to CA BAR</w:t>
            </w:r>
            <w:r w:rsidRPr="00A11B95">
              <w:rPr>
                <w:rStyle w:val="FootnoteReference"/>
                <w:b/>
                <w:sz w:val="20"/>
              </w:rPr>
              <w:footnoteReference w:id="5"/>
            </w:r>
          </w:p>
        </w:tc>
        <w:tc>
          <w:tcPr>
            <w:tcW w:w="2162" w:type="dxa"/>
            <w:gridSpan w:val="3"/>
            <w:tcBorders>
              <w:top w:val="single" w:color="auto" w:sz="4" w:space="0"/>
              <w:bottom w:val="single" w:color="auto" w:sz="4" w:space="0"/>
            </w:tcBorders>
            <w:shd w:val="clear" w:color="auto" w:fill="FFFFFF" w:themeFill="background1"/>
            <w:vAlign w:val="bottom"/>
          </w:tcPr>
          <w:p w:rsidRPr="00A11B95" w:rsidR="003B6A1B" w:rsidP="0034746C" w:rsidRDefault="003B6A1B" w14:paraId="27E64ED7" w14:textId="77777777">
            <w:pPr>
              <w:keepNext/>
              <w:jc w:val="center"/>
              <w:rPr>
                <w:b/>
                <w:color w:val="000000"/>
                <w:sz w:val="20"/>
              </w:rPr>
            </w:pPr>
            <w:r w:rsidRPr="00A11B95">
              <w:rPr>
                <w:b/>
                <w:sz w:val="20"/>
              </w:rPr>
              <w:t>Member Number</w:t>
            </w:r>
          </w:p>
        </w:tc>
        <w:tc>
          <w:tcPr>
            <w:tcW w:w="4032" w:type="dxa"/>
            <w:gridSpan w:val="4"/>
            <w:tcBorders>
              <w:top w:val="single" w:color="auto" w:sz="4" w:space="0"/>
              <w:bottom w:val="single" w:color="auto" w:sz="4" w:space="0"/>
            </w:tcBorders>
            <w:shd w:val="clear" w:color="auto" w:fill="FFFFFF" w:themeFill="background1"/>
            <w:vAlign w:val="bottom"/>
          </w:tcPr>
          <w:p w:rsidRPr="00A11B95" w:rsidR="003B6A1B" w:rsidP="0034746C" w:rsidRDefault="003B6A1B" w14:paraId="496B5DC1" w14:textId="77777777">
            <w:pPr>
              <w:keepNext/>
              <w:jc w:val="center"/>
              <w:rPr>
                <w:b/>
                <w:sz w:val="20"/>
              </w:rPr>
            </w:pPr>
            <w:r w:rsidRPr="00A11B95">
              <w:rPr>
                <w:b/>
                <w:sz w:val="20"/>
              </w:rPr>
              <w:t>Actions Affecting Eligibility (Yes/No?)</w:t>
            </w:r>
          </w:p>
          <w:p w:rsidRPr="00A11B95" w:rsidR="003B6A1B" w:rsidP="0034746C" w:rsidRDefault="003B6A1B" w14:paraId="36F8922D" w14:textId="6A9A4F25">
            <w:pPr>
              <w:keepNext/>
              <w:jc w:val="center"/>
              <w:rPr>
                <w:b/>
                <w:color w:val="000000"/>
                <w:sz w:val="20"/>
              </w:rPr>
            </w:pPr>
            <w:r w:rsidRPr="00A11B95">
              <w:rPr>
                <w:b/>
                <w:sz w:val="20"/>
              </w:rPr>
              <w:t xml:space="preserve">If </w:t>
            </w:r>
            <w:r w:rsidRPr="00A11B95" w:rsidR="004E6167">
              <w:rPr>
                <w:b/>
                <w:sz w:val="20"/>
              </w:rPr>
              <w:t>“</w:t>
            </w:r>
            <w:r w:rsidRPr="00A11B95">
              <w:rPr>
                <w:b/>
                <w:sz w:val="20"/>
              </w:rPr>
              <w:t>Yes</w:t>
            </w:r>
            <w:r w:rsidRPr="00A11B95" w:rsidR="004E6167">
              <w:rPr>
                <w:b/>
                <w:sz w:val="20"/>
              </w:rPr>
              <w:t>”</w:t>
            </w:r>
            <w:r w:rsidRPr="00A11B95">
              <w:rPr>
                <w:b/>
                <w:sz w:val="20"/>
              </w:rPr>
              <w:t>, attach explanation</w:t>
            </w:r>
          </w:p>
        </w:tc>
      </w:tr>
      <w:tr w:rsidRPr="00A11B95" w:rsidR="003B6A1B" w:rsidTr="004A665F" w14:paraId="4DC5EE9B" w14:textId="77777777">
        <w:trPr>
          <w:cantSplit/>
          <w:jc w:val="center"/>
        </w:trPr>
        <w:tc>
          <w:tcPr>
            <w:tcW w:w="2553" w:type="dxa"/>
            <w:gridSpan w:val="2"/>
            <w:tcBorders>
              <w:top w:val="single" w:color="auto" w:sz="4" w:space="0"/>
              <w:bottom w:val="single" w:color="auto" w:sz="4" w:space="0"/>
            </w:tcBorders>
          </w:tcPr>
          <w:p w:rsidRPr="00A11B95" w:rsidR="003B6A1B" w:rsidP="0034746C" w:rsidRDefault="00556873" w14:paraId="7266B7BF" w14:textId="69713B65">
            <w:pPr>
              <w:jc w:val="center"/>
              <w:rPr>
                <w:color w:val="000000"/>
                <w:sz w:val="20"/>
              </w:rPr>
            </w:pPr>
            <w:r w:rsidRPr="00A11B95">
              <w:rPr>
                <w:color w:val="000000"/>
                <w:sz w:val="20"/>
              </w:rPr>
              <w:t>Malinda Dickenson</w:t>
            </w:r>
          </w:p>
        </w:tc>
        <w:tc>
          <w:tcPr>
            <w:tcW w:w="1808" w:type="dxa"/>
            <w:gridSpan w:val="3"/>
            <w:tcBorders>
              <w:top w:val="single" w:color="auto" w:sz="4" w:space="0"/>
              <w:bottom w:val="single" w:color="auto" w:sz="4" w:space="0"/>
            </w:tcBorders>
          </w:tcPr>
          <w:p w:rsidRPr="00A11B95" w:rsidR="003B6A1B" w:rsidP="0034746C" w:rsidRDefault="002B1434" w14:paraId="69A41F15" w14:textId="5AC75635">
            <w:pPr>
              <w:jc w:val="center"/>
              <w:rPr>
                <w:color w:val="000000"/>
                <w:sz w:val="20"/>
              </w:rPr>
            </w:pPr>
            <w:r w:rsidRPr="00A11B95">
              <w:rPr>
                <w:color w:val="000000"/>
                <w:sz w:val="20"/>
              </w:rPr>
              <w:t>12/4/2002</w:t>
            </w:r>
          </w:p>
        </w:tc>
        <w:tc>
          <w:tcPr>
            <w:tcW w:w="2162" w:type="dxa"/>
            <w:gridSpan w:val="3"/>
            <w:tcBorders>
              <w:top w:val="single" w:color="auto" w:sz="4" w:space="0"/>
              <w:bottom w:val="single" w:color="auto" w:sz="4" w:space="0"/>
            </w:tcBorders>
          </w:tcPr>
          <w:p w:rsidRPr="00A11B95" w:rsidR="003B6A1B" w:rsidP="0034746C" w:rsidRDefault="002B1434" w14:paraId="58495CD7" w14:textId="33138E1E">
            <w:pPr>
              <w:jc w:val="center"/>
              <w:rPr>
                <w:color w:val="000000"/>
                <w:sz w:val="20"/>
              </w:rPr>
            </w:pPr>
            <w:r w:rsidRPr="00A11B95">
              <w:rPr>
                <w:color w:val="000000"/>
                <w:sz w:val="20"/>
              </w:rPr>
              <w:t>222564</w:t>
            </w:r>
          </w:p>
        </w:tc>
        <w:tc>
          <w:tcPr>
            <w:tcW w:w="4032" w:type="dxa"/>
            <w:gridSpan w:val="4"/>
            <w:tcBorders>
              <w:top w:val="single" w:color="auto" w:sz="4" w:space="0"/>
              <w:bottom w:val="single" w:color="auto" w:sz="4" w:space="0"/>
            </w:tcBorders>
          </w:tcPr>
          <w:p w:rsidRPr="00A11B95" w:rsidR="003B6A1B" w:rsidP="0034746C" w:rsidRDefault="002B1434" w14:paraId="117B99BF" w14:textId="7B5E2C61">
            <w:pPr>
              <w:jc w:val="center"/>
              <w:rPr>
                <w:color w:val="000000"/>
                <w:sz w:val="20"/>
              </w:rPr>
            </w:pPr>
            <w:r w:rsidRPr="00A11B95">
              <w:rPr>
                <w:color w:val="000000"/>
                <w:sz w:val="20"/>
              </w:rPr>
              <w:t>No</w:t>
            </w:r>
          </w:p>
        </w:tc>
      </w:tr>
      <w:tr w:rsidRPr="00A11B95" w:rsidR="003B6A1B" w:rsidTr="004A665F" w14:paraId="5D036E2E" w14:textId="77777777">
        <w:trPr>
          <w:cantSplit/>
          <w:jc w:val="center"/>
        </w:trPr>
        <w:tc>
          <w:tcPr>
            <w:tcW w:w="2553" w:type="dxa"/>
            <w:gridSpan w:val="2"/>
            <w:tcBorders>
              <w:top w:val="single" w:color="auto" w:sz="4" w:space="0"/>
              <w:bottom w:val="single" w:color="auto" w:sz="4" w:space="0"/>
            </w:tcBorders>
          </w:tcPr>
          <w:p w:rsidRPr="00A11B95" w:rsidR="003B6A1B" w:rsidP="0034746C" w:rsidRDefault="00556873" w14:paraId="3D5F8F51" w14:textId="5F2D7764">
            <w:pPr>
              <w:jc w:val="center"/>
              <w:rPr>
                <w:color w:val="000000"/>
                <w:sz w:val="20"/>
              </w:rPr>
            </w:pPr>
            <w:r w:rsidRPr="00A11B95">
              <w:rPr>
                <w:color w:val="000000"/>
                <w:sz w:val="20"/>
              </w:rPr>
              <w:t>Loretta Lynch</w:t>
            </w:r>
          </w:p>
        </w:tc>
        <w:tc>
          <w:tcPr>
            <w:tcW w:w="1808" w:type="dxa"/>
            <w:gridSpan w:val="3"/>
            <w:tcBorders>
              <w:top w:val="single" w:color="auto" w:sz="4" w:space="0"/>
              <w:bottom w:val="single" w:color="auto" w:sz="4" w:space="0"/>
            </w:tcBorders>
          </w:tcPr>
          <w:p w:rsidRPr="00A11B95" w:rsidR="003B6A1B" w:rsidP="0034746C" w:rsidRDefault="00F93095" w14:paraId="1609FC8E" w14:textId="7FB657EC">
            <w:pPr>
              <w:jc w:val="center"/>
              <w:rPr>
                <w:color w:val="000000"/>
                <w:sz w:val="20"/>
              </w:rPr>
            </w:pPr>
            <w:r w:rsidRPr="00A11B95">
              <w:rPr>
                <w:color w:val="000000"/>
                <w:sz w:val="20"/>
              </w:rPr>
              <w:t>12/14/1990</w:t>
            </w:r>
          </w:p>
        </w:tc>
        <w:tc>
          <w:tcPr>
            <w:tcW w:w="2162" w:type="dxa"/>
            <w:gridSpan w:val="3"/>
            <w:tcBorders>
              <w:top w:val="single" w:color="auto" w:sz="4" w:space="0"/>
              <w:bottom w:val="single" w:color="auto" w:sz="4" w:space="0"/>
            </w:tcBorders>
          </w:tcPr>
          <w:p w:rsidRPr="00A11B95" w:rsidR="003B6A1B" w:rsidP="0034746C" w:rsidRDefault="00F93095" w14:paraId="182A9D2B" w14:textId="5AE82079">
            <w:pPr>
              <w:jc w:val="center"/>
              <w:rPr>
                <w:color w:val="000000"/>
                <w:sz w:val="20"/>
              </w:rPr>
            </w:pPr>
            <w:r w:rsidRPr="00A11B95">
              <w:rPr>
                <w:color w:val="000000"/>
                <w:sz w:val="20"/>
              </w:rPr>
              <w:t>151206</w:t>
            </w:r>
          </w:p>
        </w:tc>
        <w:tc>
          <w:tcPr>
            <w:tcW w:w="4032" w:type="dxa"/>
            <w:gridSpan w:val="4"/>
            <w:tcBorders>
              <w:top w:val="single" w:color="auto" w:sz="4" w:space="0"/>
              <w:bottom w:val="single" w:color="auto" w:sz="4" w:space="0"/>
            </w:tcBorders>
          </w:tcPr>
          <w:p w:rsidRPr="00A11B95" w:rsidR="003B6A1B" w:rsidP="0034746C" w:rsidRDefault="002B1434" w14:paraId="35DC3C56" w14:textId="3F5A4EF9">
            <w:pPr>
              <w:jc w:val="center"/>
              <w:rPr>
                <w:color w:val="000000"/>
                <w:sz w:val="20"/>
              </w:rPr>
            </w:pPr>
            <w:r w:rsidRPr="00A11B95">
              <w:rPr>
                <w:color w:val="000000"/>
                <w:sz w:val="20"/>
              </w:rPr>
              <w:t>No</w:t>
            </w:r>
          </w:p>
        </w:tc>
      </w:tr>
      <w:tr w:rsidRPr="00A11B95" w:rsidR="00556873" w:rsidTr="004A665F" w14:paraId="1022BF06" w14:textId="77777777">
        <w:trPr>
          <w:cantSplit/>
          <w:jc w:val="center"/>
        </w:trPr>
        <w:tc>
          <w:tcPr>
            <w:tcW w:w="2553" w:type="dxa"/>
            <w:gridSpan w:val="2"/>
            <w:tcBorders>
              <w:top w:val="single" w:color="auto" w:sz="4" w:space="0"/>
              <w:bottom w:val="single" w:color="auto" w:sz="4" w:space="0"/>
            </w:tcBorders>
          </w:tcPr>
          <w:p w:rsidRPr="00A11B95" w:rsidR="00556873" w:rsidP="0034746C" w:rsidRDefault="00556873" w14:paraId="5CA1538D" w14:textId="50A885F5">
            <w:pPr>
              <w:jc w:val="center"/>
              <w:rPr>
                <w:color w:val="000000"/>
                <w:sz w:val="20"/>
              </w:rPr>
            </w:pPr>
            <w:r w:rsidRPr="00A11B95">
              <w:rPr>
                <w:color w:val="000000"/>
                <w:sz w:val="20"/>
              </w:rPr>
              <w:t>Jonathan Webster</w:t>
            </w:r>
          </w:p>
        </w:tc>
        <w:tc>
          <w:tcPr>
            <w:tcW w:w="1808" w:type="dxa"/>
            <w:gridSpan w:val="3"/>
            <w:tcBorders>
              <w:top w:val="single" w:color="auto" w:sz="4" w:space="0"/>
              <w:bottom w:val="single" w:color="auto" w:sz="4" w:space="0"/>
            </w:tcBorders>
          </w:tcPr>
          <w:p w:rsidRPr="00A11B95" w:rsidR="00556873" w:rsidP="0034746C" w:rsidRDefault="00556873" w14:paraId="340F1F84" w14:textId="300C89E5">
            <w:pPr>
              <w:jc w:val="center"/>
              <w:rPr>
                <w:color w:val="000000"/>
                <w:sz w:val="20"/>
              </w:rPr>
            </w:pPr>
            <w:r w:rsidRPr="00A11B95">
              <w:rPr>
                <w:color w:val="000000"/>
                <w:sz w:val="20"/>
              </w:rPr>
              <w:t>12/5/2023</w:t>
            </w:r>
          </w:p>
        </w:tc>
        <w:tc>
          <w:tcPr>
            <w:tcW w:w="2162" w:type="dxa"/>
            <w:gridSpan w:val="3"/>
            <w:tcBorders>
              <w:top w:val="single" w:color="auto" w:sz="4" w:space="0"/>
              <w:bottom w:val="single" w:color="auto" w:sz="4" w:space="0"/>
            </w:tcBorders>
          </w:tcPr>
          <w:p w:rsidRPr="00A11B95" w:rsidR="00556873" w:rsidP="0034746C" w:rsidRDefault="00882D2E" w14:paraId="4338D5E2" w14:textId="74CAC731">
            <w:pPr>
              <w:jc w:val="center"/>
              <w:rPr>
                <w:color w:val="000000"/>
                <w:sz w:val="20"/>
              </w:rPr>
            </w:pPr>
            <w:r w:rsidRPr="00A11B95">
              <w:rPr>
                <w:color w:val="000000"/>
                <w:sz w:val="20"/>
              </w:rPr>
              <w:t>351823</w:t>
            </w:r>
          </w:p>
        </w:tc>
        <w:tc>
          <w:tcPr>
            <w:tcW w:w="4032" w:type="dxa"/>
            <w:gridSpan w:val="4"/>
            <w:tcBorders>
              <w:top w:val="single" w:color="auto" w:sz="4" w:space="0"/>
              <w:bottom w:val="single" w:color="auto" w:sz="4" w:space="0"/>
            </w:tcBorders>
          </w:tcPr>
          <w:p w:rsidRPr="00A11B95" w:rsidR="00556873" w:rsidP="0034746C" w:rsidRDefault="002B1434" w14:paraId="76720B27" w14:textId="074A74F8">
            <w:pPr>
              <w:jc w:val="center"/>
              <w:rPr>
                <w:color w:val="000000"/>
                <w:sz w:val="20"/>
              </w:rPr>
            </w:pPr>
            <w:r w:rsidRPr="00A11B95">
              <w:rPr>
                <w:color w:val="000000"/>
                <w:sz w:val="20"/>
              </w:rPr>
              <w:t>No</w:t>
            </w:r>
          </w:p>
        </w:tc>
      </w:tr>
      <w:tr w:rsidRPr="00A11B95" w:rsidR="00556873" w:rsidTr="004A665F" w14:paraId="08C7DA1B" w14:textId="77777777">
        <w:trPr>
          <w:cantSplit/>
          <w:jc w:val="center"/>
        </w:trPr>
        <w:tc>
          <w:tcPr>
            <w:tcW w:w="2553" w:type="dxa"/>
            <w:gridSpan w:val="2"/>
            <w:tcBorders>
              <w:top w:val="single" w:color="auto" w:sz="4" w:space="0"/>
              <w:bottom w:val="single" w:color="auto" w:sz="4" w:space="0"/>
            </w:tcBorders>
          </w:tcPr>
          <w:p w:rsidRPr="00A11B95" w:rsidR="00556873" w:rsidP="0034746C" w:rsidRDefault="00556873" w14:paraId="2006F35E" w14:textId="3A37B3B0">
            <w:pPr>
              <w:jc w:val="center"/>
              <w:rPr>
                <w:color w:val="000000"/>
                <w:sz w:val="20"/>
              </w:rPr>
            </w:pPr>
            <w:r w:rsidRPr="00A11B95">
              <w:rPr>
                <w:color w:val="000000"/>
                <w:sz w:val="20"/>
              </w:rPr>
              <w:t>Andrea White</w:t>
            </w:r>
          </w:p>
        </w:tc>
        <w:tc>
          <w:tcPr>
            <w:tcW w:w="1808" w:type="dxa"/>
            <w:gridSpan w:val="3"/>
            <w:tcBorders>
              <w:top w:val="single" w:color="auto" w:sz="4" w:space="0"/>
              <w:bottom w:val="single" w:color="auto" w:sz="4" w:space="0"/>
            </w:tcBorders>
          </w:tcPr>
          <w:p w:rsidRPr="00A11B95" w:rsidR="00556873" w:rsidP="0034746C" w:rsidRDefault="00556873" w14:paraId="45B31ABD" w14:textId="14B15F62">
            <w:pPr>
              <w:jc w:val="center"/>
              <w:rPr>
                <w:color w:val="000000"/>
                <w:sz w:val="20"/>
              </w:rPr>
            </w:pPr>
            <w:r w:rsidRPr="00A11B95">
              <w:rPr>
                <w:color w:val="000000"/>
                <w:sz w:val="20"/>
              </w:rPr>
              <w:t>12/5/2023</w:t>
            </w:r>
          </w:p>
        </w:tc>
        <w:tc>
          <w:tcPr>
            <w:tcW w:w="2162" w:type="dxa"/>
            <w:gridSpan w:val="3"/>
            <w:tcBorders>
              <w:top w:val="single" w:color="auto" w:sz="4" w:space="0"/>
              <w:bottom w:val="single" w:color="auto" w:sz="4" w:space="0"/>
            </w:tcBorders>
          </w:tcPr>
          <w:p w:rsidRPr="00A11B95" w:rsidR="00556873" w:rsidP="0034746C" w:rsidRDefault="00882D2E" w14:paraId="0315AA58" w14:textId="7181AFE5">
            <w:pPr>
              <w:jc w:val="center"/>
              <w:rPr>
                <w:color w:val="000000"/>
                <w:sz w:val="20"/>
              </w:rPr>
            </w:pPr>
            <w:r w:rsidRPr="00A11B95">
              <w:rPr>
                <w:color w:val="000000"/>
                <w:sz w:val="20"/>
              </w:rPr>
              <w:t>351824</w:t>
            </w:r>
          </w:p>
        </w:tc>
        <w:tc>
          <w:tcPr>
            <w:tcW w:w="4032" w:type="dxa"/>
            <w:gridSpan w:val="4"/>
            <w:tcBorders>
              <w:top w:val="single" w:color="auto" w:sz="4" w:space="0"/>
              <w:bottom w:val="single" w:color="auto" w:sz="4" w:space="0"/>
            </w:tcBorders>
          </w:tcPr>
          <w:p w:rsidRPr="00A11B95" w:rsidR="00556873" w:rsidP="0034746C" w:rsidRDefault="002B1434" w14:paraId="713491BC" w14:textId="21EA5B69">
            <w:pPr>
              <w:jc w:val="center"/>
              <w:rPr>
                <w:color w:val="000000"/>
                <w:sz w:val="20"/>
              </w:rPr>
            </w:pPr>
            <w:r w:rsidRPr="00A11B95">
              <w:rPr>
                <w:color w:val="000000"/>
                <w:sz w:val="20"/>
              </w:rPr>
              <w:t>No</w:t>
            </w:r>
          </w:p>
        </w:tc>
      </w:tr>
    </w:tbl>
    <w:p w:rsidRPr="00876D64" w:rsidR="00D93BF1" w:rsidP="008F5F5F" w:rsidRDefault="00A92D0B" w14:paraId="6B825372" w14:textId="7F88DB20">
      <w:pPr>
        <w:keepNext/>
        <w:numPr>
          <w:ilvl w:val="0"/>
          <w:numId w:val="29"/>
        </w:numPr>
        <w:spacing w:before="240" w:after="240"/>
        <w:rPr>
          <w:b/>
          <w:color w:val="000000"/>
        </w:rPr>
      </w:pPr>
      <w:r w:rsidRPr="00536F0C">
        <w:rPr>
          <w:b/>
          <w:color w:val="000000"/>
        </w:rPr>
        <w:t>Attachments</w:t>
      </w:r>
      <w:r w:rsidRPr="00536F0C">
        <w:rPr>
          <w:b/>
        </w:rPr>
        <w:t xml:space="preserve"> Documenting </w:t>
      </w:r>
      <w:r w:rsidRPr="00AE217D">
        <w:rPr>
          <w:b/>
          <w:color w:val="000000"/>
        </w:rPr>
        <w:t>Specific</w:t>
      </w:r>
      <w:r w:rsidRPr="00536F0C">
        <w:rPr>
          <w:b/>
        </w:rPr>
        <w:t xml:space="preserve"> Claim and Comments on Part III</w:t>
      </w:r>
      <w:r w:rsidR="00043547">
        <w:rPr>
          <w:rStyle w:val="FootnoteReference"/>
          <w:b/>
        </w:rPr>
        <w:footnoteReference w:id="6"/>
      </w:r>
      <w:r w:rsidRPr="00536F0C" w:rsidR="00C02649">
        <w:rPr>
          <w:b/>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795"/>
        <w:gridCol w:w="7565"/>
      </w:tblGrid>
      <w:tr w:rsidRPr="00536F0C" w:rsidR="00A92D0B" w:rsidTr="00624FA0" w14:paraId="0C2B760A" w14:textId="77777777">
        <w:trPr>
          <w:tblHeader/>
        </w:trPr>
        <w:tc>
          <w:tcPr>
            <w:tcW w:w="1795" w:type="dxa"/>
            <w:shd w:val="clear" w:color="auto" w:fill="D9D9D9" w:themeFill="background1" w:themeFillShade="D9"/>
            <w:vAlign w:val="bottom"/>
          </w:tcPr>
          <w:p w:rsidR="00982423" w:rsidP="00624FA0" w:rsidRDefault="00A92D0B" w14:paraId="4B4DFAB4" w14:textId="77777777">
            <w:pPr>
              <w:keepNext/>
              <w:tabs>
                <w:tab w:val="left" w:pos="1260"/>
              </w:tabs>
              <w:jc w:val="center"/>
              <w:rPr>
                <w:b/>
                <w:color w:val="000000"/>
              </w:rPr>
            </w:pPr>
            <w:r w:rsidRPr="00536F0C">
              <w:rPr>
                <w:b/>
                <w:color w:val="000000"/>
              </w:rPr>
              <w:t>Attachment or</w:t>
            </w:r>
          </w:p>
          <w:p w:rsidRPr="00536F0C" w:rsidR="00A92D0B" w:rsidP="00624FA0" w:rsidRDefault="00A92D0B" w14:paraId="42A1D838" w14:textId="13BCC13D">
            <w:pPr>
              <w:keepNext/>
              <w:tabs>
                <w:tab w:val="left" w:pos="1260"/>
              </w:tabs>
              <w:jc w:val="center"/>
              <w:rPr>
                <w:b/>
                <w:color w:val="000000"/>
              </w:rPr>
            </w:pPr>
            <w:r w:rsidRPr="00536F0C">
              <w:rPr>
                <w:b/>
                <w:color w:val="000000"/>
              </w:rPr>
              <w:t>Comment #</w:t>
            </w:r>
          </w:p>
        </w:tc>
        <w:tc>
          <w:tcPr>
            <w:tcW w:w="7565" w:type="dxa"/>
            <w:tcBorders>
              <w:bottom w:val="single" w:color="auto" w:sz="4" w:space="0"/>
            </w:tcBorders>
            <w:shd w:val="clear" w:color="auto" w:fill="D9D9D9" w:themeFill="background1" w:themeFillShade="D9"/>
            <w:vAlign w:val="bottom"/>
          </w:tcPr>
          <w:p w:rsidRPr="00536F0C" w:rsidR="00A92D0B" w:rsidP="00624FA0" w:rsidRDefault="00A92D0B" w14:paraId="55F0A65F" w14:textId="77777777">
            <w:pPr>
              <w:keepNext/>
              <w:tabs>
                <w:tab w:val="left" w:pos="1260"/>
              </w:tabs>
              <w:jc w:val="center"/>
              <w:rPr>
                <w:b/>
                <w:color w:val="000000"/>
              </w:rPr>
            </w:pPr>
            <w:r w:rsidRPr="00536F0C">
              <w:rPr>
                <w:b/>
                <w:color w:val="000000"/>
              </w:rPr>
              <w:t>Description/Comment</w:t>
            </w:r>
          </w:p>
        </w:tc>
      </w:tr>
      <w:tr w:rsidRPr="00536F0C" w:rsidR="00A92D0B" w:rsidTr="008E5A03" w14:paraId="71F47148" w14:textId="77777777">
        <w:tc>
          <w:tcPr>
            <w:tcW w:w="1795" w:type="dxa"/>
            <w:tcBorders>
              <w:bottom w:val="single" w:color="auto" w:sz="4" w:space="0"/>
            </w:tcBorders>
          </w:tcPr>
          <w:p w:rsidRPr="00536F0C" w:rsidR="00A92D0B" w:rsidP="008F5F5F" w:rsidRDefault="00336A71" w14:paraId="7A5C03D8" w14:textId="77C45B91">
            <w:pPr>
              <w:tabs>
                <w:tab w:val="left" w:pos="1260"/>
              </w:tabs>
              <w:rPr>
                <w:color w:val="000000"/>
              </w:rPr>
            </w:pPr>
            <w:r w:rsidRPr="00536F0C">
              <w:rPr>
                <w:color w:val="000000"/>
              </w:rPr>
              <w:t>Attach</w:t>
            </w:r>
            <w:r w:rsidRPr="00536F0C" w:rsidR="00336F06">
              <w:rPr>
                <w:color w:val="000000"/>
              </w:rPr>
              <w:t>m</w:t>
            </w:r>
            <w:r w:rsidRPr="00536F0C">
              <w:rPr>
                <w:color w:val="000000"/>
              </w:rPr>
              <w:t xml:space="preserve">ent </w:t>
            </w:r>
            <w:r w:rsidRPr="00536F0C" w:rsidR="00A92D0B">
              <w:rPr>
                <w:color w:val="000000"/>
              </w:rPr>
              <w:t>1</w:t>
            </w:r>
          </w:p>
        </w:tc>
        <w:tc>
          <w:tcPr>
            <w:tcW w:w="7565" w:type="dxa"/>
            <w:tcBorders>
              <w:bottom w:val="single" w:color="auto" w:sz="4" w:space="0"/>
            </w:tcBorders>
          </w:tcPr>
          <w:p w:rsidRPr="00536F0C" w:rsidR="00A92D0B" w:rsidP="008F5F5F" w:rsidRDefault="00A92D0B" w14:paraId="370C67BC" w14:textId="77777777">
            <w:pPr>
              <w:tabs>
                <w:tab w:val="left" w:pos="1260"/>
              </w:tabs>
              <w:rPr>
                <w:color w:val="000000"/>
              </w:rPr>
            </w:pPr>
            <w:r w:rsidRPr="00536F0C">
              <w:rPr>
                <w:color w:val="000000"/>
              </w:rPr>
              <w:t>Certificate of Service</w:t>
            </w:r>
          </w:p>
        </w:tc>
      </w:tr>
      <w:tr w:rsidRPr="00536F0C" w:rsidR="00A92D0B" w:rsidTr="008E5A03" w14:paraId="72C869B0" w14:textId="77777777">
        <w:tc>
          <w:tcPr>
            <w:tcW w:w="1795" w:type="dxa"/>
          </w:tcPr>
          <w:p w:rsidRPr="00536F0C" w:rsidR="00A92D0B" w:rsidP="008F5F5F" w:rsidRDefault="00336A71" w14:paraId="49AADD21" w14:textId="37CE912C">
            <w:pPr>
              <w:tabs>
                <w:tab w:val="left" w:pos="1260"/>
              </w:tabs>
              <w:rPr>
                <w:color w:val="000000"/>
              </w:rPr>
            </w:pPr>
            <w:r w:rsidRPr="00536F0C">
              <w:rPr>
                <w:color w:val="000000"/>
              </w:rPr>
              <w:t xml:space="preserve">Attachment </w:t>
            </w:r>
            <w:r w:rsidRPr="00536F0C" w:rsidR="0022302F">
              <w:rPr>
                <w:color w:val="000000"/>
              </w:rPr>
              <w:t>2</w:t>
            </w:r>
          </w:p>
        </w:tc>
        <w:tc>
          <w:tcPr>
            <w:tcW w:w="7565" w:type="dxa"/>
          </w:tcPr>
          <w:p w:rsidRPr="00536F0C" w:rsidR="00A2231F" w:rsidP="008F5F5F" w:rsidRDefault="00AF41B7" w14:paraId="3AF20C23" w14:textId="3D436CD4">
            <w:pPr>
              <w:tabs>
                <w:tab w:val="left" w:pos="1260"/>
              </w:tabs>
              <w:rPr>
                <w:bCs/>
                <w:color w:val="000000"/>
              </w:rPr>
            </w:pPr>
            <w:r w:rsidRPr="00536F0C">
              <w:rPr>
                <w:bCs/>
                <w:color w:val="000000"/>
              </w:rPr>
              <w:t>Excerpt of Transcript of October 17, 2024 Commission Meeting (Item 14 of Pubic Agenda 3553)</w:t>
            </w:r>
            <w:r w:rsidRPr="00536F0C" w:rsidR="00781C18">
              <w:rPr>
                <w:bCs/>
                <w:color w:val="000000"/>
              </w:rPr>
              <w:t xml:space="preserve">, </w:t>
            </w:r>
            <w:r w:rsidRPr="00536F0C" w:rsidR="00781C18">
              <w:rPr>
                <w:color w:val="000000"/>
              </w:rPr>
              <w:t xml:space="preserve">available at </w:t>
            </w:r>
            <w:hyperlink w:history="1" r:id="rId8">
              <w:r w:rsidRPr="00536F0C" w:rsidR="00781C18">
                <w:rPr>
                  <w:rStyle w:val="Hyperlink"/>
                </w:rPr>
                <w:t>https://www.adminmonitor.com/ca/cpuc/voting_meeting/20241017/</w:t>
              </w:r>
            </w:hyperlink>
            <w:r w:rsidRPr="00536F0C" w:rsidR="00781C18">
              <w:rPr>
                <w:color w:val="000000"/>
              </w:rPr>
              <w:t xml:space="preserve">  (starting at 47:20).</w:t>
            </w:r>
          </w:p>
        </w:tc>
      </w:tr>
      <w:tr w:rsidRPr="00536F0C" w:rsidR="00355CE4" w:rsidTr="008E5A03" w14:paraId="3D0483A7" w14:textId="77777777">
        <w:tc>
          <w:tcPr>
            <w:tcW w:w="1795" w:type="dxa"/>
          </w:tcPr>
          <w:p w:rsidRPr="00536F0C" w:rsidR="00355CE4" w:rsidP="008F5F5F" w:rsidRDefault="00355CE4" w14:paraId="76B5DFF6" w14:textId="0523DFB2">
            <w:pPr>
              <w:tabs>
                <w:tab w:val="left" w:pos="1260"/>
              </w:tabs>
              <w:rPr>
                <w:color w:val="000000"/>
              </w:rPr>
            </w:pPr>
            <w:r w:rsidRPr="00536F0C">
              <w:rPr>
                <w:color w:val="000000"/>
              </w:rPr>
              <w:t>Attachment 3</w:t>
            </w:r>
          </w:p>
        </w:tc>
        <w:tc>
          <w:tcPr>
            <w:tcW w:w="7565" w:type="dxa"/>
          </w:tcPr>
          <w:p w:rsidRPr="00536F0C" w:rsidR="00355CE4" w:rsidP="008F5F5F" w:rsidRDefault="00355CE4" w14:paraId="3A5DD6C1" w14:textId="0B37BD79">
            <w:pPr>
              <w:tabs>
                <w:tab w:val="left" w:pos="1260"/>
              </w:tabs>
              <w:rPr>
                <w:bCs/>
                <w:color w:val="000000"/>
              </w:rPr>
            </w:pPr>
            <w:r w:rsidRPr="00536F0C">
              <w:rPr>
                <w:bCs/>
                <w:color w:val="000000"/>
              </w:rPr>
              <w:t>Timesheet and Categorization</w:t>
            </w:r>
          </w:p>
        </w:tc>
      </w:tr>
      <w:tr w:rsidRPr="00536F0C" w:rsidR="00355CE4" w:rsidTr="008E5A03" w14:paraId="54FE8064" w14:textId="77777777">
        <w:tc>
          <w:tcPr>
            <w:tcW w:w="1795" w:type="dxa"/>
          </w:tcPr>
          <w:p w:rsidRPr="00536F0C" w:rsidR="00355CE4" w:rsidP="008F5F5F" w:rsidRDefault="00355CE4" w14:paraId="45B8E0B8" w14:textId="2B4F8A9C">
            <w:pPr>
              <w:tabs>
                <w:tab w:val="left" w:pos="1260"/>
              </w:tabs>
              <w:rPr>
                <w:color w:val="000000"/>
              </w:rPr>
            </w:pPr>
            <w:r w:rsidRPr="00536F0C">
              <w:rPr>
                <w:color w:val="000000"/>
              </w:rPr>
              <w:t>Attachment 4</w:t>
            </w:r>
          </w:p>
        </w:tc>
        <w:tc>
          <w:tcPr>
            <w:tcW w:w="7565" w:type="dxa"/>
          </w:tcPr>
          <w:p w:rsidRPr="00536F0C" w:rsidR="00355CE4" w:rsidP="008F5F5F" w:rsidRDefault="00355CE4" w14:paraId="6091D0A7" w14:textId="434DED0A">
            <w:pPr>
              <w:tabs>
                <w:tab w:val="left" w:pos="1260"/>
              </w:tabs>
              <w:rPr>
                <w:bCs/>
                <w:color w:val="000000"/>
              </w:rPr>
            </w:pPr>
            <w:r w:rsidRPr="00536F0C">
              <w:rPr>
                <w:bCs/>
                <w:color w:val="000000"/>
              </w:rPr>
              <w:t>Malinda Dickenson Resume</w:t>
            </w:r>
          </w:p>
        </w:tc>
      </w:tr>
      <w:tr w:rsidRPr="00536F0C" w:rsidR="007A7BBE" w:rsidTr="008E5A03" w14:paraId="13E139F8" w14:textId="77777777">
        <w:tc>
          <w:tcPr>
            <w:tcW w:w="1795" w:type="dxa"/>
          </w:tcPr>
          <w:p w:rsidRPr="00536F0C" w:rsidR="007A7BBE" w:rsidP="008F5F5F" w:rsidRDefault="00C86057" w14:paraId="458E5CF0" w14:textId="134827AD">
            <w:pPr>
              <w:tabs>
                <w:tab w:val="left" w:pos="1260"/>
              </w:tabs>
              <w:rPr>
                <w:color w:val="000000"/>
              </w:rPr>
            </w:pPr>
            <w:r w:rsidRPr="00536F0C">
              <w:rPr>
                <w:color w:val="000000"/>
              </w:rPr>
              <w:t>Comment 1</w:t>
            </w:r>
          </w:p>
        </w:tc>
        <w:tc>
          <w:tcPr>
            <w:tcW w:w="7565" w:type="dxa"/>
          </w:tcPr>
          <w:p w:rsidRPr="00536F0C" w:rsidR="005441ED" w:rsidP="004C7AA5" w:rsidRDefault="00740385" w14:paraId="639B88BF" w14:textId="77777777">
            <w:pPr>
              <w:tabs>
                <w:tab w:val="left" w:pos="1260"/>
              </w:tabs>
              <w:spacing w:after="240"/>
              <w:rPr>
                <w:b/>
                <w:bCs/>
              </w:rPr>
            </w:pPr>
            <w:r w:rsidRPr="00536F0C">
              <w:rPr>
                <w:b/>
                <w:bCs/>
              </w:rPr>
              <w:t xml:space="preserve">Malinda Dickenson basis for </w:t>
            </w:r>
            <w:r w:rsidRPr="00536F0C" w:rsidR="005441ED">
              <w:rPr>
                <w:b/>
                <w:bCs/>
              </w:rPr>
              <w:t>rates</w:t>
            </w:r>
            <w:r w:rsidRPr="00536F0C">
              <w:rPr>
                <w:b/>
                <w:bCs/>
              </w:rPr>
              <w:t xml:space="preserve">: </w:t>
            </w:r>
          </w:p>
          <w:p w:rsidRPr="00536F0C" w:rsidR="005441ED" w:rsidP="008F5F5F" w:rsidRDefault="00740385" w14:paraId="218860E9" w14:textId="3FC885DA">
            <w:pPr>
              <w:tabs>
                <w:tab w:val="left" w:pos="1260"/>
              </w:tabs>
            </w:pPr>
            <w:r w:rsidRPr="00536F0C">
              <w:t xml:space="preserve">$730/hour </w:t>
            </w:r>
            <w:r w:rsidRPr="00536F0C" w:rsidR="005441ED">
              <w:t>+</w:t>
            </w:r>
            <w:r w:rsidRPr="00536F0C">
              <w:t xml:space="preserve"> step increase</w:t>
            </w:r>
            <w:r w:rsidRPr="00536F0C" w:rsidR="005441ED">
              <w:t xml:space="preserve"> = </w:t>
            </w:r>
            <w:r w:rsidRPr="00536F0C" w:rsidR="005441ED">
              <w:rPr>
                <w:b/>
                <w:bCs/>
              </w:rPr>
              <w:t>$</w:t>
            </w:r>
            <w:r w:rsidRPr="00536F0C" w:rsidR="1D757B8E">
              <w:rPr>
                <w:b/>
                <w:bCs/>
              </w:rPr>
              <w:t>765</w:t>
            </w:r>
            <w:r w:rsidRPr="00536F0C" w:rsidR="005441ED">
              <w:rPr>
                <w:b/>
                <w:bCs/>
              </w:rPr>
              <w:t xml:space="preserve"> for 2024</w:t>
            </w:r>
            <w:r w:rsidRPr="00536F0C" w:rsidR="005441ED">
              <w:t xml:space="preserve">; </w:t>
            </w:r>
          </w:p>
          <w:p w:rsidRPr="00536F0C" w:rsidR="005441ED" w:rsidP="008F5F5F" w:rsidRDefault="00740385" w14:paraId="2F831FE9" w14:textId="0B02C652">
            <w:pPr>
              <w:tabs>
                <w:tab w:val="left" w:pos="1260"/>
              </w:tabs>
            </w:pPr>
            <w:r w:rsidRPr="00536F0C">
              <w:t xml:space="preserve">$700/hour </w:t>
            </w:r>
            <w:r w:rsidRPr="00536F0C" w:rsidR="005441ED">
              <w:t xml:space="preserve">+ step increase = </w:t>
            </w:r>
            <w:r w:rsidRPr="00536F0C" w:rsidR="005441ED">
              <w:rPr>
                <w:b/>
                <w:bCs/>
              </w:rPr>
              <w:t>$</w:t>
            </w:r>
            <w:r w:rsidRPr="00536F0C" w:rsidR="6D3C20E7">
              <w:rPr>
                <w:b/>
                <w:bCs/>
              </w:rPr>
              <w:t>735</w:t>
            </w:r>
            <w:r w:rsidRPr="00536F0C" w:rsidR="005441ED">
              <w:rPr>
                <w:b/>
                <w:bCs/>
              </w:rPr>
              <w:t xml:space="preserve"> for 2023</w:t>
            </w:r>
            <w:r w:rsidRPr="00536F0C" w:rsidR="005441ED">
              <w:t>;</w:t>
            </w:r>
            <w:r w:rsidRPr="00536F0C">
              <w:t xml:space="preserve"> </w:t>
            </w:r>
          </w:p>
          <w:p w:rsidRPr="00536F0C" w:rsidR="00740385" w:rsidP="004C7AA5" w:rsidRDefault="00740385" w14:paraId="477FC2F6" w14:textId="7E7EFB6C">
            <w:pPr>
              <w:tabs>
                <w:tab w:val="left" w:pos="1260"/>
              </w:tabs>
              <w:spacing w:after="240"/>
              <w:rPr>
                <w:b/>
                <w:bCs/>
              </w:rPr>
            </w:pPr>
            <w:r w:rsidRPr="00536F0C">
              <w:t xml:space="preserve">$670/hour </w:t>
            </w:r>
            <w:r w:rsidRPr="00536F0C" w:rsidR="005441ED">
              <w:t xml:space="preserve">+ step increase = </w:t>
            </w:r>
            <w:r w:rsidRPr="00536F0C" w:rsidR="005441ED">
              <w:rPr>
                <w:b/>
                <w:bCs/>
              </w:rPr>
              <w:t>$</w:t>
            </w:r>
            <w:r w:rsidRPr="00536F0C" w:rsidR="3A94D496">
              <w:rPr>
                <w:b/>
                <w:bCs/>
              </w:rPr>
              <w:t>705</w:t>
            </w:r>
            <w:r w:rsidRPr="00536F0C" w:rsidR="005441ED">
              <w:rPr>
                <w:b/>
                <w:bCs/>
              </w:rPr>
              <w:t xml:space="preserve"> for 2022.</w:t>
            </w:r>
          </w:p>
          <w:p w:rsidRPr="00536F0C" w:rsidR="00990ED6" w:rsidP="004C7AA5" w:rsidRDefault="00740385" w14:paraId="373DC78C" w14:textId="088133BC">
            <w:pPr>
              <w:tabs>
                <w:tab w:val="left" w:pos="1260"/>
              </w:tabs>
              <w:spacing w:after="240"/>
            </w:pPr>
            <w:r w:rsidRPr="00536F0C">
              <w:t xml:space="preserve">As of 2024, </w:t>
            </w:r>
            <w:r w:rsidR="004E6167">
              <w:t>Ms. </w:t>
            </w:r>
            <w:r w:rsidRPr="00536F0C">
              <w:t>Dickenson has 14 years of experience in the legal director role, with 5 years as PCF</w:t>
            </w:r>
            <w:r w:rsidR="004E6167">
              <w:t>’</w:t>
            </w:r>
            <w:r w:rsidRPr="00536F0C">
              <w:t xml:space="preserve">s General Counsel and Legal &amp; Executive Director. </w:t>
            </w:r>
            <w:r w:rsidR="004E6167">
              <w:t>Ms. </w:t>
            </w:r>
            <w:r w:rsidRPr="00536F0C">
              <w:t>Dickenson</w:t>
            </w:r>
            <w:r w:rsidR="004E6167">
              <w:t>’</w:t>
            </w:r>
            <w:r w:rsidRPr="00536F0C">
              <w:t>s 14 years of experience in the legal director role qualifies her for the upper range of Level IV, which applies to 10</w:t>
            </w:r>
            <w:r w:rsidR="00B52830">
              <w:noBreakHyphen/>
            </w:r>
            <w:r w:rsidRPr="00536F0C">
              <w:t>15 years of legal director experience.</w:t>
            </w:r>
          </w:p>
          <w:p w:rsidRPr="00536F0C" w:rsidR="00990ED6" w:rsidP="004C7AA5" w:rsidRDefault="00740385" w14:paraId="678E071B" w14:textId="5CD1081D">
            <w:pPr>
              <w:tabs>
                <w:tab w:val="left" w:pos="1260"/>
              </w:tabs>
              <w:spacing w:after="240"/>
            </w:pPr>
            <w:r w:rsidRPr="00536F0C">
              <w:t>The Commission</w:t>
            </w:r>
            <w:r w:rsidR="004E6167">
              <w:t>’</w:t>
            </w:r>
            <w:r w:rsidRPr="00536F0C">
              <w:t>s hourly rate chart provides a median rate of $699.57 and a high</w:t>
            </w:r>
            <w:r w:rsidR="00B52830">
              <w:noBreakHyphen/>
            </w:r>
            <w:r w:rsidRPr="00536F0C">
              <w:t>end rate of $860.03 for Level IV Legal Directors in 2024</w:t>
            </w:r>
            <w:r w:rsidRPr="00536F0C" w:rsidR="00195E6E">
              <w:t xml:space="preserve">; </w:t>
            </w:r>
            <w:r w:rsidRPr="00536F0C">
              <w:t>a median rate of $672.21 and a high</w:t>
            </w:r>
            <w:r w:rsidR="00B52830">
              <w:noBreakHyphen/>
            </w:r>
            <w:r w:rsidRPr="00536F0C">
              <w:t>end rate of $832.67 in 2023</w:t>
            </w:r>
            <w:r w:rsidRPr="00536F0C" w:rsidR="00195E6E">
              <w:t>;</w:t>
            </w:r>
            <w:r w:rsidRPr="00536F0C">
              <w:t xml:space="preserve"> and </w:t>
            </w:r>
            <w:r w:rsidRPr="00536F0C" w:rsidR="00195E6E">
              <w:t xml:space="preserve">a </w:t>
            </w:r>
            <w:r w:rsidRPr="00536F0C">
              <w:t>median rate of $643.51 and a high</w:t>
            </w:r>
            <w:r w:rsidR="00B52830">
              <w:noBreakHyphen/>
            </w:r>
            <w:r w:rsidRPr="00536F0C">
              <w:t xml:space="preserve">end rate of $803.97 for Level IV legal directors in 2022. PCF justifies </w:t>
            </w:r>
            <w:r w:rsidR="004E6167">
              <w:t>Ms. </w:t>
            </w:r>
            <w:r w:rsidRPr="00536F0C">
              <w:t>Dickenson</w:t>
            </w:r>
            <w:r w:rsidR="004E6167">
              <w:t>’</w:t>
            </w:r>
            <w:r w:rsidRPr="00536F0C">
              <w:t>s 2024, 2023, and 2022 rates of $7</w:t>
            </w:r>
            <w:r w:rsidRPr="00536F0C" w:rsidR="002E6AD8">
              <w:t>65</w:t>
            </w:r>
            <w:r w:rsidRPr="00536F0C">
              <w:t>, $7</w:t>
            </w:r>
            <w:r w:rsidRPr="00536F0C" w:rsidR="002E6AD8">
              <w:t>35</w:t>
            </w:r>
            <w:r w:rsidRPr="00536F0C">
              <w:t xml:space="preserve">, </w:t>
            </w:r>
            <w:r w:rsidRPr="00536F0C">
              <w:lastRenderedPageBreak/>
              <w:t>and $70</w:t>
            </w:r>
            <w:r w:rsidRPr="00536F0C" w:rsidR="002E6AD8">
              <w:t>5</w:t>
            </w:r>
            <w:r w:rsidRPr="00536F0C">
              <w:t xml:space="preserve"> based on her 12</w:t>
            </w:r>
            <w:r w:rsidR="00B52830">
              <w:noBreakHyphen/>
            </w:r>
            <w:r w:rsidRPr="00536F0C">
              <w:t>14 years of experience in the legal director role, which is just above the median and far below the upper range for Level IV Legal Directors, and the rates of Legal Directors with comparable training and experience. </w:t>
            </w:r>
          </w:p>
          <w:p w:rsidRPr="00536F0C" w:rsidR="00990ED6" w:rsidP="004C7AA5" w:rsidRDefault="00740385" w14:paraId="2150378B" w14:textId="2A7AD289">
            <w:pPr>
              <w:tabs>
                <w:tab w:val="left" w:pos="1260"/>
              </w:tabs>
              <w:spacing w:after="240"/>
            </w:pPr>
            <w:r w:rsidRPr="00536F0C">
              <w:t xml:space="preserve">Legal directors with comparable and less experience than </w:t>
            </w:r>
            <w:r w:rsidR="004E6167">
              <w:t>Ms. </w:t>
            </w:r>
            <w:r w:rsidRPr="00536F0C">
              <w:t xml:space="preserve">Dickenson have been awarded rates exceeding </w:t>
            </w:r>
            <w:r w:rsidR="004E6167">
              <w:t>Ms. </w:t>
            </w:r>
            <w:r w:rsidRPr="00536F0C">
              <w:t>Dickenson</w:t>
            </w:r>
            <w:r w:rsidR="004E6167">
              <w:t>’</w:t>
            </w:r>
            <w:r w:rsidRPr="00536F0C">
              <w:t>s proposed $7</w:t>
            </w:r>
            <w:r w:rsidRPr="00536F0C" w:rsidR="0020133A">
              <w:t>65</w:t>
            </w:r>
            <w:r w:rsidRPr="00536F0C">
              <w:t>/hour, $7</w:t>
            </w:r>
            <w:r w:rsidRPr="00536F0C" w:rsidR="0020133A">
              <w:t>35</w:t>
            </w:r>
            <w:r w:rsidRPr="00536F0C">
              <w:t>/hour, $</w:t>
            </w:r>
            <w:r w:rsidRPr="00536F0C" w:rsidR="0020133A">
              <w:t>705</w:t>
            </w:r>
            <w:r w:rsidRPr="00536F0C">
              <w:t xml:space="preserve"> rates. </w:t>
            </w:r>
            <w:r w:rsidR="004E6167">
              <w:t>Mr. </w:t>
            </w:r>
            <w:r w:rsidRPr="00536F0C">
              <w:t>Birkelund was awarded $705/hour in 2022 (D.23</w:t>
            </w:r>
            <w:r w:rsidR="00B52830">
              <w:noBreakHyphen/>
            </w:r>
            <w:r w:rsidRPr="00536F0C">
              <w:t>02</w:t>
            </w:r>
            <w:r w:rsidR="00B52830">
              <w:noBreakHyphen/>
            </w:r>
            <w:r w:rsidRPr="00536F0C">
              <w:t>016) [equivalent to $735/hour in 2023 and $765/hour in 2024] and $770 for 2023 rates (D.24</w:t>
            </w:r>
            <w:r w:rsidR="00B52830">
              <w:noBreakHyphen/>
            </w:r>
            <w:r w:rsidRPr="00536F0C">
              <w:t>0</w:t>
            </w:r>
            <w:r w:rsidR="00B52830">
              <w:noBreakHyphen/>
            </w:r>
            <w:r w:rsidRPr="00536F0C">
              <w:t xml:space="preserve">056) [equivalent to $800/hour in 2024 rates]. </w:t>
            </w:r>
            <w:r w:rsidR="004E6167">
              <w:t>Mr. </w:t>
            </w:r>
            <w:r w:rsidRPr="00536F0C">
              <w:t xml:space="preserve">Birkelund has two years less experience in the legal director role than </w:t>
            </w:r>
            <w:r w:rsidR="004E6167">
              <w:t>Ms. </w:t>
            </w:r>
            <w:r w:rsidRPr="00536F0C">
              <w:t>Dickenson. (</w:t>
            </w:r>
            <w:r w:rsidRPr="00536F0C">
              <w:rPr>
                <w:i/>
                <w:iCs/>
              </w:rPr>
              <w:t>See</w:t>
            </w:r>
            <w:r w:rsidRPr="00536F0C">
              <w:t> D.22</w:t>
            </w:r>
            <w:r w:rsidR="00B52830">
              <w:noBreakHyphen/>
            </w:r>
            <w:r w:rsidRPr="00536F0C">
              <w:t>08</w:t>
            </w:r>
            <w:r w:rsidR="00B52830">
              <w:noBreakHyphen/>
            </w:r>
            <w:r w:rsidRPr="00536F0C">
              <w:t>046,</w:t>
            </w:r>
            <w:r w:rsidR="0015516F">
              <w:t xml:space="preserve"> p. </w:t>
            </w:r>
            <w:r w:rsidRPr="00536F0C">
              <w:t xml:space="preserve">17.) </w:t>
            </w:r>
            <w:r w:rsidR="004E6167">
              <w:t>Ms. </w:t>
            </w:r>
            <w:r w:rsidRPr="00536F0C">
              <w:t>Elliott, who had 14 years of legal director experience in 2022, was awarded a rate of $725 for 2022 (D.24</w:t>
            </w:r>
            <w:r w:rsidR="00B52830">
              <w:noBreakHyphen/>
            </w:r>
            <w:r w:rsidRPr="00536F0C">
              <w:t>03</w:t>
            </w:r>
            <w:r w:rsidR="00B52830">
              <w:noBreakHyphen/>
            </w:r>
            <w:r w:rsidRPr="00536F0C">
              <w:t>064) [equivalent to $755 in 2023 and $785/hour in 2024] and $755/hour in 2023.</w:t>
            </w:r>
          </w:p>
          <w:p w:rsidRPr="00536F0C" w:rsidR="00990ED6" w:rsidP="004C7AA5" w:rsidRDefault="004E6167" w14:paraId="19A98B22" w14:textId="6C86FC29">
            <w:pPr>
              <w:tabs>
                <w:tab w:val="left" w:pos="1260"/>
              </w:tabs>
              <w:spacing w:after="240"/>
            </w:pPr>
            <w:r>
              <w:t>Ms. </w:t>
            </w:r>
            <w:r w:rsidRPr="00536F0C" w:rsidR="00740385">
              <w:t>Dickenson</w:t>
            </w:r>
            <w:r>
              <w:t>’</w:t>
            </w:r>
            <w:r w:rsidRPr="00536F0C" w:rsidR="00740385">
              <w:t xml:space="preserve">s rate is also justified by her experience as an Attorney. </w:t>
            </w:r>
            <w:r>
              <w:t>Ms. </w:t>
            </w:r>
            <w:r w:rsidRPr="00536F0C" w:rsidR="00740385">
              <w:t>Dickenson</w:t>
            </w:r>
            <w:r>
              <w:t>’</w:t>
            </w:r>
            <w:r w:rsidRPr="00536F0C" w:rsidR="00740385">
              <w:t xml:space="preserve">s resume is attached and has been updated from previous claims to clarify that </w:t>
            </w:r>
            <w:r>
              <w:t>Ms. </w:t>
            </w:r>
            <w:r w:rsidRPr="00536F0C" w:rsidR="00740385">
              <w:t>Dickenson is a lawyer who as of 2024, has 22 years of experience that is directly related to her work before the Commission. The Commission hourly rate chart provides a median rate of $680.95 and a high</w:t>
            </w:r>
            <w:r w:rsidR="00B52830">
              <w:noBreakHyphen/>
            </w:r>
            <w:r w:rsidRPr="00536F0C" w:rsidR="00740385">
              <w:t>end rate of $773.67 in 2024, a median rate of $654.32 and a high</w:t>
            </w:r>
            <w:r w:rsidR="00B52830">
              <w:noBreakHyphen/>
            </w:r>
            <w:r w:rsidRPr="00536F0C" w:rsidR="00740385">
              <w:t>end rate of $747.04 in 2023, and a median rate of $626.38 and a high</w:t>
            </w:r>
            <w:r w:rsidR="00B52830">
              <w:noBreakHyphen/>
            </w:r>
            <w:r w:rsidRPr="00536F0C" w:rsidR="00740385">
              <w:t xml:space="preserve">end rate of $719.10 for Level V Attorneys in 2022.  These rates include overhead costs. </w:t>
            </w:r>
            <w:r>
              <w:t>Ms. </w:t>
            </w:r>
            <w:r w:rsidRPr="00536F0C" w:rsidR="00740385">
              <w:t>Dickenson</w:t>
            </w:r>
            <w:r>
              <w:t>’</w:t>
            </w:r>
            <w:r w:rsidRPr="00536F0C" w:rsidR="00740385">
              <w:t>s 2024, 2023, and 2022 rates of $7</w:t>
            </w:r>
            <w:r w:rsidRPr="00536F0C" w:rsidR="00A5463D">
              <w:t>65</w:t>
            </w:r>
            <w:r w:rsidRPr="00536F0C" w:rsidR="00740385">
              <w:t>/hour, $7</w:t>
            </w:r>
            <w:r w:rsidRPr="00536F0C" w:rsidR="002E6AD8">
              <w:t>35</w:t>
            </w:r>
            <w:r w:rsidRPr="00536F0C" w:rsidR="00740385">
              <w:t>/hour, and $</w:t>
            </w:r>
            <w:r w:rsidRPr="00536F0C" w:rsidR="002E6AD8">
              <w:t>705</w:t>
            </w:r>
            <w:r w:rsidRPr="00536F0C" w:rsidR="00740385">
              <w:t xml:space="preserve">/hour fall in between the median and high values for Level V Attorneys, which is conservative based on </w:t>
            </w:r>
            <w:r>
              <w:t>Ms. </w:t>
            </w:r>
            <w:r w:rsidRPr="00536F0C" w:rsidR="00740385">
              <w:t>Dickenson</w:t>
            </w:r>
            <w:r>
              <w:t>’</w:t>
            </w:r>
            <w:r w:rsidRPr="00536F0C" w:rsidR="00740385">
              <w:t>s 22 years of directly related experience as of 2024.</w:t>
            </w:r>
          </w:p>
          <w:p w:rsidRPr="00536F0C" w:rsidR="008F60FA" w:rsidP="004C7AA5" w:rsidRDefault="004E6167" w14:paraId="229C6F52" w14:textId="3456A9E4">
            <w:pPr>
              <w:tabs>
                <w:tab w:val="left" w:pos="1260"/>
              </w:tabs>
              <w:spacing w:after="240"/>
            </w:pPr>
            <w:r>
              <w:t>Ms. </w:t>
            </w:r>
            <w:r w:rsidRPr="00536F0C" w:rsidR="00740385">
              <w:t>Dickenson</w:t>
            </w:r>
            <w:r>
              <w:t>’</w:t>
            </w:r>
            <w:r w:rsidRPr="00536F0C" w:rsidR="00740385">
              <w:t xml:space="preserve">s resume and this justification have been updated since </w:t>
            </w:r>
            <w:r>
              <w:t>Ms. </w:t>
            </w:r>
            <w:r w:rsidRPr="00536F0C" w:rsidR="00740385">
              <w:t>Dickenson was awarded a 2022 rate of $610 per hour in D.23</w:t>
            </w:r>
            <w:r w:rsidR="00B52830">
              <w:noBreakHyphen/>
            </w:r>
            <w:r w:rsidRPr="00536F0C" w:rsidR="00740385">
              <w:t>08</w:t>
            </w:r>
            <w:r w:rsidR="00B52830">
              <w:noBreakHyphen/>
            </w:r>
            <w:r w:rsidRPr="00536F0C" w:rsidR="00740385">
              <w:t>020 and D.23</w:t>
            </w:r>
            <w:r w:rsidR="00B52830">
              <w:noBreakHyphen/>
            </w:r>
            <w:r w:rsidRPr="00536F0C" w:rsidR="00740385">
              <w:t>10</w:t>
            </w:r>
            <w:r w:rsidR="00B52830">
              <w:noBreakHyphen/>
            </w:r>
            <w:r w:rsidRPr="00536F0C" w:rsidR="00740385">
              <w:t>018 which were in turn based on the 2021 rate of $590 per hour in D.22</w:t>
            </w:r>
            <w:r w:rsidR="00B52830">
              <w:noBreakHyphen/>
            </w:r>
            <w:r w:rsidRPr="00536F0C" w:rsidR="00740385">
              <w:t>10</w:t>
            </w:r>
            <w:r w:rsidR="00B52830">
              <w:noBreakHyphen/>
            </w:r>
            <w:r w:rsidRPr="00536F0C" w:rsidR="00740385">
              <w:t xml:space="preserve">030. </w:t>
            </w:r>
            <w:r w:rsidRPr="00536F0C" w:rsidR="00185E02">
              <w:t>D.22</w:t>
            </w:r>
            <w:r w:rsidR="00B52830">
              <w:noBreakHyphen/>
            </w:r>
            <w:r w:rsidRPr="00536F0C" w:rsidR="00185E02">
              <w:t>10</w:t>
            </w:r>
            <w:r w:rsidR="00B52830">
              <w:noBreakHyphen/>
            </w:r>
            <w:r w:rsidRPr="00536F0C" w:rsidR="00185E02">
              <w:t xml:space="preserve">030 misinterpreted </w:t>
            </w:r>
            <w:r>
              <w:t>Ms. </w:t>
            </w:r>
            <w:r w:rsidRPr="00536F0C" w:rsidR="00185E02">
              <w:t>Dickenson</w:t>
            </w:r>
            <w:r>
              <w:t>’</w:t>
            </w:r>
            <w:r w:rsidRPr="00536F0C" w:rsidR="00185E02">
              <w:t>s number of years of experience. I</w:t>
            </w:r>
            <w:r w:rsidRPr="00536F0C" w:rsidR="00740385">
              <w:t>n D.23</w:t>
            </w:r>
            <w:r w:rsidR="00B52830">
              <w:noBreakHyphen/>
            </w:r>
            <w:r w:rsidRPr="00536F0C" w:rsidR="00740385">
              <w:t>11</w:t>
            </w:r>
            <w:r w:rsidR="00B52830">
              <w:noBreakHyphen/>
            </w:r>
            <w:r w:rsidRPr="00536F0C" w:rsidR="00740385">
              <w:t xml:space="preserve">050, the Commission identified the basis for its interpretation of </w:t>
            </w:r>
            <w:r>
              <w:t>Ms. </w:t>
            </w:r>
            <w:r w:rsidRPr="00536F0C" w:rsidR="00740385">
              <w:t>Dickenson</w:t>
            </w:r>
            <w:r>
              <w:t>’</w:t>
            </w:r>
            <w:r w:rsidRPr="00536F0C" w:rsidR="00740385">
              <w:t>s previous resume which led to D.22</w:t>
            </w:r>
            <w:r w:rsidR="00B52830">
              <w:noBreakHyphen/>
            </w:r>
            <w:r w:rsidRPr="00536F0C" w:rsidR="00740385">
              <w:t>10</w:t>
            </w:r>
            <w:r w:rsidR="00B52830">
              <w:noBreakHyphen/>
            </w:r>
            <w:r w:rsidRPr="00536F0C" w:rsidR="00740385">
              <w:t xml:space="preserve">030 and invited </w:t>
            </w:r>
            <w:r>
              <w:t>Ms. </w:t>
            </w:r>
            <w:r w:rsidRPr="00536F0C" w:rsidR="00740385">
              <w:t xml:space="preserve">Dickenson to provide additional information by citing to the Intervenor Compensation Guide at page 22 which </w:t>
            </w:r>
            <w:r>
              <w:t>“</w:t>
            </w:r>
            <w:r w:rsidRPr="00536F0C" w:rsidR="00740385">
              <w:t>advises intervenors seeking a higher hourly expert rate to identify a decision approving a higher rate or to provide updated credentials for its expert to supplement the record.</w:t>
            </w:r>
            <w:r>
              <w:t>”</w:t>
            </w:r>
            <w:r w:rsidRPr="00536F0C" w:rsidR="00740385">
              <w:t xml:space="preserve"> (D.23</w:t>
            </w:r>
            <w:r w:rsidR="00B52830">
              <w:noBreakHyphen/>
            </w:r>
            <w:r w:rsidRPr="00536F0C" w:rsidR="00740385">
              <w:t>11</w:t>
            </w:r>
            <w:r w:rsidR="00B52830">
              <w:noBreakHyphen/>
            </w:r>
            <w:r w:rsidRPr="00536F0C" w:rsidR="00740385">
              <w:t>043,</w:t>
            </w:r>
            <w:r w:rsidR="0015516F">
              <w:t xml:space="preserve"> p. </w:t>
            </w:r>
            <w:r w:rsidRPr="00536F0C" w:rsidR="00740385">
              <w:t xml:space="preserve">4.) </w:t>
            </w:r>
          </w:p>
          <w:p w:rsidRPr="00536F0C" w:rsidR="00990ED6" w:rsidP="004C7AA5" w:rsidRDefault="00740385" w14:paraId="489C3457" w14:textId="59F488C2">
            <w:pPr>
              <w:tabs>
                <w:tab w:val="left" w:pos="1260"/>
              </w:tabs>
              <w:spacing w:after="240"/>
            </w:pPr>
            <w:r w:rsidRPr="00536F0C">
              <w:t xml:space="preserve">Accordingly, </w:t>
            </w:r>
            <w:r w:rsidR="004E6167">
              <w:t>Ms. </w:t>
            </w:r>
            <w:r w:rsidRPr="00536F0C">
              <w:t>Dickenson</w:t>
            </w:r>
            <w:r w:rsidR="004E6167">
              <w:t>’</w:t>
            </w:r>
            <w:r w:rsidRPr="00536F0C">
              <w:t xml:space="preserve">s resume and this justification have been updated to clarify that </w:t>
            </w:r>
            <w:r w:rsidR="004E6167">
              <w:t>Ms. </w:t>
            </w:r>
            <w:r w:rsidRPr="00536F0C">
              <w:t xml:space="preserve">Dickenson is currently </w:t>
            </w:r>
            <w:r w:rsidRPr="00536F0C" w:rsidR="00185E02">
              <w:t xml:space="preserve">a </w:t>
            </w:r>
            <w:r w:rsidRPr="00536F0C">
              <w:t xml:space="preserve">lawyer with 22 years of </w:t>
            </w:r>
            <w:r w:rsidRPr="00536F0C">
              <w:lastRenderedPageBreak/>
              <w:t>experience that is directly related to her work before the Commission</w:t>
            </w:r>
            <w:r w:rsidRPr="00536F0C" w:rsidR="00185E02">
              <w:t xml:space="preserve"> and with 14 years of </w:t>
            </w:r>
            <w:r w:rsidRPr="00536F0C" w:rsidR="005441ED">
              <w:t xml:space="preserve">legal director </w:t>
            </w:r>
            <w:r w:rsidRPr="00536F0C" w:rsidR="00185E02">
              <w:t>experience.</w:t>
            </w:r>
          </w:p>
          <w:p w:rsidRPr="00536F0C" w:rsidR="006C42C1" w:rsidP="004C7AA5" w:rsidRDefault="006C42C1" w14:paraId="05E2A649" w14:textId="1EE1FF76">
            <w:pPr>
              <w:tabs>
                <w:tab w:val="left" w:pos="1260"/>
              </w:tabs>
              <w:spacing w:after="240"/>
            </w:pPr>
            <w:r w:rsidRPr="00536F0C">
              <w:rPr>
                <w:b/>
                <w:bCs/>
                <w:u w:val="single"/>
              </w:rPr>
              <w:t>Request for Step Increase</w:t>
            </w:r>
            <w:r w:rsidRPr="00536F0C">
              <w:rPr>
                <w:b/>
                <w:bCs/>
              </w:rPr>
              <w:t xml:space="preserve">. </w:t>
            </w:r>
            <w:r w:rsidRPr="00536F0C">
              <w:t>Under Resolution ALJ</w:t>
            </w:r>
            <w:r w:rsidR="00B52830">
              <w:noBreakHyphen/>
            </w:r>
            <w:r w:rsidRPr="00536F0C">
              <w:t xml:space="preserve">393, intervenors may request up to two 5% annual step increases per labor role experience level. PCF requests a step increase for </w:t>
            </w:r>
            <w:r w:rsidR="004E6167">
              <w:t>Ms. </w:t>
            </w:r>
            <w:r w:rsidRPr="00536F0C">
              <w:t>Dickenson</w:t>
            </w:r>
            <w:r w:rsidR="004E6167">
              <w:t>’</w:t>
            </w:r>
            <w:r w:rsidRPr="00536F0C">
              <w:t xml:space="preserve">s 2024, 2023, and 2022 rates. PCF has not yet requested a step increase for </w:t>
            </w:r>
            <w:r w:rsidR="004E6167">
              <w:t>Ms. </w:t>
            </w:r>
            <w:r w:rsidRPr="00536F0C">
              <w:t>Dickenson.</w:t>
            </w:r>
          </w:p>
          <w:p w:rsidRPr="00536F0C" w:rsidR="000300B4" w:rsidP="004C7AA5" w:rsidRDefault="00740385" w14:paraId="664D3911" w14:textId="1B05AD94">
            <w:pPr>
              <w:tabs>
                <w:tab w:val="left" w:pos="1260"/>
              </w:tabs>
              <w:spacing w:after="240"/>
            </w:pPr>
            <w:r w:rsidRPr="00536F0C">
              <w:t xml:space="preserve">Provided below is a table listing the rates of other legal directors with </w:t>
            </w:r>
            <w:r w:rsidRPr="00536F0C" w:rsidR="00B258CE">
              <w:t xml:space="preserve">comparable </w:t>
            </w:r>
            <w:r w:rsidRPr="00536F0C">
              <w:t xml:space="preserve">levels of experience as </w:t>
            </w:r>
            <w:r w:rsidR="004E6167">
              <w:t>Ms. </w:t>
            </w:r>
            <w:r w:rsidRPr="00536F0C">
              <w:t>Dickenson</w:t>
            </w:r>
            <w:r w:rsidRPr="00536F0C" w:rsidR="00B258CE">
              <w:t>.</w:t>
            </w:r>
          </w:p>
          <w:tbl>
            <w:tblPr>
              <w:tblpPr w:leftFromText="180" w:rightFromText="180" w:vertAnchor="text" w:horzAnchor="margin" w:tblpY="158"/>
              <w:tblW w:w="7200" w:type="dxa"/>
              <w:tblLayout w:type="fixed"/>
              <w:tblCellMar>
                <w:top w:w="58" w:type="dxa"/>
                <w:bottom w:w="58" w:type="dxa"/>
              </w:tblCellMar>
              <w:tblLook w:val="04A0" w:firstRow="1" w:lastRow="0" w:firstColumn="1" w:lastColumn="0" w:noHBand="0" w:noVBand="1"/>
            </w:tblPr>
            <w:tblGrid>
              <w:gridCol w:w="3055"/>
              <w:gridCol w:w="1098"/>
              <w:gridCol w:w="1079"/>
              <w:gridCol w:w="1968"/>
            </w:tblGrid>
            <w:tr w:rsidRPr="00536F0C" w:rsidR="0021016E" w:rsidTr="002037B3" w14:paraId="68DC3094" w14:textId="77777777">
              <w:tc>
                <w:tcPr>
                  <w:tcW w:w="720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36F0C" w:rsidR="0021016E" w:rsidP="005E66BE" w:rsidRDefault="0021016E" w14:paraId="76B3C011" w14:textId="77777777">
                  <w:pPr>
                    <w:keepNext/>
                    <w:jc w:val="center"/>
                    <w:rPr>
                      <w:b/>
                      <w:bCs/>
                      <w:color w:val="000000"/>
                    </w:rPr>
                  </w:pPr>
                  <w:r w:rsidRPr="00536F0C">
                    <w:rPr>
                      <w:b/>
                      <w:color w:val="000000" w:themeColor="text1"/>
                    </w:rPr>
                    <w:t>2022</w:t>
                  </w:r>
                </w:p>
              </w:tc>
            </w:tr>
            <w:tr w:rsidRPr="00536F0C" w:rsidR="00DC5810" w:rsidTr="002037B3" w14:paraId="550CE8B9" w14:textId="77777777">
              <w:tc>
                <w:tcPr>
                  <w:tcW w:w="3055" w:type="dxa"/>
                  <w:tcBorders>
                    <w:top w:val="single" w:color="auto" w:sz="4" w:space="0"/>
                    <w:left w:val="single" w:color="auto" w:sz="4" w:space="0"/>
                    <w:bottom w:val="single" w:color="auto" w:sz="4" w:space="0"/>
                    <w:right w:val="single" w:color="auto" w:sz="4" w:space="0"/>
                  </w:tcBorders>
                </w:tcPr>
                <w:p w:rsidRPr="00536F0C" w:rsidR="00DC5810" w:rsidP="008F5F5F" w:rsidRDefault="00DC5810" w14:paraId="6083AC99" w14:textId="27E64389">
                  <w:pPr>
                    <w:rPr>
                      <w:color w:val="000000"/>
                    </w:rPr>
                  </w:pPr>
                  <w:r w:rsidRPr="00536F0C">
                    <w:rPr>
                      <w:color w:val="000000"/>
                    </w:rPr>
                    <w:t>Melissa Kasnitz, CforAT</w:t>
                  </w:r>
                </w:p>
              </w:tc>
              <w:tc>
                <w:tcPr>
                  <w:tcW w:w="1098" w:type="dxa"/>
                  <w:tcBorders>
                    <w:top w:val="single" w:color="auto" w:sz="4" w:space="0"/>
                    <w:left w:val="single" w:color="auto" w:sz="4" w:space="0"/>
                    <w:bottom w:val="single" w:color="auto" w:sz="4" w:space="0"/>
                    <w:right w:val="single" w:color="auto" w:sz="4" w:space="0"/>
                  </w:tcBorders>
                </w:tcPr>
                <w:p w:rsidRPr="00536F0C" w:rsidR="00DC5810" w:rsidP="008F5F5F" w:rsidRDefault="00DC5810" w14:paraId="36814645" w14:textId="375433BB">
                  <w:pPr>
                    <w:rPr>
                      <w:color w:val="000000"/>
                    </w:rPr>
                  </w:pPr>
                  <w:r w:rsidRPr="00536F0C">
                    <w:rPr>
                      <w:color w:val="000000"/>
                    </w:rPr>
                    <w:t xml:space="preserve">5 years </w:t>
                  </w:r>
                </w:p>
              </w:tc>
              <w:tc>
                <w:tcPr>
                  <w:tcW w:w="1079" w:type="dxa"/>
                  <w:tcBorders>
                    <w:top w:val="single" w:color="auto" w:sz="4" w:space="0"/>
                    <w:left w:val="single" w:color="auto" w:sz="4" w:space="0"/>
                    <w:bottom w:val="single" w:color="auto" w:sz="4" w:space="0"/>
                    <w:right w:val="single" w:color="auto" w:sz="4" w:space="0"/>
                  </w:tcBorders>
                </w:tcPr>
                <w:p w:rsidRPr="00536F0C" w:rsidR="00DC5810" w:rsidP="008F5F5F" w:rsidRDefault="00DC5810" w14:paraId="02B7D46B" w14:textId="34514E59">
                  <w:pPr>
                    <w:rPr>
                      <w:color w:val="000000"/>
                    </w:rPr>
                  </w:pPr>
                  <w:r w:rsidRPr="00536F0C">
                    <w:rPr>
                      <w:color w:val="000000"/>
                    </w:rPr>
                    <w:t>$690</w:t>
                  </w:r>
                </w:p>
              </w:tc>
              <w:tc>
                <w:tcPr>
                  <w:tcW w:w="1968" w:type="dxa"/>
                  <w:tcBorders>
                    <w:top w:val="single" w:color="auto" w:sz="4" w:space="0"/>
                    <w:left w:val="single" w:color="auto" w:sz="4" w:space="0"/>
                    <w:bottom w:val="single" w:color="auto" w:sz="4" w:space="0"/>
                    <w:right w:val="single" w:color="auto" w:sz="4" w:space="0"/>
                  </w:tcBorders>
                </w:tcPr>
                <w:p w:rsidRPr="00536F0C" w:rsidR="00DC5810" w:rsidP="008F5F5F" w:rsidRDefault="00DC5810" w14:paraId="20AD93FB" w14:textId="77777777">
                  <w:pPr>
                    <w:rPr>
                      <w:color w:val="000000"/>
                    </w:rPr>
                  </w:pPr>
                  <w:r w:rsidRPr="00536F0C">
                    <w:rPr>
                      <w:color w:val="000000"/>
                    </w:rPr>
                    <w:t>Legal Director III</w:t>
                  </w:r>
                </w:p>
                <w:p w:rsidRPr="00536F0C" w:rsidR="00DC5810" w:rsidP="008F5F5F" w:rsidRDefault="00DC5810" w14:paraId="27006419" w14:textId="09DA29CA">
                  <w:pPr>
                    <w:rPr>
                      <w:color w:val="000000"/>
                    </w:rPr>
                  </w:pPr>
                  <w:r w:rsidRPr="00536F0C">
                    <w:rPr>
                      <w:color w:val="000000"/>
                    </w:rPr>
                    <w:t>D.23</w:t>
                  </w:r>
                  <w:r w:rsidR="00B52830">
                    <w:rPr>
                      <w:color w:val="000000"/>
                    </w:rPr>
                    <w:noBreakHyphen/>
                  </w:r>
                  <w:r w:rsidRPr="00536F0C">
                    <w:rPr>
                      <w:color w:val="000000"/>
                    </w:rPr>
                    <w:t>03</w:t>
                  </w:r>
                  <w:r w:rsidR="00B52830">
                    <w:rPr>
                      <w:color w:val="000000"/>
                    </w:rPr>
                    <w:noBreakHyphen/>
                  </w:r>
                  <w:r w:rsidRPr="00536F0C">
                    <w:rPr>
                      <w:color w:val="000000"/>
                    </w:rPr>
                    <w:t>030</w:t>
                  </w:r>
                </w:p>
              </w:tc>
            </w:tr>
            <w:tr w:rsidRPr="00536F0C" w:rsidR="00DC5810" w:rsidTr="002037B3" w14:paraId="5102C5E3" w14:textId="77777777">
              <w:tc>
                <w:tcPr>
                  <w:tcW w:w="3055" w:type="dxa"/>
                  <w:tcBorders>
                    <w:top w:val="single" w:color="auto" w:sz="4" w:space="0"/>
                    <w:left w:val="single" w:color="auto" w:sz="4" w:space="0"/>
                    <w:bottom w:val="single" w:color="auto" w:sz="4" w:space="0"/>
                    <w:right w:val="single" w:color="auto" w:sz="4" w:space="0"/>
                  </w:tcBorders>
                </w:tcPr>
                <w:p w:rsidRPr="00536F0C" w:rsidR="00DC5810" w:rsidP="008F5F5F" w:rsidRDefault="00DC5810" w14:paraId="73443F34" w14:textId="5213DF2F">
                  <w:pPr>
                    <w:rPr>
                      <w:color w:val="000000"/>
                    </w:rPr>
                  </w:pPr>
                  <w:r w:rsidRPr="00536F0C">
                    <w:rPr>
                      <w:color w:val="000000"/>
                    </w:rPr>
                    <w:t>James Birkelund, SBUA</w:t>
                  </w:r>
                </w:p>
              </w:tc>
              <w:tc>
                <w:tcPr>
                  <w:tcW w:w="1098" w:type="dxa"/>
                  <w:tcBorders>
                    <w:top w:val="single" w:color="auto" w:sz="4" w:space="0"/>
                    <w:left w:val="single" w:color="auto" w:sz="4" w:space="0"/>
                    <w:bottom w:val="single" w:color="auto" w:sz="4" w:space="0"/>
                    <w:right w:val="single" w:color="auto" w:sz="4" w:space="0"/>
                  </w:tcBorders>
                </w:tcPr>
                <w:p w:rsidRPr="00536F0C" w:rsidR="00DC5810" w:rsidP="008F5F5F" w:rsidRDefault="00DC5810" w14:paraId="1C39B55D" w14:textId="5F65F2B4">
                  <w:pPr>
                    <w:rPr>
                      <w:color w:val="000000"/>
                    </w:rPr>
                  </w:pPr>
                  <w:r w:rsidRPr="00536F0C">
                    <w:rPr>
                      <w:color w:val="000000"/>
                    </w:rPr>
                    <w:t xml:space="preserve">9 years </w:t>
                  </w:r>
                </w:p>
              </w:tc>
              <w:tc>
                <w:tcPr>
                  <w:tcW w:w="1079" w:type="dxa"/>
                  <w:tcBorders>
                    <w:top w:val="single" w:color="auto" w:sz="4" w:space="0"/>
                    <w:left w:val="single" w:color="auto" w:sz="4" w:space="0"/>
                    <w:bottom w:val="single" w:color="auto" w:sz="4" w:space="0"/>
                    <w:right w:val="single" w:color="auto" w:sz="4" w:space="0"/>
                  </w:tcBorders>
                </w:tcPr>
                <w:p w:rsidRPr="00536F0C" w:rsidR="00DC5810" w:rsidP="004C7AA5" w:rsidRDefault="00DC5810" w14:paraId="6CEF73D8" w14:textId="19F5D129">
                  <w:pPr>
                    <w:rPr>
                      <w:color w:val="000000"/>
                    </w:rPr>
                  </w:pPr>
                  <w:r w:rsidRPr="00536F0C">
                    <w:rPr>
                      <w:color w:val="000000"/>
                    </w:rPr>
                    <w:t>$705</w:t>
                  </w:r>
                </w:p>
              </w:tc>
              <w:tc>
                <w:tcPr>
                  <w:tcW w:w="1968" w:type="dxa"/>
                  <w:tcBorders>
                    <w:top w:val="single" w:color="auto" w:sz="4" w:space="0"/>
                    <w:left w:val="single" w:color="auto" w:sz="4" w:space="0"/>
                    <w:bottom w:val="single" w:color="auto" w:sz="4" w:space="0"/>
                    <w:right w:val="single" w:color="auto" w:sz="4" w:space="0"/>
                  </w:tcBorders>
                </w:tcPr>
                <w:p w:rsidRPr="00536F0C" w:rsidR="00DC5810" w:rsidP="008F5F5F" w:rsidRDefault="00DC5810" w14:paraId="4924B05E" w14:textId="77777777">
                  <w:pPr>
                    <w:rPr>
                      <w:color w:val="000000"/>
                    </w:rPr>
                  </w:pPr>
                  <w:r w:rsidRPr="00536F0C">
                    <w:rPr>
                      <w:color w:val="000000"/>
                    </w:rPr>
                    <w:t>Legal Director III</w:t>
                  </w:r>
                </w:p>
                <w:p w:rsidRPr="00536F0C" w:rsidR="00DC5810" w:rsidP="008F5F5F" w:rsidRDefault="00DC5810" w14:paraId="393C151D" w14:textId="1FF19E3F">
                  <w:pPr>
                    <w:rPr>
                      <w:color w:val="000000"/>
                    </w:rPr>
                  </w:pPr>
                  <w:r w:rsidRPr="00536F0C">
                    <w:rPr>
                      <w:color w:val="000000"/>
                    </w:rPr>
                    <w:t>D.23</w:t>
                  </w:r>
                  <w:r w:rsidR="00B52830">
                    <w:rPr>
                      <w:color w:val="000000"/>
                    </w:rPr>
                    <w:noBreakHyphen/>
                  </w:r>
                  <w:r w:rsidRPr="00536F0C">
                    <w:rPr>
                      <w:color w:val="000000"/>
                    </w:rPr>
                    <w:t>02</w:t>
                  </w:r>
                  <w:r w:rsidR="00B52830">
                    <w:rPr>
                      <w:color w:val="000000"/>
                    </w:rPr>
                    <w:noBreakHyphen/>
                  </w:r>
                  <w:r w:rsidRPr="00536F0C">
                    <w:rPr>
                      <w:color w:val="000000"/>
                    </w:rPr>
                    <w:t>016</w:t>
                  </w:r>
                </w:p>
              </w:tc>
            </w:tr>
            <w:tr w:rsidRPr="00536F0C" w:rsidR="005441ED" w:rsidTr="002037B3" w14:paraId="703E2970" w14:textId="77777777">
              <w:tc>
                <w:tcPr>
                  <w:tcW w:w="3055" w:type="dxa"/>
                  <w:tcBorders>
                    <w:top w:val="single" w:color="auto" w:sz="4" w:space="0"/>
                    <w:left w:val="single" w:color="auto" w:sz="4" w:space="0"/>
                    <w:bottom w:val="single" w:color="auto" w:sz="4" w:space="0"/>
                    <w:right w:val="single" w:color="auto" w:sz="4" w:space="0"/>
                  </w:tcBorders>
                </w:tcPr>
                <w:p w:rsidRPr="00536F0C" w:rsidR="005441ED" w:rsidP="008F5F5F" w:rsidRDefault="005441ED" w14:paraId="6891A44B" w14:textId="68DD8E1D">
                  <w:pPr>
                    <w:rPr>
                      <w:color w:val="000000"/>
                    </w:rPr>
                  </w:pPr>
                  <w:r w:rsidRPr="00536F0C">
                    <w:rPr>
                      <w:color w:val="000000"/>
                    </w:rPr>
                    <w:t>Malinda Dickenson, PCF</w:t>
                  </w:r>
                </w:p>
              </w:tc>
              <w:tc>
                <w:tcPr>
                  <w:tcW w:w="1098" w:type="dxa"/>
                  <w:tcBorders>
                    <w:top w:val="single" w:color="auto" w:sz="4" w:space="0"/>
                    <w:left w:val="single" w:color="auto" w:sz="4" w:space="0"/>
                    <w:bottom w:val="single" w:color="auto" w:sz="4" w:space="0"/>
                    <w:right w:val="single" w:color="auto" w:sz="4" w:space="0"/>
                  </w:tcBorders>
                </w:tcPr>
                <w:p w:rsidRPr="00536F0C" w:rsidR="005441ED" w:rsidP="008F5F5F" w:rsidRDefault="005441ED" w14:paraId="3658B0EE" w14:textId="2DEBB4D0">
                  <w:pPr>
                    <w:rPr>
                      <w:color w:val="000000"/>
                    </w:rPr>
                  </w:pPr>
                  <w:r w:rsidRPr="00536F0C">
                    <w:rPr>
                      <w:color w:val="000000" w:themeColor="text1"/>
                    </w:rPr>
                    <w:t xml:space="preserve">12 years </w:t>
                  </w:r>
                </w:p>
              </w:tc>
              <w:tc>
                <w:tcPr>
                  <w:tcW w:w="1079" w:type="dxa"/>
                  <w:tcBorders>
                    <w:top w:val="single" w:color="auto" w:sz="4" w:space="0"/>
                    <w:left w:val="single" w:color="auto" w:sz="4" w:space="0"/>
                    <w:bottom w:val="single" w:color="auto" w:sz="4" w:space="0"/>
                    <w:right w:val="single" w:color="auto" w:sz="4" w:space="0"/>
                  </w:tcBorders>
                </w:tcPr>
                <w:p w:rsidRPr="00536F0C" w:rsidR="005441ED" w:rsidP="008F5F5F" w:rsidRDefault="61F4C4B4" w14:paraId="03887295" w14:textId="66695923">
                  <w:pPr>
                    <w:spacing w:line="259" w:lineRule="auto"/>
                    <w:rPr>
                      <w:color w:val="000000" w:themeColor="text1"/>
                    </w:rPr>
                  </w:pPr>
                  <w:r w:rsidRPr="00536F0C">
                    <w:rPr>
                      <w:color w:val="000000" w:themeColor="text1"/>
                    </w:rPr>
                    <w:t>$</w:t>
                  </w:r>
                  <w:r w:rsidRPr="00536F0C" w:rsidR="6697ED42">
                    <w:rPr>
                      <w:color w:val="000000" w:themeColor="text1"/>
                    </w:rPr>
                    <w:t>705</w:t>
                  </w:r>
                </w:p>
              </w:tc>
              <w:tc>
                <w:tcPr>
                  <w:tcW w:w="1968" w:type="dxa"/>
                  <w:tcBorders>
                    <w:top w:val="single" w:color="auto" w:sz="4" w:space="0"/>
                    <w:left w:val="single" w:color="auto" w:sz="4" w:space="0"/>
                    <w:bottom w:val="single" w:color="auto" w:sz="4" w:space="0"/>
                    <w:right w:val="single" w:color="auto" w:sz="4" w:space="0"/>
                  </w:tcBorders>
                </w:tcPr>
                <w:p w:rsidRPr="00536F0C" w:rsidR="005441ED" w:rsidP="008F5F5F" w:rsidRDefault="005441ED" w14:paraId="6DB15F29" w14:textId="77777777">
                  <w:pPr>
                    <w:rPr>
                      <w:color w:val="000000"/>
                    </w:rPr>
                  </w:pPr>
                  <w:r w:rsidRPr="00536F0C">
                    <w:rPr>
                      <w:color w:val="000000"/>
                    </w:rPr>
                    <w:t>Legal Director IV</w:t>
                  </w:r>
                </w:p>
                <w:p w:rsidRPr="00536F0C" w:rsidR="005441ED" w:rsidP="008F5F5F" w:rsidRDefault="00DC5810" w14:paraId="3932E313" w14:textId="27057B82">
                  <w:pPr>
                    <w:rPr>
                      <w:color w:val="000000"/>
                    </w:rPr>
                  </w:pPr>
                  <w:r w:rsidRPr="00536F0C">
                    <w:rPr>
                      <w:color w:val="000000"/>
                    </w:rPr>
                    <w:t>Requested Rate</w:t>
                  </w:r>
                </w:p>
              </w:tc>
            </w:tr>
            <w:tr w:rsidRPr="00536F0C" w:rsidR="005441ED" w:rsidTr="002037B3" w14:paraId="59473EA7" w14:textId="77777777">
              <w:tc>
                <w:tcPr>
                  <w:tcW w:w="3055" w:type="dxa"/>
                  <w:tcBorders>
                    <w:top w:val="single" w:color="auto" w:sz="4" w:space="0"/>
                    <w:left w:val="single" w:color="auto" w:sz="4" w:space="0"/>
                    <w:bottom w:val="single" w:color="auto" w:sz="4" w:space="0"/>
                    <w:right w:val="single" w:color="auto" w:sz="4" w:space="0"/>
                  </w:tcBorders>
                </w:tcPr>
                <w:p w:rsidRPr="00536F0C" w:rsidR="005441ED" w:rsidP="008F5F5F" w:rsidRDefault="005441ED" w14:paraId="7D1CF1A3" w14:textId="6591AF74">
                  <w:pPr>
                    <w:rPr>
                      <w:color w:val="000000"/>
                    </w:rPr>
                  </w:pPr>
                  <w:r w:rsidRPr="00536F0C">
                    <w:rPr>
                      <w:color w:val="000000"/>
                    </w:rPr>
                    <w:t>Autumn Elliott, Disability Rights CA</w:t>
                  </w:r>
                </w:p>
              </w:tc>
              <w:tc>
                <w:tcPr>
                  <w:tcW w:w="1098" w:type="dxa"/>
                  <w:tcBorders>
                    <w:top w:val="single" w:color="auto" w:sz="4" w:space="0"/>
                    <w:left w:val="single" w:color="auto" w:sz="4" w:space="0"/>
                    <w:bottom w:val="single" w:color="auto" w:sz="4" w:space="0"/>
                    <w:right w:val="single" w:color="auto" w:sz="4" w:space="0"/>
                  </w:tcBorders>
                </w:tcPr>
                <w:p w:rsidRPr="00536F0C" w:rsidR="005441ED" w:rsidP="008F5F5F" w:rsidRDefault="005441ED" w14:paraId="5A6EFB3D" w14:textId="0665DD0D">
                  <w:pPr>
                    <w:rPr>
                      <w:color w:val="000000"/>
                    </w:rPr>
                  </w:pPr>
                  <w:r w:rsidRPr="00536F0C">
                    <w:rPr>
                      <w:color w:val="000000"/>
                    </w:rPr>
                    <w:t>14 years</w:t>
                  </w:r>
                </w:p>
              </w:tc>
              <w:tc>
                <w:tcPr>
                  <w:tcW w:w="1079" w:type="dxa"/>
                  <w:tcBorders>
                    <w:top w:val="single" w:color="auto" w:sz="4" w:space="0"/>
                    <w:left w:val="single" w:color="auto" w:sz="4" w:space="0"/>
                    <w:bottom w:val="single" w:color="auto" w:sz="4" w:space="0"/>
                    <w:right w:val="single" w:color="auto" w:sz="4" w:space="0"/>
                  </w:tcBorders>
                </w:tcPr>
                <w:p w:rsidRPr="00536F0C" w:rsidR="005441ED" w:rsidP="008F5F5F" w:rsidRDefault="005441ED" w14:paraId="6EA94B45" w14:textId="77777777">
                  <w:pPr>
                    <w:rPr>
                      <w:color w:val="000000"/>
                    </w:rPr>
                  </w:pPr>
                  <w:r w:rsidRPr="00536F0C">
                    <w:rPr>
                      <w:color w:val="000000"/>
                    </w:rPr>
                    <w:t>$725</w:t>
                  </w:r>
                </w:p>
              </w:tc>
              <w:tc>
                <w:tcPr>
                  <w:tcW w:w="1968" w:type="dxa"/>
                  <w:tcBorders>
                    <w:top w:val="single" w:color="auto" w:sz="4" w:space="0"/>
                    <w:left w:val="single" w:color="auto" w:sz="4" w:space="0"/>
                    <w:bottom w:val="single" w:color="auto" w:sz="4" w:space="0"/>
                    <w:right w:val="single" w:color="auto" w:sz="4" w:space="0"/>
                  </w:tcBorders>
                </w:tcPr>
                <w:p w:rsidRPr="00536F0C" w:rsidR="005441ED" w:rsidP="008F5F5F" w:rsidRDefault="005441ED" w14:paraId="250F2283" w14:textId="77777777">
                  <w:pPr>
                    <w:rPr>
                      <w:color w:val="000000"/>
                    </w:rPr>
                  </w:pPr>
                  <w:r w:rsidRPr="00536F0C">
                    <w:rPr>
                      <w:color w:val="000000"/>
                    </w:rPr>
                    <w:t>Legal Director IV</w:t>
                  </w:r>
                </w:p>
                <w:p w:rsidRPr="00536F0C" w:rsidR="005441ED" w:rsidP="008F5F5F" w:rsidRDefault="005441ED" w14:paraId="7BF0A06C" w14:textId="0D6C1F88">
                  <w:pPr>
                    <w:rPr>
                      <w:color w:val="000000"/>
                    </w:rPr>
                  </w:pPr>
                  <w:r w:rsidRPr="00536F0C">
                    <w:rPr>
                      <w:color w:val="000000"/>
                    </w:rPr>
                    <w:t>D.24</w:t>
                  </w:r>
                  <w:r w:rsidR="00B52830">
                    <w:rPr>
                      <w:color w:val="000000"/>
                    </w:rPr>
                    <w:noBreakHyphen/>
                  </w:r>
                  <w:r w:rsidRPr="00536F0C">
                    <w:rPr>
                      <w:color w:val="000000"/>
                    </w:rPr>
                    <w:t>03</w:t>
                  </w:r>
                  <w:r w:rsidR="00B52830">
                    <w:rPr>
                      <w:color w:val="000000"/>
                    </w:rPr>
                    <w:noBreakHyphen/>
                  </w:r>
                  <w:r w:rsidRPr="00536F0C">
                    <w:rPr>
                      <w:color w:val="000000"/>
                    </w:rPr>
                    <w:t>064</w:t>
                  </w:r>
                </w:p>
              </w:tc>
            </w:tr>
            <w:tr w:rsidRPr="00536F0C" w:rsidR="0021016E" w:rsidTr="002037B3" w14:paraId="0E79CF6C" w14:textId="77777777">
              <w:tc>
                <w:tcPr>
                  <w:tcW w:w="720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36F0C" w:rsidR="0021016E" w:rsidP="008F5F5F" w:rsidRDefault="0021016E" w14:paraId="3197252C" w14:textId="77777777">
                  <w:pPr>
                    <w:jc w:val="center"/>
                    <w:rPr>
                      <w:b/>
                      <w:bCs/>
                      <w:color w:val="000000"/>
                    </w:rPr>
                  </w:pPr>
                  <w:r w:rsidRPr="00536F0C">
                    <w:rPr>
                      <w:b/>
                      <w:bCs/>
                      <w:color w:val="000000"/>
                    </w:rPr>
                    <w:t>2023</w:t>
                  </w:r>
                </w:p>
              </w:tc>
            </w:tr>
            <w:tr w:rsidRPr="00536F0C" w:rsidR="00DC5810" w:rsidTr="002037B3" w14:paraId="435CF23C" w14:textId="77777777">
              <w:tc>
                <w:tcPr>
                  <w:tcW w:w="3055" w:type="dxa"/>
                  <w:tcBorders>
                    <w:top w:val="single" w:color="auto" w:sz="4" w:space="0"/>
                    <w:left w:val="single" w:color="auto" w:sz="4" w:space="0"/>
                    <w:bottom w:val="single" w:color="auto" w:sz="4" w:space="0"/>
                    <w:right w:val="single" w:color="auto" w:sz="4" w:space="0"/>
                  </w:tcBorders>
                </w:tcPr>
                <w:p w:rsidRPr="00536F0C" w:rsidR="00DC5810" w:rsidP="008F5F5F" w:rsidRDefault="00DC5810" w14:paraId="792D49DB" w14:textId="66B6B195">
                  <w:pPr>
                    <w:rPr>
                      <w:color w:val="000000"/>
                    </w:rPr>
                  </w:pPr>
                  <w:r w:rsidRPr="00536F0C">
                    <w:rPr>
                      <w:color w:val="000000"/>
                    </w:rPr>
                    <w:t>Melissa Kasnitz, CforAT</w:t>
                  </w:r>
                </w:p>
              </w:tc>
              <w:tc>
                <w:tcPr>
                  <w:tcW w:w="1098" w:type="dxa"/>
                  <w:tcBorders>
                    <w:top w:val="single" w:color="auto" w:sz="4" w:space="0"/>
                    <w:left w:val="single" w:color="auto" w:sz="4" w:space="0"/>
                    <w:bottom w:val="single" w:color="auto" w:sz="4" w:space="0"/>
                    <w:right w:val="single" w:color="auto" w:sz="4" w:space="0"/>
                  </w:tcBorders>
                </w:tcPr>
                <w:p w:rsidRPr="00536F0C" w:rsidR="00DC5810" w:rsidP="008F5F5F" w:rsidRDefault="00DC5810" w14:paraId="53453D35" w14:textId="09C7828A">
                  <w:pPr>
                    <w:rPr>
                      <w:color w:val="000000"/>
                    </w:rPr>
                  </w:pPr>
                  <w:r w:rsidRPr="00536F0C">
                    <w:rPr>
                      <w:color w:val="000000"/>
                    </w:rPr>
                    <w:t xml:space="preserve">6 years </w:t>
                  </w:r>
                </w:p>
              </w:tc>
              <w:tc>
                <w:tcPr>
                  <w:tcW w:w="1079" w:type="dxa"/>
                  <w:tcBorders>
                    <w:top w:val="single" w:color="auto" w:sz="4" w:space="0"/>
                    <w:left w:val="single" w:color="auto" w:sz="4" w:space="0"/>
                    <w:bottom w:val="single" w:color="auto" w:sz="4" w:space="0"/>
                    <w:right w:val="single" w:color="auto" w:sz="4" w:space="0"/>
                  </w:tcBorders>
                </w:tcPr>
                <w:p w:rsidRPr="00536F0C" w:rsidR="00DC5810" w:rsidP="004C7AA5" w:rsidRDefault="00DC5810" w14:paraId="08854126" w14:textId="0CDDF652">
                  <w:pPr>
                    <w:rPr>
                      <w:color w:val="000000"/>
                    </w:rPr>
                  </w:pPr>
                  <w:r w:rsidRPr="00536F0C">
                    <w:rPr>
                      <w:color w:val="000000"/>
                    </w:rPr>
                    <w:t>$715</w:t>
                  </w:r>
                </w:p>
              </w:tc>
              <w:tc>
                <w:tcPr>
                  <w:tcW w:w="1968" w:type="dxa"/>
                  <w:tcBorders>
                    <w:top w:val="single" w:color="auto" w:sz="4" w:space="0"/>
                    <w:left w:val="single" w:color="auto" w:sz="4" w:space="0"/>
                    <w:bottom w:val="single" w:color="auto" w:sz="4" w:space="0"/>
                    <w:right w:val="single" w:color="auto" w:sz="4" w:space="0"/>
                  </w:tcBorders>
                </w:tcPr>
                <w:p w:rsidR="004C7AA5" w:rsidP="008F5F5F" w:rsidRDefault="00DC5810" w14:paraId="0446B54A" w14:textId="77777777">
                  <w:pPr>
                    <w:rPr>
                      <w:color w:val="000000"/>
                    </w:rPr>
                  </w:pPr>
                  <w:r w:rsidRPr="00536F0C">
                    <w:rPr>
                      <w:color w:val="000000"/>
                    </w:rPr>
                    <w:t>Legal Director III</w:t>
                  </w:r>
                </w:p>
                <w:p w:rsidRPr="00536F0C" w:rsidR="00DC5810" w:rsidP="008F5F5F" w:rsidRDefault="00DC5810" w14:paraId="697B89A8" w14:textId="18313EF6">
                  <w:pPr>
                    <w:rPr>
                      <w:color w:val="000000"/>
                    </w:rPr>
                  </w:pPr>
                  <w:r w:rsidRPr="00536F0C">
                    <w:rPr>
                      <w:color w:val="000000"/>
                    </w:rPr>
                    <w:t>D.24</w:t>
                  </w:r>
                  <w:r w:rsidR="00B52830">
                    <w:rPr>
                      <w:color w:val="000000"/>
                    </w:rPr>
                    <w:noBreakHyphen/>
                  </w:r>
                  <w:r w:rsidRPr="00536F0C">
                    <w:rPr>
                      <w:color w:val="000000"/>
                    </w:rPr>
                    <w:t>06</w:t>
                  </w:r>
                  <w:r w:rsidR="00B52830">
                    <w:rPr>
                      <w:color w:val="000000"/>
                    </w:rPr>
                    <w:noBreakHyphen/>
                  </w:r>
                  <w:r w:rsidRPr="00536F0C">
                    <w:rPr>
                      <w:color w:val="000000"/>
                    </w:rPr>
                    <w:t>020</w:t>
                  </w:r>
                </w:p>
              </w:tc>
            </w:tr>
            <w:tr w:rsidRPr="00536F0C" w:rsidR="00DC5810" w:rsidTr="002037B3" w14:paraId="28087154" w14:textId="77777777">
              <w:tc>
                <w:tcPr>
                  <w:tcW w:w="3055" w:type="dxa"/>
                  <w:tcBorders>
                    <w:top w:val="single" w:color="auto" w:sz="4" w:space="0"/>
                    <w:left w:val="single" w:color="auto" w:sz="4" w:space="0"/>
                    <w:bottom w:val="single" w:color="auto" w:sz="4" w:space="0"/>
                    <w:right w:val="single" w:color="auto" w:sz="4" w:space="0"/>
                  </w:tcBorders>
                </w:tcPr>
                <w:p w:rsidRPr="00536F0C" w:rsidR="00DC5810" w:rsidP="008F5F5F" w:rsidRDefault="00DC5810" w14:paraId="327CEBDC" w14:textId="4E3CAF2A">
                  <w:pPr>
                    <w:rPr>
                      <w:color w:val="000000"/>
                    </w:rPr>
                  </w:pPr>
                  <w:r w:rsidRPr="00536F0C">
                    <w:rPr>
                      <w:color w:val="000000"/>
                    </w:rPr>
                    <w:t>James Birkelund, SBUA</w:t>
                  </w:r>
                </w:p>
              </w:tc>
              <w:tc>
                <w:tcPr>
                  <w:tcW w:w="1098" w:type="dxa"/>
                  <w:tcBorders>
                    <w:top w:val="single" w:color="auto" w:sz="4" w:space="0"/>
                    <w:left w:val="single" w:color="auto" w:sz="4" w:space="0"/>
                    <w:bottom w:val="single" w:color="auto" w:sz="4" w:space="0"/>
                    <w:right w:val="single" w:color="auto" w:sz="4" w:space="0"/>
                  </w:tcBorders>
                </w:tcPr>
                <w:p w:rsidRPr="00536F0C" w:rsidR="00DC5810" w:rsidP="004C7AA5" w:rsidRDefault="00DC5810" w14:paraId="7D7128AA" w14:textId="3DBD82DC">
                  <w:pPr>
                    <w:rPr>
                      <w:color w:val="000000"/>
                    </w:rPr>
                  </w:pPr>
                  <w:r w:rsidRPr="00536F0C">
                    <w:rPr>
                      <w:color w:val="000000"/>
                    </w:rPr>
                    <w:t>10 years</w:t>
                  </w:r>
                </w:p>
              </w:tc>
              <w:tc>
                <w:tcPr>
                  <w:tcW w:w="1079" w:type="dxa"/>
                  <w:tcBorders>
                    <w:top w:val="single" w:color="auto" w:sz="4" w:space="0"/>
                    <w:left w:val="single" w:color="auto" w:sz="4" w:space="0"/>
                    <w:bottom w:val="single" w:color="auto" w:sz="4" w:space="0"/>
                    <w:right w:val="single" w:color="auto" w:sz="4" w:space="0"/>
                  </w:tcBorders>
                </w:tcPr>
                <w:p w:rsidRPr="00536F0C" w:rsidR="00DC5810" w:rsidP="004C7AA5" w:rsidRDefault="00DC5810" w14:paraId="7932087A" w14:textId="3A3F5CEA">
                  <w:pPr>
                    <w:rPr>
                      <w:color w:val="000000"/>
                    </w:rPr>
                  </w:pPr>
                  <w:r w:rsidRPr="00536F0C">
                    <w:rPr>
                      <w:color w:val="000000"/>
                    </w:rPr>
                    <w:t>$770</w:t>
                  </w:r>
                </w:p>
              </w:tc>
              <w:tc>
                <w:tcPr>
                  <w:tcW w:w="1968" w:type="dxa"/>
                  <w:tcBorders>
                    <w:top w:val="single" w:color="auto" w:sz="4" w:space="0"/>
                    <w:left w:val="single" w:color="auto" w:sz="4" w:space="0"/>
                    <w:bottom w:val="single" w:color="auto" w:sz="4" w:space="0"/>
                    <w:right w:val="single" w:color="auto" w:sz="4" w:space="0"/>
                  </w:tcBorders>
                </w:tcPr>
                <w:p w:rsidRPr="00536F0C" w:rsidR="00DC5810" w:rsidP="008F5F5F" w:rsidRDefault="00DC5810" w14:paraId="509CE142" w14:textId="77777777">
                  <w:pPr>
                    <w:rPr>
                      <w:color w:val="000000"/>
                    </w:rPr>
                  </w:pPr>
                  <w:r w:rsidRPr="00536F0C">
                    <w:rPr>
                      <w:color w:val="000000"/>
                    </w:rPr>
                    <w:t>Legal Director IV</w:t>
                  </w:r>
                </w:p>
                <w:p w:rsidRPr="00536F0C" w:rsidR="00DC5810" w:rsidP="008F5F5F" w:rsidRDefault="00DC5810" w14:paraId="0F7C20F1" w14:textId="01069E90">
                  <w:pPr>
                    <w:rPr>
                      <w:color w:val="000000"/>
                    </w:rPr>
                  </w:pPr>
                  <w:r w:rsidRPr="00536F0C">
                    <w:rPr>
                      <w:color w:val="000000"/>
                    </w:rPr>
                    <w:t>D.24</w:t>
                  </w:r>
                  <w:r w:rsidR="00B52830">
                    <w:rPr>
                      <w:color w:val="000000"/>
                    </w:rPr>
                    <w:noBreakHyphen/>
                  </w:r>
                  <w:r w:rsidRPr="00536F0C">
                    <w:rPr>
                      <w:color w:val="000000"/>
                    </w:rPr>
                    <w:t>08</w:t>
                  </w:r>
                  <w:r w:rsidR="00B52830">
                    <w:rPr>
                      <w:color w:val="000000"/>
                    </w:rPr>
                    <w:noBreakHyphen/>
                  </w:r>
                  <w:r w:rsidRPr="00536F0C">
                    <w:rPr>
                      <w:color w:val="000000"/>
                    </w:rPr>
                    <w:t>56</w:t>
                  </w:r>
                </w:p>
              </w:tc>
            </w:tr>
            <w:tr w:rsidRPr="00536F0C" w:rsidR="005441ED" w:rsidTr="002037B3" w14:paraId="32BDBC29" w14:textId="77777777">
              <w:tc>
                <w:tcPr>
                  <w:tcW w:w="3055" w:type="dxa"/>
                  <w:tcBorders>
                    <w:top w:val="single" w:color="auto" w:sz="4" w:space="0"/>
                    <w:left w:val="single" w:color="auto" w:sz="4" w:space="0"/>
                    <w:bottom w:val="single" w:color="auto" w:sz="4" w:space="0"/>
                    <w:right w:val="single" w:color="auto" w:sz="4" w:space="0"/>
                  </w:tcBorders>
                </w:tcPr>
                <w:p w:rsidRPr="00536F0C" w:rsidR="005441ED" w:rsidP="008F5F5F" w:rsidRDefault="005441ED" w14:paraId="3F6909FC" w14:textId="5BD9463F">
                  <w:pPr>
                    <w:rPr>
                      <w:color w:val="000000"/>
                    </w:rPr>
                  </w:pPr>
                  <w:r w:rsidRPr="00536F0C">
                    <w:rPr>
                      <w:color w:val="000000"/>
                    </w:rPr>
                    <w:t>Malinda Dickenson, PCF</w:t>
                  </w:r>
                </w:p>
              </w:tc>
              <w:tc>
                <w:tcPr>
                  <w:tcW w:w="1098" w:type="dxa"/>
                  <w:tcBorders>
                    <w:top w:val="single" w:color="auto" w:sz="4" w:space="0"/>
                    <w:left w:val="single" w:color="auto" w:sz="4" w:space="0"/>
                    <w:bottom w:val="single" w:color="auto" w:sz="4" w:space="0"/>
                    <w:right w:val="single" w:color="auto" w:sz="4" w:space="0"/>
                  </w:tcBorders>
                </w:tcPr>
                <w:p w:rsidRPr="00536F0C" w:rsidR="005441ED" w:rsidP="008F5F5F" w:rsidRDefault="005441ED" w14:paraId="3BB0D6C6" w14:textId="2A520864">
                  <w:pPr>
                    <w:rPr>
                      <w:color w:val="000000"/>
                    </w:rPr>
                  </w:pPr>
                  <w:r w:rsidRPr="00536F0C">
                    <w:rPr>
                      <w:color w:val="000000" w:themeColor="text1"/>
                    </w:rPr>
                    <w:t>13 years</w:t>
                  </w:r>
                </w:p>
              </w:tc>
              <w:tc>
                <w:tcPr>
                  <w:tcW w:w="1079" w:type="dxa"/>
                  <w:tcBorders>
                    <w:top w:val="single" w:color="auto" w:sz="4" w:space="0"/>
                    <w:left w:val="single" w:color="auto" w:sz="4" w:space="0"/>
                    <w:bottom w:val="single" w:color="auto" w:sz="4" w:space="0"/>
                    <w:right w:val="single" w:color="auto" w:sz="4" w:space="0"/>
                  </w:tcBorders>
                </w:tcPr>
                <w:p w:rsidRPr="00536F0C" w:rsidR="005441ED" w:rsidP="008F5F5F" w:rsidRDefault="06A5F761" w14:paraId="0A2C35B0" w14:textId="4AAE76EC">
                  <w:pPr>
                    <w:spacing w:line="259" w:lineRule="auto"/>
                    <w:rPr>
                      <w:color w:val="000000" w:themeColor="text1"/>
                    </w:rPr>
                  </w:pPr>
                  <w:r w:rsidRPr="00536F0C">
                    <w:rPr>
                      <w:color w:val="000000" w:themeColor="text1"/>
                    </w:rPr>
                    <w:t>$7</w:t>
                  </w:r>
                  <w:r w:rsidRPr="00536F0C" w:rsidR="0851080F">
                    <w:rPr>
                      <w:color w:val="000000" w:themeColor="text1"/>
                    </w:rPr>
                    <w:t>35</w:t>
                  </w:r>
                </w:p>
              </w:tc>
              <w:tc>
                <w:tcPr>
                  <w:tcW w:w="1968" w:type="dxa"/>
                  <w:tcBorders>
                    <w:top w:val="single" w:color="auto" w:sz="4" w:space="0"/>
                    <w:left w:val="single" w:color="auto" w:sz="4" w:space="0"/>
                    <w:bottom w:val="single" w:color="auto" w:sz="4" w:space="0"/>
                    <w:right w:val="single" w:color="auto" w:sz="4" w:space="0"/>
                  </w:tcBorders>
                </w:tcPr>
                <w:p w:rsidRPr="00536F0C" w:rsidR="005441ED" w:rsidP="008F5F5F" w:rsidRDefault="005441ED" w14:paraId="17579863" w14:textId="77777777">
                  <w:pPr>
                    <w:rPr>
                      <w:color w:val="000000"/>
                    </w:rPr>
                  </w:pPr>
                  <w:r w:rsidRPr="00536F0C">
                    <w:rPr>
                      <w:color w:val="000000"/>
                    </w:rPr>
                    <w:t>Legal Director IV</w:t>
                  </w:r>
                </w:p>
                <w:p w:rsidRPr="00536F0C" w:rsidR="005441ED" w:rsidP="008F5F5F" w:rsidRDefault="00DC5810" w14:paraId="49509054" w14:textId="45A852CA">
                  <w:pPr>
                    <w:rPr>
                      <w:color w:val="000000"/>
                    </w:rPr>
                  </w:pPr>
                  <w:r w:rsidRPr="00536F0C">
                    <w:rPr>
                      <w:color w:val="000000"/>
                    </w:rPr>
                    <w:t>Requested Rate</w:t>
                  </w:r>
                </w:p>
              </w:tc>
            </w:tr>
            <w:tr w:rsidRPr="00536F0C" w:rsidR="005441ED" w:rsidTr="002037B3" w14:paraId="01FE40FB" w14:textId="77777777">
              <w:tc>
                <w:tcPr>
                  <w:tcW w:w="3055" w:type="dxa"/>
                  <w:tcBorders>
                    <w:top w:val="single" w:color="auto" w:sz="4" w:space="0"/>
                    <w:left w:val="single" w:color="auto" w:sz="4" w:space="0"/>
                    <w:bottom w:val="single" w:color="auto" w:sz="4" w:space="0"/>
                    <w:right w:val="single" w:color="auto" w:sz="4" w:space="0"/>
                  </w:tcBorders>
                </w:tcPr>
                <w:p w:rsidRPr="00536F0C" w:rsidR="005441ED" w:rsidP="008F5F5F" w:rsidRDefault="005441ED" w14:paraId="6F519971" w14:textId="043580E2">
                  <w:pPr>
                    <w:rPr>
                      <w:color w:val="000000"/>
                    </w:rPr>
                  </w:pPr>
                  <w:r w:rsidRPr="00536F0C">
                    <w:rPr>
                      <w:color w:val="000000"/>
                    </w:rPr>
                    <w:t>Autumn Elliott, Disability Rights CA</w:t>
                  </w:r>
                </w:p>
              </w:tc>
              <w:tc>
                <w:tcPr>
                  <w:tcW w:w="1098" w:type="dxa"/>
                  <w:tcBorders>
                    <w:top w:val="single" w:color="auto" w:sz="4" w:space="0"/>
                    <w:left w:val="single" w:color="auto" w:sz="4" w:space="0"/>
                    <w:bottom w:val="single" w:color="auto" w:sz="4" w:space="0"/>
                    <w:right w:val="single" w:color="auto" w:sz="4" w:space="0"/>
                  </w:tcBorders>
                </w:tcPr>
                <w:p w:rsidRPr="00536F0C" w:rsidR="005441ED" w:rsidP="008F5F5F" w:rsidRDefault="005441ED" w14:paraId="28788A06" w14:textId="51B71FA5">
                  <w:pPr>
                    <w:rPr>
                      <w:color w:val="000000"/>
                    </w:rPr>
                  </w:pPr>
                  <w:r w:rsidRPr="00536F0C">
                    <w:rPr>
                      <w:color w:val="000000"/>
                    </w:rPr>
                    <w:t xml:space="preserve">15 years </w:t>
                  </w:r>
                </w:p>
              </w:tc>
              <w:tc>
                <w:tcPr>
                  <w:tcW w:w="1079" w:type="dxa"/>
                  <w:tcBorders>
                    <w:top w:val="single" w:color="auto" w:sz="4" w:space="0"/>
                    <w:left w:val="single" w:color="auto" w:sz="4" w:space="0"/>
                    <w:bottom w:val="single" w:color="auto" w:sz="4" w:space="0"/>
                    <w:right w:val="single" w:color="auto" w:sz="4" w:space="0"/>
                  </w:tcBorders>
                </w:tcPr>
                <w:p w:rsidRPr="00536F0C" w:rsidR="005441ED" w:rsidP="008F5F5F" w:rsidRDefault="005441ED" w14:paraId="3353D954" w14:textId="77777777">
                  <w:pPr>
                    <w:rPr>
                      <w:color w:val="000000"/>
                    </w:rPr>
                  </w:pPr>
                  <w:r w:rsidRPr="00536F0C">
                    <w:rPr>
                      <w:color w:val="000000"/>
                    </w:rPr>
                    <w:t>$755</w:t>
                  </w:r>
                </w:p>
              </w:tc>
              <w:tc>
                <w:tcPr>
                  <w:tcW w:w="1968" w:type="dxa"/>
                  <w:tcBorders>
                    <w:top w:val="single" w:color="auto" w:sz="4" w:space="0"/>
                    <w:left w:val="single" w:color="auto" w:sz="4" w:space="0"/>
                    <w:bottom w:val="single" w:color="auto" w:sz="4" w:space="0"/>
                    <w:right w:val="single" w:color="auto" w:sz="4" w:space="0"/>
                  </w:tcBorders>
                </w:tcPr>
                <w:p w:rsidRPr="00536F0C" w:rsidR="005441ED" w:rsidP="008F5F5F" w:rsidRDefault="005441ED" w14:paraId="36B62FFF" w14:textId="77777777">
                  <w:pPr>
                    <w:rPr>
                      <w:color w:val="000000"/>
                    </w:rPr>
                  </w:pPr>
                  <w:r w:rsidRPr="00536F0C">
                    <w:rPr>
                      <w:color w:val="000000"/>
                    </w:rPr>
                    <w:t>Legal Director IV</w:t>
                  </w:r>
                </w:p>
                <w:p w:rsidRPr="00536F0C" w:rsidR="005441ED" w:rsidP="008F5F5F" w:rsidRDefault="005441ED" w14:paraId="66EF362D" w14:textId="2055A654">
                  <w:pPr>
                    <w:rPr>
                      <w:color w:val="000000"/>
                    </w:rPr>
                  </w:pPr>
                  <w:r w:rsidRPr="00536F0C">
                    <w:rPr>
                      <w:color w:val="000000"/>
                    </w:rPr>
                    <w:t>D.24</w:t>
                  </w:r>
                  <w:r w:rsidR="00B52830">
                    <w:rPr>
                      <w:color w:val="000000"/>
                    </w:rPr>
                    <w:noBreakHyphen/>
                  </w:r>
                  <w:r w:rsidRPr="00536F0C">
                    <w:rPr>
                      <w:color w:val="000000"/>
                    </w:rPr>
                    <w:t>03</w:t>
                  </w:r>
                  <w:r w:rsidR="00B52830">
                    <w:rPr>
                      <w:color w:val="000000"/>
                    </w:rPr>
                    <w:noBreakHyphen/>
                  </w:r>
                  <w:r w:rsidRPr="00536F0C">
                    <w:rPr>
                      <w:color w:val="000000"/>
                    </w:rPr>
                    <w:t>064</w:t>
                  </w:r>
                </w:p>
              </w:tc>
            </w:tr>
            <w:tr w:rsidRPr="00536F0C" w:rsidR="00DC5810" w:rsidTr="002037B3" w14:paraId="06C689AB" w14:textId="77777777">
              <w:tc>
                <w:tcPr>
                  <w:tcW w:w="720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36F0C" w:rsidR="00DC5810" w:rsidP="008F5F5F" w:rsidRDefault="75F7BFD2" w14:paraId="2CA310C1" w14:textId="2939FF7B">
                  <w:pPr>
                    <w:spacing w:line="259" w:lineRule="auto"/>
                    <w:jc w:val="center"/>
                    <w:rPr>
                      <w:b/>
                      <w:color w:val="000000" w:themeColor="text1"/>
                    </w:rPr>
                  </w:pPr>
                  <w:r w:rsidRPr="00536F0C">
                    <w:rPr>
                      <w:b/>
                      <w:bCs/>
                      <w:color w:val="000000" w:themeColor="text1"/>
                    </w:rPr>
                    <w:t>2024</w:t>
                  </w:r>
                </w:p>
              </w:tc>
            </w:tr>
            <w:tr w:rsidRPr="00536F0C" w:rsidR="00DC5810" w:rsidTr="002037B3" w14:paraId="30D85E9E" w14:textId="77777777">
              <w:tc>
                <w:tcPr>
                  <w:tcW w:w="3055" w:type="dxa"/>
                  <w:tcBorders>
                    <w:top w:val="single" w:color="auto" w:sz="4" w:space="0"/>
                    <w:left w:val="single" w:color="auto" w:sz="4" w:space="0"/>
                    <w:bottom w:val="single" w:color="auto" w:sz="4" w:space="0"/>
                    <w:right w:val="single" w:color="auto" w:sz="4" w:space="0"/>
                  </w:tcBorders>
                </w:tcPr>
                <w:p w:rsidRPr="00536F0C" w:rsidR="0DDF4D1F" w:rsidP="008F5F5F" w:rsidRDefault="0DDF4D1F" w14:paraId="596A7F11" w14:textId="66B6B195">
                  <w:pPr>
                    <w:rPr>
                      <w:color w:val="000000" w:themeColor="text1"/>
                    </w:rPr>
                  </w:pPr>
                  <w:r w:rsidRPr="00536F0C">
                    <w:rPr>
                      <w:color w:val="000000" w:themeColor="text1"/>
                    </w:rPr>
                    <w:t>Melissa Kasnitz, CforAT</w:t>
                  </w:r>
                </w:p>
              </w:tc>
              <w:tc>
                <w:tcPr>
                  <w:tcW w:w="1098" w:type="dxa"/>
                  <w:tcBorders>
                    <w:top w:val="single" w:color="auto" w:sz="4" w:space="0"/>
                    <w:left w:val="single" w:color="auto" w:sz="4" w:space="0"/>
                    <w:bottom w:val="single" w:color="auto" w:sz="4" w:space="0"/>
                    <w:right w:val="single" w:color="auto" w:sz="4" w:space="0"/>
                  </w:tcBorders>
                </w:tcPr>
                <w:p w:rsidRPr="00536F0C" w:rsidR="00DC5810" w:rsidP="008F5F5F" w:rsidRDefault="76C2C18A" w14:paraId="0940ACB0" w14:textId="2ECBA565">
                  <w:pPr>
                    <w:rPr>
                      <w:color w:val="000000"/>
                    </w:rPr>
                  </w:pPr>
                  <w:r w:rsidRPr="00536F0C">
                    <w:rPr>
                      <w:color w:val="000000" w:themeColor="text1"/>
                    </w:rPr>
                    <w:t>7 years</w:t>
                  </w:r>
                </w:p>
              </w:tc>
              <w:tc>
                <w:tcPr>
                  <w:tcW w:w="1079" w:type="dxa"/>
                  <w:tcBorders>
                    <w:top w:val="single" w:color="auto" w:sz="4" w:space="0"/>
                    <w:left w:val="single" w:color="auto" w:sz="4" w:space="0"/>
                    <w:bottom w:val="single" w:color="auto" w:sz="4" w:space="0"/>
                    <w:right w:val="single" w:color="auto" w:sz="4" w:space="0"/>
                  </w:tcBorders>
                </w:tcPr>
                <w:p w:rsidRPr="00536F0C" w:rsidR="00DC5810" w:rsidP="008F5F5F" w:rsidRDefault="46E49BED" w14:paraId="112D927D" w14:textId="5A990999">
                  <w:pPr>
                    <w:rPr>
                      <w:color w:val="000000"/>
                    </w:rPr>
                  </w:pPr>
                  <w:r w:rsidRPr="00536F0C">
                    <w:rPr>
                      <w:color w:val="000000" w:themeColor="text1"/>
                    </w:rPr>
                    <w:t>$745</w:t>
                  </w:r>
                </w:p>
              </w:tc>
              <w:tc>
                <w:tcPr>
                  <w:tcW w:w="1968" w:type="dxa"/>
                  <w:tcBorders>
                    <w:top w:val="single" w:color="auto" w:sz="4" w:space="0"/>
                    <w:left w:val="single" w:color="auto" w:sz="4" w:space="0"/>
                    <w:bottom w:val="single" w:color="auto" w:sz="4" w:space="0"/>
                    <w:right w:val="single" w:color="auto" w:sz="4" w:space="0"/>
                  </w:tcBorders>
                </w:tcPr>
                <w:p w:rsidRPr="00536F0C" w:rsidR="00DC5810" w:rsidP="008F5F5F" w:rsidRDefault="5374A414" w14:paraId="4F1966F1" w14:textId="755FBBC0">
                  <w:pPr>
                    <w:rPr>
                      <w:color w:val="000000" w:themeColor="text1"/>
                    </w:rPr>
                  </w:pPr>
                  <w:r w:rsidRPr="00536F0C">
                    <w:rPr>
                      <w:color w:val="000000" w:themeColor="text1"/>
                    </w:rPr>
                    <w:t>Legal Director III</w:t>
                  </w:r>
                </w:p>
                <w:p w:rsidRPr="00536F0C" w:rsidR="00DC5810" w:rsidP="008F5F5F" w:rsidRDefault="45238570" w14:paraId="1C5981E1" w14:textId="466ACFF6">
                  <w:pPr>
                    <w:rPr>
                      <w:color w:val="000000"/>
                    </w:rPr>
                  </w:pPr>
                  <w:r w:rsidRPr="00536F0C">
                    <w:rPr>
                      <w:color w:val="000000" w:themeColor="text1"/>
                    </w:rPr>
                    <w:t>Escalated from 2023</w:t>
                  </w:r>
                </w:p>
              </w:tc>
            </w:tr>
            <w:tr w:rsidRPr="00536F0C" w:rsidR="00DC5810" w:rsidTr="002037B3" w14:paraId="721461E4" w14:textId="77777777">
              <w:tc>
                <w:tcPr>
                  <w:tcW w:w="3055" w:type="dxa"/>
                  <w:tcBorders>
                    <w:top w:val="single" w:color="auto" w:sz="4" w:space="0"/>
                    <w:left w:val="single" w:color="auto" w:sz="4" w:space="0"/>
                    <w:bottom w:val="single" w:color="auto" w:sz="4" w:space="0"/>
                    <w:right w:val="single" w:color="auto" w:sz="4" w:space="0"/>
                  </w:tcBorders>
                </w:tcPr>
                <w:p w:rsidRPr="00536F0C" w:rsidR="0DDF4D1F" w:rsidP="008F5F5F" w:rsidRDefault="0DDF4D1F" w14:paraId="554BE074" w14:textId="4E3CAF2A">
                  <w:pPr>
                    <w:rPr>
                      <w:color w:val="000000" w:themeColor="text1"/>
                    </w:rPr>
                  </w:pPr>
                  <w:r w:rsidRPr="00536F0C">
                    <w:rPr>
                      <w:color w:val="000000" w:themeColor="text1"/>
                    </w:rPr>
                    <w:t>James Birkelund, SBUA</w:t>
                  </w:r>
                </w:p>
              </w:tc>
              <w:tc>
                <w:tcPr>
                  <w:tcW w:w="1098" w:type="dxa"/>
                  <w:tcBorders>
                    <w:top w:val="single" w:color="auto" w:sz="4" w:space="0"/>
                    <w:left w:val="single" w:color="auto" w:sz="4" w:space="0"/>
                    <w:bottom w:val="single" w:color="auto" w:sz="4" w:space="0"/>
                    <w:right w:val="single" w:color="auto" w:sz="4" w:space="0"/>
                  </w:tcBorders>
                </w:tcPr>
                <w:p w:rsidRPr="00536F0C" w:rsidR="00DC5810" w:rsidP="008F5F5F" w:rsidRDefault="210271FB" w14:paraId="6F02C0C6" w14:textId="588519EB">
                  <w:pPr>
                    <w:rPr>
                      <w:color w:val="000000"/>
                    </w:rPr>
                  </w:pPr>
                  <w:r w:rsidRPr="00536F0C">
                    <w:rPr>
                      <w:color w:val="000000" w:themeColor="text1"/>
                    </w:rPr>
                    <w:t>11 years</w:t>
                  </w:r>
                </w:p>
              </w:tc>
              <w:tc>
                <w:tcPr>
                  <w:tcW w:w="1079" w:type="dxa"/>
                  <w:tcBorders>
                    <w:top w:val="single" w:color="auto" w:sz="4" w:space="0"/>
                    <w:left w:val="single" w:color="auto" w:sz="4" w:space="0"/>
                    <w:bottom w:val="single" w:color="auto" w:sz="4" w:space="0"/>
                    <w:right w:val="single" w:color="auto" w:sz="4" w:space="0"/>
                  </w:tcBorders>
                </w:tcPr>
                <w:p w:rsidRPr="00536F0C" w:rsidR="00DC5810" w:rsidP="008F5F5F" w:rsidRDefault="34D12EEA" w14:paraId="57AA5068" w14:textId="3A313AE8">
                  <w:pPr>
                    <w:rPr>
                      <w:color w:val="000000"/>
                    </w:rPr>
                  </w:pPr>
                  <w:r w:rsidRPr="00536F0C">
                    <w:rPr>
                      <w:color w:val="000000" w:themeColor="text1"/>
                    </w:rPr>
                    <w:t>$800</w:t>
                  </w:r>
                </w:p>
              </w:tc>
              <w:tc>
                <w:tcPr>
                  <w:tcW w:w="1968" w:type="dxa"/>
                  <w:tcBorders>
                    <w:top w:val="single" w:color="auto" w:sz="4" w:space="0"/>
                    <w:left w:val="single" w:color="auto" w:sz="4" w:space="0"/>
                    <w:bottom w:val="single" w:color="auto" w:sz="4" w:space="0"/>
                    <w:right w:val="single" w:color="auto" w:sz="4" w:space="0"/>
                  </w:tcBorders>
                </w:tcPr>
                <w:p w:rsidRPr="00536F0C" w:rsidR="00DC5810" w:rsidP="008F5F5F" w:rsidRDefault="0235995C" w14:paraId="67091C3C" w14:textId="56621761">
                  <w:pPr>
                    <w:rPr>
                      <w:color w:val="000000" w:themeColor="text1"/>
                      <w:lang w:val="es-MX"/>
                    </w:rPr>
                  </w:pPr>
                  <w:r w:rsidRPr="00536F0C">
                    <w:rPr>
                      <w:color w:val="000000" w:themeColor="text1"/>
                      <w:lang w:val="es-MX"/>
                    </w:rPr>
                    <w:t>Legal Director IV</w:t>
                  </w:r>
                </w:p>
                <w:p w:rsidRPr="00536F0C" w:rsidR="00DC5810" w:rsidP="008F5F5F" w:rsidRDefault="57F91D89" w14:paraId="3BDB95F3" w14:textId="5C28B706">
                  <w:pPr>
                    <w:rPr>
                      <w:color w:val="000000"/>
                      <w:lang w:val="es-MX"/>
                    </w:rPr>
                  </w:pPr>
                  <w:r w:rsidRPr="00536F0C">
                    <w:rPr>
                      <w:color w:val="000000" w:themeColor="text1"/>
                      <w:lang w:val="es-MX"/>
                    </w:rPr>
                    <w:t>D.24</w:t>
                  </w:r>
                  <w:r w:rsidR="00B52830">
                    <w:rPr>
                      <w:color w:val="000000" w:themeColor="text1"/>
                      <w:lang w:val="es-MX"/>
                    </w:rPr>
                    <w:noBreakHyphen/>
                  </w:r>
                  <w:r w:rsidRPr="00536F0C">
                    <w:rPr>
                      <w:color w:val="000000" w:themeColor="text1"/>
                      <w:lang w:val="es-MX"/>
                    </w:rPr>
                    <w:t>12</w:t>
                  </w:r>
                  <w:r w:rsidR="00B52830">
                    <w:rPr>
                      <w:color w:val="000000" w:themeColor="text1"/>
                      <w:lang w:val="es-MX"/>
                    </w:rPr>
                    <w:noBreakHyphen/>
                  </w:r>
                  <w:r w:rsidRPr="00536F0C" w:rsidR="003E738E">
                    <w:rPr>
                      <w:color w:val="000000" w:themeColor="text1"/>
                      <w:lang w:val="es-MX"/>
                    </w:rPr>
                    <w:t>069</w:t>
                  </w:r>
                </w:p>
              </w:tc>
            </w:tr>
            <w:tr w:rsidRPr="00536F0C" w:rsidR="00DC5810" w:rsidTr="002037B3" w14:paraId="63CA03A7" w14:textId="77777777">
              <w:tc>
                <w:tcPr>
                  <w:tcW w:w="3055" w:type="dxa"/>
                  <w:tcBorders>
                    <w:top w:val="single" w:color="auto" w:sz="4" w:space="0"/>
                    <w:left w:val="single" w:color="auto" w:sz="4" w:space="0"/>
                    <w:bottom w:val="single" w:color="auto" w:sz="4" w:space="0"/>
                    <w:right w:val="single" w:color="auto" w:sz="4" w:space="0"/>
                  </w:tcBorders>
                </w:tcPr>
                <w:p w:rsidRPr="00536F0C" w:rsidR="0DDF4D1F" w:rsidP="008F5F5F" w:rsidRDefault="0DDF4D1F" w14:paraId="7C1C4A26" w14:textId="5BD9463F">
                  <w:pPr>
                    <w:rPr>
                      <w:color w:val="000000" w:themeColor="text1"/>
                    </w:rPr>
                  </w:pPr>
                  <w:r w:rsidRPr="00536F0C">
                    <w:rPr>
                      <w:color w:val="000000" w:themeColor="text1"/>
                    </w:rPr>
                    <w:t>Malinda Dickenson, PCF</w:t>
                  </w:r>
                </w:p>
              </w:tc>
              <w:tc>
                <w:tcPr>
                  <w:tcW w:w="1098" w:type="dxa"/>
                  <w:tcBorders>
                    <w:top w:val="single" w:color="auto" w:sz="4" w:space="0"/>
                    <w:left w:val="single" w:color="auto" w:sz="4" w:space="0"/>
                    <w:bottom w:val="single" w:color="auto" w:sz="4" w:space="0"/>
                    <w:right w:val="single" w:color="auto" w:sz="4" w:space="0"/>
                  </w:tcBorders>
                </w:tcPr>
                <w:p w:rsidRPr="00536F0C" w:rsidR="00DC5810" w:rsidP="008F5F5F" w:rsidRDefault="19773F64" w14:paraId="38978677" w14:textId="369F47FB">
                  <w:pPr>
                    <w:rPr>
                      <w:color w:val="000000"/>
                    </w:rPr>
                  </w:pPr>
                  <w:r w:rsidRPr="00536F0C">
                    <w:rPr>
                      <w:color w:val="000000" w:themeColor="text1"/>
                    </w:rPr>
                    <w:t>14 years</w:t>
                  </w:r>
                </w:p>
              </w:tc>
              <w:tc>
                <w:tcPr>
                  <w:tcW w:w="1079" w:type="dxa"/>
                  <w:tcBorders>
                    <w:top w:val="single" w:color="auto" w:sz="4" w:space="0"/>
                    <w:left w:val="single" w:color="auto" w:sz="4" w:space="0"/>
                    <w:bottom w:val="single" w:color="auto" w:sz="4" w:space="0"/>
                    <w:right w:val="single" w:color="auto" w:sz="4" w:space="0"/>
                  </w:tcBorders>
                </w:tcPr>
                <w:p w:rsidRPr="00536F0C" w:rsidR="00DC5810" w:rsidP="008F5F5F" w:rsidRDefault="1207FCCF" w14:paraId="280E4E3C" w14:textId="460EF44D">
                  <w:pPr>
                    <w:rPr>
                      <w:color w:val="000000"/>
                    </w:rPr>
                  </w:pPr>
                  <w:r w:rsidRPr="00536F0C">
                    <w:rPr>
                      <w:color w:val="000000" w:themeColor="text1"/>
                    </w:rPr>
                    <w:t>$765</w:t>
                  </w:r>
                </w:p>
              </w:tc>
              <w:tc>
                <w:tcPr>
                  <w:tcW w:w="1968" w:type="dxa"/>
                  <w:tcBorders>
                    <w:top w:val="single" w:color="auto" w:sz="4" w:space="0"/>
                    <w:left w:val="single" w:color="auto" w:sz="4" w:space="0"/>
                    <w:bottom w:val="single" w:color="auto" w:sz="4" w:space="0"/>
                    <w:right w:val="single" w:color="auto" w:sz="4" w:space="0"/>
                  </w:tcBorders>
                </w:tcPr>
                <w:p w:rsidRPr="00536F0C" w:rsidR="00DC5810" w:rsidP="008F5F5F" w:rsidRDefault="3500E22A" w14:paraId="2424C274" w14:textId="308CAB94">
                  <w:pPr>
                    <w:rPr>
                      <w:color w:val="000000" w:themeColor="text1"/>
                    </w:rPr>
                  </w:pPr>
                  <w:r w:rsidRPr="00536F0C">
                    <w:rPr>
                      <w:color w:val="000000" w:themeColor="text1"/>
                    </w:rPr>
                    <w:t>Legal Director IV</w:t>
                  </w:r>
                </w:p>
                <w:p w:rsidRPr="00536F0C" w:rsidR="00DC5810" w:rsidP="008F5F5F" w:rsidRDefault="3563C0A7" w14:paraId="47DC26D1" w14:textId="7A029B00">
                  <w:pPr>
                    <w:rPr>
                      <w:color w:val="000000"/>
                    </w:rPr>
                  </w:pPr>
                  <w:r w:rsidRPr="00536F0C">
                    <w:rPr>
                      <w:color w:val="000000" w:themeColor="text1"/>
                    </w:rPr>
                    <w:lastRenderedPageBreak/>
                    <w:t>Requested Rate</w:t>
                  </w:r>
                </w:p>
              </w:tc>
            </w:tr>
            <w:tr w:rsidRPr="00536F0C" w:rsidR="00DC5810" w:rsidTr="002037B3" w14:paraId="1811D8BE" w14:textId="77777777">
              <w:tc>
                <w:tcPr>
                  <w:tcW w:w="3055" w:type="dxa"/>
                  <w:tcBorders>
                    <w:top w:val="single" w:color="auto" w:sz="4" w:space="0"/>
                    <w:left w:val="single" w:color="auto" w:sz="4" w:space="0"/>
                    <w:bottom w:val="single" w:color="auto" w:sz="4" w:space="0"/>
                    <w:right w:val="single" w:color="auto" w:sz="4" w:space="0"/>
                  </w:tcBorders>
                </w:tcPr>
                <w:p w:rsidRPr="00536F0C" w:rsidR="0DDF4D1F" w:rsidP="008F5F5F" w:rsidRDefault="0DDF4D1F" w14:paraId="07A79604" w14:textId="043580E2">
                  <w:pPr>
                    <w:rPr>
                      <w:color w:val="000000" w:themeColor="text1"/>
                    </w:rPr>
                  </w:pPr>
                  <w:r w:rsidRPr="00536F0C">
                    <w:rPr>
                      <w:color w:val="000000" w:themeColor="text1"/>
                    </w:rPr>
                    <w:lastRenderedPageBreak/>
                    <w:t>Autumn Elliott, Disability Rights CA</w:t>
                  </w:r>
                </w:p>
              </w:tc>
              <w:tc>
                <w:tcPr>
                  <w:tcW w:w="1098" w:type="dxa"/>
                  <w:tcBorders>
                    <w:top w:val="single" w:color="auto" w:sz="4" w:space="0"/>
                    <w:left w:val="single" w:color="auto" w:sz="4" w:space="0"/>
                    <w:bottom w:val="single" w:color="auto" w:sz="4" w:space="0"/>
                    <w:right w:val="single" w:color="auto" w:sz="4" w:space="0"/>
                  </w:tcBorders>
                </w:tcPr>
                <w:p w:rsidRPr="00536F0C" w:rsidR="00DC5810" w:rsidP="008F5F5F" w:rsidRDefault="7AAF10E0" w14:paraId="2D86D3BF" w14:textId="2C5A20D2">
                  <w:pPr>
                    <w:rPr>
                      <w:color w:val="000000"/>
                    </w:rPr>
                  </w:pPr>
                  <w:r w:rsidRPr="00536F0C">
                    <w:rPr>
                      <w:color w:val="000000" w:themeColor="text1"/>
                    </w:rPr>
                    <w:t>16 years</w:t>
                  </w:r>
                </w:p>
              </w:tc>
              <w:tc>
                <w:tcPr>
                  <w:tcW w:w="1079" w:type="dxa"/>
                  <w:tcBorders>
                    <w:top w:val="single" w:color="auto" w:sz="4" w:space="0"/>
                    <w:left w:val="single" w:color="auto" w:sz="4" w:space="0"/>
                    <w:bottom w:val="single" w:color="auto" w:sz="4" w:space="0"/>
                    <w:right w:val="single" w:color="auto" w:sz="4" w:space="0"/>
                  </w:tcBorders>
                </w:tcPr>
                <w:p w:rsidRPr="00536F0C" w:rsidR="00DC5810" w:rsidP="008F5F5F" w:rsidRDefault="6206EEF9" w14:paraId="2875FF1C" w14:textId="06EEB218">
                  <w:pPr>
                    <w:rPr>
                      <w:color w:val="000000"/>
                    </w:rPr>
                  </w:pPr>
                  <w:r w:rsidRPr="00536F0C">
                    <w:rPr>
                      <w:color w:val="000000" w:themeColor="text1"/>
                    </w:rPr>
                    <w:t>$795</w:t>
                  </w:r>
                </w:p>
              </w:tc>
              <w:tc>
                <w:tcPr>
                  <w:tcW w:w="1968" w:type="dxa"/>
                  <w:tcBorders>
                    <w:top w:val="single" w:color="auto" w:sz="4" w:space="0"/>
                    <w:left w:val="single" w:color="auto" w:sz="4" w:space="0"/>
                    <w:bottom w:val="single" w:color="auto" w:sz="4" w:space="0"/>
                    <w:right w:val="single" w:color="auto" w:sz="4" w:space="0"/>
                  </w:tcBorders>
                </w:tcPr>
                <w:p w:rsidR="004C7AA5" w:rsidP="008F5F5F" w:rsidRDefault="7AAF10E0" w14:paraId="550DD756" w14:textId="77777777">
                  <w:pPr>
                    <w:rPr>
                      <w:color w:val="000000" w:themeColor="text1"/>
                    </w:rPr>
                  </w:pPr>
                  <w:r w:rsidRPr="00536F0C">
                    <w:rPr>
                      <w:color w:val="000000" w:themeColor="text1"/>
                    </w:rPr>
                    <w:t>Legal Director V</w:t>
                  </w:r>
                </w:p>
                <w:p w:rsidRPr="00536F0C" w:rsidR="00DC5810" w:rsidP="008F5F5F" w:rsidRDefault="3B72CFE6" w14:paraId="51C89BE7" w14:textId="138449BF">
                  <w:pPr>
                    <w:rPr>
                      <w:color w:val="000000"/>
                    </w:rPr>
                  </w:pPr>
                  <w:r w:rsidRPr="00536F0C">
                    <w:rPr>
                      <w:color w:val="000000" w:themeColor="text1"/>
                    </w:rPr>
                    <w:t>Escalated from 2023</w:t>
                  </w:r>
                </w:p>
              </w:tc>
            </w:tr>
          </w:tbl>
          <w:p w:rsidRPr="00536F0C" w:rsidR="007A7BBE" w:rsidP="008F5F5F" w:rsidRDefault="007A7BBE" w14:paraId="0190322B" w14:textId="77777777">
            <w:pPr>
              <w:tabs>
                <w:tab w:val="left" w:pos="1260"/>
              </w:tabs>
              <w:rPr>
                <w:b/>
                <w:color w:val="000000"/>
              </w:rPr>
            </w:pPr>
          </w:p>
        </w:tc>
      </w:tr>
      <w:tr w:rsidRPr="00536F0C" w:rsidR="00957234" w:rsidTr="008E5A03" w14:paraId="311812B2" w14:textId="77777777">
        <w:tc>
          <w:tcPr>
            <w:tcW w:w="1795" w:type="dxa"/>
          </w:tcPr>
          <w:p w:rsidRPr="00536F0C" w:rsidR="00957234" w:rsidP="008F5F5F" w:rsidRDefault="00957234" w14:paraId="371C0829" w14:textId="07914DA1">
            <w:pPr>
              <w:rPr>
                <w:color w:val="000000" w:themeColor="text1"/>
              </w:rPr>
            </w:pPr>
            <w:r w:rsidRPr="00536F0C">
              <w:rPr>
                <w:color w:val="000000" w:themeColor="text1"/>
              </w:rPr>
              <w:lastRenderedPageBreak/>
              <w:t>Comment 2</w:t>
            </w:r>
          </w:p>
        </w:tc>
        <w:tc>
          <w:tcPr>
            <w:tcW w:w="7565" w:type="dxa"/>
          </w:tcPr>
          <w:p w:rsidRPr="00536F0C" w:rsidR="00512F09" w:rsidP="008F5F5F" w:rsidRDefault="00957234" w14:paraId="3586A556" w14:textId="6A1E9B2A">
            <w:pPr>
              <w:tabs>
                <w:tab w:val="left" w:pos="1260"/>
              </w:tabs>
              <w:rPr>
                <w:b/>
                <w:bCs/>
                <w:color w:val="000000" w:themeColor="text1"/>
              </w:rPr>
            </w:pPr>
            <w:r w:rsidRPr="00536F0C">
              <w:rPr>
                <w:b/>
                <w:bCs/>
                <w:color w:val="000000" w:themeColor="text1"/>
              </w:rPr>
              <w:t xml:space="preserve">Loretta Lynch </w:t>
            </w:r>
            <w:r w:rsidRPr="00536F0C" w:rsidR="001A6912">
              <w:rPr>
                <w:b/>
                <w:bCs/>
                <w:color w:val="000000" w:themeColor="text1"/>
              </w:rPr>
              <w:t xml:space="preserve">2023 Hourly Rate: </w:t>
            </w:r>
            <w:r w:rsidRPr="00536F0C" w:rsidR="00A11E20">
              <w:rPr>
                <w:b/>
                <w:bCs/>
                <w:color w:val="000000" w:themeColor="text1"/>
              </w:rPr>
              <w:t>$74</w:t>
            </w:r>
            <w:r w:rsidRPr="00536F0C" w:rsidR="008B7DC0">
              <w:rPr>
                <w:b/>
                <w:bCs/>
                <w:color w:val="000000" w:themeColor="text1"/>
              </w:rPr>
              <w:t>5</w:t>
            </w:r>
          </w:p>
          <w:p w:rsidRPr="00536F0C" w:rsidR="00512F09" w:rsidP="002037B3" w:rsidRDefault="00512F09" w14:paraId="4971E2D6" w14:textId="2839531A">
            <w:pPr>
              <w:tabs>
                <w:tab w:val="left" w:pos="1260"/>
              </w:tabs>
              <w:spacing w:after="240"/>
              <w:rPr>
                <w:b/>
                <w:bCs/>
                <w:color w:val="000000" w:themeColor="text1"/>
              </w:rPr>
            </w:pPr>
            <w:r w:rsidRPr="00536F0C">
              <w:rPr>
                <w:color w:val="000000" w:themeColor="text1"/>
              </w:rPr>
              <w:t>In D.24</w:t>
            </w:r>
            <w:r w:rsidR="00B52830">
              <w:rPr>
                <w:color w:val="000000" w:themeColor="text1"/>
              </w:rPr>
              <w:noBreakHyphen/>
            </w:r>
            <w:r w:rsidRPr="00536F0C">
              <w:rPr>
                <w:color w:val="000000" w:themeColor="text1"/>
              </w:rPr>
              <w:t>09</w:t>
            </w:r>
            <w:r w:rsidR="00B52830">
              <w:rPr>
                <w:color w:val="000000" w:themeColor="text1"/>
              </w:rPr>
              <w:noBreakHyphen/>
            </w:r>
            <w:r w:rsidRPr="00536F0C">
              <w:rPr>
                <w:color w:val="000000" w:themeColor="text1"/>
              </w:rPr>
              <w:t xml:space="preserve">048, the Commission adopted a rate of $715/hour for </w:t>
            </w:r>
            <w:r w:rsidR="004E6167">
              <w:rPr>
                <w:color w:val="000000" w:themeColor="text1"/>
              </w:rPr>
              <w:t>Ms. </w:t>
            </w:r>
            <w:r w:rsidRPr="00536F0C" w:rsidR="00701F13">
              <w:rPr>
                <w:color w:val="000000" w:themeColor="text1"/>
              </w:rPr>
              <w:t>Lynch</w:t>
            </w:r>
            <w:r w:rsidR="004E6167">
              <w:rPr>
                <w:color w:val="000000" w:themeColor="text1"/>
              </w:rPr>
              <w:t>’</w:t>
            </w:r>
            <w:r w:rsidRPr="00536F0C" w:rsidR="00701F13">
              <w:rPr>
                <w:color w:val="000000" w:themeColor="text1"/>
              </w:rPr>
              <w:t>s</w:t>
            </w:r>
            <w:r w:rsidRPr="00536F0C">
              <w:rPr>
                <w:color w:val="000000" w:themeColor="text1"/>
              </w:rPr>
              <w:t xml:space="preserve"> 202</w:t>
            </w:r>
            <w:r w:rsidRPr="00536F0C" w:rsidR="00D36DB8">
              <w:rPr>
                <w:color w:val="000000" w:themeColor="text1"/>
              </w:rPr>
              <w:t>2</w:t>
            </w:r>
            <w:r w:rsidRPr="00536F0C">
              <w:rPr>
                <w:color w:val="000000" w:themeColor="text1"/>
              </w:rPr>
              <w:t xml:space="preserve"> rate, recognizing h</w:t>
            </w:r>
            <w:r w:rsidRPr="00536F0C" w:rsidR="00701F13">
              <w:rPr>
                <w:color w:val="000000" w:themeColor="text1"/>
              </w:rPr>
              <w:t>er</w:t>
            </w:r>
            <w:r w:rsidRPr="00536F0C">
              <w:rPr>
                <w:color w:val="000000" w:themeColor="text1"/>
              </w:rPr>
              <w:t xml:space="preserve"> as a Level </w:t>
            </w:r>
            <w:r w:rsidRPr="00536F0C" w:rsidR="00701F13">
              <w:rPr>
                <w:color w:val="000000" w:themeColor="text1"/>
              </w:rPr>
              <w:t>V</w:t>
            </w:r>
            <w:r w:rsidRPr="00536F0C">
              <w:rPr>
                <w:color w:val="000000" w:themeColor="text1"/>
              </w:rPr>
              <w:t xml:space="preserve"> Attorney. Applying the Commission</w:t>
            </w:r>
            <w:r w:rsidR="004E6167">
              <w:rPr>
                <w:color w:val="000000" w:themeColor="text1"/>
              </w:rPr>
              <w:t>’</w:t>
            </w:r>
            <w:r w:rsidRPr="00536F0C">
              <w:rPr>
                <w:color w:val="000000" w:themeColor="text1"/>
              </w:rPr>
              <w:t>s approved escalation</w:t>
            </w:r>
            <w:r w:rsidRPr="00536F0C" w:rsidR="00A06BFA">
              <w:rPr>
                <w:color w:val="000000" w:themeColor="text1"/>
              </w:rPr>
              <w:t xml:space="preserve"> from ALJ</w:t>
            </w:r>
            <w:r w:rsidR="00B52830">
              <w:rPr>
                <w:color w:val="000000" w:themeColor="text1"/>
              </w:rPr>
              <w:noBreakHyphen/>
            </w:r>
            <w:r w:rsidRPr="00536F0C" w:rsidR="00A06BFA">
              <w:rPr>
                <w:color w:val="000000" w:themeColor="text1"/>
              </w:rPr>
              <w:t>393</w:t>
            </w:r>
            <w:r w:rsidRPr="00536F0C">
              <w:rPr>
                <w:color w:val="000000" w:themeColor="text1"/>
              </w:rPr>
              <w:t xml:space="preserve"> of 4.</w:t>
            </w:r>
            <w:r w:rsidRPr="00536F0C" w:rsidR="008B7DC0">
              <w:rPr>
                <w:color w:val="000000" w:themeColor="text1"/>
              </w:rPr>
              <w:t>46</w:t>
            </w:r>
            <w:r w:rsidRPr="00536F0C">
              <w:rPr>
                <w:color w:val="000000" w:themeColor="text1"/>
              </w:rPr>
              <w:t>% for 202</w:t>
            </w:r>
            <w:r w:rsidRPr="00536F0C" w:rsidR="008B7DC0">
              <w:rPr>
                <w:color w:val="000000" w:themeColor="text1"/>
              </w:rPr>
              <w:t>3</w:t>
            </w:r>
            <w:r w:rsidRPr="00536F0C">
              <w:rPr>
                <w:color w:val="000000" w:themeColor="text1"/>
              </w:rPr>
              <w:t xml:space="preserve"> equals $</w:t>
            </w:r>
            <w:r w:rsidRPr="00536F0C" w:rsidR="008B7DC0">
              <w:rPr>
                <w:color w:val="000000" w:themeColor="text1"/>
              </w:rPr>
              <w:t>745</w:t>
            </w:r>
            <w:r w:rsidRPr="00536F0C">
              <w:rPr>
                <w:color w:val="000000" w:themeColor="text1"/>
              </w:rPr>
              <w:t>/hour.</w:t>
            </w:r>
          </w:p>
        </w:tc>
      </w:tr>
      <w:tr w:rsidRPr="00536F0C" w:rsidR="0BC59037" w:rsidTr="008E5A03" w14:paraId="5696F44C" w14:textId="77777777">
        <w:tc>
          <w:tcPr>
            <w:tcW w:w="1795" w:type="dxa"/>
          </w:tcPr>
          <w:p w:rsidRPr="00536F0C" w:rsidR="4A3778E5" w:rsidP="008F5F5F" w:rsidRDefault="4A3778E5" w14:paraId="04475D6F" w14:textId="5CD37CE2">
            <w:pPr>
              <w:rPr>
                <w:color w:val="000000" w:themeColor="text1"/>
              </w:rPr>
            </w:pPr>
            <w:r w:rsidRPr="00536F0C">
              <w:rPr>
                <w:color w:val="000000" w:themeColor="text1"/>
              </w:rPr>
              <w:t xml:space="preserve">Comment </w:t>
            </w:r>
            <w:r w:rsidRPr="00536F0C" w:rsidR="008B7DC0">
              <w:rPr>
                <w:color w:val="000000" w:themeColor="text1"/>
              </w:rPr>
              <w:t>3</w:t>
            </w:r>
          </w:p>
        </w:tc>
        <w:tc>
          <w:tcPr>
            <w:tcW w:w="7565" w:type="dxa"/>
          </w:tcPr>
          <w:p w:rsidRPr="00536F0C" w:rsidR="1CCE52BE" w:rsidP="008F5F5F" w:rsidRDefault="404359DB" w14:paraId="1864564D" w14:textId="6C8013D7">
            <w:pPr>
              <w:tabs>
                <w:tab w:val="left" w:pos="1260"/>
              </w:tabs>
              <w:rPr>
                <w:b/>
                <w:bCs/>
                <w:color w:val="000000" w:themeColor="text1"/>
              </w:rPr>
            </w:pPr>
            <w:r w:rsidRPr="00536F0C">
              <w:rPr>
                <w:b/>
                <w:bCs/>
                <w:color w:val="000000" w:themeColor="text1"/>
              </w:rPr>
              <w:t>Jonathan Webster 2024 Hourly Rate: $260</w:t>
            </w:r>
            <w:r w:rsidRPr="00536F0C" w:rsidR="3E5F9386">
              <w:rPr>
                <w:b/>
                <w:bCs/>
                <w:color w:val="000000" w:themeColor="text1"/>
              </w:rPr>
              <w:t>/</w:t>
            </w:r>
            <w:r w:rsidRPr="00536F0C">
              <w:rPr>
                <w:b/>
                <w:bCs/>
                <w:color w:val="000000" w:themeColor="text1"/>
              </w:rPr>
              <w:t>hour</w:t>
            </w:r>
          </w:p>
          <w:p w:rsidRPr="00536F0C" w:rsidR="0BC59037" w:rsidP="002037B3" w:rsidRDefault="404359DB" w14:paraId="54B66FDF" w14:textId="214D98DA">
            <w:pPr>
              <w:tabs>
                <w:tab w:val="left" w:pos="1260"/>
              </w:tabs>
              <w:spacing w:after="240"/>
              <w:rPr>
                <w:b/>
                <w:bCs/>
              </w:rPr>
            </w:pPr>
            <w:r w:rsidRPr="00536F0C">
              <w:rPr>
                <w:color w:val="000000" w:themeColor="text1"/>
              </w:rPr>
              <w:t>In D.24</w:t>
            </w:r>
            <w:r w:rsidR="00B52830">
              <w:rPr>
                <w:color w:val="000000" w:themeColor="text1"/>
              </w:rPr>
              <w:noBreakHyphen/>
            </w:r>
            <w:r w:rsidRPr="00536F0C">
              <w:rPr>
                <w:color w:val="000000" w:themeColor="text1"/>
              </w:rPr>
              <w:t>12</w:t>
            </w:r>
            <w:r w:rsidR="00B52830">
              <w:rPr>
                <w:color w:val="000000" w:themeColor="text1"/>
              </w:rPr>
              <w:noBreakHyphen/>
            </w:r>
            <w:r w:rsidRPr="00536F0C" w:rsidR="00503C01">
              <w:rPr>
                <w:color w:val="000000" w:themeColor="text1"/>
              </w:rPr>
              <w:t>064</w:t>
            </w:r>
            <w:r w:rsidRPr="00536F0C">
              <w:rPr>
                <w:color w:val="000000" w:themeColor="text1"/>
              </w:rPr>
              <w:t xml:space="preserve">, the Commission adopted a rate of $250/hour for </w:t>
            </w:r>
            <w:r w:rsidR="004E6167">
              <w:rPr>
                <w:color w:val="000000" w:themeColor="text1"/>
              </w:rPr>
              <w:t>Mr. </w:t>
            </w:r>
            <w:r w:rsidRPr="00536F0C" w:rsidR="348C7303">
              <w:rPr>
                <w:color w:val="000000" w:themeColor="text1"/>
              </w:rPr>
              <w:t>Webster</w:t>
            </w:r>
            <w:r w:rsidR="004E6167">
              <w:rPr>
                <w:color w:val="000000" w:themeColor="text1"/>
              </w:rPr>
              <w:t>’</w:t>
            </w:r>
            <w:r w:rsidRPr="00536F0C" w:rsidR="348C7303">
              <w:rPr>
                <w:color w:val="000000" w:themeColor="text1"/>
              </w:rPr>
              <w:t>s</w:t>
            </w:r>
            <w:r w:rsidRPr="00536F0C">
              <w:rPr>
                <w:color w:val="000000" w:themeColor="text1"/>
              </w:rPr>
              <w:t xml:space="preserve"> 202</w:t>
            </w:r>
            <w:r w:rsidRPr="00536F0C" w:rsidR="50E44C9D">
              <w:rPr>
                <w:color w:val="000000" w:themeColor="text1"/>
              </w:rPr>
              <w:t>3</w:t>
            </w:r>
            <w:r w:rsidRPr="00536F0C">
              <w:rPr>
                <w:color w:val="000000" w:themeColor="text1"/>
              </w:rPr>
              <w:t xml:space="preserve"> rate, recognizing h</w:t>
            </w:r>
            <w:r w:rsidRPr="00536F0C" w:rsidR="48388FAC">
              <w:rPr>
                <w:color w:val="000000" w:themeColor="text1"/>
              </w:rPr>
              <w:t>im</w:t>
            </w:r>
            <w:r w:rsidRPr="00536F0C">
              <w:rPr>
                <w:color w:val="000000" w:themeColor="text1"/>
              </w:rPr>
              <w:t xml:space="preserve"> as a Level I Attorney who has been licensed by the California State Bar since December 5, 2023. </w:t>
            </w:r>
            <w:r w:rsidRPr="00536F0C" w:rsidR="299BB4E8">
              <w:rPr>
                <w:color w:val="000000" w:themeColor="text1"/>
              </w:rPr>
              <w:t>Applying the Commission</w:t>
            </w:r>
            <w:r w:rsidR="004E6167">
              <w:rPr>
                <w:color w:val="000000" w:themeColor="text1"/>
              </w:rPr>
              <w:t>’</w:t>
            </w:r>
            <w:r w:rsidRPr="00536F0C" w:rsidR="299BB4E8">
              <w:rPr>
                <w:color w:val="000000" w:themeColor="text1"/>
              </w:rPr>
              <w:t>s approved escalations of 4.07% for 2024 equals $260/hour.</w:t>
            </w:r>
          </w:p>
        </w:tc>
      </w:tr>
      <w:tr w:rsidRPr="00536F0C" w:rsidR="007A7BBE" w:rsidTr="008E5A03" w14:paraId="7CA33217" w14:textId="77777777">
        <w:tc>
          <w:tcPr>
            <w:tcW w:w="1795" w:type="dxa"/>
          </w:tcPr>
          <w:p w:rsidRPr="00536F0C" w:rsidR="007A7BBE" w:rsidP="008F5F5F" w:rsidRDefault="00C86057" w14:paraId="4279A83A" w14:textId="76445FAE">
            <w:pPr>
              <w:tabs>
                <w:tab w:val="left" w:pos="1260"/>
              </w:tabs>
              <w:rPr>
                <w:color w:val="000000"/>
              </w:rPr>
            </w:pPr>
            <w:r w:rsidRPr="00536F0C">
              <w:rPr>
                <w:color w:val="000000" w:themeColor="text1"/>
              </w:rPr>
              <w:t xml:space="preserve">Comment </w:t>
            </w:r>
            <w:r w:rsidRPr="00536F0C" w:rsidR="008B7DC0">
              <w:rPr>
                <w:color w:val="000000" w:themeColor="text1"/>
              </w:rPr>
              <w:t>4</w:t>
            </w:r>
          </w:p>
        </w:tc>
        <w:tc>
          <w:tcPr>
            <w:tcW w:w="7565" w:type="dxa"/>
          </w:tcPr>
          <w:p w:rsidRPr="00536F0C" w:rsidR="00990ED6" w:rsidP="008F5F5F" w:rsidRDefault="00990ED6" w14:paraId="5A011E36" w14:textId="63CDF3B4">
            <w:pPr>
              <w:tabs>
                <w:tab w:val="left" w:pos="1260"/>
              </w:tabs>
              <w:rPr>
                <w:b/>
                <w:bCs/>
              </w:rPr>
            </w:pPr>
            <w:r w:rsidRPr="00536F0C">
              <w:rPr>
                <w:b/>
                <w:bCs/>
              </w:rPr>
              <w:t xml:space="preserve">Mark Ellis </w:t>
            </w:r>
            <w:r w:rsidRPr="00536F0C" w:rsidR="003A1592">
              <w:rPr>
                <w:b/>
                <w:bCs/>
              </w:rPr>
              <w:t>basis for r</w:t>
            </w:r>
            <w:r w:rsidRPr="00536F0C">
              <w:rPr>
                <w:b/>
                <w:bCs/>
              </w:rPr>
              <w:t>ate</w:t>
            </w:r>
            <w:r w:rsidRPr="00536F0C" w:rsidR="003A1592">
              <w:rPr>
                <w:b/>
                <w:bCs/>
              </w:rPr>
              <w:t>s</w:t>
            </w:r>
            <w:r w:rsidRPr="00536F0C">
              <w:rPr>
                <w:b/>
                <w:bCs/>
              </w:rPr>
              <w:t xml:space="preserve">: $1,125/hour </w:t>
            </w:r>
            <w:r w:rsidRPr="00536F0C" w:rsidR="003A1592">
              <w:rPr>
                <w:b/>
                <w:bCs/>
              </w:rPr>
              <w:t>for 2024;</w:t>
            </w:r>
            <w:r w:rsidRPr="00536F0C" w:rsidR="004B11C4">
              <w:rPr>
                <w:b/>
                <w:bCs/>
              </w:rPr>
              <w:t xml:space="preserve"> </w:t>
            </w:r>
            <w:r w:rsidRPr="00536F0C">
              <w:rPr>
                <w:b/>
                <w:bCs/>
              </w:rPr>
              <w:t>$1,080/hour</w:t>
            </w:r>
            <w:r w:rsidRPr="00536F0C" w:rsidR="003A1592">
              <w:rPr>
                <w:b/>
                <w:bCs/>
              </w:rPr>
              <w:t xml:space="preserve"> for 2023.</w:t>
            </w:r>
          </w:p>
          <w:p w:rsidRPr="00536F0C" w:rsidR="00C157E2" w:rsidP="002037B3" w:rsidRDefault="00990ED6" w14:paraId="3ED34211" w14:textId="1B301864">
            <w:pPr>
              <w:tabs>
                <w:tab w:val="left" w:pos="1260"/>
              </w:tabs>
              <w:spacing w:after="240"/>
              <w:rPr>
                <w:bCs/>
              </w:rPr>
            </w:pPr>
            <w:r w:rsidRPr="00536F0C">
              <w:rPr>
                <w:bCs/>
              </w:rPr>
              <w:t>In D.24</w:t>
            </w:r>
            <w:r w:rsidR="00B52830">
              <w:rPr>
                <w:bCs/>
              </w:rPr>
              <w:noBreakHyphen/>
            </w:r>
            <w:r w:rsidRPr="00536F0C">
              <w:rPr>
                <w:bCs/>
              </w:rPr>
              <w:t>09</w:t>
            </w:r>
            <w:r w:rsidR="00B52830">
              <w:rPr>
                <w:bCs/>
              </w:rPr>
              <w:noBreakHyphen/>
            </w:r>
            <w:r w:rsidRPr="00536F0C">
              <w:rPr>
                <w:bCs/>
              </w:rPr>
              <w:t xml:space="preserve">048, the Commission adopted a rate of $1,035/hour for </w:t>
            </w:r>
            <w:r w:rsidR="004E6167">
              <w:rPr>
                <w:bCs/>
              </w:rPr>
              <w:t>Mr. </w:t>
            </w:r>
            <w:r w:rsidRPr="00536F0C">
              <w:rPr>
                <w:bCs/>
              </w:rPr>
              <w:t>Ellis</w:t>
            </w:r>
            <w:r w:rsidR="004E6167">
              <w:rPr>
                <w:bCs/>
              </w:rPr>
              <w:t>’</w:t>
            </w:r>
            <w:r w:rsidRPr="00536F0C" w:rsidR="00C157E2">
              <w:rPr>
                <w:bCs/>
              </w:rPr>
              <w:t xml:space="preserve">s </w:t>
            </w:r>
            <w:r w:rsidRPr="00536F0C">
              <w:rPr>
                <w:bCs/>
              </w:rPr>
              <w:t>2022</w:t>
            </w:r>
            <w:r w:rsidRPr="00536F0C" w:rsidR="00C157E2">
              <w:rPr>
                <w:bCs/>
              </w:rPr>
              <w:t xml:space="preserve"> rate</w:t>
            </w:r>
            <w:r w:rsidRPr="00536F0C">
              <w:rPr>
                <w:bCs/>
              </w:rPr>
              <w:t xml:space="preserve">, recognizing him as a Top Economic Executive V with over thirty years of experience in the energy industry, and fifteen years of experience as a utility finance executive at Sempra Energy. </w:t>
            </w:r>
          </w:p>
          <w:p w:rsidRPr="00536F0C" w:rsidR="007A7BBE" w:rsidP="002037B3" w:rsidRDefault="00C157E2" w14:paraId="503782D6" w14:textId="4BB3E4E9">
            <w:pPr>
              <w:tabs>
                <w:tab w:val="left" w:pos="1260"/>
              </w:tabs>
              <w:spacing w:after="240"/>
              <w:rPr>
                <w:bCs/>
                <w:color w:val="000000"/>
              </w:rPr>
            </w:pPr>
            <w:r w:rsidRPr="00536F0C">
              <w:rPr>
                <w:bCs/>
              </w:rPr>
              <w:t xml:space="preserve">To calculate </w:t>
            </w:r>
            <w:r w:rsidR="004E6167">
              <w:rPr>
                <w:bCs/>
              </w:rPr>
              <w:t>Mr. </w:t>
            </w:r>
            <w:r w:rsidRPr="00536F0C">
              <w:rPr>
                <w:bCs/>
              </w:rPr>
              <w:t>Ellis</w:t>
            </w:r>
            <w:r w:rsidR="004E6167">
              <w:rPr>
                <w:bCs/>
              </w:rPr>
              <w:t>’</w:t>
            </w:r>
            <w:r w:rsidRPr="00536F0C">
              <w:rPr>
                <w:bCs/>
              </w:rPr>
              <w:t xml:space="preserve">s 2024 and 2023 hourly rates, </w:t>
            </w:r>
            <w:r w:rsidRPr="00536F0C" w:rsidR="00990ED6">
              <w:rPr>
                <w:bCs/>
              </w:rPr>
              <w:t>PCF applied the annual escalation methodology adopted in Resolution ALJ</w:t>
            </w:r>
            <w:r w:rsidR="00B52830">
              <w:rPr>
                <w:bCs/>
              </w:rPr>
              <w:noBreakHyphen/>
            </w:r>
            <w:r w:rsidRPr="00536F0C" w:rsidR="00990ED6">
              <w:rPr>
                <w:bCs/>
              </w:rPr>
              <w:t>393 using the Commission</w:t>
            </w:r>
            <w:r w:rsidR="00B52830">
              <w:rPr>
                <w:bCs/>
              </w:rPr>
              <w:noBreakHyphen/>
            </w:r>
            <w:r w:rsidRPr="00536F0C" w:rsidR="00990ED6">
              <w:rPr>
                <w:bCs/>
              </w:rPr>
              <w:t>determined escalation rate. Applying the Commission</w:t>
            </w:r>
            <w:r w:rsidR="004E6167">
              <w:rPr>
                <w:bCs/>
              </w:rPr>
              <w:t>’</w:t>
            </w:r>
            <w:r w:rsidRPr="00536F0C" w:rsidR="00990ED6">
              <w:rPr>
                <w:bCs/>
              </w:rPr>
              <w:t>s approved escalations of 4.46% for 2023 and 4.07% for 2024 equals $1,080/hour and $1,125/hour.</w:t>
            </w:r>
            <w:r w:rsidRPr="00536F0C">
              <w:rPr>
                <w:bCs/>
              </w:rPr>
              <w:t xml:space="preserve"> </w:t>
            </w:r>
            <w:r w:rsidRPr="00536F0C" w:rsidR="0091DFB0">
              <w:t>In 2024, the median range for Top Economic Executive</w:t>
            </w:r>
            <w:r w:rsidRPr="00536F0C" w:rsidR="49D90278">
              <w:t xml:space="preserve"> V</w:t>
            </w:r>
            <w:r w:rsidRPr="00536F0C" w:rsidR="10556F54">
              <w:t>s</w:t>
            </w:r>
            <w:r w:rsidRPr="00536F0C" w:rsidR="0091DFB0">
              <w:t xml:space="preserve"> i</w:t>
            </w:r>
            <w:r w:rsidRPr="00536F0C" w:rsidR="00415781">
              <w:t>s</w:t>
            </w:r>
            <w:r w:rsidRPr="00536F0C" w:rsidR="0091DFB0">
              <w:t xml:space="preserve"> $1,101.90/hour and the high is $1,238.64</w:t>
            </w:r>
            <w:r w:rsidRPr="00536F0C" w:rsidR="72BEA2FC">
              <w:t>/hour</w:t>
            </w:r>
            <w:r w:rsidRPr="00536F0C" w:rsidR="0091DFB0">
              <w:t xml:space="preserve">. </w:t>
            </w:r>
            <w:r w:rsidRPr="00536F0C" w:rsidR="63461396">
              <w:t xml:space="preserve">In 2023, the median </w:t>
            </w:r>
            <w:r w:rsidRPr="00536F0C" w:rsidR="73687C4D">
              <w:t>for Top Economic</w:t>
            </w:r>
            <w:r w:rsidRPr="00536F0C" w:rsidR="30EDAC10">
              <w:t xml:space="preserve"> Vs is $1066.12/hour and the high is $1,202.86/hour.</w:t>
            </w:r>
          </w:p>
        </w:tc>
      </w:tr>
      <w:tr w:rsidRPr="00536F0C" w:rsidR="00C86057" w:rsidTr="008E5A03" w14:paraId="027E66AC" w14:textId="77777777">
        <w:tc>
          <w:tcPr>
            <w:tcW w:w="1795" w:type="dxa"/>
          </w:tcPr>
          <w:p w:rsidRPr="00536F0C" w:rsidR="00C86057" w:rsidP="008F5F5F" w:rsidRDefault="00C86057" w14:paraId="4D9ECA92" w14:textId="7BCFB3CE">
            <w:pPr>
              <w:tabs>
                <w:tab w:val="left" w:pos="1260"/>
              </w:tabs>
              <w:rPr>
                <w:color w:val="000000"/>
              </w:rPr>
            </w:pPr>
            <w:r w:rsidRPr="00536F0C">
              <w:rPr>
                <w:color w:val="000000" w:themeColor="text1"/>
              </w:rPr>
              <w:t xml:space="preserve">Comment </w:t>
            </w:r>
            <w:r w:rsidRPr="00536F0C" w:rsidR="008B7DC0">
              <w:rPr>
                <w:color w:val="000000" w:themeColor="text1"/>
              </w:rPr>
              <w:t>5</w:t>
            </w:r>
          </w:p>
        </w:tc>
        <w:tc>
          <w:tcPr>
            <w:tcW w:w="7565" w:type="dxa"/>
          </w:tcPr>
          <w:p w:rsidRPr="00536F0C" w:rsidR="00990ED6" w:rsidP="008F5F5F" w:rsidRDefault="00990ED6" w14:paraId="34500F8E" w14:textId="77777777">
            <w:pPr>
              <w:tabs>
                <w:tab w:val="left" w:pos="1260"/>
              </w:tabs>
              <w:rPr>
                <w:b/>
                <w:bCs/>
                <w:color w:val="000000"/>
              </w:rPr>
            </w:pPr>
            <w:r w:rsidRPr="00536F0C">
              <w:rPr>
                <w:b/>
                <w:bCs/>
                <w:color w:val="000000"/>
              </w:rPr>
              <w:t>Andrea White 2024 Hourly Rate: $265 hour</w:t>
            </w:r>
          </w:p>
          <w:p w:rsidRPr="00536F0C" w:rsidR="003A1592" w:rsidP="002037B3" w:rsidRDefault="00990ED6" w14:paraId="4B2879B4" w14:textId="4024C84F">
            <w:pPr>
              <w:tabs>
                <w:tab w:val="left" w:pos="1260"/>
              </w:tabs>
              <w:spacing w:after="240"/>
              <w:rPr>
                <w:bCs/>
                <w:color w:val="000000"/>
              </w:rPr>
            </w:pPr>
            <w:r w:rsidRPr="00536F0C">
              <w:rPr>
                <w:color w:val="000000" w:themeColor="text1"/>
              </w:rPr>
              <w:t>In D.24</w:t>
            </w:r>
            <w:r w:rsidR="00B52830">
              <w:rPr>
                <w:color w:val="000000" w:themeColor="text1"/>
              </w:rPr>
              <w:noBreakHyphen/>
            </w:r>
            <w:r w:rsidRPr="00536F0C">
              <w:rPr>
                <w:color w:val="000000" w:themeColor="text1"/>
              </w:rPr>
              <w:t>12</w:t>
            </w:r>
            <w:r w:rsidR="00B52830">
              <w:rPr>
                <w:color w:val="000000" w:themeColor="text1"/>
              </w:rPr>
              <w:noBreakHyphen/>
            </w:r>
            <w:r w:rsidRPr="00536F0C">
              <w:rPr>
                <w:color w:val="000000" w:themeColor="text1"/>
              </w:rPr>
              <w:t xml:space="preserve">021, the Commission </w:t>
            </w:r>
            <w:r w:rsidRPr="00536F0C" w:rsidR="00C157E2">
              <w:rPr>
                <w:color w:val="000000" w:themeColor="text1"/>
              </w:rPr>
              <w:t xml:space="preserve">adopted a rate of $250/hour for </w:t>
            </w:r>
            <w:r w:rsidR="004E6167">
              <w:rPr>
                <w:color w:val="000000" w:themeColor="text1"/>
              </w:rPr>
              <w:t>Ms. </w:t>
            </w:r>
            <w:r w:rsidRPr="00536F0C">
              <w:rPr>
                <w:color w:val="000000" w:themeColor="text1"/>
              </w:rPr>
              <w:t>White</w:t>
            </w:r>
            <w:r w:rsidR="004E6167">
              <w:rPr>
                <w:color w:val="000000" w:themeColor="text1"/>
              </w:rPr>
              <w:t>’</w:t>
            </w:r>
            <w:r w:rsidRPr="00536F0C" w:rsidR="00C157E2">
              <w:rPr>
                <w:color w:val="000000" w:themeColor="text1"/>
              </w:rPr>
              <w:t xml:space="preserve">s 2024 rate, recognizing her as a </w:t>
            </w:r>
            <w:r w:rsidRPr="00536F0C">
              <w:rPr>
                <w:color w:val="000000" w:themeColor="text1"/>
              </w:rPr>
              <w:t xml:space="preserve">Level I </w:t>
            </w:r>
            <w:r w:rsidRPr="00536F0C" w:rsidR="00C157E2">
              <w:rPr>
                <w:color w:val="000000" w:themeColor="text1"/>
              </w:rPr>
              <w:t>A</w:t>
            </w:r>
            <w:r w:rsidRPr="00536F0C">
              <w:rPr>
                <w:color w:val="000000" w:themeColor="text1"/>
              </w:rPr>
              <w:t>ttorney</w:t>
            </w:r>
            <w:r w:rsidRPr="00536F0C" w:rsidR="00C157E2">
              <w:rPr>
                <w:color w:val="000000" w:themeColor="text1"/>
              </w:rPr>
              <w:t xml:space="preserve"> who has been licensed by the California State Bar since December </w:t>
            </w:r>
            <w:r w:rsidRPr="00536F0C" w:rsidR="38A345DA">
              <w:rPr>
                <w:color w:val="000000" w:themeColor="text1"/>
              </w:rPr>
              <w:t>5</w:t>
            </w:r>
            <w:r w:rsidRPr="00536F0C" w:rsidR="00C157E2">
              <w:rPr>
                <w:color w:val="000000" w:themeColor="text1"/>
              </w:rPr>
              <w:t>, 2023</w:t>
            </w:r>
            <w:r w:rsidRPr="00536F0C">
              <w:rPr>
                <w:color w:val="000000" w:themeColor="text1"/>
              </w:rPr>
              <w:t xml:space="preserve">. </w:t>
            </w:r>
          </w:p>
          <w:p w:rsidRPr="00536F0C" w:rsidR="00C86057" w:rsidP="002037B3" w:rsidRDefault="00C157E2" w14:paraId="5FCE256B" w14:textId="5A15D40E">
            <w:pPr>
              <w:tabs>
                <w:tab w:val="left" w:pos="1260"/>
              </w:tabs>
              <w:spacing w:after="240"/>
              <w:rPr>
                <w:bCs/>
                <w:color w:val="000000"/>
              </w:rPr>
            </w:pPr>
            <w:r w:rsidRPr="00536F0C">
              <w:rPr>
                <w:b/>
                <w:bCs/>
                <w:u w:val="single"/>
              </w:rPr>
              <w:t>Request for Step Increase</w:t>
            </w:r>
            <w:r w:rsidRPr="00536F0C">
              <w:rPr>
                <w:b/>
                <w:bCs/>
              </w:rPr>
              <w:t xml:space="preserve">. </w:t>
            </w:r>
            <w:r w:rsidRPr="00536F0C" w:rsidR="00990ED6">
              <w:rPr>
                <w:bCs/>
                <w:color w:val="000000"/>
              </w:rPr>
              <w:t xml:space="preserve">PCF requests that </w:t>
            </w:r>
            <w:r w:rsidR="004E6167">
              <w:rPr>
                <w:bCs/>
                <w:color w:val="000000"/>
              </w:rPr>
              <w:t>Ms. </w:t>
            </w:r>
            <w:r w:rsidRPr="00536F0C" w:rsidR="00990ED6">
              <w:rPr>
                <w:bCs/>
                <w:color w:val="000000"/>
              </w:rPr>
              <w:t>White be awarded a step increase of 5%. Under Resolution ALJ</w:t>
            </w:r>
            <w:r w:rsidR="00B52830">
              <w:rPr>
                <w:bCs/>
                <w:color w:val="000000"/>
              </w:rPr>
              <w:noBreakHyphen/>
            </w:r>
            <w:r w:rsidRPr="00536F0C" w:rsidR="00990ED6">
              <w:rPr>
                <w:bCs/>
                <w:color w:val="000000"/>
              </w:rPr>
              <w:t xml:space="preserve">393, intervenors may request up to two 5% annual step increases within each labor role experience level. A </w:t>
            </w:r>
            <w:r w:rsidRPr="00536F0C" w:rsidR="00990ED6">
              <w:rPr>
                <w:bCs/>
                <w:color w:val="000000"/>
              </w:rPr>
              <w:lastRenderedPageBreak/>
              <w:t xml:space="preserve">step increase of 5% is $262.50/hour, which rounded to the nearest $5 increment, is $265/hour. </w:t>
            </w:r>
          </w:p>
        </w:tc>
      </w:tr>
    </w:tbl>
    <w:p w:rsidRPr="00536F0C" w:rsidR="00A92D0B" w:rsidP="008F5F5F" w:rsidRDefault="00A92D0B" w14:paraId="0D8B7003" w14:textId="01C837D3">
      <w:pPr>
        <w:keepNext/>
        <w:numPr>
          <w:ilvl w:val="0"/>
          <w:numId w:val="29"/>
        </w:numPr>
        <w:spacing w:before="240" w:after="240"/>
        <w:rPr>
          <w:b/>
          <w:color w:val="000000"/>
        </w:rPr>
      </w:pPr>
      <w:r w:rsidRPr="00536F0C">
        <w:rPr>
          <w:b/>
          <w:color w:val="000000"/>
        </w:rPr>
        <w:lastRenderedPageBreak/>
        <w:t xml:space="preserve">CPUC </w:t>
      </w:r>
      <w:r w:rsidRPr="00536F0C" w:rsidR="008C09F7">
        <w:rPr>
          <w:b/>
          <w:color w:val="000000"/>
        </w:rPr>
        <w:t xml:space="preserve">Comments, </w:t>
      </w:r>
      <w:r w:rsidRPr="00536F0C">
        <w:rPr>
          <w:b/>
          <w:color w:val="000000"/>
        </w:rPr>
        <w:t>Disallowances</w:t>
      </w:r>
      <w:r w:rsidRPr="00536F0C" w:rsidR="008C09F7">
        <w:rPr>
          <w:b/>
          <w:color w:val="000000"/>
        </w:rPr>
        <w:t>,</w:t>
      </w:r>
      <w:r w:rsidRPr="00536F0C" w:rsidR="00D075B1">
        <w:rPr>
          <w:b/>
          <w:color w:val="000000"/>
        </w:rPr>
        <w:t xml:space="preserve"> </w:t>
      </w:r>
      <w:r w:rsidRPr="00536F0C" w:rsidR="00A319DE">
        <w:rPr>
          <w:b/>
          <w:color w:val="000000"/>
        </w:rPr>
        <w:t>and</w:t>
      </w:r>
      <w:r w:rsidRPr="00536F0C" w:rsidR="00D075B1">
        <w:rPr>
          <w:b/>
          <w:color w:val="000000"/>
        </w:rPr>
        <w:t xml:space="preserve"> </w:t>
      </w:r>
      <w:r w:rsidRPr="00536F0C">
        <w:rPr>
          <w:b/>
          <w:color w:val="000000"/>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2245"/>
        <w:gridCol w:w="7115"/>
      </w:tblGrid>
      <w:tr w:rsidRPr="00536F0C" w:rsidR="00A92D0B" w:rsidTr="00E800C4" w14:paraId="52CD0603" w14:textId="77777777">
        <w:trPr>
          <w:tblHeader/>
        </w:trPr>
        <w:tc>
          <w:tcPr>
            <w:tcW w:w="2245" w:type="dxa"/>
            <w:shd w:val="clear" w:color="auto" w:fill="D9D9D9" w:themeFill="background1" w:themeFillShade="D9"/>
            <w:vAlign w:val="bottom"/>
          </w:tcPr>
          <w:p w:rsidRPr="00536F0C" w:rsidR="00A92D0B" w:rsidP="00624FA0" w:rsidRDefault="00072C81" w14:paraId="3954EC4C" w14:textId="77777777">
            <w:pPr>
              <w:keepNext/>
              <w:tabs>
                <w:tab w:val="left" w:pos="1440"/>
              </w:tabs>
              <w:jc w:val="center"/>
              <w:rPr>
                <w:b/>
                <w:color w:val="000000"/>
              </w:rPr>
            </w:pPr>
            <w:r w:rsidRPr="00536F0C">
              <w:rPr>
                <w:b/>
                <w:color w:val="000000"/>
              </w:rPr>
              <w:t>Item</w:t>
            </w:r>
          </w:p>
        </w:tc>
        <w:tc>
          <w:tcPr>
            <w:tcW w:w="7115" w:type="dxa"/>
            <w:shd w:val="clear" w:color="auto" w:fill="D9D9D9" w:themeFill="background1" w:themeFillShade="D9"/>
            <w:vAlign w:val="bottom"/>
          </w:tcPr>
          <w:p w:rsidRPr="00536F0C" w:rsidR="00A92D0B" w:rsidP="00624FA0" w:rsidRDefault="00A92D0B" w14:paraId="09F9E4D9" w14:textId="77777777">
            <w:pPr>
              <w:keepNext/>
              <w:tabs>
                <w:tab w:val="left" w:pos="1440"/>
              </w:tabs>
              <w:jc w:val="center"/>
              <w:rPr>
                <w:b/>
                <w:color w:val="000000"/>
              </w:rPr>
            </w:pPr>
            <w:r w:rsidRPr="00536F0C">
              <w:rPr>
                <w:b/>
                <w:color w:val="000000"/>
              </w:rPr>
              <w:t>Reason</w:t>
            </w:r>
          </w:p>
        </w:tc>
      </w:tr>
      <w:tr w:rsidRPr="00536F0C" w:rsidR="00A92D0B" w:rsidTr="00E800C4" w14:paraId="69DEE01C" w14:textId="77777777">
        <w:tc>
          <w:tcPr>
            <w:tcW w:w="2245" w:type="dxa"/>
          </w:tcPr>
          <w:p w:rsidR="00A92FE0" w:rsidP="008F5F5F" w:rsidRDefault="00B12548" w14:paraId="04887F66" w14:textId="1FC7C277">
            <w:pPr>
              <w:tabs>
                <w:tab w:val="left" w:pos="1440"/>
              </w:tabs>
              <w:jc w:val="center"/>
              <w:rPr>
                <w:color w:val="000000"/>
              </w:rPr>
            </w:pPr>
            <w:r>
              <w:rPr>
                <w:color w:val="000000"/>
              </w:rPr>
              <w:t>[1]</w:t>
            </w:r>
          </w:p>
          <w:p w:rsidR="00E800C4" w:rsidP="008F5F5F" w:rsidRDefault="004E59EB" w14:paraId="6A618428" w14:textId="77777777">
            <w:pPr>
              <w:tabs>
                <w:tab w:val="left" w:pos="1440"/>
              </w:tabs>
              <w:jc w:val="center"/>
              <w:rPr>
                <w:color w:val="000000"/>
              </w:rPr>
            </w:pPr>
            <w:r>
              <w:rPr>
                <w:color w:val="000000"/>
              </w:rPr>
              <w:t>Malinda Dickenson</w:t>
            </w:r>
          </w:p>
          <w:p w:rsidR="001E7276" w:rsidP="008F5F5F" w:rsidRDefault="004E59EB" w14:paraId="30D7BA40" w14:textId="5F10FA19">
            <w:pPr>
              <w:tabs>
                <w:tab w:val="left" w:pos="1440"/>
              </w:tabs>
              <w:jc w:val="center"/>
              <w:rPr>
                <w:color w:val="000000"/>
              </w:rPr>
            </w:pPr>
            <w:r>
              <w:rPr>
                <w:color w:val="000000"/>
              </w:rPr>
              <w:t>2022, 2023,</w:t>
            </w:r>
            <w:r w:rsidR="001E7276">
              <w:rPr>
                <w:color w:val="000000"/>
              </w:rPr>
              <w:t xml:space="preserve"> </w:t>
            </w:r>
            <w:r>
              <w:rPr>
                <w:color w:val="000000"/>
              </w:rPr>
              <w:t>2024</w:t>
            </w:r>
          </w:p>
          <w:p w:rsidRPr="00536F0C" w:rsidR="00B12548" w:rsidP="008F5F5F" w:rsidRDefault="004E59EB" w14:paraId="1E6C8F3D" w14:textId="7D0B2D59">
            <w:pPr>
              <w:tabs>
                <w:tab w:val="left" w:pos="1440"/>
              </w:tabs>
              <w:jc w:val="center"/>
              <w:rPr>
                <w:color w:val="000000"/>
              </w:rPr>
            </w:pPr>
            <w:r>
              <w:rPr>
                <w:color w:val="000000"/>
              </w:rPr>
              <w:t>Hourly Rate</w:t>
            </w:r>
            <w:r w:rsidR="00DD38EA">
              <w:rPr>
                <w:color w:val="000000"/>
              </w:rPr>
              <w:t>s</w:t>
            </w:r>
          </w:p>
        </w:tc>
        <w:tc>
          <w:tcPr>
            <w:tcW w:w="7115" w:type="dxa"/>
          </w:tcPr>
          <w:p w:rsidR="004E59EB" w:rsidP="002037B3" w:rsidRDefault="004E59EB" w14:paraId="064AE9BB" w14:textId="5240A9D8">
            <w:pPr>
              <w:tabs>
                <w:tab w:val="left" w:pos="1260"/>
              </w:tabs>
              <w:spacing w:after="240"/>
              <w:rPr>
                <w:color w:val="000000"/>
              </w:rPr>
            </w:pPr>
            <w:r w:rsidRPr="004E59EB">
              <w:rPr>
                <w:color w:val="000000"/>
              </w:rPr>
              <w:t>D.23</w:t>
            </w:r>
            <w:r w:rsidR="00B52830">
              <w:rPr>
                <w:color w:val="000000"/>
              </w:rPr>
              <w:noBreakHyphen/>
            </w:r>
            <w:r w:rsidRPr="004E59EB">
              <w:rPr>
                <w:color w:val="000000"/>
              </w:rPr>
              <w:t>08</w:t>
            </w:r>
            <w:r w:rsidR="00B52830">
              <w:rPr>
                <w:color w:val="000000"/>
              </w:rPr>
              <w:noBreakHyphen/>
            </w:r>
            <w:r w:rsidRPr="004E59EB">
              <w:rPr>
                <w:color w:val="000000"/>
              </w:rPr>
              <w:t>020 verified a 2022 rate of $610.00 for Malinda Dickenson. We apply the same rate here.</w:t>
            </w:r>
            <w:r w:rsidR="000C2E76">
              <w:rPr>
                <w:color w:val="000000"/>
              </w:rPr>
              <w:t xml:space="preserve"> </w:t>
            </w:r>
            <w:r>
              <w:rPr>
                <w:color w:val="000000"/>
              </w:rPr>
              <w:t>In response to PCF</w:t>
            </w:r>
            <w:r w:rsidR="004E6167">
              <w:rPr>
                <w:color w:val="000000"/>
              </w:rPr>
              <w:t>’</w:t>
            </w:r>
            <w:r>
              <w:rPr>
                <w:color w:val="000000"/>
              </w:rPr>
              <w:t>s request for step increases for Malinda Dickenson in Comment</w:t>
            </w:r>
            <w:r w:rsidR="00567C50">
              <w:rPr>
                <w:color w:val="000000"/>
              </w:rPr>
              <w:t xml:space="preserve"> </w:t>
            </w:r>
            <w:r>
              <w:rPr>
                <w:color w:val="000000"/>
              </w:rPr>
              <w:t xml:space="preserve">1, </w:t>
            </w:r>
            <w:r w:rsidR="004F7FA0">
              <w:rPr>
                <w:color w:val="000000"/>
              </w:rPr>
              <w:t>a</w:t>
            </w:r>
            <w:r>
              <w:rPr>
                <w:color w:val="000000"/>
              </w:rPr>
              <w:t xml:space="preserve"> maximum of </w:t>
            </w:r>
            <w:r w:rsidR="00373ACF">
              <w:rPr>
                <w:color w:val="000000"/>
              </w:rPr>
              <w:t>two</w:t>
            </w:r>
            <w:r>
              <w:rPr>
                <w:color w:val="000000"/>
              </w:rPr>
              <w:t xml:space="preserve"> step increases </w:t>
            </w:r>
            <w:r w:rsidR="004F7FA0">
              <w:rPr>
                <w:color w:val="000000"/>
              </w:rPr>
              <w:t>can be</w:t>
            </w:r>
            <w:r>
              <w:rPr>
                <w:color w:val="000000"/>
              </w:rPr>
              <w:t xml:space="preserve"> granted </w:t>
            </w:r>
            <w:r w:rsidR="004F7FA0">
              <w:rPr>
                <w:color w:val="000000"/>
              </w:rPr>
              <w:t xml:space="preserve">for Malinda Dickenson. </w:t>
            </w:r>
            <w:r w:rsidR="00775132">
              <w:rPr>
                <w:color w:val="000000"/>
              </w:rPr>
              <w:t>The C</w:t>
            </w:r>
            <w:r w:rsidR="00E81F8E">
              <w:rPr>
                <w:color w:val="000000"/>
              </w:rPr>
              <w:t>ommission</w:t>
            </w:r>
            <w:r w:rsidR="00775132">
              <w:rPr>
                <w:color w:val="000000"/>
              </w:rPr>
              <w:t xml:space="preserve"> </w:t>
            </w:r>
            <w:r w:rsidR="00C550F8">
              <w:rPr>
                <w:color w:val="000000"/>
              </w:rPr>
              <w:t xml:space="preserve">has already </w:t>
            </w:r>
            <w:r w:rsidR="00775132">
              <w:rPr>
                <w:color w:val="000000"/>
              </w:rPr>
              <w:t>applie</w:t>
            </w:r>
            <w:r w:rsidR="000C2E76">
              <w:rPr>
                <w:color w:val="000000"/>
              </w:rPr>
              <w:t>d</w:t>
            </w:r>
            <w:r w:rsidR="00775132">
              <w:rPr>
                <w:color w:val="000000"/>
              </w:rPr>
              <w:t xml:space="preserve"> the </w:t>
            </w:r>
            <w:r w:rsidR="00373ACF">
              <w:rPr>
                <w:color w:val="000000"/>
              </w:rPr>
              <w:t>two</w:t>
            </w:r>
            <w:r w:rsidR="00775132">
              <w:rPr>
                <w:color w:val="000000"/>
              </w:rPr>
              <w:t xml:space="preserve"> step increases for Malinda Dickenson in 2023 and 2024</w:t>
            </w:r>
            <w:r w:rsidR="000C2E76">
              <w:rPr>
                <w:color w:val="000000"/>
              </w:rPr>
              <w:t xml:space="preserve"> in D.25</w:t>
            </w:r>
            <w:r w:rsidR="00B52830">
              <w:rPr>
                <w:color w:val="000000"/>
              </w:rPr>
              <w:noBreakHyphen/>
            </w:r>
            <w:r w:rsidR="000C2E76">
              <w:rPr>
                <w:color w:val="000000"/>
              </w:rPr>
              <w:t>04</w:t>
            </w:r>
            <w:r w:rsidR="00B52830">
              <w:rPr>
                <w:color w:val="000000"/>
              </w:rPr>
              <w:noBreakHyphen/>
            </w:r>
            <w:r w:rsidR="000C2E76">
              <w:rPr>
                <w:color w:val="000000"/>
              </w:rPr>
              <w:t xml:space="preserve">017. </w:t>
            </w:r>
          </w:p>
          <w:p w:rsidR="006C5986" w:rsidP="00A30F16" w:rsidRDefault="004E59EB" w14:paraId="0142FBDA" w14:textId="5146213C">
            <w:pPr>
              <w:tabs>
                <w:tab w:val="left" w:pos="1440"/>
              </w:tabs>
              <w:spacing w:after="240"/>
              <w:rPr>
                <w:color w:val="000000"/>
              </w:rPr>
            </w:pPr>
            <w:r w:rsidRPr="004E59EB">
              <w:rPr>
                <w:color w:val="000000"/>
              </w:rPr>
              <w:t>D.2</w:t>
            </w:r>
            <w:r w:rsidR="000C2E76">
              <w:rPr>
                <w:color w:val="000000"/>
              </w:rPr>
              <w:t>5</w:t>
            </w:r>
            <w:r w:rsidR="00B52830">
              <w:rPr>
                <w:color w:val="000000"/>
              </w:rPr>
              <w:noBreakHyphen/>
            </w:r>
            <w:r w:rsidRPr="004E59EB">
              <w:rPr>
                <w:color w:val="000000"/>
              </w:rPr>
              <w:t>0</w:t>
            </w:r>
            <w:r w:rsidR="000C2E76">
              <w:rPr>
                <w:color w:val="000000"/>
              </w:rPr>
              <w:t>4</w:t>
            </w:r>
            <w:r w:rsidR="00B52830">
              <w:rPr>
                <w:color w:val="000000"/>
              </w:rPr>
              <w:noBreakHyphen/>
            </w:r>
            <w:r w:rsidRPr="004E59EB">
              <w:rPr>
                <w:color w:val="000000"/>
              </w:rPr>
              <w:t>0</w:t>
            </w:r>
            <w:r w:rsidR="000C2E76">
              <w:rPr>
                <w:color w:val="000000"/>
              </w:rPr>
              <w:t>17</w:t>
            </w:r>
            <w:r w:rsidRPr="004E59EB">
              <w:rPr>
                <w:color w:val="000000"/>
              </w:rPr>
              <w:t xml:space="preserve"> verified a 2023 </w:t>
            </w:r>
            <w:r w:rsidR="004F7FA0">
              <w:rPr>
                <w:color w:val="000000"/>
              </w:rPr>
              <w:t xml:space="preserve">hourly </w:t>
            </w:r>
            <w:r w:rsidRPr="004E59EB">
              <w:rPr>
                <w:color w:val="000000"/>
              </w:rPr>
              <w:t>rate of $6</w:t>
            </w:r>
            <w:r w:rsidR="000C2E76">
              <w:rPr>
                <w:color w:val="000000"/>
              </w:rPr>
              <w:t>6</w:t>
            </w:r>
            <w:r w:rsidRPr="004E59EB">
              <w:rPr>
                <w:color w:val="000000"/>
              </w:rPr>
              <w:t>5.00</w:t>
            </w:r>
            <w:r w:rsidR="00A33B91">
              <w:rPr>
                <w:color w:val="000000"/>
              </w:rPr>
              <w:t xml:space="preserve"> </w:t>
            </w:r>
            <w:r w:rsidRPr="002037B3">
              <w:rPr>
                <w:color w:val="000000" w:themeColor="text1"/>
              </w:rPr>
              <w:t>for</w:t>
            </w:r>
            <w:r w:rsidRPr="004E59EB">
              <w:rPr>
                <w:color w:val="000000"/>
              </w:rPr>
              <w:t xml:space="preserve"> Malinda Dickenson</w:t>
            </w:r>
            <w:r w:rsidR="00F76CD0">
              <w:rPr>
                <w:color w:val="000000"/>
              </w:rPr>
              <w:t>.</w:t>
            </w:r>
            <w:r w:rsidR="004F7FA0">
              <w:rPr>
                <w:color w:val="000000"/>
              </w:rPr>
              <w:t xml:space="preserve"> </w:t>
            </w:r>
            <w:r w:rsidRPr="00110B07" w:rsidR="006C5986">
              <w:rPr>
                <w:color w:val="000000"/>
              </w:rPr>
              <w:t>D.25</w:t>
            </w:r>
            <w:r w:rsidR="00B52830">
              <w:rPr>
                <w:color w:val="000000"/>
              </w:rPr>
              <w:noBreakHyphen/>
            </w:r>
            <w:r w:rsidRPr="00110B07" w:rsidR="006C5986">
              <w:rPr>
                <w:color w:val="000000"/>
              </w:rPr>
              <w:t>04</w:t>
            </w:r>
            <w:r w:rsidR="00B52830">
              <w:rPr>
                <w:color w:val="000000"/>
              </w:rPr>
              <w:noBreakHyphen/>
            </w:r>
            <w:r w:rsidRPr="00110B07" w:rsidR="006C5986">
              <w:rPr>
                <w:color w:val="000000"/>
              </w:rPr>
              <w:t>017 verified a 2024 hourly rate of $700.00 for Malinda Dickenson but did not apply the escalation factor to that 2024 rate pursuant to Resolution ALJ</w:t>
            </w:r>
            <w:r w:rsidR="00B52830">
              <w:rPr>
                <w:color w:val="000000"/>
              </w:rPr>
              <w:noBreakHyphen/>
            </w:r>
            <w:r w:rsidRPr="00110B07" w:rsidR="006C5986">
              <w:rPr>
                <w:color w:val="000000"/>
              </w:rPr>
              <w:t xml:space="preserve">393. We therefore apply the applicable </w:t>
            </w:r>
            <w:r w:rsidR="006C5986">
              <w:rPr>
                <w:color w:val="000000"/>
              </w:rPr>
              <w:t xml:space="preserve">2024 </w:t>
            </w:r>
            <w:r w:rsidRPr="00110B07" w:rsidR="006C5986">
              <w:rPr>
                <w:color w:val="000000"/>
              </w:rPr>
              <w:t>escalation factor</w:t>
            </w:r>
            <w:r w:rsidR="006C5986">
              <w:rPr>
                <w:color w:val="000000"/>
              </w:rPr>
              <w:t xml:space="preserve"> of 4.07%</w:t>
            </w:r>
            <w:r w:rsidRPr="00110B07" w:rsidR="006C5986">
              <w:rPr>
                <w:color w:val="000000"/>
              </w:rPr>
              <w:t xml:space="preserve"> to the 2024 rate of $700.00, </w:t>
            </w:r>
            <w:r w:rsidR="006C5986">
              <w:rPr>
                <w:color w:val="000000"/>
              </w:rPr>
              <w:t>and</w:t>
            </w:r>
            <w:r w:rsidRPr="00110B07" w:rsidR="006C5986">
              <w:rPr>
                <w:color w:val="000000"/>
              </w:rPr>
              <w:t xml:space="preserve"> rounded to the nearest </w:t>
            </w:r>
            <w:r w:rsidR="006C5986">
              <w:rPr>
                <w:color w:val="000000"/>
              </w:rPr>
              <w:t xml:space="preserve">allowable </w:t>
            </w:r>
            <w:r w:rsidRPr="00110B07" w:rsidR="006C5986">
              <w:rPr>
                <w:color w:val="000000"/>
              </w:rPr>
              <w:t>five</w:t>
            </w:r>
            <w:r w:rsidR="00B52830">
              <w:rPr>
                <w:color w:val="000000"/>
              </w:rPr>
              <w:noBreakHyphen/>
            </w:r>
            <w:r w:rsidRPr="00110B07" w:rsidR="006C5986">
              <w:rPr>
                <w:color w:val="000000"/>
              </w:rPr>
              <w:t>dollar increment</w:t>
            </w:r>
            <w:r w:rsidR="006C5986">
              <w:rPr>
                <w:color w:val="000000"/>
              </w:rPr>
              <w:t>, we find:</w:t>
            </w:r>
          </w:p>
          <w:p w:rsidR="006C5986" w:rsidP="00A30F16" w:rsidRDefault="006C5986" w14:paraId="6ACF846D" w14:textId="77777777">
            <w:pPr>
              <w:tabs>
                <w:tab w:val="left" w:pos="1440"/>
              </w:tabs>
              <w:spacing w:after="240"/>
              <w:rPr>
                <w:color w:val="000000"/>
              </w:rPr>
            </w:pPr>
            <w:r>
              <w:rPr>
                <w:color w:val="000000"/>
              </w:rPr>
              <w:t>2024: $700.00 x 1.0407 = $725.00</w:t>
            </w:r>
          </w:p>
          <w:p w:rsidRPr="00536F0C" w:rsidR="004E59EB" w:rsidP="00AB0B51" w:rsidRDefault="006C5986" w14:paraId="45BFCB16" w14:textId="1BC3C5E6">
            <w:pPr>
              <w:tabs>
                <w:tab w:val="left" w:pos="1440"/>
              </w:tabs>
              <w:spacing w:after="240"/>
              <w:rPr>
                <w:color w:val="000000"/>
              </w:rPr>
            </w:pPr>
            <w:r>
              <w:rPr>
                <w:color w:val="000000"/>
              </w:rPr>
              <w:t xml:space="preserve">We find the </w:t>
            </w:r>
            <w:r>
              <w:rPr>
                <w:i/>
                <w:iCs/>
                <w:color w:val="000000"/>
              </w:rPr>
              <w:t xml:space="preserve">updated </w:t>
            </w:r>
            <w:r>
              <w:rPr>
                <w:color w:val="000000"/>
              </w:rPr>
              <w:t>2024 rate of $725.00 reasonable and adopt it here.</w:t>
            </w:r>
          </w:p>
        </w:tc>
      </w:tr>
      <w:tr w:rsidRPr="00536F0C" w:rsidR="007D6B9A" w:rsidTr="00E800C4" w14:paraId="52155EFC" w14:textId="77777777">
        <w:tc>
          <w:tcPr>
            <w:tcW w:w="2245" w:type="dxa"/>
          </w:tcPr>
          <w:p w:rsidR="00A92FE0" w:rsidP="008F5F5F" w:rsidRDefault="00A92FE0" w14:paraId="7852A7AD" w14:textId="50A06A42">
            <w:pPr>
              <w:tabs>
                <w:tab w:val="left" w:pos="1440"/>
              </w:tabs>
              <w:jc w:val="center"/>
              <w:rPr>
                <w:color w:val="000000"/>
              </w:rPr>
            </w:pPr>
            <w:r>
              <w:rPr>
                <w:color w:val="000000"/>
              </w:rPr>
              <w:t>[</w:t>
            </w:r>
            <w:r w:rsidR="007D6B9A">
              <w:rPr>
                <w:color w:val="000000"/>
              </w:rPr>
              <w:t>2]</w:t>
            </w:r>
            <w:r w:rsidR="007D6B9A">
              <w:t xml:space="preserve"> </w:t>
            </w:r>
          </w:p>
          <w:p w:rsidR="00E800C4" w:rsidP="008F5F5F" w:rsidRDefault="007D6B9A" w14:paraId="28E82C44" w14:textId="77777777">
            <w:pPr>
              <w:tabs>
                <w:tab w:val="left" w:pos="1440"/>
              </w:tabs>
              <w:jc w:val="center"/>
              <w:rPr>
                <w:color w:val="000000"/>
              </w:rPr>
            </w:pPr>
            <w:r w:rsidRPr="00775132">
              <w:rPr>
                <w:color w:val="000000"/>
              </w:rPr>
              <w:t>Loretta Lynch</w:t>
            </w:r>
          </w:p>
          <w:p w:rsidR="001E7276" w:rsidP="008F5F5F" w:rsidRDefault="007D6B9A" w14:paraId="3FBD0EB6" w14:textId="77777777">
            <w:pPr>
              <w:tabs>
                <w:tab w:val="left" w:pos="1440"/>
              </w:tabs>
              <w:jc w:val="center"/>
              <w:rPr>
                <w:color w:val="000000"/>
              </w:rPr>
            </w:pPr>
            <w:r w:rsidRPr="00775132">
              <w:rPr>
                <w:color w:val="000000"/>
              </w:rPr>
              <w:t>2022 and 2023</w:t>
            </w:r>
          </w:p>
          <w:p w:rsidRPr="00536F0C" w:rsidR="007D6B9A" w:rsidP="008F5F5F" w:rsidRDefault="007D6B9A" w14:paraId="26487933" w14:textId="021376B1">
            <w:pPr>
              <w:tabs>
                <w:tab w:val="left" w:pos="1440"/>
              </w:tabs>
              <w:jc w:val="center"/>
              <w:rPr>
                <w:color w:val="000000"/>
              </w:rPr>
            </w:pPr>
            <w:r w:rsidRPr="00775132">
              <w:rPr>
                <w:color w:val="000000"/>
              </w:rPr>
              <w:t>Hourly Rates</w:t>
            </w:r>
          </w:p>
        </w:tc>
        <w:tc>
          <w:tcPr>
            <w:tcW w:w="7115" w:type="dxa"/>
          </w:tcPr>
          <w:p w:rsidR="007D6B9A" w:rsidP="00726C83" w:rsidRDefault="007D6B9A" w14:paraId="4761F2E0" w14:textId="5FC23360">
            <w:pPr>
              <w:tabs>
                <w:tab w:val="left" w:pos="1260"/>
              </w:tabs>
              <w:spacing w:after="240"/>
              <w:rPr>
                <w:color w:val="000000"/>
              </w:rPr>
            </w:pPr>
            <w:r>
              <w:rPr>
                <w:color w:val="000000"/>
              </w:rPr>
              <w:t>PCF</w:t>
            </w:r>
            <w:r w:rsidRPr="00E81F8E">
              <w:rPr>
                <w:color w:val="000000"/>
              </w:rPr>
              <w:t xml:space="preserve"> has confirmed that </w:t>
            </w:r>
            <w:r>
              <w:rPr>
                <w:color w:val="000000"/>
              </w:rPr>
              <w:t>Loretta Lynch</w:t>
            </w:r>
            <w:r w:rsidRPr="00E81F8E">
              <w:rPr>
                <w:color w:val="000000"/>
              </w:rPr>
              <w:t xml:space="preserve"> is a consultant.  Pursuant to Commission policy, the rate requested by an intervenor must not exceed the rate billed to that intervenor by any outside consultant it hires, even if the consultant</w:t>
            </w:r>
            <w:r w:rsidR="004E6167">
              <w:rPr>
                <w:color w:val="000000"/>
              </w:rPr>
              <w:t>’</w:t>
            </w:r>
            <w:r w:rsidRPr="00E81F8E">
              <w:rPr>
                <w:color w:val="000000"/>
              </w:rPr>
              <w:t xml:space="preserve">s billed rate is below the floor for a given experience level. Per the </w:t>
            </w:r>
            <w:proofErr w:type="spellStart"/>
            <w:r w:rsidRPr="00E81F8E">
              <w:rPr>
                <w:color w:val="000000"/>
              </w:rPr>
              <w:t>IComp</w:t>
            </w:r>
            <w:proofErr w:type="spellEnd"/>
            <w:r w:rsidRPr="00E81F8E">
              <w:rPr>
                <w:color w:val="000000"/>
              </w:rPr>
              <w:t xml:space="preserve"> Program Guide at 24, the Commission may audit the records and books of the intervenors to the extent necessary to verify the basis for the award (</w:t>
            </w:r>
            <w:r w:rsidR="004E6167">
              <w:rPr>
                <w:color w:val="000000"/>
              </w:rPr>
              <w:t>§ </w:t>
            </w:r>
            <w:r w:rsidRPr="00E81F8E">
              <w:rPr>
                <w:color w:val="000000"/>
              </w:rPr>
              <w:t>1804(d)). </w:t>
            </w:r>
          </w:p>
          <w:p w:rsidRPr="00E81F8E" w:rsidR="007D6B9A" w:rsidP="00726C83" w:rsidRDefault="007D6B9A" w14:paraId="13AF5032" w14:textId="1B1EB4C4">
            <w:pPr>
              <w:tabs>
                <w:tab w:val="left" w:pos="1260"/>
              </w:tabs>
              <w:spacing w:after="240"/>
              <w:rPr>
                <w:color w:val="000000"/>
              </w:rPr>
            </w:pPr>
            <w:r>
              <w:rPr>
                <w:color w:val="000000"/>
              </w:rPr>
              <w:t>PCF</w:t>
            </w:r>
            <w:r w:rsidRPr="00E81F8E">
              <w:rPr>
                <w:color w:val="000000"/>
              </w:rPr>
              <w:t xml:space="preserve"> has confirmed via supplemental filing that it paid </w:t>
            </w:r>
            <w:r>
              <w:rPr>
                <w:color w:val="000000"/>
              </w:rPr>
              <w:t>Loretta Lynch</w:t>
            </w:r>
            <w:r w:rsidRPr="00E81F8E">
              <w:rPr>
                <w:color w:val="000000"/>
              </w:rPr>
              <w:t xml:space="preserve"> $</w:t>
            </w:r>
            <w:r>
              <w:rPr>
                <w:color w:val="000000"/>
              </w:rPr>
              <w:t>715</w:t>
            </w:r>
            <w:r w:rsidRPr="00E81F8E">
              <w:rPr>
                <w:color w:val="000000"/>
              </w:rPr>
              <w:t xml:space="preserve"> an hour in 2022</w:t>
            </w:r>
            <w:r>
              <w:rPr>
                <w:color w:val="000000"/>
              </w:rPr>
              <w:t xml:space="preserve"> and $745 an hour in 2023. </w:t>
            </w:r>
            <w:r w:rsidR="00A92FE0">
              <w:rPr>
                <w:color w:val="000000"/>
              </w:rPr>
              <w:t>We find these rates reasonable based on Loretta Lynch</w:t>
            </w:r>
            <w:r w:rsidR="004E6167">
              <w:rPr>
                <w:color w:val="000000"/>
              </w:rPr>
              <w:t>’</w:t>
            </w:r>
            <w:r w:rsidR="00A92FE0">
              <w:rPr>
                <w:color w:val="000000"/>
              </w:rPr>
              <w:t>s experience and approve them</w:t>
            </w:r>
            <w:r w:rsidRPr="00E81F8E">
              <w:rPr>
                <w:color w:val="000000"/>
              </w:rPr>
              <w:t xml:space="preserve"> here.  </w:t>
            </w:r>
          </w:p>
          <w:p w:rsidRPr="00E81F8E" w:rsidR="007D6B9A" w:rsidP="00726C83" w:rsidRDefault="007D6B9A" w14:paraId="47A45951" w14:textId="2D25524B">
            <w:pPr>
              <w:tabs>
                <w:tab w:val="left" w:pos="1260"/>
              </w:tabs>
              <w:spacing w:after="240"/>
              <w:rPr>
                <w:color w:val="000000"/>
              </w:rPr>
            </w:pPr>
            <w:r w:rsidRPr="00E81F8E">
              <w:rPr>
                <w:color w:val="000000"/>
              </w:rPr>
              <w:t>The award determined herein for the consultant</w:t>
            </w:r>
            <w:r w:rsidR="004E6167">
              <w:rPr>
                <w:color w:val="000000"/>
              </w:rPr>
              <w:t>’</w:t>
            </w:r>
            <w:r w:rsidRPr="00E81F8E">
              <w:rPr>
                <w:color w:val="000000"/>
              </w:rPr>
              <w:t xml:space="preserve">s contribution in this proceeding shall be paid in full to the consultant, and no portion of this part of the award shall be kept by the intervenor. Additionally, the rates approved here are specific to work in this proceeding and the contract </w:t>
            </w:r>
            <w:r w:rsidRPr="00E81F8E">
              <w:rPr>
                <w:color w:val="000000"/>
              </w:rPr>
              <w:lastRenderedPageBreak/>
              <w:t>terms between the consultant and intervenor, as they are established in accordance with the Commission</w:t>
            </w:r>
            <w:r w:rsidR="004E6167">
              <w:rPr>
                <w:color w:val="000000"/>
              </w:rPr>
              <w:t>’</w:t>
            </w:r>
            <w:r w:rsidRPr="00E81F8E">
              <w:rPr>
                <w:color w:val="000000"/>
              </w:rPr>
              <w:t>s policy on consultant compensation. </w:t>
            </w:r>
          </w:p>
          <w:p w:rsidRPr="00536F0C" w:rsidR="007D6B9A" w:rsidP="00726C83" w:rsidRDefault="007D6B9A" w14:paraId="455E6A00" w14:textId="324E8EF8">
            <w:pPr>
              <w:tabs>
                <w:tab w:val="left" w:pos="1260"/>
              </w:tabs>
              <w:spacing w:after="240"/>
              <w:rPr>
                <w:color w:val="000000"/>
              </w:rPr>
            </w:pPr>
            <w:r w:rsidRPr="00E81F8E">
              <w:rPr>
                <w:color w:val="000000"/>
              </w:rPr>
              <w:t>We reiterate that it is the responsibility of the intervenor to be forthcoming about engaging consultants, to adhere to the Commission</w:t>
            </w:r>
            <w:r w:rsidR="004E6167">
              <w:rPr>
                <w:color w:val="000000"/>
              </w:rPr>
              <w:t>’</w:t>
            </w:r>
            <w:r w:rsidRPr="00E81F8E">
              <w:rPr>
                <w:color w:val="000000"/>
              </w:rPr>
              <w:t xml:space="preserve">s policy on compensation for consultant fees, and to provide the appropriate documentation with the initial claim to ensure efficient processing and thus avoid the need for the Commission to request supplemental documentation. In this instance, </w:t>
            </w:r>
            <w:r>
              <w:rPr>
                <w:color w:val="000000"/>
              </w:rPr>
              <w:t>PCF</w:t>
            </w:r>
            <w:r w:rsidRPr="00E81F8E">
              <w:rPr>
                <w:color w:val="000000"/>
              </w:rPr>
              <w:t xml:space="preserve"> did not provide all the documentation pertaining to the contract terms between </w:t>
            </w:r>
            <w:r>
              <w:rPr>
                <w:color w:val="000000"/>
              </w:rPr>
              <w:t>PCF</w:t>
            </w:r>
            <w:r w:rsidRPr="00E81F8E">
              <w:rPr>
                <w:color w:val="000000"/>
              </w:rPr>
              <w:t xml:space="preserve"> and </w:t>
            </w:r>
            <w:r>
              <w:rPr>
                <w:color w:val="000000"/>
              </w:rPr>
              <w:t>Loretta Lynch</w:t>
            </w:r>
            <w:r w:rsidRPr="00E81F8E">
              <w:rPr>
                <w:color w:val="000000"/>
              </w:rPr>
              <w:t xml:space="preserve"> in the initial claim and waited until the Commission requested supplemental documentation which delays the processing of the claim. </w:t>
            </w:r>
          </w:p>
        </w:tc>
      </w:tr>
      <w:tr w:rsidRPr="00536F0C" w:rsidR="007D6B9A" w:rsidTr="00E800C4" w14:paraId="6B0B4275" w14:textId="77777777">
        <w:tc>
          <w:tcPr>
            <w:tcW w:w="2245" w:type="dxa"/>
          </w:tcPr>
          <w:p w:rsidR="00E16C5B" w:rsidP="008F5F5F" w:rsidRDefault="004368D4" w14:paraId="400F6A68" w14:textId="7EDDE53F">
            <w:pPr>
              <w:tabs>
                <w:tab w:val="left" w:pos="1440"/>
              </w:tabs>
              <w:jc w:val="center"/>
              <w:rPr>
                <w:color w:val="000000"/>
              </w:rPr>
            </w:pPr>
            <w:r>
              <w:rPr>
                <w:color w:val="000000"/>
              </w:rPr>
              <w:lastRenderedPageBreak/>
              <w:t>[3]</w:t>
            </w:r>
          </w:p>
          <w:p w:rsidR="00247691" w:rsidP="008F5F5F" w:rsidRDefault="007D6B9A" w14:paraId="70BC09A2" w14:textId="77777777">
            <w:pPr>
              <w:tabs>
                <w:tab w:val="left" w:pos="1440"/>
              </w:tabs>
              <w:jc w:val="center"/>
              <w:rPr>
                <w:color w:val="000000"/>
              </w:rPr>
            </w:pPr>
            <w:r w:rsidRPr="004368D4">
              <w:rPr>
                <w:color w:val="000000"/>
              </w:rPr>
              <w:t>Jonathan Webster</w:t>
            </w:r>
          </w:p>
          <w:p w:rsidRPr="004368D4" w:rsidR="007D6B9A" w:rsidP="008F5F5F" w:rsidRDefault="007D6B9A" w14:paraId="5AA99F44" w14:textId="14648E84">
            <w:pPr>
              <w:tabs>
                <w:tab w:val="left" w:pos="1440"/>
              </w:tabs>
              <w:jc w:val="center"/>
              <w:rPr>
                <w:color w:val="000000"/>
              </w:rPr>
            </w:pPr>
            <w:r w:rsidRPr="004368D4">
              <w:rPr>
                <w:color w:val="000000"/>
              </w:rPr>
              <w:t>2024 Hourly Rate</w:t>
            </w:r>
          </w:p>
        </w:tc>
        <w:tc>
          <w:tcPr>
            <w:tcW w:w="7115" w:type="dxa"/>
          </w:tcPr>
          <w:p w:rsidR="009B0C9A" w:rsidP="00AB0B51" w:rsidRDefault="007D6B9A" w14:paraId="2359E353" w14:textId="60B58DB3">
            <w:pPr>
              <w:tabs>
                <w:tab w:val="left" w:pos="1440"/>
              </w:tabs>
              <w:spacing w:after="240"/>
              <w:rPr>
                <w:color w:val="000000"/>
              </w:rPr>
            </w:pPr>
            <w:r>
              <w:rPr>
                <w:color w:val="000000"/>
              </w:rPr>
              <w:t>PCF requests a</w:t>
            </w:r>
            <w:r w:rsidR="009B0C9A">
              <w:rPr>
                <w:color w:val="000000"/>
              </w:rPr>
              <w:t xml:space="preserve"> 2024</w:t>
            </w:r>
            <w:r>
              <w:rPr>
                <w:color w:val="000000"/>
              </w:rPr>
              <w:t xml:space="preserve"> hourly rate of $260 for work conducted by Jonathan Webster. </w:t>
            </w:r>
            <w:r w:rsidR="009B0C9A">
              <w:rPr>
                <w:color w:val="000000"/>
              </w:rPr>
              <w:t>Based on the approved 2023 hourly rate of $250.00 established in D.24</w:t>
            </w:r>
            <w:r w:rsidR="00B52830">
              <w:rPr>
                <w:color w:val="000000"/>
              </w:rPr>
              <w:noBreakHyphen/>
            </w:r>
            <w:r w:rsidR="009B0C9A">
              <w:rPr>
                <w:color w:val="000000"/>
              </w:rPr>
              <w:t>12</w:t>
            </w:r>
            <w:r w:rsidR="00B52830">
              <w:rPr>
                <w:color w:val="000000"/>
              </w:rPr>
              <w:noBreakHyphen/>
            </w:r>
            <w:r w:rsidR="009B0C9A">
              <w:rPr>
                <w:color w:val="000000"/>
              </w:rPr>
              <w:t>064, we apply the 2024 escalation factor of 4.07% and round to the nearest $5 increment, for the following 2024 rate:</w:t>
            </w:r>
          </w:p>
          <w:p w:rsidR="009B0C9A" w:rsidP="00AB0B51" w:rsidRDefault="009B0C9A" w14:paraId="29B14384" w14:textId="77777777">
            <w:pPr>
              <w:tabs>
                <w:tab w:val="left" w:pos="1440"/>
              </w:tabs>
              <w:spacing w:after="240"/>
              <w:rPr>
                <w:color w:val="000000"/>
              </w:rPr>
            </w:pPr>
            <w:r>
              <w:rPr>
                <w:color w:val="000000"/>
              </w:rPr>
              <w:t>2024: $250.00 x 1.0407 = $260.00</w:t>
            </w:r>
          </w:p>
          <w:p w:rsidRPr="00536F0C" w:rsidR="007D6B9A" w:rsidP="009B0C9A" w:rsidRDefault="009B0C9A" w14:paraId="384FDE2D" w14:textId="3B2B20B9">
            <w:pPr>
              <w:tabs>
                <w:tab w:val="left" w:pos="1260"/>
              </w:tabs>
              <w:spacing w:after="240"/>
              <w:rPr>
                <w:color w:val="000000"/>
              </w:rPr>
            </w:pPr>
            <w:r>
              <w:rPr>
                <w:color w:val="000000"/>
              </w:rPr>
              <w:t>We find the 2024 hourly rate of $260.00 reasonable and correct this rate moving forward.</w:t>
            </w:r>
            <w:r w:rsidR="008B249E">
              <w:rPr>
                <w:rStyle w:val="FootnoteReference"/>
                <w:color w:val="000000"/>
              </w:rPr>
              <w:footnoteReference w:id="7"/>
            </w:r>
            <w:r>
              <w:rPr>
                <w:color w:val="000000"/>
              </w:rPr>
              <w:t xml:space="preserve"> We note this change does not affect previous decisions.</w:t>
            </w:r>
          </w:p>
        </w:tc>
      </w:tr>
      <w:tr w:rsidRPr="00536F0C" w:rsidR="004368D4" w:rsidTr="00E800C4" w14:paraId="738BADF7" w14:textId="77777777">
        <w:tc>
          <w:tcPr>
            <w:tcW w:w="2245" w:type="dxa"/>
          </w:tcPr>
          <w:p w:rsidR="004368D4" w:rsidP="008F5F5F" w:rsidRDefault="004368D4" w14:paraId="0BA99F54" w14:textId="78CA8814">
            <w:pPr>
              <w:tabs>
                <w:tab w:val="left" w:pos="1440"/>
              </w:tabs>
              <w:jc w:val="center"/>
              <w:rPr>
                <w:color w:val="000000"/>
              </w:rPr>
            </w:pPr>
            <w:r>
              <w:rPr>
                <w:color w:val="000000"/>
              </w:rPr>
              <w:t>[4]</w:t>
            </w:r>
          </w:p>
          <w:p w:rsidR="00247691" w:rsidP="008F5F5F" w:rsidRDefault="004368D4" w14:paraId="34DA00C8" w14:textId="77777777">
            <w:pPr>
              <w:tabs>
                <w:tab w:val="left" w:pos="1440"/>
              </w:tabs>
              <w:jc w:val="center"/>
              <w:rPr>
                <w:color w:val="000000"/>
              </w:rPr>
            </w:pPr>
            <w:r>
              <w:rPr>
                <w:color w:val="000000"/>
              </w:rPr>
              <w:t>Mark Ellis</w:t>
            </w:r>
          </w:p>
          <w:p w:rsidR="00247691" w:rsidP="008F5F5F" w:rsidRDefault="004368D4" w14:paraId="10CDAA9D" w14:textId="77777777">
            <w:pPr>
              <w:tabs>
                <w:tab w:val="left" w:pos="1440"/>
              </w:tabs>
              <w:jc w:val="center"/>
              <w:rPr>
                <w:color w:val="000000"/>
              </w:rPr>
            </w:pPr>
            <w:r>
              <w:rPr>
                <w:color w:val="000000"/>
              </w:rPr>
              <w:t>2022, 2023, 2024</w:t>
            </w:r>
          </w:p>
          <w:p w:rsidRPr="00536F0C" w:rsidR="004368D4" w:rsidP="008F5F5F" w:rsidRDefault="004368D4" w14:paraId="2A0161BD" w14:textId="42A00ADD">
            <w:pPr>
              <w:tabs>
                <w:tab w:val="left" w:pos="1440"/>
              </w:tabs>
              <w:jc w:val="center"/>
              <w:rPr>
                <w:color w:val="000000"/>
              </w:rPr>
            </w:pPr>
            <w:r>
              <w:rPr>
                <w:color w:val="000000"/>
              </w:rPr>
              <w:t>Hourly Rate</w:t>
            </w:r>
            <w:r w:rsidR="00306B69">
              <w:rPr>
                <w:color w:val="000000"/>
              </w:rPr>
              <w:t>s</w:t>
            </w:r>
          </w:p>
        </w:tc>
        <w:tc>
          <w:tcPr>
            <w:tcW w:w="7115" w:type="dxa"/>
          </w:tcPr>
          <w:p w:rsidRPr="00E81F8E" w:rsidR="004368D4" w:rsidP="00726C83" w:rsidRDefault="004368D4" w14:paraId="4E41EA4B" w14:textId="4F715D13">
            <w:pPr>
              <w:tabs>
                <w:tab w:val="left" w:pos="1260"/>
              </w:tabs>
              <w:spacing w:after="240"/>
              <w:rPr>
                <w:color w:val="000000"/>
              </w:rPr>
            </w:pPr>
            <w:r>
              <w:rPr>
                <w:color w:val="000000"/>
              </w:rPr>
              <w:t>PCF</w:t>
            </w:r>
            <w:r w:rsidRPr="00E81F8E">
              <w:rPr>
                <w:color w:val="000000"/>
              </w:rPr>
              <w:t xml:space="preserve"> has confirmed that </w:t>
            </w:r>
            <w:r>
              <w:rPr>
                <w:color w:val="000000"/>
              </w:rPr>
              <w:t>Mark Ellis</w:t>
            </w:r>
            <w:r w:rsidRPr="00E81F8E">
              <w:rPr>
                <w:color w:val="000000"/>
              </w:rPr>
              <w:t xml:space="preserve"> is a consultant.</w:t>
            </w:r>
          </w:p>
          <w:p w:rsidR="00E16C5B" w:rsidP="00726C83" w:rsidRDefault="004368D4" w14:paraId="21323FED" w14:textId="5879A132">
            <w:pPr>
              <w:tabs>
                <w:tab w:val="left" w:pos="1260"/>
              </w:tabs>
              <w:spacing w:after="240"/>
              <w:rPr>
                <w:color w:val="000000"/>
              </w:rPr>
            </w:pPr>
            <w:r w:rsidRPr="00E81F8E">
              <w:rPr>
                <w:color w:val="000000"/>
              </w:rPr>
              <w:t>Pursuant to Commission policy, the rate requested by an intervenor must not exceed the rate billed to that intervenor by any outside consultant it hires, even if the consultant</w:t>
            </w:r>
            <w:r w:rsidR="004E6167">
              <w:rPr>
                <w:color w:val="000000"/>
              </w:rPr>
              <w:t>’</w:t>
            </w:r>
            <w:r w:rsidRPr="00E81F8E">
              <w:rPr>
                <w:color w:val="000000"/>
              </w:rPr>
              <w:t xml:space="preserve">s billed rate is below the floor for a given experience level. Per the </w:t>
            </w:r>
            <w:proofErr w:type="spellStart"/>
            <w:r w:rsidRPr="00E81F8E">
              <w:rPr>
                <w:color w:val="000000"/>
              </w:rPr>
              <w:t>IComp</w:t>
            </w:r>
            <w:proofErr w:type="spellEnd"/>
            <w:r w:rsidRPr="00E81F8E">
              <w:rPr>
                <w:color w:val="000000"/>
              </w:rPr>
              <w:t xml:space="preserve"> Program Guide at 24, the Commission may audit the records and books of the intervenors to the extent necessary to verify the basis for the award (</w:t>
            </w:r>
            <w:r w:rsidR="004E6167">
              <w:rPr>
                <w:color w:val="000000"/>
              </w:rPr>
              <w:t>§ </w:t>
            </w:r>
            <w:r w:rsidRPr="00E81F8E">
              <w:rPr>
                <w:color w:val="000000"/>
              </w:rPr>
              <w:t>1804(d)). </w:t>
            </w:r>
          </w:p>
          <w:p w:rsidRPr="00E81F8E" w:rsidR="004368D4" w:rsidP="00726C83" w:rsidRDefault="004368D4" w14:paraId="3A359637" w14:textId="60A969EE">
            <w:pPr>
              <w:tabs>
                <w:tab w:val="left" w:pos="1260"/>
              </w:tabs>
              <w:spacing w:after="240"/>
              <w:rPr>
                <w:color w:val="000000"/>
              </w:rPr>
            </w:pPr>
            <w:r>
              <w:rPr>
                <w:color w:val="000000"/>
              </w:rPr>
              <w:t>PCF</w:t>
            </w:r>
            <w:r w:rsidRPr="00E81F8E">
              <w:rPr>
                <w:color w:val="000000"/>
              </w:rPr>
              <w:t xml:space="preserve"> has confirmed via supplemental filing that it paid </w:t>
            </w:r>
            <w:r>
              <w:rPr>
                <w:color w:val="000000"/>
              </w:rPr>
              <w:t>Mark Ellis</w:t>
            </w:r>
            <w:r w:rsidRPr="00E81F8E">
              <w:rPr>
                <w:color w:val="000000"/>
              </w:rPr>
              <w:t xml:space="preserve"> $</w:t>
            </w:r>
            <w:r>
              <w:rPr>
                <w:color w:val="000000"/>
              </w:rPr>
              <w:t>1,035</w:t>
            </w:r>
            <w:r w:rsidRPr="00E81F8E">
              <w:rPr>
                <w:color w:val="000000"/>
              </w:rPr>
              <w:t xml:space="preserve"> an hour in 2022</w:t>
            </w:r>
            <w:r>
              <w:rPr>
                <w:color w:val="000000"/>
              </w:rPr>
              <w:t xml:space="preserve">, $1,080 an hour in 2023, and $1,125 an hour in 2024. </w:t>
            </w:r>
            <w:r w:rsidR="00E16C5B">
              <w:rPr>
                <w:color w:val="000000"/>
              </w:rPr>
              <w:t xml:space="preserve">Based </w:t>
            </w:r>
            <w:r w:rsidR="0022566A">
              <w:rPr>
                <w:color w:val="000000"/>
              </w:rPr>
              <w:t>on his</w:t>
            </w:r>
            <w:r w:rsidR="00E16C5B">
              <w:rPr>
                <w:color w:val="000000"/>
              </w:rPr>
              <w:t xml:space="preserve"> experience level, we find these rates reasonable and approve them</w:t>
            </w:r>
            <w:r w:rsidRPr="00E81F8E">
              <w:rPr>
                <w:color w:val="000000"/>
              </w:rPr>
              <w:t xml:space="preserve"> here.  </w:t>
            </w:r>
          </w:p>
          <w:p w:rsidRPr="00E81F8E" w:rsidR="004368D4" w:rsidP="00726C83" w:rsidRDefault="004368D4" w14:paraId="34D07D18" w14:textId="6E156148">
            <w:pPr>
              <w:tabs>
                <w:tab w:val="left" w:pos="1260"/>
              </w:tabs>
              <w:spacing w:after="240"/>
              <w:rPr>
                <w:color w:val="000000"/>
              </w:rPr>
            </w:pPr>
            <w:r w:rsidRPr="00E81F8E">
              <w:rPr>
                <w:color w:val="000000"/>
              </w:rPr>
              <w:lastRenderedPageBreak/>
              <w:t>The award determined herein for the consultant</w:t>
            </w:r>
            <w:r w:rsidR="004E6167">
              <w:rPr>
                <w:color w:val="000000"/>
              </w:rPr>
              <w:t>’</w:t>
            </w:r>
            <w:r w:rsidRPr="00E81F8E">
              <w:rPr>
                <w:color w:val="000000"/>
              </w:rPr>
              <w:t>s contribution in this proceeding shall be paid in full to the consultant, and no portion of this part of the award shall be kept by the intervenor. Additionally, the rates approved here are specific to work in this proceeding and the contract terms between the consultant and intervenor, as they are established in accordance with the Commission</w:t>
            </w:r>
            <w:r w:rsidR="004E6167">
              <w:rPr>
                <w:color w:val="000000"/>
              </w:rPr>
              <w:t>’</w:t>
            </w:r>
            <w:r w:rsidRPr="00E81F8E">
              <w:rPr>
                <w:color w:val="000000"/>
              </w:rPr>
              <w:t>s policy on consultant compensation. </w:t>
            </w:r>
          </w:p>
          <w:p w:rsidRPr="00536F0C" w:rsidR="004368D4" w:rsidP="00726C83" w:rsidRDefault="004368D4" w14:paraId="120F6468" w14:textId="0E60E5EF">
            <w:pPr>
              <w:tabs>
                <w:tab w:val="left" w:pos="1260"/>
              </w:tabs>
              <w:spacing w:after="240"/>
              <w:rPr>
                <w:color w:val="000000"/>
              </w:rPr>
            </w:pPr>
            <w:r w:rsidRPr="00E81F8E">
              <w:rPr>
                <w:color w:val="000000"/>
              </w:rPr>
              <w:t>We reiterate that it is the responsibility of the intervenor to be forthcoming about engaging consultants, to adhere to the Commission</w:t>
            </w:r>
            <w:r w:rsidR="004E6167">
              <w:rPr>
                <w:color w:val="000000"/>
              </w:rPr>
              <w:t>’</w:t>
            </w:r>
            <w:r w:rsidRPr="00E81F8E">
              <w:rPr>
                <w:color w:val="000000"/>
              </w:rPr>
              <w:t xml:space="preserve">s policy on compensation for consultant fees, and to provide the appropriate documentation with the initial claim to ensure efficient processing and thus avoid the need for the Commission to request supplemental documentation. In this instance, </w:t>
            </w:r>
            <w:r>
              <w:rPr>
                <w:color w:val="000000"/>
              </w:rPr>
              <w:t>PCF</w:t>
            </w:r>
            <w:r w:rsidRPr="00E81F8E">
              <w:rPr>
                <w:color w:val="000000"/>
              </w:rPr>
              <w:t xml:space="preserve"> did not provide all the documentation pertaining to the contract terms between </w:t>
            </w:r>
            <w:r>
              <w:rPr>
                <w:color w:val="000000"/>
              </w:rPr>
              <w:t>PCF</w:t>
            </w:r>
            <w:r w:rsidRPr="00E81F8E">
              <w:rPr>
                <w:color w:val="000000"/>
              </w:rPr>
              <w:t xml:space="preserve"> and </w:t>
            </w:r>
            <w:r>
              <w:rPr>
                <w:color w:val="000000"/>
              </w:rPr>
              <w:t>Mark Ellis</w:t>
            </w:r>
            <w:r w:rsidRPr="00E81F8E">
              <w:rPr>
                <w:color w:val="000000"/>
              </w:rPr>
              <w:t xml:space="preserve"> in the initial claim and waited until the Commission requested supplemental documentation which delays the processing of the claim. </w:t>
            </w:r>
          </w:p>
        </w:tc>
      </w:tr>
      <w:tr w:rsidRPr="00536F0C" w:rsidR="004368D4" w:rsidTr="00E800C4" w14:paraId="16559B73" w14:textId="77777777">
        <w:tc>
          <w:tcPr>
            <w:tcW w:w="2245" w:type="dxa"/>
          </w:tcPr>
          <w:p w:rsidR="004368D4" w:rsidP="008F5F5F" w:rsidRDefault="004368D4" w14:paraId="3926142B" w14:textId="4E7BA699">
            <w:pPr>
              <w:tabs>
                <w:tab w:val="left" w:pos="1440"/>
              </w:tabs>
              <w:jc w:val="center"/>
              <w:rPr>
                <w:color w:val="000000"/>
              </w:rPr>
            </w:pPr>
            <w:r>
              <w:rPr>
                <w:color w:val="000000"/>
              </w:rPr>
              <w:lastRenderedPageBreak/>
              <w:t>[5]</w:t>
            </w:r>
          </w:p>
          <w:p w:rsidR="00C63690" w:rsidP="008F5F5F" w:rsidRDefault="004368D4" w14:paraId="05D16606" w14:textId="77777777">
            <w:pPr>
              <w:tabs>
                <w:tab w:val="left" w:pos="1440"/>
              </w:tabs>
              <w:jc w:val="center"/>
              <w:rPr>
                <w:color w:val="000000"/>
              </w:rPr>
            </w:pPr>
            <w:r>
              <w:rPr>
                <w:color w:val="000000"/>
              </w:rPr>
              <w:t>Julia Severson</w:t>
            </w:r>
          </w:p>
          <w:p w:rsidRPr="00536F0C" w:rsidR="004368D4" w:rsidP="008F5F5F" w:rsidRDefault="004368D4" w14:paraId="3FA59AFA" w14:textId="6E27BED8">
            <w:pPr>
              <w:tabs>
                <w:tab w:val="left" w:pos="1440"/>
              </w:tabs>
              <w:jc w:val="center"/>
              <w:rPr>
                <w:color w:val="000000"/>
              </w:rPr>
            </w:pPr>
            <w:r>
              <w:rPr>
                <w:color w:val="000000"/>
              </w:rPr>
              <w:t>2022</w:t>
            </w:r>
            <w:r w:rsidRPr="00775132">
              <w:rPr>
                <w:color w:val="000000"/>
              </w:rPr>
              <w:t xml:space="preserve"> Hourly Rate</w:t>
            </w:r>
          </w:p>
        </w:tc>
        <w:tc>
          <w:tcPr>
            <w:tcW w:w="7115" w:type="dxa"/>
          </w:tcPr>
          <w:p w:rsidRPr="00536F0C" w:rsidR="004368D4" w:rsidP="001B0238" w:rsidRDefault="004368D4" w14:paraId="4F3744C2" w14:textId="15536417">
            <w:pPr>
              <w:tabs>
                <w:tab w:val="left" w:pos="1260"/>
              </w:tabs>
              <w:spacing w:after="240"/>
              <w:rPr>
                <w:color w:val="000000"/>
              </w:rPr>
            </w:pPr>
            <w:r>
              <w:rPr>
                <w:color w:val="000000"/>
              </w:rPr>
              <w:t xml:space="preserve">PCF requests an hourly rate of $120 for Julia Severson. </w:t>
            </w:r>
            <w:r w:rsidRPr="004E59EB">
              <w:rPr>
                <w:color w:val="000000"/>
              </w:rPr>
              <w:t>D.2</w:t>
            </w:r>
            <w:r>
              <w:rPr>
                <w:color w:val="000000"/>
              </w:rPr>
              <w:t>4</w:t>
            </w:r>
            <w:r w:rsidR="00B52830">
              <w:rPr>
                <w:color w:val="000000"/>
              </w:rPr>
              <w:noBreakHyphen/>
            </w:r>
            <w:r w:rsidRPr="004E59EB">
              <w:rPr>
                <w:color w:val="000000"/>
              </w:rPr>
              <w:t>0</w:t>
            </w:r>
            <w:r>
              <w:rPr>
                <w:color w:val="000000"/>
              </w:rPr>
              <w:t>9</w:t>
            </w:r>
            <w:r w:rsidR="00B52830">
              <w:rPr>
                <w:color w:val="000000"/>
              </w:rPr>
              <w:noBreakHyphen/>
            </w:r>
            <w:r w:rsidRPr="004E59EB">
              <w:rPr>
                <w:color w:val="000000"/>
              </w:rPr>
              <w:t>0</w:t>
            </w:r>
            <w:r>
              <w:rPr>
                <w:color w:val="000000"/>
              </w:rPr>
              <w:t>48</w:t>
            </w:r>
            <w:r w:rsidRPr="004E59EB">
              <w:rPr>
                <w:color w:val="000000"/>
              </w:rPr>
              <w:t xml:space="preserve"> verified a 2022 rate of $</w:t>
            </w:r>
            <w:r>
              <w:rPr>
                <w:color w:val="000000"/>
              </w:rPr>
              <w:t>12</w:t>
            </w:r>
            <w:r w:rsidRPr="004E59EB">
              <w:rPr>
                <w:color w:val="000000"/>
              </w:rPr>
              <w:t xml:space="preserve">0.00 for </w:t>
            </w:r>
            <w:r>
              <w:rPr>
                <w:color w:val="000000"/>
              </w:rPr>
              <w:t>Julia Severson</w:t>
            </w:r>
            <w:r w:rsidR="00DE327C">
              <w:rPr>
                <w:color w:val="000000"/>
              </w:rPr>
              <w:t>,</w:t>
            </w:r>
            <w:r>
              <w:rPr>
                <w:color w:val="000000"/>
              </w:rPr>
              <w:t xml:space="preserve"> therefore we adopt this rate </w:t>
            </w:r>
            <w:r w:rsidR="00E16C5B">
              <w:rPr>
                <w:color w:val="000000"/>
              </w:rPr>
              <w:t>here</w:t>
            </w:r>
            <w:r>
              <w:rPr>
                <w:color w:val="000000"/>
              </w:rPr>
              <w:t>.</w:t>
            </w:r>
          </w:p>
        </w:tc>
      </w:tr>
      <w:tr w:rsidRPr="00536F0C" w:rsidR="004368D4" w:rsidTr="00E800C4" w14:paraId="0241B632" w14:textId="77777777">
        <w:tc>
          <w:tcPr>
            <w:tcW w:w="2245" w:type="dxa"/>
          </w:tcPr>
          <w:p w:rsidR="00E16C5B" w:rsidP="008F5F5F" w:rsidRDefault="004368D4" w14:paraId="3C7D9F26" w14:textId="04FEC0DC">
            <w:pPr>
              <w:tabs>
                <w:tab w:val="left" w:pos="1440"/>
              </w:tabs>
              <w:jc w:val="center"/>
              <w:rPr>
                <w:color w:val="000000"/>
              </w:rPr>
            </w:pPr>
            <w:r>
              <w:rPr>
                <w:color w:val="000000"/>
              </w:rPr>
              <w:t>[</w:t>
            </w:r>
            <w:r w:rsidR="006E2E49">
              <w:rPr>
                <w:color w:val="000000"/>
              </w:rPr>
              <w:t>6</w:t>
            </w:r>
            <w:r>
              <w:rPr>
                <w:color w:val="000000"/>
              </w:rPr>
              <w:t>]</w:t>
            </w:r>
          </w:p>
          <w:p w:rsidR="00214AC3" w:rsidP="008F5F5F" w:rsidRDefault="004368D4" w14:paraId="3059190D" w14:textId="77777777">
            <w:pPr>
              <w:tabs>
                <w:tab w:val="left" w:pos="1440"/>
              </w:tabs>
              <w:jc w:val="center"/>
              <w:rPr>
                <w:color w:val="000000"/>
              </w:rPr>
            </w:pPr>
            <w:r>
              <w:rPr>
                <w:color w:val="000000"/>
              </w:rPr>
              <w:t>Andrea White</w:t>
            </w:r>
          </w:p>
          <w:p w:rsidRPr="00536F0C" w:rsidR="004368D4" w:rsidP="008F5F5F" w:rsidRDefault="004368D4" w14:paraId="6B8618D7" w14:textId="004D4B94">
            <w:pPr>
              <w:tabs>
                <w:tab w:val="left" w:pos="1440"/>
              </w:tabs>
              <w:jc w:val="center"/>
              <w:rPr>
                <w:color w:val="000000"/>
              </w:rPr>
            </w:pPr>
            <w:r>
              <w:rPr>
                <w:color w:val="000000"/>
              </w:rPr>
              <w:t>2024</w:t>
            </w:r>
            <w:r w:rsidRPr="00775132">
              <w:rPr>
                <w:color w:val="000000"/>
              </w:rPr>
              <w:t xml:space="preserve"> Hourly Rate</w:t>
            </w:r>
          </w:p>
        </w:tc>
        <w:tc>
          <w:tcPr>
            <w:tcW w:w="7115" w:type="dxa"/>
          </w:tcPr>
          <w:p w:rsidRPr="00536F0C" w:rsidR="004368D4" w:rsidP="001B0238" w:rsidRDefault="004368D4" w14:paraId="1273DF14" w14:textId="760DB162">
            <w:pPr>
              <w:tabs>
                <w:tab w:val="left" w:pos="1260"/>
              </w:tabs>
              <w:spacing w:after="240"/>
              <w:rPr>
                <w:color w:val="000000"/>
              </w:rPr>
            </w:pPr>
            <w:r w:rsidRPr="004E59EB">
              <w:rPr>
                <w:color w:val="000000"/>
              </w:rPr>
              <w:t>D.2</w:t>
            </w:r>
            <w:r>
              <w:rPr>
                <w:color w:val="000000"/>
              </w:rPr>
              <w:t>5</w:t>
            </w:r>
            <w:r w:rsidR="00B52830">
              <w:rPr>
                <w:color w:val="000000"/>
              </w:rPr>
              <w:noBreakHyphen/>
            </w:r>
            <w:r w:rsidRPr="004E59EB">
              <w:rPr>
                <w:color w:val="000000"/>
              </w:rPr>
              <w:t>0</w:t>
            </w:r>
            <w:r>
              <w:rPr>
                <w:color w:val="000000"/>
              </w:rPr>
              <w:t>4</w:t>
            </w:r>
            <w:r w:rsidR="00B52830">
              <w:rPr>
                <w:color w:val="000000"/>
              </w:rPr>
              <w:noBreakHyphen/>
            </w:r>
            <w:r w:rsidRPr="004E59EB">
              <w:rPr>
                <w:color w:val="000000"/>
              </w:rPr>
              <w:t>0</w:t>
            </w:r>
            <w:r>
              <w:rPr>
                <w:color w:val="000000"/>
              </w:rPr>
              <w:t>17</w:t>
            </w:r>
            <w:r w:rsidRPr="004E59EB">
              <w:rPr>
                <w:color w:val="000000"/>
              </w:rPr>
              <w:t xml:space="preserve"> verified a 202</w:t>
            </w:r>
            <w:r>
              <w:rPr>
                <w:color w:val="000000"/>
              </w:rPr>
              <w:t>4</w:t>
            </w:r>
            <w:r w:rsidRPr="004E59EB">
              <w:rPr>
                <w:color w:val="000000"/>
              </w:rPr>
              <w:t xml:space="preserve"> </w:t>
            </w:r>
            <w:r>
              <w:rPr>
                <w:color w:val="000000"/>
              </w:rPr>
              <w:t xml:space="preserve">hourly </w:t>
            </w:r>
            <w:r w:rsidRPr="004E59EB">
              <w:rPr>
                <w:color w:val="000000"/>
              </w:rPr>
              <w:t>rate of $</w:t>
            </w:r>
            <w:r>
              <w:rPr>
                <w:color w:val="000000"/>
              </w:rPr>
              <w:t>26</w:t>
            </w:r>
            <w:r w:rsidRPr="004E59EB">
              <w:rPr>
                <w:color w:val="000000"/>
              </w:rPr>
              <w:t xml:space="preserve">5.00 for </w:t>
            </w:r>
            <w:r>
              <w:rPr>
                <w:color w:val="000000"/>
              </w:rPr>
              <w:t>Andrea White</w:t>
            </w:r>
            <w:r w:rsidR="00DE327C">
              <w:rPr>
                <w:color w:val="000000"/>
              </w:rPr>
              <w:t xml:space="preserve">, </w:t>
            </w:r>
            <w:r>
              <w:rPr>
                <w:color w:val="000000"/>
              </w:rPr>
              <w:t>therefore we adopt this rate here. Preparation for Icomp is billed at 50%, therefore $132.50 an hour is adopted here.</w:t>
            </w:r>
          </w:p>
        </w:tc>
      </w:tr>
      <w:tr w:rsidRPr="00536F0C" w:rsidR="00657F6B" w:rsidTr="00E800C4" w14:paraId="76DE6AEC" w14:textId="77777777">
        <w:tc>
          <w:tcPr>
            <w:tcW w:w="2245" w:type="dxa"/>
          </w:tcPr>
          <w:p w:rsidR="00657F6B" w:rsidP="008F5F5F" w:rsidRDefault="00657F6B" w14:paraId="43015BCF" w14:textId="7F36DB7C">
            <w:pPr>
              <w:tabs>
                <w:tab w:val="left" w:pos="1440"/>
              </w:tabs>
              <w:jc w:val="center"/>
              <w:rPr>
                <w:color w:val="000000"/>
              </w:rPr>
            </w:pPr>
            <w:r>
              <w:rPr>
                <w:color w:val="000000"/>
              </w:rPr>
              <w:t>[</w:t>
            </w:r>
            <w:r w:rsidR="006E2E49">
              <w:rPr>
                <w:color w:val="000000"/>
              </w:rPr>
              <w:t>7</w:t>
            </w:r>
            <w:r>
              <w:rPr>
                <w:color w:val="000000"/>
              </w:rPr>
              <w:t>]</w:t>
            </w:r>
          </w:p>
          <w:p w:rsidR="00657F6B" w:rsidP="008F5F5F" w:rsidRDefault="00657F6B" w14:paraId="0DF79AC7" w14:textId="262BF36F">
            <w:pPr>
              <w:tabs>
                <w:tab w:val="left" w:pos="1440"/>
              </w:tabs>
              <w:jc w:val="center"/>
              <w:rPr>
                <w:color w:val="000000"/>
              </w:rPr>
            </w:pPr>
            <w:r>
              <w:rPr>
                <w:color w:val="000000"/>
              </w:rPr>
              <w:t>Excessive Hours</w:t>
            </w:r>
          </w:p>
        </w:tc>
        <w:tc>
          <w:tcPr>
            <w:tcW w:w="7115" w:type="dxa"/>
          </w:tcPr>
          <w:p w:rsidR="00657F6B" w:rsidP="001B0238" w:rsidRDefault="00657F6B" w14:paraId="366E0B04" w14:textId="77777777">
            <w:pPr>
              <w:tabs>
                <w:tab w:val="left" w:pos="1260"/>
              </w:tabs>
              <w:spacing w:after="240"/>
              <w:rPr>
                <w:color w:val="000000"/>
              </w:rPr>
            </w:pPr>
            <w:r w:rsidRPr="00567C50">
              <w:rPr>
                <w:color w:val="000000"/>
              </w:rPr>
              <w:t xml:space="preserve">Based on a review of the submitted timesheets, we find that many of the hours claimed </w:t>
            </w:r>
            <w:r>
              <w:rPr>
                <w:color w:val="000000"/>
              </w:rPr>
              <w:t xml:space="preserve">reflect </w:t>
            </w:r>
            <w:r w:rsidRPr="009B1D51">
              <w:rPr>
                <w:color w:val="000000"/>
              </w:rPr>
              <w:t>inefficiencies and unnecessary overlap among contributors</w:t>
            </w:r>
            <w:r w:rsidRPr="00567C50">
              <w:rPr>
                <w:color w:val="000000"/>
              </w:rPr>
              <w:t xml:space="preserve">. </w:t>
            </w:r>
            <w:r w:rsidRPr="00C80A55">
              <w:rPr>
                <w:color w:val="000000"/>
              </w:rPr>
              <w:t xml:space="preserve">The </w:t>
            </w:r>
            <w:r>
              <w:rPr>
                <w:color w:val="000000"/>
              </w:rPr>
              <w:t xml:space="preserve">time </w:t>
            </w:r>
            <w:r w:rsidRPr="00C80A55">
              <w:rPr>
                <w:color w:val="000000"/>
              </w:rPr>
              <w:t>record</w:t>
            </w:r>
            <w:r>
              <w:rPr>
                <w:color w:val="000000"/>
              </w:rPr>
              <w:t>s</w:t>
            </w:r>
            <w:r w:rsidRPr="00C80A55">
              <w:rPr>
                <w:color w:val="000000"/>
              </w:rPr>
              <w:t xml:space="preserve"> show multiple </w:t>
            </w:r>
            <w:r>
              <w:rPr>
                <w:color w:val="000000"/>
              </w:rPr>
              <w:t>representatives</w:t>
            </w:r>
            <w:r w:rsidRPr="00C80A55">
              <w:rPr>
                <w:color w:val="000000"/>
              </w:rPr>
              <w:t xml:space="preserve"> performing similar tasks, time devoted to activities with limited impact on the </w:t>
            </w:r>
            <w:r>
              <w:rPr>
                <w:color w:val="000000"/>
              </w:rPr>
              <w:t>proceeding</w:t>
            </w:r>
            <w:r w:rsidRPr="00C80A55">
              <w:rPr>
                <w:color w:val="000000"/>
              </w:rPr>
              <w:t xml:space="preserve"> record</w:t>
            </w:r>
            <w:r>
              <w:rPr>
                <w:color w:val="000000"/>
              </w:rPr>
              <w:t xml:space="preserve"> and decisions</w:t>
            </w:r>
            <w:r w:rsidRPr="00C80A55">
              <w:rPr>
                <w:color w:val="000000"/>
              </w:rPr>
              <w:t xml:space="preserve">, and substantial </w:t>
            </w:r>
            <w:r>
              <w:rPr>
                <w:color w:val="000000"/>
              </w:rPr>
              <w:t>time</w:t>
            </w:r>
            <w:r w:rsidRPr="00C80A55">
              <w:rPr>
                <w:color w:val="000000"/>
              </w:rPr>
              <w:t xml:space="preserve"> on issues where other parties </w:t>
            </w:r>
            <w:r w:rsidRPr="00567C50">
              <w:rPr>
                <w:color w:val="000000"/>
              </w:rPr>
              <w:t>provided similar contributions</w:t>
            </w:r>
            <w:r>
              <w:rPr>
                <w:color w:val="000000"/>
              </w:rPr>
              <w:t xml:space="preserve">. </w:t>
            </w:r>
          </w:p>
          <w:p w:rsidR="00657F6B" w:rsidP="001B0238" w:rsidRDefault="00657F6B" w14:paraId="1DEE74C8" w14:textId="271DB2D2">
            <w:pPr>
              <w:tabs>
                <w:tab w:val="left" w:pos="1260"/>
              </w:tabs>
              <w:spacing w:after="240"/>
            </w:pPr>
            <w:r w:rsidRPr="00567C50">
              <w:rPr>
                <w:color w:val="000000"/>
              </w:rPr>
              <w:t xml:space="preserve">Although </w:t>
            </w:r>
            <w:r>
              <w:rPr>
                <w:color w:val="000000"/>
              </w:rPr>
              <w:t>PCF</w:t>
            </w:r>
            <w:r w:rsidRPr="00567C50">
              <w:rPr>
                <w:color w:val="000000"/>
              </w:rPr>
              <w:t xml:space="preserve"> presented testimony and participated actively, the hours </w:t>
            </w:r>
            <w:r>
              <w:rPr>
                <w:color w:val="000000"/>
              </w:rPr>
              <w:t>requested</w:t>
            </w:r>
            <w:r w:rsidRPr="00567C50">
              <w:rPr>
                <w:color w:val="000000"/>
              </w:rPr>
              <w:t xml:space="preserve"> </w:t>
            </w:r>
            <w:r>
              <w:rPr>
                <w:color w:val="000000"/>
              </w:rPr>
              <w:t>are</w:t>
            </w:r>
            <w:r w:rsidRPr="00567C50">
              <w:rPr>
                <w:color w:val="000000"/>
              </w:rPr>
              <w:t xml:space="preserve"> not </w:t>
            </w:r>
            <w:r w:rsidRPr="00741853">
              <w:rPr>
                <w:color w:val="000000"/>
              </w:rPr>
              <w:t>proportionate to the contribution reflected in the final decisions</w:t>
            </w:r>
            <w:r w:rsidRPr="00567C50">
              <w:rPr>
                <w:color w:val="000000"/>
              </w:rPr>
              <w:t xml:space="preserve">. </w:t>
            </w:r>
            <w:r>
              <w:t xml:space="preserve">Portions of </w:t>
            </w:r>
            <w:r w:rsidRPr="008F3940">
              <w:t>PCF</w:t>
            </w:r>
            <w:r w:rsidR="004E6167">
              <w:t>’</w:t>
            </w:r>
            <w:r w:rsidRPr="008F3940">
              <w:t xml:space="preserve">s work </w:t>
            </w:r>
            <w:r>
              <w:t>were</w:t>
            </w:r>
            <w:r w:rsidRPr="008F3940">
              <w:t xml:space="preserve"> meaningful, </w:t>
            </w:r>
            <w:r>
              <w:t>but t</w:t>
            </w:r>
            <w:r w:rsidRPr="00053A5B">
              <w:t xml:space="preserve">heir overall impact was </w:t>
            </w:r>
            <w:r>
              <w:t>limited in scope</w:t>
            </w:r>
            <w:r w:rsidR="00DE327C">
              <w:t xml:space="preserve"> compared to the time and compensation requested</w:t>
            </w:r>
            <w:r>
              <w:t xml:space="preserve">. </w:t>
            </w:r>
            <w:r w:rsidRPr="008F3940">
              <w:t>PCF</w:t>
            </w:r>
            <w:r w:rsidR="004E6167">
              <w:t>’</w:t>
            </w:r>
            <w:r w:rsidRPr="008F3940">
              <w:t xml:space="preserve">s </w:t>
            </w:r>
            <w:r>
              <w:t xml:space="preserve">request of </w:t>
            </w:r>
            <w:r w:rsidRPr="008F3940">
              <w:t xml:space="preserve">nearly $600,000 significantly </w:t>
            </w:r>
            <w:r>
              <w:t>exceeds</w:t>
            </w:r>
            <w:r w:rsidRPr="008F3940">
              <w:t xml:space="preserve"> what is </w:t>
            </w:r>
            <w:r w:rsidR="00DE327C">
              <w:t>expected</w:t>
            </w:r>
            <w:r w:rsidRPr="008F3940">
              <w:t xml:space="preserve"> for the </w:t>
            </w:r>
            <w:r>
              <w:t>level</w:t>
            </w:r>
            <w:r w:rsidRPr="008F3940">
              <w:t xml:space="preserve"> of participation demonstrated </w:t>
            </w:r>
            <w:r>
              <w:t>here</w:t>
            </w:r>
            <w:r w:rsidRPr="008F3940">
              <w:t xml:space="preserve">. By </w:t>
            </w:r>
            <w:r>
              <w:t>comparison</w:t>
            </w:r>
            <w:r w:rsidRPr="008F3940">
              <w:t xml:space="preserve">, </w:t>
            </w:r>
            <w:r>
              <w:t xml:space="preserve">TURN participated at a </w:t>
            </w:r>
            <w:r w:rsidRPr="009D3AE7">
              <w:t xml:space="preserve">comparable level, </w:t>
            </w:r>
            <w:r>
              <w:t xml:space="preserve">with </w:t>
            </w:r>
            <w:r w:rsidRPr="009D3AE7">
              <w:t>similar issue coverage, and participation across the same phases of the proceeding</w:t>
            </w:r>
            <w:r>
              <w:t>, yet requested</w:t>
            </w:r>
            <w:r w:rsidRPr="009D3AE7">
              <w:t xml:space="preserve"> approximately $281,000</w:t>
            </w:r>
            <w:r>
              <w:t xml:space="preserve">, </w:t>
            </w:r>
            <w:r w:rsidRPr="008F3940">
              <w:t>less than half of PCF</w:t>
            </w:r>
            <w:r w:rsidR="004E6167">
              <w:t>’</w:t>
            </w:r>
            <w:r w:rsidRPr="008F3940">
              <w:t>s request</w:t>
            </w:r>
            <w:r>
              <w:t xml:space="preserve"> (even after excluding PCF</w:t>
            </w:r>
            <w:r w:rsidR="004E6167">
              <w:t>’</w:t>
            </w:r>
            <w:r w:rsidR="00DE327C">
              <w:t>s</w:t>
            </w:r>
            <w:r>
              <w:t xml:space="preserve"> hours related to </w:t>
            </w:r>
            <w:r>
              <w:lastRenderedPageBreak/>
              <w:t>D.23</w:t>
            </w:r>
            <w:r w:rsidR="00B52830">
              <w:noBreakHyphen/>
            </w:r>
            <w:r>
              <w:t>08</w:t>
            </w:r>
            <w:r w:rsidR="00B52830">
              <w:noBreakHyphen/>
            </w:r>
            <w:r>
              <w:t>028, (the decision denying the Application for Rehearing (AFR))</w:t>
            </w:r>
            <w:r w:rsidRPr="008F3940">
              <w:t xml:space="preserve">. This comparison </w:t>
            </w:r>
            <w:r>
              <w:t xml:space="preserve">additionally </w:t>
            </w:r>
            <w:r w:rsidRPr="008F3940">
              <w:t>provides an objective benchmark showing that PCF</w:t>
            </w:r>
            <w:r w:rsidR="004E6167">
              <w:t>’</w:t>
            </w:r>
            <w:r w:rsidRPr="008F3940">
              <w:t>s claimed hours are excessive relative to the contribution demonstrated in the record.</w:t>
            </w:r>
          </w:p>
          <w:p w:rsidR="00657F6B" w:rsidP="001B0238" w:rsidRDefault="00657F6B" w14:paraId="6002E543" w14:textId="7B049E58">
            <w:pPr>
              <w:tabs>
                <w:tab w:val="left" w:pos="1260"/>
              </w:tabs>
              <w:spacing w:after="240"/>
            </w:pPr>
            <w:r>
              <w:t xml:space="preserve">PCF also seeks compensation for 19.40 hours ($12,901) associated with work on its AFR. The AFR was ultimately denied because: </w:t>
            </w:r>
            <w:r w:rsidR="004E6167">
              <w:t>“</w:t>
            </w:r>
            <w:r w:rsidRPr="009D3AE7">
              <w:rPr>
                <w:i/>
                <w:iCs/>
              </w:rPr>
              <w:t>PCF</w:t>
            </w:r>
            <w:r w:rsidR="004E6167">
              <w:rPr>
                <w:i/>
                <w:iCs/>
              </w:rPr>
              <w:t>’</w:t>
            </w:r>
            <w:r w:rsidRPr="009D3AE7">
              <w:rPr>
                <w:i/>
                <w:iCs/>
              </w:rPr>
              <w:t>s allegations of error in the decision simply express differences of opinion. What the applicants are actually requesting is that the Commission reweigh the evidence, which constitutes an attempt to relitigate the issues. A rehearing application is not a permissible vehicle for a party to ask the Commission to reweigh the evidence; such a request does not constitute an allegation of legal error.</w:t>
            </w:r>
            <w:r w:rsidR="004E6167">
              <w:t>”</w:t>
            </w:r>
            <w:r>
              <w:rPr>
                <w:rStyle w:val="FootnoteReference"/>
              </w:rPr>
              <w:footnoteReference w:id="8"/>
            </w:r>
            <w:r>
              <w:t xml:space="preserve">  The AFR did not introduce new evidence or demonstrate legal error but instead sought to have the Commission reweigh previously considered evidence and relitigate issues. </w:t>
            </w:r>
            <w:r w:rsidRPr="00B60D39">
              <w:t>Under these circumstances, the time devoted to that effort did not advance the proceeding</w:t>
            </w:r>
            <w:r>
              <w:t xml:space="preserve"> or contribute effectively to the decision</w:t>
            </w:r>
            <w:r w:rsidR="00B52830">
              <w:noBreakHyphen/>
            </w:r>
            <w:r>
              <w:t>making process.</w:t>
            </w:r>
          </w:p>
          <w:p w:rsidRPr="004E59EB" w:rsidR="00657F6B" w:rsidP="00C95B78" w:rsidRDefault="00657F6B" w14:paraId="6EF98E8B" w14:textId="045D5DB2">
            <w:pPr>
              <w:tabs>
                <w:tab w:val="left" w:pos="1260"/>
              </w:tabs>
              <w:spacing w:after="240"/>
              <w:rPr>
                <w:color w:val="000000"/>
              </w:rPr>
            </w:pPr>
            <w:r w:rsidRPr="008F3940">
              <w:t>For these reasons, a 60 percent reduction to PCF</w:t>
            </w:r>
            <w:r w:rsidR="004E6167">
              <w:t>’</w:t>
            </w:r>
            <w:r w:rsidRPr="008F3940">
              <w:t>s substantive hours</w:t>
            </w:r>
            <w:r>
              <w:t xml:space="preserve"> (excluding claim preparation hours) </w:t>
            </w:r>
            <w:r w:rsidRPr="008F3940">
              <w:t xml:space="preserve">is reasonable and necessary. </w:t>
            </w:r>
            <w:r>
              <w:t>The adjustment</w:t>
            </w:r>
            <w:r w:rsidRPr="008F3940">
              <w:t xml:space="preserve"> </w:t>
            </w:r>
            <w:r>
              <w:t>r</w:t>
            </w:r>
            <w:r w:rsidRPr="00AA28C5">
              <w:t>eflects the scope of P</w:t>
            </w:r>
            <w:r>
              <w:t>CF</w:t>
            </w:r>
            <w:r w:rsidR="004E6167">
              <w:t>’</w:t>
            </w:r>
            <w:r w:rsidRPr="00AA28C5">
              <w:t>s demonstrated contribution and aligns the award with the level of participation supported by the record</w:t>
            </w:r>
            <w:r w:rsidRPr="008F3940">
              <w:t>.</w:t>
            </w:r>
            <w:r w:rsidRPr="00567C50">
              <w:rPr>
                <w:color w:val="000000"/>
              </w:rPr>
              <w:t xml:space="preserve"> </w:t>
            </w:r>
          </w:p>
        </w:tc>
      </w:tr>
      <w:tr w:rsidRPr="00536F0C" w:rsidR="004368D4" w:rsidTr="00E800C4" w14:paraId="29E0E742" w14:textId="77777777">
        <w:tc>
          <w:tcPr>
            <w:tcW w:w="2245" w:type="dxa"/>
          </w:tcPr>
          <w:p w:rsidR="00E53A96" w:rsidP="008F5F5F" w:rsidRDefault="00E53A96" w14:paraId="517AB165" w14:textId="27C0EBE9">
            <w:pPr>
              <w:tabs>
                <w:tab w:val="left" w:pos="1440"/>
              </w:tabs>
              <w:jc w:val="center"/>
              <w:rPr>
                <w:color w:val="000000"/>
              </w:rPr>
            </w:pPr>
            <w:r>
              <w:rPr>
                <w:color w:val="000000"/>
              </w:rPr>
              <w:lastRenderedPageBreak/>
              <w:t>[</w:t>
            </w:r>
            <w:r w:rsidR="006E2E49">
              <w:rPr>
                <w:color w:val="000000"/>
              </w:rPr>
              <w:t>8</w:t>
            </w:r>
            <w:r>
              <w:rPr>
                <w:color w:val="000000"/>
              </w:rPr>
              <w:t>]</w:t>
            </w:r>
          </w:p>
          <w:p w:rsidR="005B2293" w:rsidP="008F5F5F" w:rsidRDefault="00E53A96" w14:paraId="4610F571" w14:textId="77777777">
            <w:pPr>
              <w:tabs>
                <w:tab w:val="left" w:pos="1440"/>
              </w:tabs>
              <w:jc w:val="center"/>
              <w:rPr>
                <w:color w:val="000000"/>
              </w:rPr>
            </w:pPr>
            <w:r>
              <w:rPr>
                <w:color w:val="000000"/>
              </w:rPr>
              <w:t>Intervenor Responsibility for</w:t>
            </w:r>
          </w:p>
          <w:p w:rsidR="005B2293" w:rsidP="008F5F5F" w:rsidRDefault="00E53A96" w14:paraId="7AABB8B2" w14:textId="77777777">
            <w:pPr>
              <w:tabs>
                <w:tab w:val="left" w:pos="1440"/>
              </w:tabs>
              <w:jc w:val="center"/>
              <w:rPr>
                <w:color w:val="000000"/>
              </w:rPr>
            </w:pPr>
            <w:r>
              <w:rPr>
                <w:color w:val="000000"/>
              </w:rPr>
              <w:t>Transparency and</w:t>
            </w:r>
          </w:p>
          <w:p w:rsidR="005B2293" w:rsidP="008F5F5F" w:rsidRDefault="00E53A96" w14:paraId="23021330" w14:textId="77777777">
            <w:pPr>
              <w:tabs>
                <w:tab w:val="left" w:pos="1440"/>
              </w:tabs>
              <w:jc w:val="center"/>
              <w:rPr>
                <w:color w:val="000000"/>
              </w:rPr>
            </w:pPr>
            <w:r>
              <w:rPr>
                <w:color w:val="000000"/>
              </w:rPr>
              <w:t>Accuracy in</w:t>
            </w:r>
          </w:p>
          <w:p w:rsidR="005B2293" w:rsidP="008F5F5F" w:rsidRDefault="00E53A96" w14:paraId="58192AA6" w14:textId="77777777">
            <w:pPr>
              <w:tabs>
                <w:tab w:val="left" w:pos="1440"/>
              </w:tabs>
              <w:jc w:val="center"/>
              <w:rPr>
                <w:color w:val="000000"/>
              </w:rPr>
            </w:pPr>
            <w:r>
              <w:rPr>
                <w:color w:val="000000"/>
              </w:rPr>
              <w:t>Compensation</w:t>
            </w:r>
          </w:p>
          <w:p w:rsidR="004368D4" w:rsidP="008F5F5F" w:rsidRDefault="00E53A96" w14:paraId="534833E2" w14:textId="1C25256B">
            <w:pPr>
              <w:tabs>
                <w:tab w:val="left" w:pos="1440"/>
              </w:tabs>
              <w:jc w:val="center"/>
              <w:rPr>
                <w:color w:val="000000"/>
              </w:rPr>
            </w:pPr>
            <w:r>
              <w:rPr>
                <w:color w:val="000000"/>
              </w:rPr>
              <w:t>Requests</w:t>
            </w:r>
          </w:p>
        </w:tc>
        <w:tc>
          <w:tcPr>
            <w:tcW w:w="7115" w:type="dxa"/>
          </w:tcPr>
          <w:p w:rsidR="00E53A96" w:rsidP="00C95B78" w:rsidRDefault="00E53A96" w14:paraId="6DA13220" w14:textId="36A6D70C">
            <w:pPr>
              <w:tabs>
                <w:tab w:val="left" w:pos="1260"/>
              </w:tabs>
              <w:spacing w:after="240"/>
              <w:rPr>
                <w:bCs/>
              </w:rPr>
            </w:pPr>
            <w:r>
              <w:rPr>
                <w:bCs/>
              </w:rPr>
              <w:t>The Commission takes this opportunity to remind all intervenors that they bear the burden of providing accurate, complete, and honest information in all compensation requests. The Commission relies on intervenors</w:t>
            </w:r>
            <w:r w:rsidR="004E6167">
              <w:rPr>
                <w:bCs/>
              </w:rPr>
              <w:t>’</w:t>
            </w:r>
            <w:r>
              <w:rPr>
                <w:bCs/>
              </w:rPr>
              <w:t xml:space="preserve"> good faith representations, particularly regarding consultant agreements and payments, as it does not have the resources to review every contract or non</w:t>
            </w:r>
            <w:r w:rsidR="00B52830">
              <w:rPr>
                <w:bCs/>
              </w:rPr>
              <w:noBreakHyphen/>
            </w:r>
            <w:r>
              <w:rPr>
                <w:bCs/>
              </w:rPr>
              <w:t>standard arrangement in detail.</w:t>
            </w:r>
          </w:p>
          <w:p w:rsidR="00E53A96" w:rsidP="00C95B78" w:rsidRDefault="00E53A96" w14:paraId="7808FA24" w14:textId="77777777">
            <w:pPr>
              <w:tabs>
                <w:tab w:val="left" w:pos="1260"/>
              </w:tabs>
              <w:spacing w:after="240"/>
              <w:rPr>
                <w:bCs/>
              </w:rPr>
            </w:pPr>
            <w:r>
              <w:rPr>
                <w:bCs/>
              </w:rPr>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645827" w:rsidR="004368D4" w:rsidP="00C95B78" w:rsidRDefault="00E53A96" w14:paraId="13FB4709" w14:textId="265EBE65">
            <w:pPr>
              <w:tabs>
                <w:tab w:val="left" w:pos="1260"/>
              </w:tabs>
              <w:spacing w:after="240"/>
              <w:rPr>
                <w:bCs/>
              </w:rPr>
            </w:pPr>
            <w:r>
              <w:rPr>
                <w:bCs/>
              </w:rPr>
              <w:t>The Commission has clear authority to audit intervenors</w:t>
            </w:r>
            <w:r w:rsidR="004E6167">
              <w:rPr>
                <w:bCs/>
              </w:rPr>
              <w:t>’</w:t>
            </w:r>
            <w:r>
              <w:rPr>
                <w:bCs/>
              </w:rPr>
              <w:t xml:space="preserve"> books and records to verify the basis for any award. Intervenors must therefore </w:t>
            </w:r>
            <w:r>
              <w:rPr>
                <w:bCs/>
              </w:rPr>
              <w:lastRenderedPageBreak/>
              <w:t>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Pr="00536F0C" w:rsidR="00A92D0B" w:rsidP="008F5F5F" w:rsidRDefault="00A92D0B" w14:paraId="18E9D359" w14:textId="6CF07914">
      <w:pPr>
        <w:keepNext/>
        <w:tabs>
          <w:tab w:val="left" w:pos="1260"/>
        </w:tabs>
        <w:spacing w:before="480"/>
        <w:jc w:val="center"/>
        <w:rPr>
          <w:b/>
          <w:color w:val="000000"/>
        </w:rPr>
      </w:pPr>
      <w:r w:rsidRPr="00536F0C">
        <w:rPr>
          <w:b/>
          <w:color w:val="000000"/>
        </w:rPr>
        <w:lastRenderedPageBreak/>
        <w:t>PART IV:</w:t>
      </w:r>
      <w:r w:rsidRPr="00536F0C" w:rsidR="00D1778A">
        <w:rPr>
          <w:b/>
          <w:color w:val="000000"/>
        </w:rPr>
        <w:t xml:space="preserve">  </w:t>
      </w:r>
      <w:r w:rsidRPr="00536F0C">
        <w:rPr>
          <w:b/>
          <w:color w:val="000000"/>
        </w:rPr>
        <w:t>OPPOSITIONS AND COMMENTS</w:t>
      </w:r>
    </w:p>
    <w:p w:rsidRPr="00536F0C" w:rsidR="00D1778A" w:rsidP="008F5F5F" w:rsidRDefault="00A92D0B" w14:paraId="4E460EA0" w14:textId="77777777">
      <w:pPr>
        <w:keepNext/>
        <w:tabs>
          <w:tab w:val="left" w:pos="1260"/>
        </w:tabs>
        <w:ind w:left="1267" w:hanging="1267"/>
        <w:jc w:val="center"/>
        <w:rPr>
          <w:b/>
          <w:color w:val="000000"/>
        </w:rPr>
      </w:pPr>
      <w:r w:rsidRPr="00536F0C">
        <w:rPr>
          <w:b/>
          <w:color w:val="000000"/>
        </w:rPr>
        <w:t>Within 30 days after service of this Claim, Commission Staff</w:t>
      </w:r>
    </w:p>
    <w:p w:rsidRPr="00536F0C" w:rsidR="00A92D0B" w:rsidP="008F5F5F" w:rsidRDefault="00A92D0B" w14:paraId="5D5DC317" w14:textId="10B324CA">
      <w:pPr>
        <w:keepNext/>
        <w:tabs>
          <w:tab w:val="left" w:pos="1260"/>
        </w:tabs>
        <w:spacing w:after="240"/>
        <w:ind w:left="1267" w:hanging="1267"/>
        <w:jc w:val="center"/>
        <w:rPr>
          <w:b/>
          <w:color w:val="000000"/>
        </w:rPr>
      </w:pPr>
      <w:r w:rsidRPr="00536F0C">
        <w:rPr>
          <w:b/>
          <w:color w:val="000000"/>
        </w:rPr>
        <w:t>or any other party may file a response to the Claim (</w:t>
      </w:r>
      <w:r w:rsidRPr="00536F0C">
        <w:rPr>
          <w:b/>
          <w:i/>
          <w:color w:val="000000"/>
        </w:rPr>
        <w:t>see</w:t>
      </w:r>
      <w:r w:rsidRPr="00536F0C">
        <w:rPr>
          <w:b/>
          <w:color w:val="000000"/>
        </w:rPr>
        <w:t xml:space="preserve"> </w:t>
      </w:r>
      <w:r w:rsidR="004E6167">
        <w:rPr>
          <w:b/>
          <w:color w:val="000000"/>
        </w:rPr>
        <w:t>§ </w:t>
      </w:r>
      <w:r w:rsidRPr="00536F0C">
        <w:rPr>
          <w:b/>
          <w:color w:val="000000"/>
        </w:rPr>
        <w:t>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333"/>
        <w:gridCol w:w="2027"/>
      </w:tblGrid>
      <w:tr w:rsidRPr="00536F0C" w:rsidR="00A92D0B" w:rsidTr="00F17AE2" w14:paraId="46A51699" w14:textId="77777777">
        <w:tc>
          <w:tcPr>
            <w:tcW w:w="7336" w:type="dxa"/>
          </w:tcPr>
          <w:p w:rsidRPr="00536F0C" w:rsidR="00A92D0B" w:rsidP="00624FA0" w:rsidRDefault="00A92D0B" w14:paraId="607B1FB9" w14:textId="639D7800">
            <w:pPr>
              <w:keepNext/>
              <w:ind w:left="360" w:hanging="360"/>
              <w:rPr>
                <w:color w:val="000000"/>
              </w:rPr>
            </w:pPr>
            <w:r w:rsidRPr="00536F0C">
              <w:rPr>
                <w:b/>
                <w:color w:val="000000"/>
              </w:rPr>
              <w:t>A.</w:t>
            </w:r>
            <w:r w:rsidRPr="00536F0C" w:rsidR="005A3018">
              <w:rPr>
                <w:b/>
                <w:color w:val="000000"/>
              </w:rPr>
              <w:tab/>
            </w:r>
            <w:r w:rsidRPr="00536F0C">
              <w:rPr>
                <w:b/>
                <w:color w:val="000000"/>
              </w:rPr>
              <w:t>Opposition:  Did any party oppose the Claim?</w:t>
            </w:r>
          </w:p>
        </w:tc>
        <w:tc>
          <w:tcPr>
            <w:tcW w:w="2024" w:type="dxa"/>
          </w:tcPr>
          <w:p w:rsidRPr="00536F0C" w:rsidR="00A92D0B" w:rsidP="00624FA0" w:rsidRDefault="004A490C" w14:paraId="6E7CD931" w14:textId="1A410D49">
            <w:pPr>
              <w:keepNext/>
              <w:rPr>
                <w:color w:val="000000"/>
              </w:rPr>
            </w:pPr>
            <w:r>
              <w:rPr>
                <w:color w:val="000000"/>
              </w:rPr>
              <w:t>No</w:t>
            </w:r>
          </w:p>
        </w:tc>
      </w:tr>
      <w:tr w:rsidRPr="00536F0C" w:rsidR="00A92D0B" w:rsidTr="00F17AE2" w14:paraId="7A0D8740" w14:textId="77777777">
        <w:tc>
          <w:tcPr>
            <w:tcW w:w="7332" w:type="dxa"/>
          </w:tcPr>
          <w:p w:rsidRPr="00536F0C" w:rsidR="00A92D0B" w:rsidP="00624FA0" w:rsidRDefault="00A92D0B" w14:paraId="37D28D8D" w14:textId="19772234">
            <w:pPr>
              <w:ind w:left="360" w:hanging="360"/>
              <w:rPr>
                <w:color w:val="000000"/>
              </w:rPr>
            </w:pPr>
            <w:r w:rsidRPr="00536F0C">
              <w:rPr>
                <w:b/>
                <w:color w:val="000000"/>
              </w:rPr>
              <w:t>B.</w:t>
            </w:r>
            <w:r w:rsidRPr="00536F0C" w:rsidR="005A3018">
              <w:rPr>
                <w:b/>
                <w:color w:val="000000"/>
              </w:rPr>
              <w:tab/>
            </w:r>
            <w:r w:rsidRPr="00536F0C">
              <w:rPr>
                <w:b/>
                <w:color w:val="000000"/>
              </w:rPr>
              <w:t>Comment Period:  Was the 30</w:t>
            </w:r>
            <w:r w:rsidR="00B52830">
              <w:rPr>
                <w:b/>
                <w:color w:val="000000"/>
              </w:rPr>
              <w:noBreakHyphen/>
            </w:r>
            <w:r w:rsidRPr="00536F0C">
              <w:rPr>
                <w:b/>
                <w:color w:val="000000"/>
              </w:rPr>
              <w:t>day comment period waived (</w:t>
            </w:r>
            <w:r w:rsidRPr="00536F0C">
              <w:rPr>
                <w:b/>
                <w:i/>
                <w:color w:val="000000"/>
              </w:rPr>
              <w:t>see</w:t>
            </w:r>
            <w:r w:rsidRPr="00536F0C" w:rsidR="00A60203">
              <w:rPr>
                <w:b/>
                <w:color w:val="000000"/>
              </w:rPr>
              <w:t> </w:t>
            </w:r>
            <w:r w:rsidRPr="00536F0C">
              <w:rPr>
                <w:b/>
                <w:color w:val="000000"/>
              </w:rPr>
              <w:t>Rule 14.6(</w:t>
            </w:r>
            <w:r w:rsidRPr="00536F0C" w:rsidR="00963EEF">
              <w:rPr>
                <w:b/>
                <w:color w:val="000000"/>
              </w:rPr>
              <w:t>c</w:t>
            </w:r>
            <w:r w:rsidRPr="00536F0C">
              <w:rPr>
                <w:b/>
                <w:color w:val="000000"/>
              </w:rPr>
              <w:t>)(6))?</w:t>
            </w:r>
          </w:p>
        </w:tc>
        <w:tc>
          <w:tcPr>
            <w:tcW w:w="2028" w:type="dxa"/>
          </w:tcPr>
          <w:p w:rsidRPr="00536F0C" w:rsidR="00A92D0B" w:rsidP="00624FA0" w:rsidRDefault="002D02EF" w14:paraId="238D2D3F" w14:textId="6A8324F7">
            <w:pPr>
              <w:keepNext/>
              <w:rPr>
                <w:color w:val="000000"/>
              </w:rPr>
            </w:pPr>
            <w:r>
              <w:rPr>
                <w:color w:val="000000"/>
              </w:rPr>
              <w:t>No</w:t>
            </w:r>
          </w:p>
        </w:tc>
      </w:tr>
    </w:tbl>
    <w:p w:rsidRPr="007F620E" w:rsidR="00907D86" w:rsidP="008F5F5F" w:rsidRDefault="00907D86" w14:paraId="1E467BEF" w14:textId="2AAECD6B">
      <w:pPr>
        <w:keepNext/>
        <w:spacing w:before="240" w:after="240"/>
        <w:ind w:firstLine="720"/>
        <w:rPr>
          <w:color w:val="000000"/>
        </w:rPr>
      </w:pPr>
      <w:r w:rsidRPr="007F620E">
        <w:rPr>
          <w:color w:val="000000"/>
        </w:rPr>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615"/>
        <w:gridCol w:w="3510"/>
        <w:gridCol w:w="4235"/>
      </w:tblGrid>
      <w:tr w:rsidRPr="007F620E" w:rsidR="00907D86" w:rsidTr="00445E1C" w14:paraId="2504B573" w14:textId="77777777">
        <w:trPr>
          <w:tblHeader/>
        </w:trPr>
        <w:tc>
          <w:tcPr>
            <w:tcW w:w="1615" w:type="dxa"/>
            <w:shd w:val="pct12" w:color="auto" w:fill="auto"/>
            <w:vAlign w:val="bottom"/>
          </w:tcPr>
          <w:p w:rsidRPr="007F620E" w:rsidR="00907D86" w:rsidP="001F715B" w:rsidRDefault="00907D86" w14:paraId="556AC5E6" w14:textId="77777777">
            <w:pPr>
              <w:keepNext/>
              <w:jc w:val="center"/>
              <w:rPr>
                <w:b/>
                <w:color w:val="000000"/>
              </w:rPr>
            </w:pPr>
            <w:r w:rsidRPr="007F620E">
              <w:rPr>
                <w:b/>
                <w:color w:val="000000"/>
              </w:rPr>
              <w:t>Party</w:t>
            </w:r>
          </w:p>
        </w:tc>
        <w:tc>
          <w:tcPr>
            <w:tcW w:w="3510" w:type="dxa"/>
            <w:shd w:val="pct12" w:color="auto" w:fill="auto"/>
            <w:vAlign w:val="bottom"/>
          </w:tcPr>
          <w:p w:rsidRPr="007F620E" w:rsidR="00907D86" w:rsidP="001F715B" w:rsidRDefault="00907D86" w14:paraId="7C36DE32" w14:textId="77777777">
            <w:pPr>
              <w:keepNext/>
              <w:jc w:val="center"/>
              <w:rPr>
                <w:color w:val="000000"/>
              </w:rPr>
            </w:pPr>
            <w:r w:rsidRPr="007F620E">
              <w:rPr>
                <w:b/>
                <w:color w:val="000000"/>
              </w:rPr>
              <w:t>Comment</w:t>
            </w:r>
          </w:p>
        </w:tc>
        <w:tc>
          <w:tcPr>
            <w:tcW w:w="4235" w:type="dxa"/>
            <w:shd w:val="pct12" w:color="auto" w:fill="auto"/>
            <w:vAlign w:val="bottom"/>
          </w:tcPr>
          <w:p w:rsidRPr="007F620E" w:rsidR="00907D86" w:rsidP="001F715B" w:rsidRDefault="00907D86" w14:paraId="5FF7159B" w14:textId="77777777">
            <w:pPr>
              <w:keepNext/>
              <w:jc w:val="center"/>
              <w:rPr>
                <w:color w:val="000000"/>
              </w:rPr>
            </w:pPr>
            <w:r w:rsidRPr="007F620E">
              <w:rPr>
                <w:b/>
                <w:color w:val="000000"/>
              </w:rPr>
              <w:t>CPUC Discussion</w:t>
            </w:r>
          </w:p>
        </w:tc>
      </w:tr>
      <w:tr w:rsidRPr="007F620E" w:rsidR="00907D86" w:rsidTr="00445E1C" w14:paraId="2051DA33" w14:textId="77777777">
        <w:tc>
          <w:tcPr>
            <w:tcW w:w="1615" w:type="dxa"/>
          </w:tcPr>
          <w:p w:rsidRPr="007F620E" w:rsidR="00907D86" w:rsidP="00813BFA" w:rsidRDefault="0056312C" w14:paraId="40B1C3F6" w14:textId="2F8E1E61">
            <w:pPr>
              <w:spacing w:after="120"/>
              <w:rPr>
                <w:color w:val="000000"/>
              </w:rPr>
            </w:pPr>
            <w:r w:rsidRPr="006440DA">
              <w:rPr>
                <w:lang w:val="en-ZW"/>
              </w:rPr>
              <w:t>Protect Our Communities Foundation</w:t>
            </w:r>
          </w:p>
        </w:tc>
        <w:tc>
          <w:tcPr>
            <w:tcW w:w="3510" w:type="dxa"/>
          </w:tcPr>
          <w:p w:rsidR="00A7303D" w:rsidP="00AB0B51" w:rsidRDefault="00A7303D" w14:paraId="2BBE666E" w14:textId="6BDC5326">
            <w:pPr>
              <w:spacing w:after="240"/>
              <w:rPr>
                <w:b/>
                <w:bCs/>
                <w:lang w:val="en-ZW"/>
              </w:rPr>
            </w:pPr>
            <w:r w:rsidRPr="0064320E">
              <w:rPr>
                <w:b/>
                <w:bCs/>
                <w:lang w:val="en-ZW"/>
              </w:rPr>
              <w:t>Reductions:</w:t>
            </w:r>
          </w:p>
          <w:p w:rsidRPr="000B69BD" w:rsidR="000B69BD" w:rsidP="0064320E" w:rsidRDefault="0056312C" w14:paraId="6510FA35" w14:textId="4FBCFFD5">
            <w:pPr>
              <w:spacing w:after="240"/>
              <w:rPr>
                <w:lang w:val="en-ZW"/>
              </w:rPr>
            </w:pPr>
            <w:r w:rsidRPr="000B69BD">
              <w:rPr>
                <w:lang w:val="en-ZW"/>
              </w:rPr>
              <w:t xml:space="preserve">Protect Our Communities Foundation argues that the Proposed Decision wrongly reduces it requested intervenor compensation by 60% without legal or factual support. </w:t>
            </w:r>
            <w:r w:rsidRPr="000B69BD" w:rsidR="006F3027">
              <w:rPr>
                <w:lang w:val="en-ZW"/>
              </w:rPr>
              <w:t>PCF’s</w:t>
            </w:r>
            <w:r w:rsidRPr="000B69BD">
              <w:rPr>
                <w:lang w:val="en-ZW"/>
              </w:rPr>
              <w:t xml:space="preserve"> expert work was more extensive, unique and comparable to or less than parties</w:t>
            </w:r>
            <w:r w:rsidR="007F68BE">
              <w:rPr>
                <w:lang w:val="en-ZW"/>
              </w:rPr>
              <w:t>.</w:t>
            </w:r>
            <w:r w:rsidR="004A6579">
              <w:rPr>
                <w:lang w:val="en-ZW"/>
              </w:rPr>
              <w:t xml:space="preserve"> </w:t>
            </w:r>
            <w:r w:rsidR="007F68BE">
              <w:rPr>
                <w:lang w:val="en-ZW"/>
              </w:rPr>
              <w:t xml:space="preserve">Additionally, </w:t>
            </w:r>
            <w:r w:rsidRPr="000B69BD" w:rsidR="000B69BD">
              <w:rPr>
                <w:lang w:val="en-ZW"/>
              </w:rPr>
              <w:t xml:space="preserve">PCF argues that </w:t>
            </w:r>
            <w:r w:rsidR="000B69BD">
              <w:rPr>
                <w:lang w:val="en-ZW"/>
              </w:rPr>
              <w:t>t</w:t>
            </w:r>
            <w:r w:rsidRPr="000B69BD" w:rsidR="000B69BD">
              <w:rPr>
                <w:lang w:val="en-ZW"/>
              </w:rPr>
              <w:t>he reduction based on PC</w:t>
            </w:r>
            <w:r w:rsidR="00A27198">
              <w:rPr>
                <w:lang w:val="en-ZW"/>
              </w:rPr>
              <w:t>F</w:t>
            </w:r>
            <w:r w:rsidRPr="000B69BD" w:rsidR="000B69BD">
              <w:rPr>
                <w:lang w:val="en-ZW"/>
              </w:rPr>
              <w:t>’s Application for Rehearing is unjustifiable</w:t>
            </w:r>
            <w:r w:rsidR="00FD6ECA">
              <w:rPr>
                <w:lang w:val="en-ZW"/>
              </w:rPr>
              <w:t>.</w:t>
            </w:r>
          </w:p>
          <w:p w:rsidR="0056312C" w:rsidP="00AB0B51" w:rsidRDefault="0056312C" w14:paraId="674FFFE9" w14:textId="77777777">
            <w:pPr>
              <w:spacing w:after="240"/>
              <w:rPr>
                <w:lang w:val="en-ZW"/>
              </w:rPr>
            </w:pPr>
            <w:r>
              <w:rPr>
                <w:lang w:val="en-ZW"/>
              </w:rPr>
              <w:t>PCF contends the 60% reduction is arbitrary, unsupported by the record or law, and requests that the Commission revise the decision to award full compensation.</w:t>
            </w:r>
          </w:p>
          <w:p w:rsidR="00A7303D" w:rsidP="0056312C" w:rsidRDefault="00A7303D" w14:paraId="49F717C5" w14:textId="50EE9A23">
            <w:pPr>
              <w:rPr>
                <w:lang w:val="en-ZW"/>
              </w:rPr>
            </w:pPr>
          </w:p>
          <w:p w:rsidR="00D20434" w:rsidP="0056312C" w:rsidRDefault="00D20434" w14:paraId="5AD7F8CC" w14:textId="77777777">
            <w:pPr>
              <w:rPr>
                <w:b/>
                <w:bCs/>
                <w:lang w:val="en-ZW"/>
              </w:rPr>
            </w:pPr>
          </w:p>
          <w:p w:rsidR="00D20434" w:rsidP="0056312C" w:rsidRDefault="00D20434" w14:paraId="106186F2" w14:textId="77777777">
            <w:pPr>
              <w:rPr>
                <w:b/>
                <w:bCs/>
                <w:lang w:val="en-ZW"/>
              </w:rPr>
            </w:pPr>
          </w:p>
          <w:p w:rsidR="0064320E" w:rsidP="0056312C" w:rsidRDefault="0064320E" w14:paraId="18687F49" w14:textId="77777777">
            <w:pPr>
              <w:rPr>
                <w:b/>
                <w:bCs/>
                <w:lang w:val="en-ZW"/>
              </w:rPr>
            </w:pPr>
          </w:p>
          <w:p w:rsidR="009D50E3" w:rsidP="0056312C" w:rsidRDefault="009D50E3" w14:paraId="2B38C631" w14:textId="77777777">
            <w:pPr>
              <w:rPr>
                <w:b/>
                <w:bCs/>
                <w:lang w:val="en-ZW"/>
              </w:rPr>
            </w:pPr>
          </w:p>
          <w:p w:rsidR="00AB0B51" w:rsidP="0056312C" w:rsidRDefault="00AB0B51" w14:paraId="4E7931A7" w14:textId="77777777">
            <w:pPr>
              <w:rPr>
                <w:b/>
                <w:bCs/>
                <w:lang w:val="en-ZW"/>
              </w:rPr>
            </w:pPr>
          </w:p>
          <w:p w:rsidR="00AB0B51" w:rsidP="0056312C" w:rsidRDefault="00AB0B51" w14:paraId="1C47B4B0" w14:textId="77777777">
            <w:pPr>
              <w:rPr>
                <w:b/>
                <w:bCs/>
                <w:lang w:val="en-ZW"/>
              </w:rPr>
            </w:pPr>
          </w:p>
          <w:p w:rsidR="006E2384" w:rsidP="0056312C" w:rsidRDefault="006E2384" w14:paraId="666855C8" w14:textId="77777777">
            <w:pPr>
              <w:rPr>
                <w:b/>
                <w:bCs/>
                <w:lang w:val="en-ZW"/>
              </w:rPr>
            </w:pPr>
          </w:p>
          <w:p w:rsidR="006E2384" w:rsidP="0056312C" w:rsidRDefault="006E2384" w14:paraId="31CD3B0C" w14:textId="77777777">
            <w:pPr>
              <w:rPr>
                <w:b/>
                <w:bCs/>
                <w:lang w:val="en-ZW"/>
              </w:rPr>
            </w:pPr>
          </w:p>
          <w:p w:rsidR="006E2384" w:rsidP="0056312C" w:rsidRDefault="006E2384" w14:paraId="3D8F704A" w14:textId="77777777">
            <w:pPr>
              <w:rPr>
                <w:b/>
                <w:bCs/>
                <w:lang w:val="en-ZW"/>
              </w:rPr>
            </w:pPr>
          </w:p>
          <w:p w:rsidR="006E2384" w:rsidP="0056312C" w:rsidRDefault="006E2384" w14:paraId="4ACCB642" w14:textId="77777777">
            <w:pPr>
              <w:rPr>
                <w:b/>
                <w:bCs/>
                <w:lang w:val="en-ZW"/>
              </w:rPr>
            </w:pPr>
          </w:p>
          <w:p w:rsidR="002C2D74" w:rsidP="0056312C" w:rsidRDefault="002C2D74" w14:paraId="01498CF6" w14:textId="77777777">
            <w:pPr>
              <w:rPr>
                <w:b/>
                <w:bCs/>
                <w:lang w:val="en-ZW"/>
              </w:rPr>
            </w:pPr>
          </w:p>
          <w:p w:rsidR="002C2D74" w:rsidP="0056312C" w:rsidRDefault="002C2D74" w14:paraId="1BF6DD24" w14:textId="77777777">
            <w:pPr>
              <w:rPr>
                <w:b/>
                <w:bCs/>
                <w:lang w:val="en-ZW"/>
              </w:rPr>
            </w:pPr>
          </w:p>
          <w:p w:rsidR="002C2D74" w:rsidP="0056312C" w:rsidRDefault="002C2D74" w14:paraId="3E041F6D" w14:textId="77777777">
            <w:pPr>
              <w:rPr>
                <w:b/>
                <w:bCs/>
                <w:lang w:val="en-ZW"/>
              </w:rPr>
            </w:pPr>
          </w:p>
          <w:p w:rsidR="002C2D74" w:rsidP="0056312C" w:rsidRDefault="002C2D74" w14:paraId="239AE959" w14:textId="77777777">
            <w:pPr>
              <w:rPr>
                <w:b/>
                <w:bCs/>
                <w:lang w:val="en-ZW"/>
              </w:rPr>
            </w:pPr>
          </w:p>
          <w:p w:rsidR="002C2D74" w:rsidP="0056312C" w:rsidRDefault="002C2D74" w14:paraId="7EB35DCB" w14:textId="77777777">
            <w:pPr>
              <w:rPr>
                <w:b/>
                <w:bCs/>
                <w:lang w:val="en-ZW"/>
              </w:rPr>
            </w:pPr>
          </w:p>
          <w:p w:rsidR="006E2384" w:rsidP="0056312C" w:rsidRDefault="006E2384" w14:paraId="7C1F555E" w14:textId="77777777">
            <w:pPr>
              <w:rPr>
                <w:b/>
                <w:bCs/>
                <w:lang w:val="en-ZW"/>
              </w:rPr>
            </w:pPr>
          </w:p>
          <w:p w:rsidR="006E2384" w:rsidP="0056312C" w:rsidRDefault="006E2384" w14:paraId="78E69C94" w14:textId="77777777">
            <w:pPr>
              <w:rPr>
                <w:b/>
                <w:bCs/>
                <w:lang w:val="en-ZW"/>
              </w:rPr>
            </w:pPr>
          </w:p>
          <w:p w:rsidR="006E2384" w:rsidP="0056312C" w:rsidRDefault="006E2384" w14:paraId="42486C64" w14:textId="77777777">
            <w:pPr>
              <w:rPr>
                <w:b/>
                <w:bCs/>
                <w:lang w:val="en-ZW"/>
              </w:rPr>
            </w:pPr>
          </w:p>
          <w:p w:rsidR="006E2384" w:rsidP="0056312C" w:rsidRDefault="006E2384" w14:paraId="2A340853" w14:textId="77777777">
            <w:pPr>
              <w:rPr>
                <w:b/>
                <w:bCs/>
                <w:lang w:val="en-ZW"/>
              </w:rPr>
            </w:pPr>
          </w:p>
          <w:p w:rsidR="006E2384" w:rsidP="0056312C" w:rsidRDefault="006E2384" w14:paraId="565664D2" w14:textId="77777777">
            <w:pPr>
              <w:rPr>
                <w:b/>
                <w:bCs/>
                <w:lang w:val="en-ZW"/>
              </w:rPr>
            </w:pPr>
          </w:p>
          <w:p w:rsidRPr="00C12C60" w:rsidR="00A7303D" w:rsidP="00AB0B51" w:rsidRDefault="00A7303D" w14:paraId="6B8C4DE8" w14:textId="61E1B710">
            <w:pPr>
              <w:spacing w:after="240"/>
              <w:rPr>
                <w:b/>
                <w:bCs/>
                <w:lang w:val="en-ZW"/>
              </w:rPr>
            </w:pPr>
            <w:r w:rsidRPr="00C12C60">
              <w:rPr>
                <w:b/>
                <w:bCs/>
                <w:lang w:val="en-ZW"/>
              </w:rPr>
              <w:t>Hourly Rates:</w:t>
            </w:r>
          </w:p>
          <w:p w:rsidRPr="00C12C60" w:rsidR="00907D86" w:rsidP="00C12C60" w:rsidRDefault="0056312C" w14:paraId="7EB77D45" w14:textId="5F47F412">
            <w:pPr>
              <w:spacing w:after="240"/>
            </w:pPr>
            <w:r>
              <w:rPr>
                <w:lang w:val="en-ZW"/>
              </w:rPr>
              <w:t>The PD also contains mathematical error in calculation of M</w:t>
            </w:r>
            <w:r w:rsidR="009B0C9A">
              <w:rPr>
                <w:lang w:val="en-ZW"/>
              </w:rPr>
              <w:t xml:space="preserve">alinda </w:t>
            </w:r>
            <w:r>
              <w:rPr>
                <w:lang w:val="en-ZW"/>
              </w:rPr>
              <w:t xml:space="preserve">Dickenson’s 2024 hourly rate. </w:t>
            </w:r>
            <w:r w:rsidRPr="009B0C9A" w:rsidR="009B0C9A">
              <w:t>D.25</w:t>
            </w:r>
            <w:r w:rsidR="00B52830">
              <w:noBreakHyphen/>
            </w:r>
            <w:r w:rsidRPr="009B0C9A" w:rsidR="009B0C9A">
              <w:t>04</w:t>
            </w:r>
            <w:r w:rsidR="00B52830">
              <w:noBreakHyphen/>
            </w:r>
            <w:r w:rsidRPr="009B0C9A" w:rsidR="009B0C9A">
              <w:t>017 incorrectly calculated Ms. Dickenson’s market rate by applying the step increase for 2024 but omitting the Commission’s approved escalation rate.</w:t>
            </w:r>
            <w:r w:rsidR="009B0C9A">
              <w:t xml:space="preserve"> PCF requests the Commission to correct Dickenson’s 2024 rate and approve a rate of $725.00 for Ms. Dickenson.</w:t>
            </w:r>
          </w:p>
        </w:tc>
        <w:tc>
          <w:tcPr>
            <w:tcW w:w="4235" w:type="dxa"/>
          </w:tcPr>
          <w:p w:rsidR="006738C4" w:rsidP="00AB0B51" w:rsidRDefault="00A10DFC" w14:paraId="75B54DD1" w14:textId="5DB62E38">
            <w:pPr>
              <w:spacing w:after="240"/>
            </w:pPr>
            <w:r w:rsidRPr="00A10DFC">
              <w:lastRenderedPageBreak/>
              <w:t xml:space="preserve">Rule 14.3 </w:t>
            </w:r>
            <w:r w:rsidR="00466523">
              <w:t>requires</w:t>
            </w:r>
            <w:r w:rsidRPr="00A10DFC">
              <w:t xml:space="preserve"> that </w:t>
            </w:r>
            <w:r w:rsidR="000C3F9F">
              <w:t>c</w:t>
            </w:r>
            <w:r w:rsidRPr="00A10DFC">
              <w:t>omments shall focus on factual, legal or technical errors in the proposed or alternate decision and in citing such errors shall make specific references to the record or applicable law. Comments which fail to do so will be accorded no weight.</w:t>
            </w:r>
            <w:r>
              <w:t xml:space="preserve"> </w:t>
            </w:r>
            <w:r w:rsidRPr="00A7303D" w:rsidR="00A7303D">
              <w:t xml:space="preserve">The </w:t>
            </w:r>
            <w:r w:rsidR="00466523">
              <w:t>r</w:t>
            </w:r>
            <w:r w:rsidRPr="00A7303D" w:rsidR="00A7303D">
              <w:t>eductions reflect participation that did not materially supplement, complement, or contribute to resolving the issues of the case, unproductive or unnecessary participation, participation that duplicate</w:t>
            </w:r>
            <w:r w:rsidR="00E24E46">
              <w:t>d</w:t>
            </w:r>
            <w:r w:rsidRPr="00A7303D" w:rsidR="00A7303D">
              <w:t xml:space="preserve"> similar interests, and participation that was not necessary for a fair determination of the proceeding. </w:t>
            </w:r>
            <w:r w:rsidR="006738C4">
              <w:t xml:space="preserve">As highlighted </w:t>
            </w:r>
            <w:r w:rsidRPr="003B7D19" w:rsidR="006738C4">
              <w:rPr>
                <w:color w:val="000000"/>
              </w:rPr>
              <w:t>in Part III.D, item [</w:t>
            </w:r>
            <w:r w:rsidR="006738C4">
              <w:rPr>
                <w:color w:val="000000"/>
              </w:rPr>
              <w:t>7</w:t>
            </w:r>
            <w:r w:rsidRPr="003B7D19" w:rsidR="006738C4">
              <w:rPr>
                <w:color w:val="000000"/>
              </w:rPr>
              <w:t>]</w:t>
            </w:r>
            <w:r w:rsidR="006738C4">
              <w:rPr>
                <w:color w:val="000000"/>
              </w:rPr>
              <w:t xml:space="preserve">, the Application for Rehearing </w:t>
            </w:r>
            <w:r w:rsidR="00552029">
              <w:rPr>
                <w:color w:val="000000"/>
              </w:rPr>
              <w:t>offered no new factual support</w:t>
            </w:r>
            <w:r w:rsidR="00A52A1C">
              <w:rPr>
                <w:color w:val="000000"/>
              </w:rPr>
              <w:t xml:space="preserve"> but rather sought reconsideration of the existing record and reopening of settled questions. Consequently, </w:t>
            </w:r>
            <w:r w:rsidR="00E24E46">
              <w:rPr>
                <w:color w:val="000000"/>
              </w:rPr>
              <w:t xml:space="preserve">these hours were reduced because </w:t>
            </w:r>
            <w:r w:rsidR="00A52A1C">
              <w:rPr>
                <w:color w:val="000000"/>
              </w:rPr>
              <w:t xml:space="preserve">the time spent did not further </w:t>
            </w:r>
            <w:r w:rsidR="00BD3B39">
              <w:rPr>
                <w:color w:val="000000"/>
              </w:rPr>
              <w:t xml:space="preserve">the </w:t>
            </w:r>
            <w:r w:rsidR="00BD3B39">
              <w:rPr>
                <w:color w:val="000000"/>
              </w:rPr>
              <w:lastRenderedPageBreak/>
              <w:t xml:space="preserve">proceeding or materially assist in reaching a </w:t>
            </w:r>
            <w:r w:rsidR="004A6579">
              <w:rPr>
                <w:color w:val="000000"/>
              </w:rPr>
              <w:t xml:space="preserve">final </w:t>
            </w:r>
            <w:r w:rsidR="00BD3B39">
              <w:rPr>
                <w:color w:val="000000"/>
              </w:rPr>
              <w:t>determination.</w:t>
            </w:r>
            <w:r w:rsidR="006738C4">
              <w:rPr>
                <w:color w:val="000000"/>
              </w:rPr>
              <w:t xml:space="preserve"> </w:t>
            </w:r>
          </w:p>
          <w:p w:rsidR="00BC6CB1" w:rsidP="00C12C60" w:rsidRDefault="00F02910" w14:paraId="6F6FC9AC" w14:textId="6588938C">
            <w:pPr>
              <w:spacing w:after="240"/>
            </w:pPr>
            <w:r>
              <w:t xml:space="preserve">Additionally, </w:t>
            </w:r>
            <w:r w:rsidR="00BC6CB1">
              <w:t>PCF</w:t>
            </w:r>
            <w:r w:rsidRPr="00BC6CB1" w:rsidR="00BC6CB1">
              <w:t xml:space="preserve"> claim</w:t>
            </w:r>
            <w:r w:rsidR="002A3F0A">
              <w:t xml:space="preserve">s </w:t>
            </w:r>
            <w:r w:rsidRPr="00BC6CB1" w:rsidR="00BC6CB1">
              <w:t xml:space="preserve">nearly </w:t>
            </w:r>
            <w:r w:rsidR="00A716C8">
              <w:t>700</w:t>
            </w:r>
            <w:r w:rsidRPr="00BC6CB1" w:rsidR="00BC6CB1">
              <w:t xml:space="preserve"> hours, including Intervenor Compensation claim preparation time, which is greater than the hours claimed by any other intervenor in this proceeding. We clarify that the comparison of hours accounts for totals including Intervenor Compensation preparation hours between </w:t>
            </w:r>
            <w:r w:rsidR="00D20434">
              <w:t>PCF</w:t>
            </w:r>
            <w:r w:rsidRPr="00BC6CB1" w:rsidR="00BC6CB1">
              <w:t>’s claim and those of other intervenors.</w:t>
            </w:r>
          </w:p>
          <w:p w:rsidR="009D50E3" w:rsidP="00AB0B51" w:rsidRDefault="003B7D19" w14:paraId="090C1F79" w14:textId="6D9F6EDB">
            <w:pPr>
              <w:spacing w:after="240"/>
              <w:rPr>
                <w:color w:val="000000"/>
              </w:rPr>
            </w:pPr>
            <w:r w:rsidRPr="003B7D19">
              <w:rPr>
                <w:color w:val="000000"/>
              </w:rPr>
              <w:t xml:space="preserve">Given the totality of the circumstances described above, we find the award reduction of </w:t>
            </w:r>
            <w:r w:rsidR="00B565AD">
              <w:rPr>
                <w:color w:val="000000"/>
              </w:rPr>
              <w:t>6</w:t>
            </w:r>
            <w:r w:rsidRPr="003B7D19">
              <w:rPr>
                <w:color w:val="000000"/>
              </w:rPr>
              <w:t>0% assessed in Part III.D, item [</w:t>
            </w:r>
            <w:r w:rsidR="00B565AD">
              <w:rPr>
                <w:color w:val="000000"/>
              </w:rPr>
              <w:t>7</w:t>
            </w:r>
            <w:r w:rsidRPr="003B7D19">
              <w:rPr>
                <w:color w:val="000000"/>
              </w:rPr>
              <w:t xml:space="preserve">] to be reasonable, as compared to the value </w:t>
            </w:r>
            <w:r w:rsidRPr="006440DA" w:rsidR="00B565AD">
              <w:rPr>
                <w:lang w:val="en-ZW"/>
              </w:rPr>
              <w:t>Protect Our Communities Foundation</w:t>
            </w:r>
            <w:r w:rsidRPr="003B7D19" w:rsidR="00B565AD">
              <w:rPr>
                <w:color w:val="000000"/>
              </w:rPr>
              <w:t xml:space="preserve"> </w:t>
            </w:r>
            <w:r w:rsidRPr="003B7D19">
              <w:rPr>
                <w:color w:val="000000"/>
              </w:rPr>
              <w:t>brought to this proceeding.</w:t>
            </w:r>
          </w:p>
          <w:p w:rsidRPr="007F620E" w:rsidR="00A7303D" w:rsidP="00AB0B51" w:rsidRDefault="00A7303D" w14:paraId="604DB627" w14:textId="3C286883">
            <w:pPr>
              <w:spacing w:after="240"/>
              <w:rPr>
                <w:color w:val="000000"/>
              </w:rPr>
            </w:pPr>
            <w:r w:rsidRPr="00A7303D">
              <w:rPr>
                <w:color w:val="000000"/>
              </w:rPr>
              <w:t>In response to comments</w:t>
            </w:r>
            <w:r w:rsidR="00B565AD">
              <w:rPr>
                <w:color w:val="000000"/>
              </w:rPr>
              <w:t xml:space="preserve"> about the hourly rates</w:t>
            </w:r>
            <w:r w:rsidRPr="00A7303D">
              <w:rPr>
                <w:color w:val="000000"/>
              </w:rPr>
              <w:t>, we have made non</w:t>
            </w:r>
            <w:r w:rsidR="00B52830">
              <w:rPr>
                <w:color w:val="000000"/>
              </w:rPr>
              <w:noBreakHyphen/>
            </w:r>
            <w:r w:rsidRPr="00A7303D">
              <w:rPr>
                <w:color w:val="000000"/>
              </w:rPr>
              <w:t>substantive edits to the PD to clarify</w:t>
            </w:r>
            <w:r>
              <w:rPr>
                <w:color w:val="000000"/>
              </w:rPr>
              <w:t xml:space="preserve"> and correct</w:t>
            </w:r>
            <w:r w:rsidRPr="00A7303D">
              <w:rPr>
                <w:color w:val="000000"/>
              </w:rPr>
              <w:t xml:space="preserve"> </w:t>
            </w:r>
            <w:r>
              <w:rPr>
                <w:color w:val="000000"/>
              </w:rPr>
              <w:t>Malinda Dickenson’s 2024</w:t>
            </w:r>
            <w:r w:rsidRPr="00A7303D">
              <w:rPr>
                <w:color w:val="000000"/>
              </w:rPr>
              <w:t xml:space="preserve"> </w:t>
            </w:r>
            <w:r>
              <w:rPr>
                <w:color w:val="000000"/>
              </w:rPr>
              <w:t>rate and align Jonathan Webster’s 2024 rate consistently with PCF’s request.</w:t>
            </w:r>
          </w:p>
        </w:tc>
      </w:tr>
    </w:tbl>
    <w:p w:rsidRPr="00536F0C" w:rsidR="00A92D0B" w:rsidP="008F5F5F" w:rsidRDefault="00A92D0B" w14:paraId="186E115A" w14:textId="77777777">
      <w:pPr>
        <w:keepNext/>
        <w:spacing w:before="480" w:after="240"/>
        <w:jc w:val="center"/>
        <w:rPr>
          <w:b/>
          <w:color w:val="000000"/>
          <w:u w:val="single"/>
        </w:rPr>
      </w:pPr>
      <w:r w:rsidRPr="00536F0C">
        <w:rPr>
          <w:b/>
          <w:color w:val="000000"/>
          <w:u w:val="single"/>
        </w:rPr>
        <w:lastRenderedPageBreak/>
        <w:t>FINDINGS OF FACT</w:t>
      </w:r>
    </w:p>
    <w:p w:rsidRPr="00713245" w:rsidR="004676C7" w:rsidP="009477C3" w:rsidRDefault="005A0C0E" w14:paraId="6CDBCCA9" w14:textId="32D0F041">
      <w:pPr>
        <w:numPr>
          <w:ilvl w:val="0"/>
          <w:numId w:val="3"/>
        </w:numPr>
        <w:tabs>
          <w:tab w:val="num" w:pos="540"/>
        </w:tabs>
        <w:spacing w:after="240"/>
      </w:pPr>
      <w:r w:rsidRPr="005A0C0E">
        <w:rPr>
          <w:bCs/>
          <w:color w:val="000000"/>
        </w:rPr>
        <w:t>The Protect Our Communities Foundation</w:t>
      </w:r>
      <w:r w:rsidRPr="00536F0C">
        <w:t xml:space="preserve"> </w:t>
      </w:r>
      <w:r w:rsidRPr="00536F0C" w:rsidR="00A92D0B">
        <w:t>has made a substantia</w:t>
      </w:r>
      <w:r w:rsidRPr="00536F0C" w:rsidR="00DE3A5D">
        <w:t xml:space="preserve">l contribution to </w:t>
      </w:r>
      <w:r w:rsidRPr="005A0C0E" w:rsidR="00DE3A5D">
        <w:t>D</w:t>
      </w:r>
      <w:r>
        <w:rPr>
          <w:color w:val="000000"/>
        </w:rPr>
        <w:t>.</w:t>
      </w:r>
      <w:r w:rsidRPr="005A0C0E">
        <w:rPr>
          <w:color w:val="000000"/>
        </w:rPr>
        <w:t>24</w:t>
      </w:r>
      <w:r w:rsidR="00B52830">
        <w:rPr>
          <w:color w:val="000000"/>
        </w:rPr>
        <w:noBreakHyphen/>
      </w:r>
      <w:r w:rsidRPr="005A0C0E">
        <w:rPr>
          <w:color w:val="000000"/>
        </w:rPr>
        <w:t>10</w:t>
      </w:r>
      <w:r w:rsidR="00B52830">
        <w:rPr>
          <w:color w:val="000000"/>
        </w:rPr>
        <w:noBreakHyphen/>
      </w:r>
      <w:r w:rsidRPr="005A0C0E">
        <w:rPr>
          <w:color w:val="000000"/>
        </w:rPr>
        <w:t>008, D.23</w:t>
      </w:r>
      <w:r w:rsidR="00B52830">
        <w:rPr>
          <w:color w:val="000000"/>
        </w:rPr>
        <w:noBreakHyphen/>
      </w:r>
      <w:r w:rsidRPr="005A0C0E">
        <w:rPr>
          <w:color w:val="000000"/>
        </w:rPr>
        <w:t>08</w:t>
      </w:r>
      <w:r w:rsidR="00B52830">
        <w:rPr>
          <w:color w:val="000000"/>
        </w:rPr>
        <w:noBreakHyphen/>
      </w:r>
      <w:r w:rsidRPr="005A0C0E">
        <w:rPr>
          <w:color w:val="000000"/>
        </w:rPr>
        <w:t xml:space="preserve">028, </w:t>
      </w:r>
      <w:r w:rsidR="00313640">
        <w:rPr>
          <w:color w:val="000000"/>
        </w:rPr>
        <w:t xml:space="preserve">and </w:t>
      </w:r>
      <w:r w:rsidRPr="005A0C0E">
        <w:rPr>
          <w:color w:val="000000"/>
        </w:rPr>
        <w:t>D.22</w:t>
      </w:r>
      <w:r w:rsidR="00B52830">
        <w:rPr>
          <w:color w:val="000000"/>
        </w:rPr>
        <w:noBreakHyphen/>
      </w:r>
      <w:r w:rsidRPr="005A0C0E">
        <w:rPr>
          <w:color w:val="000000"/>
        </w:rPr>
        <w:t>12</w:t>
      </w:r>
      <w:r w:rsidR="00B52830">
        <w:rPr>
          <w:color w:val="000000"/>
        </w:rPr>
        <w:noBreakHyphen/>
      </w:r>
      <w:r w:rsidRPr="005A0C0E">
        <w:rPr>
          <w:color w:val="000000"/>
        </w:rPr>
        <w:t>031 (as modified by D.23</w:t>
      </w:r>
      <w:r w:rsidR="00B52830">
        <w:rPr>
          <w:color w:val="000000"/>
        </w:rPr>
        <w:noBreakHyphen/>
      </w:r>
      <w:r w:rsidRPr="005A0C0E">
        <w:rPr>
          <w:color w:val="000000"/>
        </w:rPr>
        <w:t>01</w:t>
      </w:r>
      <w:r w:rsidR="00B52830">
        <w:rPr>
          <w:color w:val="000000"/>
        </w:rPr>
        <w:noBreakHyphen/>
      </w:r>
      <w:r w:rsidRPr="005A0C0E">
        <w:rPr>
          <w:color w:val="000000"/>
        </w:rPr>
        <w:t>002)</w:t>
      </w:r>
      <w:r>
        <w:rPr>
          <w:color w:val="000000"/>
        </w:rPr>
        <w:t>.</w:t>
      </w:r>
    </w:p>
    <w:p w:rsidRPr="004676C7" w:rsidR="00A92D0B" w:rsidP="009477C3" w:rsidRDefault="004676C7" w14:paraId="04EB50FD" w14:textId="6B1BA99A">
      <w:pPr>
        <w:numPr>
          <w:ilvl w:val="0"/>
          <w:numId w:val="3"/>
        </w:numPr>
        <w:tabs>
          <w:tab w:val="num" w:pos="540"/>
        </w:tabs>
        <w:spacing w:after="240"/>
        <w:rPr>
          <w:rFonts w:asciiTheme="majorBidi" w:hAnsiTheme="majorBidi" w:cstheme="majorBidi"/>
        </w:rPr>
      </w:pPr>
      <w:r w:rsidRPr="00CA71D8">
        <w:rPr>
          <w:rFonts w:asciiTheme="majorBidi" w:hAnsiTheme="majorBidi" w:cstheme="majorBidi"/>
        </w:rPr>
        <w:lastRenderedPageBreak/>
        <w:t>The requested hourly rates for Intervenor</w:t>
      </w:r>
      <w:r w:rsidR="004E6167">
        <w:rPr>
          <w:rFonts w:asciiTheme="majorBidi" w:hAnsiTheme="majorBidi" w:cstheme="majorBidi"/>
        </w:rPr>
        <w:t>’</w:t>
      </w:r>
      <w:r w:rsidRPr="00CA71D8">
        <w:rPr>
          <w:rFonts w:asciiTheme="majorBidi" w:hAnsiTheme="majorBidi" w:cstheme="majorBidi"/>
        </w:rPr>
        <w:t>s representatives are comparable to market rates paid to experts and advocates having comparable training and experience and offering similar services, and/or reflect the actual rates billed to, and paid by the intervenor, for consultant services rendered.</w:t>
      </w:r>
    </w:p>
    <w:p w:rsidRPr="00536F0C" w:rsidR="00A92D0B" w:rsidP="009477C3" w:rsidRDefault="00A92D0B" w14:paraId="528EBB52" w14:textId="360AF10D">
      <w:pPr>
        <w:numPr>
          <w:ilvl w:val="0"/>
          <w:numId w:val="3"/>
        </w:numPr>
        <w:tabs>
          <w:tab w:val="num" w:pos="540"/>
        </w:tabs>
        <w:spacing w:after="240"/>
      </w:pPr>
      <w:r w:rsidRPr="00536F0C">
        <w:t>The claimed costs and expenses,</w:t>
      </w:r>
      <w:r w:rsidRPr="00536F0C" w:rsidR="003B5EAC">
        <w:t xml:space="preserve"> </w:t>
      </w:r>
      <w:r w:rsidRPr="00536F0C">
        <w:t xml:space="preserve">as adjusted herein, are reasonable and commensurate with the work performed. </w:t>
      </w:r>
    </w:p>
    <w:p w:rsidRPr="00536F0C" w:rsidR="00A92D0B" w:rsidP="009477C3" w:rsidRDefault="00A92D0B" w14:paraId="48B52895" w14:textId="538E194E">
      <w:pPr>
        <w:numPr>
          <w:ilvl w:val="0"/>
          <w:numId w:val="3"/>
        </w:numPr>
        <w:tabs>
          <w:tab w:val="num" w:pos="540"/>
        </w:tabs>
        <w:spacing w:after="240"/>
      </w:pPr>
      <w:r w:rsidRPr="00536F0C">
        <w:t xml:space="preserve">The total of reasonable </w:t>
      </w:r>
      <w:r w:rsidRPr="00536F0C" w:rsidR="003C608A">
        <w:t xml:space="preserve">compensation </w:t>
      </w:r>
      <w:r w:rsidRPr="00536F0C">
        <w:t>is $</w:t>
      </w:r>
      <w:r w:rsidRPr="00B52830" w:rsidR="007D5283">
        <w:rPr>
          <w:bCs/>
          <w:iCs/>
          <w:color w:val="000000"/>
        </w:rPr>
        <w:t>230,256.75</w:t>
      </w:r>
      <w:r w:rsidR="009477C3">
        <w:t>.</w:t>
      </w:r>
    </w:p>
    <w:p w:rsidRPr="00536F0C" w:rsidR="00A92D0B" w:rsidP="008F5F5F" w:rsidRDefault="00A92D0B" w14:paraId="5C773C3F" w14:textId="77777777">
      <w:pPr>
        <w:keepNext/>
        <w:spacing w:before="480" w:after="240"/>
        <w:jc w:val="center"/>
        <w:rPr>
          <w:b/>
          <w:color w:val="000000"/>
          <w:u w:val="single"/>
        </w:rPr>
      </w:pPr>
      <w:r w:rsidRPr="00536F0C">
        <w:rPr>
          <w:b/>
          <w:color w:val="000000"/>
          <w:u w:val="single"/>
        </w:rPr>
        <w:t>CONCLUSION OF LAW</w:t>
      </w:r>
    </w:p>
    <w:p w:rsidRPr="00536F0C" w:rsidR="00A92D0B" w:rsidP="009477C3" w:rsidRDefault="00A92D0B" w14:paraId="654F2C27" w14:textId="046C79A5">
      <w:pPr>
        <w:numPr>
          <w:ilvl w:val="0"/>
          <w:numId w:val="30"/>
        </w:numPr>
        <w:spacing w:after="240"/>
        <w:rPr>
          <w:color w:val="000000"/>
        </w:rPr>
      </w:pPr>
      <w:r w:rsidRPr="00536F0C">
        <w:t>The</w:t>
      </w:r>
      <w:r w:rsidRPr="00536F0C">
        <w:rPr>
          <w:color w:val="000000"/>
        </w:rPr>
        <w:t xml:space="preserve"> Claim, with any adjustment set forth above, satisfies</w:t>
      </w:r>
      <w:r w:rsidR="005A0C0E">
        <w:rPr>
          <w:color w:val="000000"/>
        </w:rPr>
        <w:t xml:space="preserve"> </w:t>
      </w:r>
      <w:r w:rsidRPr="00536F0C" w:rsidR="00DE3A5D">
        <w:rPr>
          <w:color w:val="000000"/>
        </w:rPr>
        <w:t xml:space="preserve">all requirements of </w:t>
      </w:r>
      <w:r w:rsidR="004E6167">
        <w:rPr>
          <w:color w:val="000000"/>
        </w:rPr>
        <w:t>Pub. Util.</w:t>
      </w:r>
      <w:r w:rsidRPr="00536F0C">
        <w:rPr>
          <w:color w:val="000000"/>
        </w:rPr>
        <w:t xml:space="preserve"> Code </w:t>
      </w:r>
      <w:r w:rsidR="004E6167">
        <w:rPr>
          <w:color w:val="000000"/>
        </w:rPr>
        <w:t>§§ </w:t>
      </w:r>
      <w:r w:rsidRPr="00536F0C">
        <w:rPr>
          <w:color w:val="000000"/>
        </w:rPr>
        <w:t>1801</w:t>
      </w:r>
      <w:r w:rsidR="00B52830">
        <w:rPr>
          <w:color w:val="000000"/>
        </w:rPr>
        <w:noBreakHyphen/>
      </w:r>
      <w:r w:rsidRPr="00536F0C">
        <w:rPr>
          <w:color w:val="000000"/>
        </w:rPr>
        <w:t>1812.</w:t>
      </w:r>
    </w:p>
    <w:p w:rsidRPr="00536F0C" w:rsidR="00A92D0B" w:rsidP="008F5F5F" w:rsidRDefault="00A92D0B" w14:paraId="0E2503A5" w14:textId="77777777">
      <w:pPr>
        <w:keepNext/>
        <w:spacing w:before="480" w:after="240"/>
        <w:jc w:val="center"/>
        <w:rPr>
          <w:b/>
          <w:color w:val="000000"/>
          <w:u w:val="single"/>
        </w:rPr>
      </w:pPr>
      <w:r w:rsidRPr="00536F0C">
        <w:rPr>
          <w:b/>
          <w:color w:val="000000"/>
          <w:u w:val="single"/>
        </w:rPr>
        <w:t>ORDER</w:t>
      </w:r>
    </w:p>
    <w:p w:rsidRPr="00536F0C" w:rsidR="00A92D0B" w:rsidP="009477C3" w:rsidRDefault="005A0C0E" w14:paraId="33FB4E15" w14:textId="64C172EE">
      <w:pPr>
        <w:keepNext/>
        <w:numPr>
          <w:ilvl w:val="0"/>
          <w:numId w:val="31"/>
        </w:numPr>
        <w:spacing w:after="240"/>
        <w:rPr>
          <w:color w:val="000000"/>
        </w:rPr>
      </w:pPr>
      <w:r w:rsidRPr="005A0C0E">
        <w:rPr>
          <w:bCs/>
          <w:color w:val="000000"/>
        </w:rPr>
        <w:t>The Protect Our Communities Foundation</w:t>
      </w:r>
      <w:r w:rsidRPr="00536F0C">
        <w:t xml:space="preserve"> </w:t>
      </w:r>
      <w:r w:rsidRPr="00536F0C" w:rsidR="00831652">
        <w:t>is</w:t>
      </w:r>
      <w:r w:rsidRPr="00536F0C" w:rsidR="00FE3BAE">
        <w:t xml:space="preserve"> </w:t>
      </w:r>
      <w:r w:rsidRPr="00536F0C" w:rsidR="00A92D0B">
        <w:rPr>
          <w:color w:val="000000"/>
        </w:rPr>
        <w:t xml:space="preserve">awarded </w:t>
      </w:r>
      <w:r w:rsidRPr="00536F0C">
        <w:t>$</w:t>
      </w:r>
      <w:r w:rsidRPr="006948C8" w:rsidR="007D5283">
        <w:rPr>
          <w:bCs/>
          <w:iCs/>
          <w:color w:val="000000"/>
        </w:rPr>
        <w:t>230,256.75</w:t>
      </w:r>
      <w:r w:rsidRPr="00536F0C" w:rsidR="00A92D0B">
        <w:rPr>
          <w:color w:val="000000"/>
        </w:rPr>
        <w:t>.</w:t>
      </w:r>
    </w:p>
    <w:p w:rsidRPr="00536F0C" w:rsidR="00A92D0B" w:rsidP="009477C3" w:rsidRDefault="00A92D0B" w14:paraId="4AEF5671" w14:textId="26B93FA8">
      <w:pPr>
        <w:numPr>
          <w:ilvl w:val="0"/>
          <w:numId w:val="31"/>
        </w:numPr>
        <w:spacing w:after="240"/>
      </w:pPr>
      <w:r w:rsidRPr="00536F0C">
        <w:t xml:space="preserve">Within 30 days of the effective date of this decision, </w:t>
      </w:r>
      <w:r w:rsidRPr="00114A2C" w:rsidR="00114A2C">
        <w:t>Pacific Gas and Electric Company</w:t>
      </w:r>
      <w:r w:rsidRPr="00536F0C">
        <w:t xml:space="preserve"> shall </w:t>
      </w:r>
      <w:r w:rsidR="00114A2C">
        <w:t xml:space="preserve">pay </w:t>
      </w:r>
      <w:r w:rsidRPr="005A0C0E" w:rsidR="005A0C0E">
        <w:rPr>
          <w:bCs/>
          <w:color w:val="000000"/>
        </w:rPr>
        <w:t>The Protect Our Communities Foundation</w:t>
      </w:r>
      <w:r w:rsidRPr="00536F0C" w:rsidR="00FE3BAE">
        <w:t xml:space="preserve"> </w:t>
      </w:r>
      <w:r w:rsidRPr="00536F0C">
        <w:t xml:space="preserve">the total </w:t>
      </w:r>
      <w:r w:rsidRPr="00536F0C" w:rsidR="00466980">
        <w:t>award</w:t>
      </w:r>
      <w:r w:rsidR="007E7933">
        <w:t>.</w:t>
      </w:r>
      <w:r w:rsidRPr="00536F0C" w:rsidR="0055228B">
        <w:t xml:space="preserve"> </w:t>
      </w:r>
      <w:r w:rsidRPr="00536F0C">
        <w:t>Payment of the award shall include</w:t>
      </w:r>
      <w:r w:rsidRPr="00536F0C" w:rsidR="004E3939">
        <w:t xml:space="preserve"> compound </w:t>
      </w:r>
      <w:r w:rsidRPr="00536F0C">
        <w:t>interest at the rate earned on prime, three</w:t>
      </w:r>
      <w:r w:rsidR="00B52830">
        <w:noBreakHyphen/>
      </w:r>
      <w:r w:rsidRPr="00536F0C">
        <w:t xml:space="preserve">month </w:t>
      </w:r>
      <w:r w:rsidRPr="00536F0C" w:rsidR="00214B22">
        <w:t>non</w:t>
      </w:r>
      <w:r w:rsidR="00B52830">
        <w:noBreakHyphen/>
      </w:r>
      <w:r w:rsidRPr="00536F0C" w:rsidR="00214B22">
        <w:t xml:space="preserve">financial </w:t>
      </w:r>
      <w:r w:rsidRPr="00536F0C">
        <w:t>commercial paper as reported in Federal Reserve Statistical Release H.15, beginning</w:t>
      </w:r>
      <w:r w:rsidRPr="00536F0C" w:rsidR="00357F1A">
        <w:t xml:space="preserve"> </w:t>
      </w:r>
      <w:r w:rsidR="00114A2C">
        <w:t>March 8, 2025</w:t>
      </w:r>
      <w:r w:rsidRPr="00536F0C" w:rsidR="00357F1A">
        <w:t xml:space="preserve">, </w:t>
      </w:r>
      <w:r w:rsidRPr="00536F0C">
        <w:t>the 75</w:t>
      </w:r>
      <w:r w:rsidRPr="00536F0C">
        <w:rPr>
          <w:vertAlign w:val="superscript"/>
        </w:rPr>
        <w:t>th</w:t>
      </w:r>
      <w:r w:rsidRPr="00536F0C">
        <w:t xml:space="preserve"> day after the filing of </w:t>
      </w:r>
      <w:r w:rsidRPr="005A0C0E" w:rsidR="005A0C0E">
        <w:rPr>
          <w:bCs/>
          <w:color w:val="000000"/>
        </w:rPr>
        <w:t>The Protect Our Communities Foundation</w:t>
      </w:r>
      <w:r w:rsidR="004E6167">
        <w:t>’</w:t>
      </w:r>
      <w:r w:rsidRPr="00536F0C" w:rsidR="00FE3BAE">
        <w:t>s</w:t>
      </w:r>
      <w:r w:rsidRPr="00536F0C" w:rsidR="00FE3BAE">
        <w:rPr>
          <w:b/>
        </w:rPr>
        <w:t xml:space="preserve"> </w:t>
      </w:r>
      <w:r w:rsidRPr="00536F0C">
        <w:t>request, and continuing until full payment is made.</w:t>
      </w:r>
    </w:p>
    <w:p w:rsidRPr="00536F0C" w:rsidR="00A92D0B" w:rsidP="009477C3" w:rsidRDefault="00205D34" w14:paraId="5AD40C95" w14:textId="79AA7DF5">
      <w:pPr>
        <w:keepNext/>
        <w:numPr>
          <w:ilvl w:val="0"/>
          <w:numId w:val="31"/>
        </w:numPr>
        <w:spacing w:after="240"/>
      </w:pPr>
      <w:r>
        <w:t>This proceeding is closed</w:t>
      </w:r>
      <w:r w:rsidRPr="00536F0C" w:rsidR="00A92D0B">
        <w:t>.</w:t>
      </w:r>
    </w:p>
    <w:p w:rsidRPr="00536F0C" w:rsidR="00A92D0B" w:rsidP="009477C3" w:rsidRDefault="00A92D0B" w14:paraId="13F3A0AD" w14:textId="77777777">
      <w:pPr>
        <w:keepNext/>
        <w:spacing w:after="240"/>
        <w:ind w:left="547"/>
        <w:rPr>
          <w:color w:val="000000"/>
        </w:rPr>
      </w:pPr>
      <w:r w:rsidRPr="00536F0C">
        <w:rPr>
          <w:color w:val="000000"/>
        </w:rPr>
        <w:t>This decision is effective today.</w:t>
      </w:r>
    </w:p>
    <w:p w:rsidRPr="00536F0C" w:rsidR="00A92D0B" w:rsidP="009477C3" w:rsidRDefault="00A92D0B" w14:paraId="0467B995" w14:textId="125A2B7C">
      <w:pPr>
        <w:keepNext/>
        <w:spacing w:after="240"/>
        <w:ind w:left="547"/>
        <w:rPr>
          <w:color w:val="000000"/>
        </w:rPr>
      </w:pPr>
      <w:r w:rsidRPr="00536F0C">
        <w:rPr>
          <w:color w:val="000000"/>
        </w:rPr>
        <w:t>Dated __________</w:t>
      </w:r>
      <w:r w:rsidRPr="00536F0C" w:rsidR="009477C3">
        <w:rPr>
          <w:color w:val="000000"/>
        </w:rPr>
        <w:t>__________</w:t>
      </w:r>
      <w:r w:rsidRPr="00536F0C">
        <w:rPr>
          <w:color w:val="000000"/>
        </w:rPr>
        <w:t>, at San Francisco, California.</w:t>
      </w:r>
    </w:p>
    <w:p w:rsidRPr="00536F0C" w:rsidR="00A92D0B" w:rsidP="009477C3" w:rsidRDefault="00A92D0B" w14:paraId="1A474D77" w14:textId="77777777">
      <w:pPr>
        <w:keepNext/>
        <w:spacing w:after="240"/>
        <w:ind w:left="547"/>
      </w:pPr>
    </w:p>
    <w:p w:rsidR="00FE3BAE" w:rsidP="009477C3" w:rsidRDefault="00FE3BAE" w14:paraId="3C739AE2" w14:textId="71F3AFC8">
      <w:pPr>
        <w:keepNext/>
        <w:spacing w:after="240"/>
        <w:ind w:left="547"/>
      </w:pPr>
    </w:p>
    <w:p w:rsidRPr="00536F0C" w:rsidR="001300B5" w:rsidP="009477C3" w:rsidRDefault="001300B5" w14:paraId="739EEB14" w14:textId="77777777">
      <w:pPr>
        <w:keepNext/>
        <w:spacing w:after="240"/>
        <w:ind w:left="547"/>
      </w:pPr>
    </w:p>
    <w:p w:rsidR="006B7228" w:rsidP="008F5F5F" w:rsidRDefault="006B7228" w14:paraId="22631EC3" w14:textId="77777777"/>
    <w:p w:rsidRPr="00536F0C" w:rsidR="009477C3" w:rsidP="009477C3" w:rsidRDefault="009477C3" w14:paraId="37D74F32" w14:textId="77777777">
      <w:pPr>
        <w:keepNext/>
        <w:spacing w:after="240"/>
        <w:ind w:left="547"/>
        <w:sectPr w:rsidRPr="00536F0C" w:rsidR="009477C3" w:rsidSect="00F23F34">
          <w:headerReference w:type="even" r:id="rId9"/>
          <w:headerReference w:type="default" r:id="rId10"/>
          <w:footerReference w:type="even" r:id="rId11"/>
          <w:footerReference w:type="default" r:id="rId12"/>
          <w:headerReference w:type="first" r:id="rId13"/>
          <w:footerReference w:type="first" r:id="rId14"/>
          <w:pgSz w:w="12240" w:h="15840"/>
          <w:pgMar w:top="1728" w:right="1440" w:bottom="1440" w:left="1440" w:header="720" w:footer="720" w:gutter="0"/>
          <w:pgNumType w:start="1"/>
          <w:cols w:space="720"/>
          <w:titlePg/>
          <w:docGrid w:linePitch="360"/>
        </w:sectPr>
      </w:pPr>
    </w:p>
    <w:p w:rsidRPr="00536F0C" w:rsidR="00FE3BAE" w:rsidP="006D67FD" w:rsidRDefault="00FE3BAE" w14:paraId="7A1C7043" w14:textId="77777777">
      <w:pPr>
        <w:pStyle w:val="standard"/>
        <w:keepNext/>
        <w:spacing w:before="480" w:after="240" w:line="240" w:lineRule="auto"/>
        <w:ind w:firstLine="0"/>
        <w:jc w:val="center"/>
        <w:rPr>
          <w:rFonts w:ascii="Times New Roman" w:hAnsi="Times New Roman"/>
          <w:b/>
          <w:sz w:val="24"/>
          <w:szCs w:val="24"/>
        </w:rPr>
      </w:pPr>
      <w:r w:rsidRPr="00536F0C">
        <w:rPr>
          <w:rFonts w:ascii="Times New Roman" w:hAnsi="Times New Roman"/>
          <w:b/>
          <w:sz w:val="24"/>
          <w:szCs w:val="24"/>
        </w:rPr>
        <w:lastRenderedPageBreak/>
        <w:t>APPENDIX</w:t>
      </w:r>
    </w:p>
    <w:p w:rsidRPr="00536F0C" w:rsidR="00FE3BAE" w:rsidP="006D67FD" w:rsidRDefault="00FE3BAE" w14:paraId="300BB274" w14:textId="77777777">
      <w:pPr>
        <w:pStyle w:val="standard"/>
        <w:keepNext/>
        <w:spacing w:after="240" w:line="240" w:lineRule="auto"/>
        <w:ind w:firstLine="0"/>
        <w:jc w:val="center"/>
        <w:rPr>
          <w:rFonts w:ascii="Times New Roman" w:hAnsi="Times New Roman"/>
          <w:b/>
          <w:bCs/>
          <w:sz w:val="24"/>
          <w:szCs w:val="24"/>
        </w:rPr>
      </w:pPr>
      <w:r w:rsidRPr="00536F0C">
        <w:rPr>
          <w:rFonts w:ascii="Times New Roman" w:hAnsi="Times New Roman"/>
          <w:b/>
          <w:bCs/>
          <w:sz w:val="24"/>
          <w:szCs w:val="24"/>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05"/>
        <w:gridCol w:w="3767"/>
        <w:gridCol w:w="2497"/>
        <w:gridCol w:w="1271"/>
      </w:tblGrid>
      <w:tr w:rsidRPr="00536F0C" w:rsidR="00FE3BAE" w:rsidTr="00644ECF" w14:paraId="062C592A" w14:textId="77777777">
        <w:trPr>
          <w:jc w:val="center"/>
        </w:trPr>
        <w:tc>
          <w:tcPr>
            <w:tcW w:w="2880" w:type="dxa"/>
            <w:tcBorders>
              <w:top w:val="single" w:color="auto" w:sz="4" w:space="0"/>
              <w:left w:val="single" w:color="auto" w:sz="4" w:space="0"/>
              <w:bottom w:val="single" w:color="auto" w:sz="4" w:space="0"/>
              <w:right w:val="single" w:color="auto" w:sz="4" w:space="0"/>
            </w:tcBorders>
            <w:hideMark/>
          </w:tcPr>
          <w:p w:rsidRPr="00536F0C" w:rsidR="00FE3BAE" w:rsidP="008F5F5F" w:rsidRDefault="00FE3BAE" w14:paraId="4BC9C636" w14:textId="77777777">
            <w:pPr>
              <w:rPr>
                <w:b/>
                <w:bCs/>
              </w:rPr>
            </w:pPr>
            <w:r w:rsidRPr="00536F0C">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536F0C" w:rsidR="00FE3BAE" w:rsidP="008F5F5F" w:rsidRDefault="00FE3BAE" w14:paraId="16C5D6B1" w14:textId="77777777"/>
        </w:tc>
        <w:tc>
          <w:tcPr>
            <w:tcW w:w="2475" w:type="dxa"/>
            <w:tcBorders>
              <w:top w:val="single" w:color="auto" w:sz="4" w:space="0"/>
              <w:left w:val="single" w:color="auto" w:sz="4" w:space="0"/>
              <w:bottom w:val="single" w:color="auto" w:sz="4" w:space="0"/>
              <w:right w:val="single" w:color="auto" w:sz="4" w:space="0"/>
            </w:tcBorders>
            <w:hideMark/>
          </w:tcPr>
          <w:p w:rsidRPr="00536F0C" w:rsidR="00FE3BAE" w:rsidP="008F5F5F" w:rsidRDefault="00FE3BAE" w14:paraId="3ECA0C4F" w14:textId="77777777">
            <w:pPr>
              <w:rPr>
                <w:b/>
                <w:bCs/>
              </w:rPr>
            </w:pPr>
            <w:r w:rsidRPr="00536F0C">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536F0C" w:rsidR="00FE3BAE" w:rsidP="008F5F5F" w:rsidRDefault="00121006" w14:paraId="6846FB87" w14:textId="588BCA1E">
            <w:pPr>
              <w:jc w:val="center"/>
            </w:pPr>
            <w:r>
              <w:t>No</w:t>
            </w:r>
          </w:p>
        </w:tc>
      </w:tr>
      <w:tr w:rsidRPr="00536F0C" w:rsidR="00FE3BAE" w:rsidTr="00644ECF" w14:paraId="3E0218AD" w14:textId="77777777">
        <w:trPr>
          <w:jc w:val="center"/>
        </w:trPr>
        <w:tc>
          <w:tcPr>
            <w:tcW w:w="2880" w:type="dxa"/>
            <w:tcBorders>
              <w:top w:val="single" w:color="auto" w:sz="4" w:space="0"/>
              <w:left w:val="single" w:color="auto" w:sz="4" w:space="0"/>
              <w:bottom w:val="single" w:color="auto" w:sz="4" w:space="0"/>
              <w:right w:val="single" w:color="auto" w:sz="4" w:space="0"/>
            </w:tcBorders>
            <w:hideMark/>
          </w:tcPr>
          <w:p w:rsidRPr="00536F0C" w:rsidR="00FE3BAE" w:rsidP="008F5F5F" w:rsidRDefault="00FE3BAE" w14:paraId="6E65620B" w14:textId="77777777">
            <w:pPr>
              <w:rPr>
                <w:b/>
                <w:bCs/>
              </w:rPr>
            </w:pPr>
            <w:r w:rsidRPr="00536F0C">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536F0C" w:rsidR="00FE3BAE" w:rsidP="008F5F5F" w:rsidRDefault="002E31EB" w14:paraId="426F2C45" w14:textId="45327554">
            <w:r w:rsidRPr="00536F0C">
              <w:rPr>
                <w:bCs/>
                <w:color w:val="000000"/>
              </w:rPr>
              <w:t>D</w:t>
            </w:r>
            <w:r w:rsidRPr="00536F0C" w:rsidR="00910CD3">
              <w:rPr>
                <w:color w:val="000000"/>
              </w:rPr>
              <w:t>24</w:t>
            </w:r>
            <w:r w:rsidRPr="00536F0C">
              <w:rPr>
                <w:color w:val="000000"/>
              </w:rPr>
              <w:t xml:space="preserve">10008, </w:t>
            </w:r>
            <w:r w:rsidRPr="00536F0C" w:rsidR="00A572CE">
              <w:rPr>
                <w:color w:val="000000"/>
              </w:rPr>
              <w:t>D2308028</w:t>
            </w:r>
            <w:r w:rsidR="004676C7">
              <w:rPr>
                <w:color w:val="000000"/>
              </w:rPr>
              <w:t>,</w:t>
            </w:r>
            <w:r w:rsidRPr="00536F0C">
              <w:rPr>
                <w:color w:val="000000"/>
              </w:rPr>
              <w:t xml:space="preserve"> D2212031</w:t>
            </w:r>
          </w:p>
        </w:tc>
      </w:tr>
      <w:tr w:rsidRPr="00536F0C" w:rsidR="00FE3BAE" w:rsidTr="00644ECF" w14:paraId="2808C576" w14:textId="77777777">
        <w:trPr>
          <w:jc w:val="center"/>
        </w:trPr>
        <w:tc>
          <w:tcPr>
            <w:tcW w:w="2880" w:type="dxa"/>
            <w:tcBorders>
              <w:top w:val="single" w:color="auto" w:sz="4" w:space="0"/>
              <w:left w:val="single" w:color="auto" w:sz="4" w:space="0"/>
              <w:bottom w:val="single" w:color="auto" w:sz="4" w:space="0"/>
              <w:right w:val="single" w:color="auto" w:sz="4" w:space="0"/>
            </w:tcBorders>
            <w:hideMark/>
          </w:tcPr>
          <w:p w:rsidRPr="00536F0C" w:rsidR="00FE3BAE" w:rsidP="008F5F5F" w:rsidRDefault="00FE3BAE" w14:paraId="717974DE" w14:textId="77777777">
            <w:pPr>
              <w:rPr>
                <w:b/>
                <w:bCs/>
              </w:rPr>
            </w:pPr>
            <w:r w:rsidRPr="00536F0C">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536F0C" w:rsidR="00FE3BAE" w:rsidP="008F5F5F" w:rsidRDefault="00910CD3" w14:paraId="5B85688D" w14:textId="1997B54C">
            <w:r w:rsidRPr="00561D3F">
              <w:t>A2204008</w:t>
            </w:r>
            <w:r w:rsidRPr="008D2309" w:rsidR="008305C1">
              <w:t xml:space="preserve">, </w:t>
            </w:r>
            <w:r w:rsidR="00707EE2">
              <w:t>et al.</w:t>
            </w:r>
          </w:p>
        </w:tc>
      </w:tr>
      <w:tr w:rsidRPr="00536F0C" w:rsidR="00FE3BAE" w:rsidTr="00644ECF" w14:paraId="66779179" w14:textId="77777777">
        <w:trPr>
          <w:jc w:val="center"/>
        </w:trPr>
        <w:tc>
          <w:tcPr>
            <w:tcW w:w="2880" w:type="dxa"/>
            <w:tcBorders>
              <w:top w:val="single" w:color="auto" w:sz="4" w:space="0"/>
              <w:left w:val="single" w:color="auto" w:sz="4" w:space="0"/>
              <w:bottom w:val="single" w:color="auto" w:sz="4" w:space="0"/>
              <w:right w:val="single" w:color="auto" w:sz="4" w:space="0"/>
            </w:tcBorders>
            <w:hideMark/>
          </w:tcPr>
          <w:p w:rsidRPr="00536F0C" w:rsidR="00FE3BAE" w:rsidP="008F5F5F" w:rsidRDefault="00FE3BAE" w14:paraId="738C0A58" w14:textId="77777777">
            <w:pPr>
              <w:rPr>
                <w:b/>
                <w:bCs/>
              </w:rPr>
            </w:pPr>
            <w:r w:rsidRPr="00536F0C">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536F0C" w:rsidR="00FE3BAE" w:rsidP="008F5F5F" w:rsidRDefault="00E877FA" w14:paraId="5E75C0F0" w14:textId="58BFF267">
            <w:r>
              <w:t>ALJ Gerstle</w:t>
            </w:r>
          </w:p>
        </w:tc>
      </w:tr>
      <w:tr w:rsidRPr="00536F0C" w:rsidR="00FE3BAE" w:rsidTr="00644ECF" w14:paraId="305F69F4" w14:textId="77777777">
        <w:trPr>
          <w:jc w:val="center"/>
        </w:trPr>
        <w:tc>
          <w:tcPr>
            <w:tcW w:w="2880" w:type="dxa"/>
            <w:tcBorders>
              <w:top w:val="single" w:color="auto" w:sz="4" w:space="0"/>
              <w:left w:val="single" w:color="auto" w:sz="4" w:space="0"/>
              <w:bottom w:val="single" w:color="auto" w:sz="4" w:space="0"/>
              <w:right w:val="single" w:color="auto" w:sz="4" w:space="0"/>
            </w:tcBorders>
            <w:hideMark/>
          </w:tcPr>
          <w:p w:rsidRPr="00536F0C" w:rsidR="00FE3BAE" w:rsidP="008F5F5F" w:rsidRDefault="00FE3BAE" w14:paraId="1414CA71" w14:textId="77777777">
            <w:pPr>
              <w:rPr>
                <w:b/>
                <w:bCs/>
              </w:rPr>
            </w:pPr>
            <w:r w:rsidRPr="00536F0C">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536F0C" w:rsidR="00FE3BAE" w:rsidP="008F5F5F" w:rsidRDefault="005A0C0E" w14:paraId="7CA711B6" w14:textId="698D2FAB">
            <w:r w:rsidRPr="005A0C0E">
              <w:t>Pacific Gas and Electric</w:t>
            </w:r>
            <w:r>
              <w:t xml:space="preserve"> Company</w:t>
            </w:r>
          </w:p>
        </w:tc>
      </w:tr>
    </w:tbl>
    <w:p w:rsidRPr="00536F0C" w:rsidR="00FE3BAE" w:rsidP="006D67FD" w:rsidRDefault="00FE3BAE" w14:paraId="7F0236A2" w14:textId="77777777">
      <w:pPr>
        <w:keepNext/>
        <w:spacing w:before="480" w:after="240"/>
        <w:jc w:val="center"/>
        <w:rPr>
          <w:b/>
          <w:bCs/>
        </w:rPr>
      </w:pPr>
      <w:r w:rsidRPr="00536F0C">
        <w:rPr>
          <w:b/>
          <w:bCs/>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65"/>
        <w:gridCol w:w="1980"/>
        <w:gridCol w:w="1440"/>
        <w:gridCol w:w="1440"/>
        <w:gridCol w:w="1440"/>
        <w:gridCol w:w="2075"/>
      </w:tblGrid>
      <w:tr w:rsidRPr="00536F0C" w:rsidR="006729B4" w:rsidTr="006D67FD" w14:paraId="6CDB318E" w14:textId="77777777">
        <w:trPr>
          <w:jc w:val="center"/>
        </w:trPr>
        <w:tc>
          <w:tcPr>
            <w:tcW w:w="2065" w:type="dxa"/>
            <w:tcBorders>
              <w:top w:val="single" w:color="auto" w:sz="4" w:space="0"/>
              <w:left w:val="single" w:color="auto" w:sz="4" w:space="0"/>
              <w:bottom w:val="single" w:color="auto" w:sz="4" w:space="0"/>
              <w:right w:val="single" w:color="auto" w:sz="4" w:space="0"/>
            </w:tcBorders>
            <w:vAlign w:val="bottom"/>
            <w:hideMark/>
          </w:tcPr>
          <w:p w:rsidRPr="00536F0C" w:rsidR="00FE3BAE" w:rsidP="008F5F5F" w:rsidRDefault="00FE3BAE" w14:paraId="2578F35B" w14:textId="77777777">
            <w:pPr>
              <w:jc w:val="center"/>
              <w:rPr>
                <w:b/>
                <w:bCs/>
              </w:rPr>
            </w:pPr>
            <w:r w:rsidRPr="00536F0C">
              <w:rPr>
                <w:b/>
                <w:bCs/>
              </w:rPr>
              <w:t>Intervenor</w:t>
            </w:r>
          </w:p>
        </w:tc>
        <w:tc>
          <w:tcPr>
            <w:tcW w:w="1980" w:type="dxa"/>
            <w:tcBorders>
              <w:top w:val="single" w:color="auto" w:sz="4" w:space="0"/>
              <w:left w:val="single" w:color="auto" w:sz="4" w:space="0"/>
              <w:bottom w:val="single" w:color="auto" w:sz="4" w:space="0"/>
              <w:right w:val="single" w:color="auto" w:sz="4" w:space="0"/>
            </w:tcBorders>
            <w:vAlign w:val="bottom"/>
            <w:hideMark/>
          </w:tcPr>
          <w:p w:rsidRPr="00536F0C" w:rsidR="00FE3BAE" w:rsidP="006D67FD" w:rsidRDefault="0081626F" w14:paraId="2C1C9DC3" w14:textId="1AA12282">
            <w:pPr>
              <w:jc w:val="center"/>
              <w:rPr>
                <w:b/>
                <w:bCs/>
              </w:rPr>
            </w:pPr>
            <w:r w:rsidRPr="00536F0C">
              <w:rPr>
                <w:b/>
                <w:bCs/>
              </w:rPr>
              <w:t>Date</w:t>
            </w:r>
            <w:r w:rsidR="006D67FD">
              <w:rPr>
                <w:b/>
                <w:bCs/>
              </w:rPr>
              <w:t xml:space="preserve"> </w:t>
            </w:r>
            <w:r w:rsidRPr="00536F0C">
              <w:rPr>
                <w:b/>
                <w:bCs/>
              </w:rPr>
              <w:t>Claim Filed</w:t>
            </w:r>
          </w:p>
        </w:tc>
        <w:tc>
          <w:tcPr>
            <w:tcW w:w="1440" w:type="dxa"/>
            <w:tcBorders>
              <w:top w:val="single" w:color="auto" w:sz="4" w:space="0"/>
              <w:left w:val="single" w:color="auto" w:sz="4" w:space="0"/>
              <w:bottom w:val="single" w:color="auto" w:sz="4" w:space="0"/>
              <w:right w:val="single" w:color="auto" w:sz="4" w:space="0"/>
            </w:tcBorders>
            <w:vAlign w:val="bottom"/>
            <w:hideMark/>
          </w:tcPr>
          <w:p w:rsidR="00BB0915" w:rsidP="008F5F5F" w:rsidRDefault="00FE3BAE" w14:paraId="19A8B555" w14:textId="77777777">
            <w:pPr>
              <w:jc w:val="center"/>
              <w:rPr>
                <w:b/>
                <w:bCs/>
              </w:rPr>
            </w:pPr>
            <w:r w:rsidRPr="00536F0C">
              <w:rPr>
                <w:b/>
                <w:bCs/>
              </w:rPr>
              <w:t>Amount</w:t>
            </w:r>
          </w:p>
          <w:p w:rsidRPr="00536F0C" w:rsidR="00FE3BAE" w:rsidP="008F5F5F" w:rsidRDefault="00FE3BAE" w14:paraId="60DD020D" w14:textId="6681B925">
            <w:pPr>
              <w:jc w:val="center"/>
              <w:rPr>
                <w:b/>
                <w:bCs/>
              </w:rPr>
            </w:pPr>
            <w:r w:rsidRPr="00536F0C">
              <w:rPr>
                <w:b/>
                <w:bCs/>
              </w:rPr>
              <w:t>Requested</w:t>
            </w:r>
          </w:p>
        </w:tc>
        <w:tc>
          <w:tcPr>
            <w:tcW w:w="1440" w:type="dxa"/>
            <w:tcBorders>
              <w:top w:val="single" w:color="auto" w:sz="4" w:space="0"/>
              <w:left w:val="single" w:color="auto" w:sz="4" w:space="0"/>
              <w:bottom w:val="single" w:color="auto" w:sz="4" w:space="0"/>
              <w:right w:val="single" w:color="auto" w:sz="4" w:space="0"/>
            </w:tcBorders>
            <w:vAlign w:val="bottom"/>
            <w:hideMark/>
          </w:tcPr>
          <w:p w:rsidR="00BB0915" w:rsidP="008F5F5F" w:rsidRDefault="00FE3BAE" w14:paraId="3EF5985B" w14:textId="77777777">
            <w:pPr>
              <w:jc w:val="center"/>
              <w:rPr>
                <w:b/>
                <w:bCs/>
              </w:rPr>
            </w:pPr>
            <w:r w:rsidRPr="00536F0C">
              <w:rPr>
                <w:b/>
                <w:bCs/>
              </w:rPr>
              <w:t>Amount</w:t>
            </w:r>
          </w:p>
          <w:p w:rsidRPr="00536F0C" w:rsidR="00FE3BAE" w:rsidP="008F5F5F" w:rsidRDefault="00FE3BAE" w14:paraId="19A4A01D" w14:textId="7A2029EE">
            <w:pPr>
              <w:jc w:val="center"/>
              <w:rPr>
                <w:b/>
                <w:bCs/>
              </w:rPr>
            </w:pPr>
            <w:r w:rsidRPr="00536F0C">
              <w:rPr>
                <w:b/>
                <w:bCs/>
              </w:rPr>
              <w:t>Awarded</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536F0C" w:rsidR="00FE3BAE" w:rsidP="008F5F5F" w:rsidRDefault="00FE3BAE" w14:paraId="5B9F47E2" w14:textId="77777777">
            <w:pPr>
              <w:jc w:val="center"/>
              <w:rPr>
                <w:b/>
                <w:bCs/>
              </w:rPr>
            </w:pPr>
            <w:r w:rsidRPr="00536F0C">
              <w:rPr>
                <w:b/>
                <w:bCs/>
              </w:rPr>
              <w:t>Multiplier?</w:t>
            </w:r>
          </w:p>
        </w:tc>
        <w:tc>
          <w:tcPr>
            <w:tcW w:w="2075" w:type="dxa"/>
            <w:tcBorders>
              <w:top w:val="single" w:color="auto" w:sz="4" w:space="0"/>
              <w:left w:val="single" w:color="auto" w:sz="4" w:space="0"/>
              <w:bottom w:val="single" w:color="auto" w:sz="4" w:space="0"/>
              <w:right w:val="single" w:color="auto" w:sz="4" w:space="0"/>
            </w:tcBorders>
            <w:vAlign w:val="bottom"/>
            <w:hideMark/>
          </w:tcPr>
          <w:p w:rsidR="00783631" w:rsidP="008F5F5F" w:rsidRDefault="00FE3BAE" w14:paraId="6C745786" w14:textId="77777777">
            <w:pPr>
              <w:jc w:val="center"/>
              <w:rPr>
                <w:b/>
                <w:bCs/>
              </w:rPr>
            </w:pPr>
            <w:r w:rsidRPr="00536F0C">
              <w:rPr>
                <w:b/>
                <w:bCs/>
              </w:rPr>
              <w:t>Reason Change/</w:t>
            </w:r>
          </w:p>
          <w:p w:rsidRPr="00536F0C" w:rsidR="00FE3BAE" w:rsidP="008F5F5F" w:rsidRDefault="00FE3BAE" w14:paraId="089590A8" w14:textId="39221B0B">
            <w:pPr>
              <w:jc w:val="center"/>
              <w:rPr>
                <w:b/>
                <w:bCs/>
              </w:rPr>
            </w:pPr>
            <w:r w:rsidRPr="00536F0C">
              <w:rPr>
                <w:b/>
                <w:bCs/>
              </w:rPr>
              <w:t>Disallowance</w:t>
            </w:r>
          </w:p>
        </w:tc>
      </w:tr>
      <w:tr w:rsidRPr="00536F0C" w:rsidR="006729B4" w:rsidTr="006D67FD" w14:paraId="080524E3" w14:textId="77777777">
        <w:trPr>
          <w:jc w:val="center"/>
        </w:trPr>
        <w:tc>
          <w:tcPr>
            <w:tcW w:w="2065" w:type="dxa"/>
            <w:tcBorders>
              <w:top w:val="single" w:color="auto" w:sz="4" w:space="0"/>
              <w:left w:val="single" w:color="auto" w:sz="4" w:space="0"/>
              <w:bottom w:val="single" w:color="auto" w:sz="4" w:space="0"/>
              <w:right w:val="single" w:color="auto" w:sz="4" w:space="0"/>
            </w:tcBorders>
            <w:hideMark/>
          </w:tcPr>
          <w:p w:rsidRPr="00536F0C" w:rsidR="00FE3BAE" w:rsidP="008F5F5F" w:rsidRDefault="00121006" w14:paraId="3008FB17" w14:textId="188EB499">
            <w:pPr>
              <w:jc w:val="center"/>
            </w:pPr>
            <w:r w:rsidRPr="005A0C0E">
              <w:rPr>
                <w:bCs/>
                <w:color w:val="000000"/>
              </w:rPr>
              <w:t>The Protect Our Communities Foundation</w:t>
            </w:r>
          </w:p>
        </w:tc>
        <w:tc>
          <w:tcPr>
            <w:tcW w:w="1980" w:type="dxa"/>
            <w:tcBorders>
              <w:top w:val="single" w:color="auto" w:sz="4" w:space="0"/>
              <w:left w:val="single" w:color="auto" w:sz="4" w:space="0"/>
              <w:bottom w:val="single" w:color="auto" w:sz="4" w:space="0"/>
              <w:right w:val="single" w:color="auto" w:sz="4" w:space="0"/>
            </w:tcBorders>
            <w:hideMark/>
          </w:tcPr>
          <w:p w:rsidRPr="00536F0C" w:rsidR="00FE3BAE" w:rsidP="008F5F5F" w:rsidRDefault="005B3B07" w14:paraId="63956769" w14:textId="2E8DBD8D">
            <w:pPr>
              <w:jc w:val="center"/>
            </w:pPr>
            <w:r w:rsidRPr="00536F0C">
              <w:t>12/23/2024</w:t>
            </w:r>
          </w:p>
        </w:tc>
        <w:tc>
          <w:tcPr>
            <w:tcW w:w="1440" w:type="dxa"/>
            <w:tcBorders>
              <w:top w:val="single" w:color="auto" w:sz="4" w:space="0"/>
              <w:left w:val="single" w:color="auto" w:sz="4" w:space="0"/>
              <w:bottom w:val="single" w:color="auto" w:sz="4" w:space="0"/>
              <w:right w:val="single" w:color="auto" w:sz="4" w:space="0"/>
            </w:tcBorders>
            <w:hideMark/>
          </w:tcPr>
          <w:p w:rsidRPr="00536F0C" w:rsidR="00FE3BAE" w:rsidP="008F5F5F" w:rsidRDefault="005234E8" w14:paraId="75AD20FA" w14:textId="62A31D98">
            <w:pPr>
              <w:jc w:val="center"/>
            </w:pPr>
            <w:r w:rsidRPr="00536F0C">
              <w:t>$</w:t>
            </w:r>
            <w:r w:rsidRPr="00536F0C" w:rsidR="00306498">
              <w:t>596,58</w:t>
            </w:r>
            <w:r w:rsidR="003B0FA1">
              <w:t>6</w:t>
            </w:r>
            <w:r w:rsidRPr="00536F0C">
              <w:t>.50</w:t>
            </w:r>
          </w:p>
        </w:tc>
        <w:tc>
          <w:tcPr>
            <w:tcW w:w="1440" w:type="dxa"/>
            <w:tcBorders>
              <w:top w:val="single" w:color="auto" w:sz="4" w:space="0"/>
              <w:left w:val="single" w:color="auto" w:sz="4" w:space="0"/>
              <w:bottom w:val="single" w:color="auto" w:sz="4" w:space="0"/>
              <w:right w:val="single" w:color="auto" w:sz="4" w:space="0"/>
            </w:tcBorders>
            <w:hideMark/>
          </w:tcPr>
          <w:p w:rsidRPr="00536F0C" w:rsidR="00FE3BAE" w:rsidP="008F5F5F" w:rsidRDefault="005A0C0E" w14:paraId="0DD6FE00" w14:textId="699373FF">
            <w:pPr>
              <w:jc w:val="center"/>
            </w:pPr>
            <w:r w:rsidRPr="00536F0C">
              <w:t>$</w:t>
            </w:r>
            <w:r w:rsidRPr="006948C8" w:rsidR="007D5283">
              <w:rPr>
                <w:bCs/>
                <w:iCs/>
                <w:color w:val="000000"/>
              </w:rPr>
              <w:t>230,256.75</w:t>
            </w:r>
          </w:p>
        </w:tc>
        <w:tc>
          <w:tcPr>
            <w:tcW w:w="1440" w:type="dxa"/>
            <w:tcBorders>
              <w:top w:val="single" w:color="auto" w:sz="4" w:space="0"/>
              <w:left w:val="single" w:color="auto" w:sz="4" w:space="0"/>
              <w:bottom w:val="single" w:color="auto" w:sz="4" w:space="0"/>
              <w:right w:val="single" w:color="auto" w:sz="4" w:space="0"/>
            </w:tcBorders>
            <w:hideMark/>
          </w:tcPr>
          <w:p w:rsidRPr="00536F0C" w:rsidR="00FE3BAE" w:rsidP="008F5F5F" w:rsidRDefault="00FE3BAE" w14:paraId="0BDAFE20" w14:textId="77777777">
            <w:pPr>
              <w:jc w:val="center"/>
            </w:pPr>
            <w:r w:rsidRPr="00536F0C">
              <w:t>N/A</w:t>
            </w:r>
          </w:p>
        </w:tc>
        <w:tc>
          <w:tcPr>
            <w:tcW w:w="2075" w:type="dxa"/>
            <w:tcBorders>
              <w:top w:val="single" w:color="auto" w:sz="4" w:space="0"/>
              <w:left w:val="single" w:color="auto" w:sz="4" w:space="0"/>
              <w:bottom w:val="single" w:color="auto" w:sz="4" w:space="0"/>
              <w:right w:val="single" w:color="auto" w:sz="4" w:space="0"/>
            </w:tcBorders>
            <w:hideMark/>
          </w:tcPr>
          <w:p w:rsidRPr="00536F0C" w:rsidR="00FE3BAE" w:rsidP="008F5F5F" w:rsidRDefault="00121006" w14:paraId="6B53C6F9" w14:textId="24325E67">
            <w:pPr>
              <w:jc w:val="center"/>
            </w:pPr>
            <w:r w:rsidRPr="00121006">
              <w:rPr>
                <w:i/>
                <w:iCs/>
              </w:rPr>
              <w:t>See</w:t>
            </w:r>
            <w:r w:rsidRPr="00121006">
              <w:t xml:space="preserve"> Part III.D CPUC Comments, Disallowances and Adjustments</w:t>
            </w:r>
            <w:r w:rsidR="00A82305">
              <w:t>.</w:t>
            </w:r>
            <w:r w:rsidRPr="00121006">
              <w:t>  </w:t>
            </w:r>
          </w:p>
        </w:tc>
      </w:tr>
    </w:tbl>
    <w:p w:rsidRPr="00536F0C" w:rsidR="00FE3BAE" w:rsidP="006D67FD" w:rsidRDefault="0022302F" w14:paraId="2841210B" w14:textId="77777777">
      <w:pPr>
        <w:keepNext/>
        <w:spacing w:before="480" w:after="240"/>
        <w:jc w:val="center"/>
        <w:rPr>
          <w:b/>
          <w:bCs/>
        </w:rPr>
      </w:pPr>
      <w:r w:rsidRPr="00536F0C">
        <w:rPr>
          <w:b/>
          <w:bCs/>
        </w:rPr>
        <w:t>Hourly Fee</w:t>
      </w:r>
      <w:r w:rsidRPr="00536F0C" w:rsidR="00FE3BAE">
        <w:rPr>
          <w:b/>
          <w:bCs/>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350"/>
        <w:gridCol w:w="2070"/>
        <w:gridCol w:w="2340"/>
        <w:gridCol w:w="1710"/>
        <w:gridCol w:w="1535"/>
      </w:tblGrid>
      <w:tr w:rsidRPr="00536F0C" w:rsidR="00C02649" w:rsidTr="006D67FD" w14:paraId="7CF2F0CA" w14:textId="77777777">
        <w:trPr>
          <w:jc w:val="center"/>
        </w:trPr>
        <w:tc>
          <w:tcPr>
            <w:tcW w:w="1435" w:type="dxa"/>
            <w:tcBorders>
              <w:top w:val="single" w:color="auto" w:sz="4" w:space="0"/>
              <w:left w:val="single" w:color="auto" w:sz="4" w:space="0"/>
              <w:bottom w:val="single" w:color="auto" w:sz="4" w:space="0"/>
              <w:right w:val="single" w:color="auto" w:sz="4" w:space="0"/>
            </w:tcBorders>
            <w:vAlign w:val="bottom"/>
            <w:hideMark/>
          </w:tcPr>
          <w:p w:rsidRPr="00536F0C" w:rsidR="003B6A1B" w:rsidP="008F5F5F" w:rsidRDefault="003B6A1B" w14:paraId="61500303" w14:textId="77777777">
            <w:pPr>
              <w:jc w:val="center"/>
              <w:rPr>
                <w:b/>
                <w:bCs/>
              </w:rPr>
            </w:pPr>
            <w:r w:rsidRPr="00536F0C">
              <w:rPr>
                <w:b/>
                <w:bCs/>
              </w:rPr>
              <w:t>First Name</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536F0C" w:rsidR="003B6A1B" w:rsidP="008F5F5F" w:rsidRDefault="003B6A1B" w14:paraId="55908486" w14:textId="77777777">
            <w:pPr>
              <w:jc w:val="center"/>
              <w:rPr>
                <w:b/>
                <w:bCs/>
              </w:rPr>
            </w:pPr>
            <w:r w:rsidRPr="00536F0C">
              <w:rPr>
                <w:b/>
                <w:bCs/>
              </w:rPr>
              <w:t>Last Name</w:t>
            </w:r>
          </w:p>
        </w:tc>
        <w:tc>
          <w:tcPr>
            <w:tcW w:w="2070" w:type="dxa"/>
            <w:tcBorders>
              <w:top w:val="single" w:color="auto" w:sz="4" w:space="0"/>
              <w:left w:val="single" w:color="auto" w:sz="4" w:space="0"/>
              <w:bottom w:val="single" w:color="auto" w:sz="4" w:space="0"/>
              <w:right w:val="single" w:color="auto" w:sz="4" w:space="0"/>
            </w:tcBorders>
            <w:vAlign w:val="bottom"/>
            <w:hideMark/>
          </w:tcPr>
          <w:p w:rsidR="006A720E" w:rsidP="008F5F5F" w:rsidRDefault="00171EBF" w14:paraId="5C6BE35C" w14:textId="77777777">
            <w:pPr>
              <w:ind w:left="12" w:firstLine="12"/>
              <w:jc w:val="center"/>
              <w:rPr>
                <w:b/>
                <w:bCs/>
              </w:rPr>
            </w:pPr>
            <w:r w:rsidRPr="00536F0C">
              <w:rPr>
                <w:b/>
                <w:bCs/>
              </w:rPr>
              <w:t>Attorney, Expert,</w:t>
            </w:r>
          </w:p>
          <w:p w:rsidRPr="00536F0C" w:rsidR="003B6A1B" w:rsidP="008F5F5F" w:rsidRDefault="00171EBF" w14:paraId="2438DAE1" w14:textId="23004536">
            <w:pPr>
              <w:ind w:left="12" w:firstLine="12"/>
              <w:jc w:val="center"/>
              <w:rPr>
                <w:b/>
                <w:bCs/>
              </w:rPr>
            </w:pPr>
            <w:r w:rsidRPr="00536F0C">
              <w:rPr>
                <w:b/>
                <w:bCs/>
              </w:rPr>
              <w:t>or Advocate</w:t>
            </w:r>
          </w:p>
        </w:tc>
        <w:tc>
          <w:tcPr>
            <w:tcW w:w="2340" w:type="dxa"/>
            <w:tcBorders>
              <w:top w:val="single" w:color="auto" w:sz="4" w:space="0"/>
              <w:left w:val="single" w:color="auto" w:sz="4" w:space="0"/>
              <w:bottom w:val="single" w:color="auto" w:sz="4" w:space="0"/>
              <w:right w:val="single" w:color="auto" w:sz="4" w:space="0"/>
            </w:tcBorders>
            <w:vAlign w:val="bottom"/>
            <w:hideMark/>
          </w:tcPr>
          <w:p w:rsidRPr="00536F0C" w:rsidR="00B803D5" w:rsidP="008F5F5F" w:rsidRDefault="003B6A1B" w14:paraId="30FCBD16" w14:textId="77777777">
            <w:pPr>
              <w:jc w:val="center"/>
              <w:rPr>
                <w:b/>
                <w:bCs/>
              </w:rPr>
            </w:pPr>
            <w:r w:rsidRPr="00536F0C">
              <w:rPr>
                <w:b/>
                <w:bCs/>
              </w:rPr>
              <w:t>Hourly</w:t>
            </w:r>
          </w:p>
          <w:p w:rsidRPr="00536F0C" w:rsidR="003B6A1B" w:rsidP="008F5F5F" w:rsidRDefault="003B6A1B" w14:paraId="3431A72E" w14:textId="15E5EE89">
            <w:pPr>
              <w:jc w:val="center"/>
              <w:rPr>
                <w:b/>
                <w:bCs/>
              </w:rPr>
            </w:pPr>
            <w:r w:rsidRPr="00536F0C">
              <w:rPr>
                <w:b/>
                <w:bCs/>
              </w:rPr>
              <w:t>Fee Requested</w:t>
            </w:r>
          </w:p>
        </w:tc>
        <w:tc>
          <w:tcPr>
            <w:tcW w:w="1710" w:type="dxa"/>
            <w:tcBorders>
              <w:top w:val="single" w:color="auto" w:sz="4" w:space="0"/>
              <w:left w:val="single" w:color="auto" w:sz="4" w:space="0"/>
              <w:bottom w:val="single" w:color="auto" w:sz="4" w:space="0"/>
              <w:right w:val="single" w:color="auto" w:sz="4" w:space="0"/>
            </w:tcBorders>
            <w:vAlign w:val="bottom"/>
            <w:hideMark/>
          </w:tcPr>
          <w:p w:rsidRPr="00536F0C" w:rsidR="00B803D5" w:rsidP="008F5F5F" w:rsidRDefault="003B6A1B" w14:paraId="27A4F1D1" w14:textId="77777777">
            <w:pPr>
              <w:jc w:val="center"/>
              <w:rPr>
                <w:b/>
                <w:bCs/>
              </w:rPr>
            </w:pPr>
            <w:r w:rsidRPr="00536F0C">
              <w:rPr>
                <w:b/>
                <w:bCs/>
              </w:rPr>
              <w:t>Year Hourly</w:t>
            </w:r>
          </w:p>
          <w:p w:rsidRPr="00536F0C" w:rsidR="003B6A1B" w:rsidP="008F5F5F" w:rsidRDefault="003B6A1B" w14:paraId="6FE76773" w14:textId="7DDDAF05">
            <w:pPr>
              <w:jc w:val="center"/>
              <w:rPr>
                <w:b/>
                <w:bCs/>
              </w:rPr>
            </w:pPr>
            <w:r w:rsidRPr="00536F0C">
              <w:rPr>
                <w:b/>
                <w:bCs/>
              </w:rPr>
              <w:t>Fee Requested</w:t>
            </w:r>
          </w:p>
        </w:tc>
        <w:tc>
          <w:tcPr>
            <w:tcW w:w="1535" w:type="dxa"/>
            <w:tcBorders>
              <w:top w:val="single" w:color="auto" w:sz="4" w:space="0"/>
              <w:left w:val="single" w:color="auto" w:sz="4" w:space="0"/>
              <w:bottom w:val="single" w:color="auto" w:sz="4" w:space="0"/>
              <w:right w:val="single" w:color="auto" w:sz="4" w:space="0"/>
            </w:tcBorders>
            <w:vAlign w:val="bottom"/>
            <w:hideMark/>
          </w:tcPr>
          <w:p w:rsidRPr="00536F0C" w:rsidR="00B803D5" w:rsidP="008F5F5F" w:rsidRDefault="003B6A1B" w14:paraId="08CD8CFB" w14:textId="50A63D11">
            <w:pPr>
              <w:jc w:val="center"/>
              <w:rPr>
                <w:b/>
                <w:bCs/>
              </w:rPr>
            </w:pPr>
            <w:r w:rsidRPr="00536F0C">
              <w:rPr>
                <w:b/>
                <w:bCs/>
              </w:rPr>
              <w:t>Hourly</w:t>
            </w:r>
          </w:p>
          <w:p w:rsidRPr="00536F0C" w:rsidR="003B6A1B" w:rsidP="008F5F5F" w:rsidRDefault="003B6A1B" w14:paraId="1B789B85" w14:textId="3C9059B0">
            <w:pPr>
              <w:jc w:val="center"/>
              <w:rPr>
                <w:b/>
                <w:bCs/>
              </w:rPr>
            </w:pPr>
            <w:r w:rsidRPr="00536F0C">
              <w:rPr>
                <w:b/>
                <w:bCs/>
              </w:rPr>
              <w:t>Fee Adopted</w:t>
            </w:r>
          </w:p>
        </w:tc>
      </w:tr>
      <w:tr w:rsidRPr="00536F0C" w:rsidR="00EB2A73" w:rsidTr="006D67FD" w14:paraId="1211B948"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0F0C6D6C" w14:textId="7CA39D38">
            <w:pPr>
              <w:jc w:val="center"/>
              <w:rPr>
                <w:shd w:val="clear" w:color="auto" w:fill="CCFFCC"/>
              </w:rPr>
            </w:pPr>
            <w:r>
              <w:t>Malinda</w:t>
            </w:r>
          </w:p>
        </w:tc>
        <w:tc>
          <w:tcPr>
            <w:tcW w:w="1350"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6ACE7B68" w14:textId="6974A1B9">
            <w:pPr>
              <w:jc w:val="center"/>
              <w:rPr>
                <w:shd w:val="clear" w:color="auto" w:fill="CCFFCC"/>
              </w:rPr>
            </w:pPr>
            <w:r>
              <w:t>Dickenson</w:t>
            </w:r>
          </w:p>
        </w:tc>
        <w:tc>
          <w:tcPr>
            <w:tcW w:w="2070"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0E61474F" w14:textId="7D8B87A3">
            <w:pPr>
              <w:jc w:val="center"/>
              <w:rPr>
                <w:shd w:val="clear" w:color="auto" w:fill="CCFFCC"/>
              </w:rPr>
            </w:pPr>
            <w:r>
              <w:t>Attorney</w:t>
            </w:r>
          </w:p>
        </w:tc>
        <w:tc>
          <w:tcPr>
            <w:tcW w:w="2340" w:type="dxa"/>
            <w:tcBorders>
              <w:top w:val="single" w:color="auto" w:sz="4" w:space="0"/>
              <w:left w:val="single" w:color="auto" w:sz="4" w:space="0"/>
              <w:bottom w:val="single" w:color="auto" w:sz="4" w:space="0"/>
              <w:right w:val="single" w:color="auto" w:sz="4" w:space="0"/>
            </w:tcBorders>
          </w:tcPr>
          <w:p w:rsidR="0000051D" w:rsidP="0000051D" w:rsidRDefault="00EB2A73" w14:paraId="2B7B1E79" w14:textId="122E405B">
            <w:pPr>
              <w:jc w:val="center"/>
              <w:rPr>
                <w:color w:val="000000" w:themeColor="text1"/>
              </w:rPr>
            </w:pPr>
            <w:r w:rsidRPr="00536F0C">
              <w:rPr>
                <w:color w:val="000000" w:themeColor="text1"/>
              </w:rPr>
              <w:t>$730</w:t>
            </w:r>
            <w:r w:rsidR="006D67FD">
              <w:rPr>
                <w:color w:val="000000" w:themeColor="text1"/>
              </w:rPr>
              <w:t xml:space="preserve"> </w:t>
            </w:r>
            <w:r w:rsidRPr="00536F0C">
              <w:rPr>
                <w:color w:val="000000" w:themeColor="text1"/>
              </w:rPr>
              <w:t>+ step increase</w:t>
            </w:r>
          </w:p>
          <w:p w:rsidRPr="00536F0C" w:rsidR="00EB2A73" w:rsidP="0000051D" w:rsidRDefault="00EB2A73" w14:paraId="44F9655C" w14:textId="79F0F1DA">
            <w:pPr>
              <w:jc w:val="center"/>
            </w:pPr>
            <w:r w:rsidRPr="00536F0C">
              <w:rPr>
                <w:color w:val="000000" w:themeColor="text1"/>
              </w:rPr>
              <w:t>= $765</w:t>
            </w:r>
          </w:p>
        </w:tc>
        <w:tc>
          <w:tcPr>
            <w:tcW w:w="1710"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2EB25516" w14:textId="3B6FBCAC">
            <w:pPr>
              <w:jc w:val="center"/>
            </w:pPr>
            <w:r w:rsidRPr="00536F0C">
              <w:t>2024</w:t>
            </w:r>
          </w:p>
        </w:tc>
        <w:tc>
          <w:tcPr>
            <w:tcW w:w="1535" w:type="dxa"/>
            <w:tcBorders>
              <w:top w:val="single" w:color="auto" w:sz="4" w:space="0"/>
              <w:left w:val="single" w:color="auto" w:sz="4" w:space="0"/>
              <w:bottom w:val="single" w:color="auto" w:sz="4" w:space="0"/>
              <w:right w:val="single" w:color="auto" w:sz="4" w:space="0"/>
            </w:tcBorders>
          </w:tcPr>
          <w:p w:rsidRPr="00536F0C" w:rsidR="00EB2A73" w:rsidP="008F5F5F" w:rsidRDefault="00466980" w14:paraId="0A76FE98" w14:textId="215130C4">
            <w:pPr>
              <w:jc w:val="center"/>
            </w:pPr>
            <w:r>
              <w:t>$7</w:t>
            </w:r>
            <w:r w:rsidR="00BF2EDF">
              <w:t>25</w:t>
            </w:r>
          </w:p>
        </w:tc>
      </w:tr>
      <w:tr w:rsidRPr="00536F0C" w:rsidR="00EB2A73" w:rsidTr="006D67FD" w14:paraId="23CC0A9F"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4CFDAB24" w14:textId="6E8A196B">
            <w:pPr>
              <w:jc w:val="center"/>
              <w:rPr>
                <w:shd w:val="clear" w:color="auto" w:fill="CCFFCC"/>
              </w:rPr>
            </w:pPr>
            <w:r>
              <w:t>Malinda</w:t>
            </w:r>
          </w:p>
        </w:tc>
        <w:tc>
          <w:tcPr>
            <w:tcW w:w="1350"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3A9B4F75" w14:textId="285921B9">
            <w:pPr>
              <w:jc w:val="center"/>
              <w:rPr>
                <w:shd w:val="clear" w:color="auto" w:fill="CCFFCC"/>
              </w:rPr>
            </w:pPr>
            <w:r>
              <w:t>Dickenson</w:t>
            </w:r>
          </w:p>
        </w:tc>
        <w:tc>
          <w:tcPr>
            <w:tcW w:w="2070"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73440B00" w14:textId="572CC082">
            <w:pPr>
              <w:jc w:val="center"/>
              <w:rPr>
                <w:shd w:val="clear" w:color="auto" w:fill="CCFFCC"/>
              </w:rPr>
            </w:pPr>
            <w:r>
              <w:t>Attorney</w:t>
            </w:r>
          </w:p>
        </w:tc>
        <w:tc>
          <w:tcPr>
            <w:tcW w:w="2340" w:type="dxa"/>
            <w:tcBorders>
              <w:top w:val="single" w:color="auto" w:sz="4" w:space="0"/>
              <w:left w:val="single" w:color="auto" w:sz="4" w:space="0"/>
              <w:bottom w:val="single" w:color="auto" w:sz="4" w:space="0"/>
              <w:right w:val="single" w:color="auto" w:sz="4" w:space="0"/>
            </w:tcBorders>
          </w:tcPr>
          <w:p w:rsidR="0000051D" w:rsidP="008F5F5F" w:rsidRDefault="00EB2A73" w14:paraId="7A4D618F" w14:textId="147F6CE6">
            <w:pPr>
              <w:jc w:val="center"/>
              <w:rPr>
                <w:color w:val="000000" w:themeColor="text1"/>
              </w:rPr>
            </w:pPr>
            <w:r w:rsidRPr="00536F0C">
              <w:rPr>
                <w:color w:val="000000" w:themeColor="text1"/>
              </w:rPr>
              <w:t>$700</w:t>
            </w:r>
            <w:r w:rsidR="001257BA">
              <w:rPr>
                <w:color w:val="000000" w:themeColor="text1"/>
              </w:rPr>
              <w:t xml:space="preserve"> </w:t>
            </w:r>
            <w:r w:rsidRPr="00536F0C">
              <w:rPr>
                <w:color w:val="000000" w:themeColor="text1"/>
              </w:rPr>
              <w:t>+ step increase</w:t>
            </w:r>
          </w:p>
          <w:p w:rsidRPr="00536F0C" w:rsidR="00EB2A73" w:rsidP="008F5F5F" w:rsidRDefault="00EB2A73" w14:paraId="1466F47E" w14:textId="039B5D0D">
            <w:pPr>
              <w:jc w:val="center"/>
            </w:pPr>
            <w:r w:rsidRPr="00536F0C">
              <w:rPr>
                <w:color w:val="000000" w:themeColor="text1"/>
              </w:rPr>
              <w:t>= $735</w:t>
            </w:r>
          </w:p>
        </w:tc>
        <w:tc>
          <w:tcPr>
            <w:tcW w:w="1710"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4CBE320E" w14:textId="6D798F31">
            <w:pPr>
              <w:jc w:val="center"/>
            </w:pPr>
            <w:r w:rsidRPr="00536F0C">
              <w:t>2023</w:t>
            </w:r>
          </w:p>
        </w:tc>
        <w:tc>
          <w:tcPr>
            <w:tcW w:w="1535" w:type="dxa"/>
            <w:tcBorders>
              <w:top w:val="single" w:color="auto" w:sz="4" w:space="0"/>
              <w:left w:val="single" w:color="auto" w:sz="4" w:space="0"/>
              <w:bottom w:val="single" w:color="auto" w:sz="4" w:space="0"/>
              <w:right w:val="single" w:color="auto" w:sz="4" w:space="0"/>
            </w:tcBorders>
          </w:tcPr>
          <w:p w:rsidRPr="00536F0C" w:rsidR="00EB2A73" w:rsidP="008F5F5F" w:rsidRDefault="00466980" w14:paraId="37932A57" w14:textId="4506903A">
            <w:pPr>
              <w:jc w:val="center"/>
            </w:pPr>
            <w:r>
              <w:t>$665</w:t>
            </w:r>
          </w:p>
        </w:tc>
      </w:tr>
      <w:tr w:rsidRPr="00536F0C" w:rsidR="00EB2A73" w:rsidTr="006D67FD" w14:paraId="4C519B49"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65C04662" w14:textId="072B7865">
            <w:pPr>
              <w:jc w:val="center"/>
              <w:rPr>
                <w:shd w:val="clear" w:color="auto" w:fill="CCFFCC"/>
              </w:rPr>
            </w:pPr>
            <w:r>
              <w:t>Malinda</w:t>
            </w:r>
          </w:p>
        </w:tc>
        <w:tc>
          <w:tcPr>
            <w:tcW w:w="1350"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1C590887" w14:textId="1E0F5826">
            <w:pPr>
              <w:jc w:val="center"/>
              <w:rPr>
                <w:shd w:val="clear" w:color="auto" w:fill="CCFFCC"/>
              </w:rPr>
            </w:pPr>
            <w:r>
              <w:t>Dickenson</w:t>
            </w:r>
          </w:p>
        </w:tc>
        <w:tc>
          <w:tcPr>
            <w:tcW w:w="2070"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1EA8DE3D" w14:textId="6892D2C0">
            <w:pPr>
              <w:jc w:val="center"/>
              <w:rPr>
                <w:shd w:val="clear" w:color="auto" w:fill="CCFFCC"/>
              </w:rPr>
            </w:pPr>
            <w:r>
              <w:t>Attorney</w:t>
            </w:r>
          </w:p>
        </w:tc>
        <w:tc>
          <w:tcPr>
            <w:tcW w:w="2340" w:type="dxa"/>
            <w:tcBorders>
              <w:top w:val="single" w:color="auto" w:sz="4" w:space="0"/>
              <w:left w:val="single" w:color="auto" w:sz="4" w:space="0"/>
              <w:bottom w:val="single" w:color="auto" w:sz="4" w:space="0"/>
              <w:right w:val="single" w:color="auto" w:sz="4" w:space="0"/>
            </w:tcBorders>
          </w:tcPr>
          <w:p w:rsidR="0000051D" w:rsidP="008F5F5F" w:rsidRDefault="00EB2A73" w14:paraId="707D97FC" w14:textId="3C8256C0">
            <w:pPr>
              <w:jc w:val="center"/>
              <w:rPr>
                <w:color w:val="000000" w:themeColor="text1"/>
              </w:rPr>
            </w:pPr>
            <w:r w:rsidRPr="00536F0C">
              <w:rPr>
                <w:color w:val="000000" w:themeColor="text1"/>
              </w:rPr>
              <w:t>$670</w:t>
            </w:r>
            <w:r w:rsidR="001257BA">
              <w:rPr>
                <w:color w:val="000000" w:themeColor="text1"/>
              </w:rPr>
              <w:t xml:space="preserve"> </w:t>
            </w:r>
            <w:r w:rsidRPr="00536F0C">
              <w:rPr>
                <w:color w:val="000000" w:themeColor="text1"/>
              </w:rPr>
              <w:t>+ step increase</w:t>
            </w:r>
          </w:p>
          <w:p w:rsidRPr="00536F0C" w:rsidR="00EB2A73" w:rsidP="008F5F5F" w:rsidRDefault="00EB2A73" w14:paraId="4F6290AB" w14:textId="03ABCA54">
            <w:pPr>
              <w:jc w:val="center"/>
              <w:rPr>
                <w:highlight w:val="yellow"/>
              </w:rPr>
            </w:pPr>
            <w:r w:rsidRPr="00536F0C">
              <w:rPr>
                <w:color w:val="000000" w:themeColor="text1"/>
              </w:rPr>
              <w:t>= $705</w:t>
            </w:r>
          </w:p>
        </w:tc>
        <w:tc>
          <w:tcPr>
            <w:tcW w:w="1710"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1354C70A" w14:textId="47D1484A">
            <w:pPr>
              <w:jc w:val="center"/>
            </w:pPr>
            <w:r w:rsidRPr="00536F0C">
              <w:t>2022</w:t>
            </w:r>
          </w:p>
        </w:tc>
        <w:tc>
          <w:tcPr>
            <w:tcW w:w="1535" w:type="dxa"/>
            <w:tcBorders>
              <w:top w:val="single" w:color="auto" w:sz="4" w:space="0"/>
              <w:left w:val="single" w:color="auto" w:sz="4" w:space="0"/>
              <w:bottom w:val="single" w:color="auto" w:sz="4" w:space="0"/>
              <w:right w:val="single" w:color="auto" w:sz="4" w:space="0"/>
            </w:tcBorders>
          </w:tcPr>
          <w:p w:rsidRPr="00536F0C" w:rsidR="00EB2A73" w:rsidP="008F5F5F" w:rsidRDefault="00466980" w14:paraId="36649915" w14:textId="4DCEE4EA">
            <w:pPr>
              <w:jc w:val="center"/>
            </w:pPr>
            <w:r>
              <w:t>$610</w:t>
            </w:r>
          </w:p>
        </w:tc>
      </w:tr>
      <w:tr w:rsidRPr="00536F0C" w:rsidR="00EB2A73" w:rsidTr="006D67FD" w14:paraId="3DC5611A"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6ABAF00B" w14:textId="7EF010F5">
            <w:pPr>
              <w:jc w:val="center"/>
              <w:rPr>
                <w:shd w:val="clear" w:color="auto" w:fill="CCFFCC"/>
              </w:rPr>
            </w:pPr>
            <w:r>
              <w:t>Loretta</w:t>
            </w:r>
          </w:p>
        </w:tc>
        <w:tc>
          <w:tcPr>
            <w:tcW w:w="1350"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2097BA2D" w14:textId="31E021EB">
            <w:pPr>
              <w:jc w:val="center"/>
              <w:rPr>
                <w:shd w:val="clear" w:color="auto" w:fill="CCFFCC"/>
              </w:rPr>
            </w:pPr>
            <w:r>
              <w:t>Lynch</w:t>
            </w:r>
          </w:p>
        </w:tc>
        <w:tc>
          <w:tcPr>
            <w:tcW w:w="2070"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77CE2490" w14:textId="1E203F4F">
            <w:pPr>
              <w:jc w:val="center"/>
              <w:rPr>
                <w:shd w:val="clear" w:color="auto" w:fill="CCFFCC"/>
              </w:rPr>
            </w:pPr>
            <w:r>
              <w:t>Consultant</w:t>
            </w:r>
          </w:p>
        </w:tc>
        <w:tc>
          <w:tcPr>
            <w:tcW w:w="2340"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3A5DAECF" w14:textId="7F07802B">
            <w:pPr>
              <w:jc w:val="center"/>
            </w:pPr>
            <w:r w:rsidRPr="00536F0C">
              <w:t>$745</w:t>
            </w:r>
          </w:p>
        </w:tc>
        <w:tc>
          <w:tcPr>
            <w:tcW w:w="1710" w:type="dxa"/>
            <w:tcBorders>
              <w:top w:val="single" w:color="auto" w:sz="4" w:space="0"/>
              <w:left w:val="single" w:color="auto" w:sz="4" w:space="0"/>
              <w:bottom w:val="single" w:color="auto" w:sz="4" w:space="0"/>
              <w:right w:val="single" w:color="auto" w:sz="4" w:space="0"/>
            </w:tcBorders>
          </w:tcPr>
          <w:p w:rsidRPr="00536F0C" w:rsidR="00EB2A73" w:rsidP="008F5F5F" w:rsidRDefault="00EB2A73" w14:paraId="370816D6" w14:textId="6E43C70E">
            <w:pPr>
              <w:jc w:val="center"/>
            </w:pPr>
            <w:r w:rsidRPr="00536F0C">
              <w:t>2023</w:t>
            </w:r>
          </w:p>
        </w:tc>
        <w:tc>
          <w:tcPr>
            <w:tcW w:w="1535" w:type="dxa"/>
            <w:tcBorders>
              <w:top w:val="single" w:color="auto" w:sz="4" w:space="0"/>
              <w:left w:val="single" w:color="auto" w:sz="4" w:space="0"/>
              <w:bottom w:val="single" w:color="auto" w:sz="4" w:space="0"/>
              <w:right w:val="single" w:color="auto" w:sz="4" w:space="0"/>
            </w:tcBorders>
          </w:tcPr>
          <w:p w:rsidRPr="00536F0C" w:rsidR="00EB2A73" w:rsidP="008F5F5F" w:rsidRDefault="00466980" w14:paraId="4C60EF33" w14:textId="34C8335F">
            <w:pPr>
              <w:jc w:val="center"/>
            </w:pPr>
            <w:r>
              <w:t>$745</w:t>
            </w:r>
          </w:p>
        </w:tc>
      </w:tr>
      <w:tr w:rsidRPr="00536F0C" w:rsidR="00466980" w:rsidTr="006D67FD" w14:paraId="6C04DB40"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71BF257F" w14:textId="4432ED9E">
            <w:pPr>
              <w:jc w:val="center"/>
              <w:rPr>
                <w:shd w:val="clear" w:color="auto" w:fill="CCFFCC"/>
              </w:rPr>
            </w:pPr>
            <w:r>
              <w:t>Loretta</w:t>
            </w:r>
          </w:p>
        </w:tc>
        <w:tc>
          <w:tcPr>
            <w:tcW w:w="135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4D0E5B24" w14:textId="0DC115DC">
            <w:pPr>
              <w:jc w:val="center"/>
              <w:rPr>
                <w:shd w:val="clear" w:color="auto" w:fill="CCFFCC"/>
              </w:rPr>
            </w:pPr>
            <w:r>
              <w:t>Lynch</w:t>
            </w:r>
          </w:p>
        </w:tc>
        <w:tc>
          <w:tcPr>
            <w:tcW w:w="207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3ACB6465" w14:textId="370C036D">
            <w:pPr>
              <w:jc w:val="center"/>
              <w:rPr>
                <w:shd w:val="clear" w:color="auto" w:fill="CCFFCC"/>
              </w:rPr>
            </w:pPr>
            <w:r>
              <w:t>Consultant</w:t>
            </w:r>
          </w:p>
        </w:tc>
        <w:tc>
          <w:tcPr>
            <w:tcW w:w="234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27D75B3F" w14:textId="1EC06D89">
            <w:pPr>
              <w:jc w:val="center"/>
            </w:pPr>
            <w:r w:rsidRPr="00536F0C">
              <w:t>$715</w:t>
            </w:r>
          </w:p>
        </w:tc>
        <w:tc>
          <w:tcPr>
            <w:tcW w:w="171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0BD45097" w14:textId="44CAE0E3">
            <w:pPr>
              <w:jc w:val="center"/>
            </w:pPr>
            <w:r w:rsidRPr="00536F0C">
              <w:t>2022</w:t>
            </w:r>
          </w:p>
        </w:tc>
        <w:tc>
          <w:tcPr>
            <w:tcW w:w="1535"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6B245605" w14:textId="53A41CA3">
            <w:pPr>
              <w:jc w:val="center"/>
            </w:pPr>
            <w:r w:rsidRPr="00536F0C">
              <w:t>$715</w:t>
            </w:r>
          </w:p>
        </w:tc>
      </w:tr>
      <w:tr w:rsidRPr="00536F0C" w:rsidR="00466980" w:rsidTr="006D67FD" w14:paraId="474E258F"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115C1393" w14:textId="73A268C2">
            <w:pPr>
              <w:jc w:val="center"/>
              <w:rPr>
                <w:shd w:val="clear" w:color="auto" w:fill="CCFFCC"/>
              </w:rPr>
            </w:pPr>
            <w:r>
              <w:t>Jonathan</w:t>
            </w:r>
          </w:p>
        </w:tc>
        <w:tc>
          <w:tcPr>
            <w:tcW w:w="135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1467A27B" w14:textId="1C7DDF2B">
            <w:pPr>
              <w:jc w:val="center"/>
              <w:rPr>
                <w:shd w:val="clear" w:color="auto" w:fill="CCFFCC"/>
              </w:rPr>
            </w:pPr>
            <w:r>
              <w:t>Webster</w:t>
            </w:r>
          </w:p>
        </w:tc>
        <w:tc>
          <w:tcPr>
            <w:tcW w:w="207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66D10560" w14:textId="369889AD">
            <w:pPr>
              <w:jc w:val="center"/>
              <w:rPr>
                <w:shd w:val="clear" w:color="auto" w:fill="CCFFCC"/>
              </w:rPr>
            </w:pPr>
            <w:r>
              <w:t>Attorney</w:t>
            </w:r>
          </w:p>
        </w:tc>
        <w:tc>
          <w:tcPr>
            <w:tcW w:w="234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7BC812A8" w14:textId="3E2BBFB0">
            <w:pPr>
              <w:jc w:val="center"/>
            </w:pPr>
            <w:r w:rsidRPr="00536F0C">
              <w:t>$260</w:t>
            </w:r>
          </w:p>
        </w:tc>
        <w:tc>
          <w:tcPr>
            <w:tcW w:w="171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4580AE9E" w14:textId="77CD6D67">
            <w:pPr>
              <w:jc w:val="center"/>
            </w:pPr>
            <w:r w:rsidRPr="00536F0C">
              <w:t>2024</w:t>
            </w:r>
          </w:p>
        </w:tc>
        <w:tc>
          <w:tcPr>
            <w:tcW w:w="1535"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74B7B957" w14:textId="2D04352E">
            <w:pPr>
              <w:jc w:val="center"/>
            </w:pPr>
            <w:r w:rsidRPr="00536F0C">
              <w:t>$2</w:t>
            </w:r>
            <w:r w:rsidR="00BF2EDF">
              <w:t>60</w:t>
            </w:r>
          </w:p>
        </w:tc>
      </w:tr>
      <w:tr w:rsidRPr="00536F0C" w:rsidR="00466980" w:rsidTr="006D67FD" w14:paraId="0DC4129D"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1C03A89B" w14:textId="2D770903">
            <w:pPr>
              <w:jc w:val="center"/>
              <w:rPr>
                <w:shd w:val="clear" w:color="auto" w:fill="CCFFCC"/>
              </w:rPr>
            </w:pPr>
            <w:r>
              <w:t>Andrea</w:t>
            </w:r>
          </w:p>
        </w:tc>
        <w:tc>
          <w:tcPr>
            <w:tcW w:w="135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53680AFD" w14:textId="3E1071C7">
            <w:pPr>
              <w:jc w:val="center"/>
              <w:rPr>
                <w:shd w:val="clear" w:color="auto" w:fill="CCFFCC"/>
              </w:rPr>
            </w:pPr>
            <w:r>
              <w:t>White</w:t>
            </w:r>
          </w:p>
        </w:tc>
        <w:tc>
          <w:tcPr>
            <w:tcW w:w="207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597A6D17" w14:textId="149418F0">
            <w:pPr>
              <w:jc w:val="center"/>
              <w:rPr>
                <w:shd w:val="clear" w:color="auto" w:fill="CCFFCC"/>
              </w:rPr>
            </w:pPr>
            <w:r>
              <w:t>Attorney</w:t>
            </w:r>
          </w:p>
        </w:tc>
        <w:tc>
          <w:tcPr>
            <w:tcW w:w="2340" w:type="dxa"/>
            <w:tcBorders>
              <w:top w:val="single" w:color="auto" w:sz="4" w:space="0"/>
              <w:left w:val="single" w:color="auto" w:sz="4" w:space="0"/>
              <w:bottom w:val="single" w:color="auto" w:sz="4" w:space="0"/>
              <w:right w:val="single" w:color="auto" w:sz="4" w:space="0"/>
            </w:tcBorders>
          </w:tcPr>
          <w:p w:rsidR="0000051D" w:rsidP="008F5F5F" w:rsidRDefault="00466980" w14:paraId="2ECC820D" w14:textId="090C656F">
            <w:pPr>
              <w:jc w:val="center"/>
            </w:pPr>
            <w:r w:rsidRPr="00536F0C">
              <w:t>$250</w:t>
            </w:r>
            <w:r w:rsidR="001257BA">
              <w:t xml:space="preserve"> </w:t>
            </w:r>
            <w:r w:rsidRPr="00536F0C">
              <w:t>+ step increase</w:t>
            </w:r>
          </w:p>
          <w:p w:rsidRPr="00536F0C" w:rsidR="00466980" w:rsidP="008F5F5F" w:rsidRDefault="00466980" w14:paraId="48B7FBBF" w14:textId="314B3F6A">
            <w:pPr>
              <w:jc w:val="center"/>
            </w:pPr>
            <w:r w:rsidRPr="00536F0C">
              <w:t>= $265</w:t>
            </w:r>
          </w:p>
        </w:tc>
        <w:tc>
          <w:tcPr>
            <w:tcW w:w="171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5541B9E8" w14:textId="23459764">
            <w:pPr>
              <w:jc w:val="center"/>
            </w:pPr>
            <w:r w:rsidRPr="00536F0C">
              <w:t>2024</w:t>
            </w:r>
          </w:p>
        </w:tc>
        <w:tc>
          <w:tcPr>
            <w:tcW w:w="1535"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5585EC38" w14:textId="435B2803">
            <w:pPr>
              <w:jc w:val="center"/>
            </w:pPr>
            <w:r>
              <w:t>$265</w:t>
            </w:r>
          </w:p>
        </w:tc>
      </w:tr>
      <w:tr w:rsidRPr="00536F0C" w:rsidR="00466980" w:rsidTr="006D67FD" w14:paraId="29AE6932"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360AC496" w14:textId="5C1B7D64">
            <w:pPr>
              <w:jc w:val="center"/>
              <w:rPr>
                <w:shd w:val="clear" w:color="auto" w:fill="CCFFCC"/>
              </w:rPr>
            </w:pPr>
            <w:r w:rsidRPr="00536F0C">
              <w:t>Mark</w:t>
            </w:r>
          </w:p>
        </w:tc>
        <w:tc>
          <w:tcPr>
            <w:tcW w:w="135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56248722" w14:textId="59DBB44D">
            <w:pPr>
              <w:jc w:val="center"/>
              <w:rPr>
                <w:shd w:val="clear" w:color="auto" w:fill="CCFFCC"/>
              </w:rPr>
            </w:pPr>
            <w:r w:rsidRPr="00536F0C">
              <w:t>Ellis</w:t>
            </w:r>
          </w:p>
        </w:tc>
        <w:tc>
          <w:tcPr>
            <w:tcW w:w="207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5260F89F" w14:textId="29525990">
            <w:pPr>
              <w:jc w:val="center"/>
              <w:rPr>
                <w:shd w:val="clear" w:color="auto" w:fill="CCFFCC"/>
              </w:rPr>
            </w:pPr>
            <w:r>
              <w:t>Consultant</w:t>
            </w:r>
          </w:p>
        </w:tc>
        <w:tc>
          <w:tcPr>
            <w:tcW w:w="234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6D2EBA5C" w14:textId="1AC804DD">
            <w:pPr>
              <w:jc w:val="center"/>
            </w:pPr>
            <w:r w:rsidRPr="00536F0C">
              <w:t>$1,125</w:t>
            </w:r>
          </w:p>
        </w:tc>
        <w:tc>
          <w:tcPr>
            <w:tcW w:w="171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34B04A04" w14:textId="4B3D1BB6">
            <w:pPr>
              <w:jc w:val="center"/>
            </w:pPr>
            <w:r w:rsidRPr="00536F0C">
              <w:t>2024</w:t>
            </w:r>
          </w:p>
        </w:tc>
        <w:tc>
          <w:tcPr>
            <w:tcW w:w="1535"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6A145930" w14:textId="3303B03B">
            <w:pPr>
              <w:jc w:val="center"/>
            </w:pPr>
            <w:r w:rsidRPr="00536F0C">
              <w:t>$1,125</w:t>
            </w:r>
          </w:p>
        </w:tc>
      </w:tr>
      <w:tr w:rsidRPr="00536F0C" w:rsidR="00466980" w:rsidTr="006D67FD" w14:paraId="7BBD5E13"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23066614" w14:textId="1894F6C9">
            <w:pPr>
              <w:jc w:val="center"/>
            </w:pPr>
            <w:r w:rsidRPr="00536F0C">
              <w:t>Mark</w:t>
            </w:r>
          </w:p>
        </w:tc>
        <w:tc>
          <w:tcPr>
            <w:tcW w:w="135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4786C89C" w14:textId="0B70004C">
            <w:pPr>
              <w:jc w:val="center"/>
            </w:pPr>
            <w:r w:rsidRPr="00536F0C">
              <w:t>Ellis</w:t>
            </w:r>
          </w:p>
        </w:tc>
        <w:tc>
          <w:tcPr>
            <w:tcW w:w="207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18CADD1E" w14:textId="65879889">
            <w:pPr>
              <w:jc w:val="center"/>
            </w:pPr>
            <w:r>
              <w:t>Consultant</w:t>
            </w:r>
          </w:p>
        </w:tc>
        <w:tc>
          <w:tcPr>
            <w:tcW w:w="234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39919693" w14:textId="63F90F95">
            <w:pPr>
              <w:jc w:val="center"/>
            </w:pPr>
            <w:r w:rsidRPr="00536F0C">
              <w:t>$1,080</w:t>
            </w:r>
          </w:p>
        </w:tc>
        <w:tc>
          <w:tcPr>
            <w:tcW w:w="171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214A549B" w14:textId="065EAF1B">
            <w:pPr>
              <w:jc w:val="center"/>
            </w:pPr>
            <w:r w:rsidRPr="00536F0C">
              <w:t>2023</w:t>
            </w:r>
          </w:p>
        </w:tc>
        <w:tc>
          <w:tcPr>
            <w:tcW w:w="1535"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3B9C718F" w14:textId="2F8C907D">
            <w:pPr>
              <w:jc w:val="center"/>
            </w:pPr>
            <w:r w:rsidRPr="00536F0C">
              <w:t>$1,080</w:t>
            </w:r>
          </w:p>
        </w:tc>
      </w:tr>
      <w:tr w:rsidRPr="00536F0C" w:rsidR="00466980" w:rsidTr="006D67FD" w14:paraId="1906C055"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2ACF0B05" w14:textId="00D734BD">
            <w:pPr>
              <w:jc w:val="center"/>
            </w:pPr>
            <w:r w:rsidRPr="00536F0C">
              <w:t>Mark</w:t>
            </w:r>
          </w:p>
        </w:tc>
        <w:tc>
          <w:tcPr>
            <w:tcW w:w="135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63E68C11" w14:textId="4F863FDB">
            <w:pPr>
              <w:jc w:val="center"/>
            </w:pPr>
            <w:r w:rsidRPr="00536F0C">
              <w:t>Ellis</w:t>
            </w:r>
          </w:p>
        </w:tc>
        <w:tc>
          <w:tcPr>
            <w:tcW w:w="207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1E984C6F" w14:textId="06DD487A">
            <w:pPr>
              <w:jc w:val="center"/>
            </w:pPr>
            <w:r>
              <w:t xml:space="preserve">Consultant </w:t>
            </w:r>
          </w:p>
        </w:tc>
        <w:tc>
          <w:tcPr>
            <w:tcW w:w="234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53B8F326" w14:textId="03F10229">
            <w:pPr>
              <w:jc w:val="center"/>
            </w:pPr>
            <w:r w:rsidRPr="00536F0C">
              <w:t>$1,035</w:t>
            </w:r>
          </w:p>
        </w:tc>
        <w:tc>
          <w:tcPr>
            <w:tcW w:w="171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7954D4D0" w14:textId="4CCF77E9">
            <w:pPr>
              <w:jc w:val="center"/>
            </w:pPr>
            <w:r w:rsidRPr="00536F0C">
              <w:t>2022</w:t>
            </w:r>
          </w:p>
        </w:tc>
        <w:tc>
          <w:tcPr>
            <w:tcW w:w="1535"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467531DD" w14:textId="3E8FE912">
            <w:pPr>
              <w:jc w:val="center"/>
            </w:pPr>
            <w:r w:rsidRPr="00536F0C">
              <w:t>$1,035</w:t>
            </w:r>
          </w:p>
        </w:tc>
      </w:tr>
      <w:tr w:rsidRPr="00536F0C" w:rsidR="00466980" w:rsidTr="006D67FD" w14:paraId="079BC412"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0AEEE249" w14:textId="1C20B129">
            <w:pPr>
              <w:jc w:val="center"/>
            </w:pPr>
            <w:r w:rsidRPr="00536F0C">
              <w:t>Julia</w:t>
            </w:r>
          </w:p>
        </w:tc>
        <w:tc>
          <w:tcPr>
            <w:tcW w:w="135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096BB66E" w14:textId="4BEFA0D9">
            <w:pPr>
              <w:jc w:val="center"/>
            </w:pPr>
            <w:r w:rsidRPr="00536F0C">
              <w:t>Severson</w:t>
            </w:r>
          </w:p>
        </w:tc>
        <w:tc>
          <w:tcPr>
            <w:tcW w:w="207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04425E60" w14:textId="2487EF21">
            <w:pPr>
              <w:jc w:val="center"/>
            </w:pPr>
            <w:r w:rsidRPr="00536F0C">
              <w:t>Advocate</w:t>
            </w:r>
          </w:p>
        </w:tc>
        <w:tc>
          <w:tcPr>
            <w:tcW w:w="234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012B3623" w14:textId="79C78DB6">
            <w:pPr>
              <w:jc w:val="center"/>
            </w:pPr>
            <w:r w:rsidRPr="00536F0C">
              <w:t>$120</w:t>
            </w:r>
          </w:p>
        </w:tc>
        <w:tc>
          <w:tcPr>
            <w:tcW w:w="1710"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71C88519" w14:textId="6B9A3F0F">
            <w:pPr>
              <w:jc w:val="center"/>
            </w:pPr>
            <w:r w:rsidRPr="00536F0C">
              <w:t>2022</w:t>
            </w:r>
          </w:p>
        </w:tc>
        <w:tc>
          <w:tcPr>
            <w:tcW w:w="1535" w:type="dxa"/>
            <w:tcBorders>
              <w:top w:val="single" w:color="auto" w:sz="4" w:space="0"/>
              <w:left w:val="single" w:color="auto" w:sz="4" w:space="0"/>
              <w:bottom w:val="single" w:color="auto" w:sz="4" w:space="0"/>
              <w:right w:val="single" w:color="auto" w:sz="4" w:space="0"/>
            </w:tcBorders>
          </w:tcPr>
          <w:p w:rsidRPr="00536F0C" w:rsidR="00466980" w:rsidP="008F5F5F" w:rsidRDefault="00466980" w14:paraId="34A70C9D" w14:textId="31ED3354">
            <w:pPr>
              <w:jc w:val="center"/>
            </w:pPr>
            <w:r w:rsidRPr="00536F0C">
              <w:t>$120</w:t>
            </w:r>
          </w:p>
        </w:tc>
      </w:tr>
    </w:tbl>
    <w:p w:rsidR="00F17AE2" w:rsidP="008F5F5F" w:rsidRDefault="00F17AE2" w14:paraId="1F619C63" w14:textId="77777777">
      <w:pPr>
        <w:spacing w:before="120"/>
        <w:jc w:val="center"/>
        <w:rPr>
          <w:b/>
        </w:rPr>
      </w:pPr>
    </w:p>
    <w:p w:rsidR="00F17AE2" w:rsidP="008F5F5F" w:rsidRDefault="00F17AE2" w14:paraId="6C7F9BC1" w14:textId="77777777">
      <w:pPr>
        <w:spacing w:before="120"/>
        <w:jc w:val="center"/>
        <w:rPr>
          <w:b/>
        </w:rPr>
      </w:pPr>
    </w:p>
    <w:p w:rsidRPr="00536F0C" w:rsidR="00FE3BAE" w:rsidP="008F5F5F" w:rsidRDefault="00FE3BAE" w14:paraId="53F54635" w14:textId="3C8C46A9">
      <w:pPr>
        <w:spacing w:before="120"/>
        <w:jc w:val="center"/>
      </w:pPr>
      <w:r w:rsidRPr="00536F0C">
        <w:rPr>
          <w:b/>
        </w:rPr>
        <w:t>(END OF APPENDIX)</w:t>
      </w:r>
    </w:p>
    <w:sectPr w:rsidRPr="00536F0C" w:rsidR="00FE3BAE" w:rsidSect="00F23F34">
      <w:footerReference w:type="default" r:id="rId15"/>
      <w:pgSz w:w="12240" w:h="15840"/>
      <w:pgMar w:top="1728" w:right="1440" w:bottom="1440" w:left="1440" w:header="720" w:footer="720" w:gutter="0"/>
      <w:pgNumType w:fmt="numberInDash" w:start="1"/>
      <w:cols w:space="720"/>
      <w:docGrid w:linePitch="360"/>
    </w:sectPr>
    <w:p>
      <w:r>
        <w:t xml:space="preserve"/>
      </w:r>
    </w:p>
    <w:p>
      <w:r>
        <w:t xml:space="preserve">Attachment 1: </w:t>
      </w:r>
    </w:p>
    <w:p>
      <w:hyperlink w:history="true" r:id="R203bb44fe3b14304">
        <w:r w:rsidRPr="00CB1292">
          <w:rPr>
            <w:rStyle w:val="Hyperlink"/>
            <w:color w:val="2E74B5" w:themeColor="accent1" w:themeShade="BF"/>
            <w:u w:val="single"/>
          </w:rPr>
          <w:t>A2204008, et al. PCF IComp PD (Redline Version).pdf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8439" w14:textId="77777777" w:rsidR="001722C1" w:rsidRDefault="001722C1" w:rsidP="00885956">
      <w:r>
        <w:separator/>
      </w:r>
    </w:p>
  </w:endnote>
  <w:endnote w:type="continuationSeparator" w:id="0">
    <w:p w14:paraId="3FDA885B" w14:textId="77777777" w:rsidR="001722C1" w:rsidRDefault="001722C1" w:rsidP="00885956">
      <w:r>
        <w:continuationSeparator/>
      </w:r>
    </w:p>
  </w:endnote>
  <w:endnote w:type="continuationNotice" w:id="1">
    <w:p w14:paraId="51BD6E0A" w14:textId="77777777" w:rsidR="001722C1" w:rsidRDefault="00172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32AE" w14:textId="77777777" w:rsidR="009E22FE" w:rsidRDefault="009E2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4F9ABBD9" w:rsidR="003B6A1B" w:rsidRDefault="009E22FE" w:rsidP="00880855">
        <w:pPr>
          <w:pStyle w:val="Footer"/>
          <w:jc w:val="center"/>
        </w:pPr>
        <w:r>
          <w:t>-</w:t>
        </w:r>
        <w:r w:rsidR="004963A4">
          <w:t xml:space="preserve"> </w:t>
        </w:r>
        <w:r w:rsidR="003B6A1B">
          <w:fldChar w:fldCharType="begin"/>
        </w:r>
        <w:r w:rsidR="003B6A1B">
          <w:instrText xml:space="preserve"> PAGE   \* MERGEFORMAT </w:instrText>
        </w:r>
        <w:r w:rsidR="003B6A1B">
          <w:fldChar w:fldCharType="separate"/>
        </w:r>
        <w:r w:rsidR="0055228B">
          <w:rPr>
            <w:noProof/>
          </w:rPr>
          <w:t xml:space="preserve">- 1 </w:t>
        </w:r>
        <w:r>
          <w:rPr>
            <w:noProof/>
          </w:rPr>
          <w:t>-</w:t>
        </w:r>
        <w:r w:rsidR="003B6A1B">
          <w:rPr>
            <w:noProof/>
          </w:rPr>
          <w:fldChar w:fldCharType="end"/>
        </w:r>
        <w:r w:rsidR="004963A4">
          <w:rPr>
            <w:noProof/>
          </w:rPr>
          <w:t xml:space="preserve"> </w:t>
        </w:r>
        <w:r>
          <w:rPr>
            <w:noProof/>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2B494C2D" w14:textId="7DD03CB5" w:rsidR="00CF1129" w:rsidRDefault="006D4D48" w:rsidP="004963A4">
        <w:pPr>
          <w:pStyle w:val="Footer"/>
        </w:pPr>
        <w:r w:rsidRPr="006D4D48">
          <w:rPr>
            <w:sz w:val="16"/>
          </w:rPr>
          <w:t>605746894</w:t>
        </w:r>
        <w:r w:rsidR="004963A4">
          <w:tab/>
        </w:r>
        <w:r w:rsidR="0042760A">
          <w:t>-</w:t>
        </w:r>
        <w:r w:rsidR="004963A4">
          <w:t xml:space="preserve"> </w:t>
        </w:r>
        <w:r w:rsidR="00CF1129">
          <w:fldChar w:fldCharType="begin"/>
        </w:r>
        <w:r w:rsidR="00CF1129">
          <w:instrText xml:space="preserve"> PAGE   \* MERGEFORMAT </w:instrText>
        </w:r>
        <w:r w:rsidR="00CF1129">
          <w:fldChar w:fldCharType="separate"/>
        </w:r>
        <w:r w:rsidR="002A6C07">
          <w:rPr>
            <w:noProof/>
          </w:rPr>
          <w:t xml:space="preserve">- 1 </w:t>
        </w:r>
        <w:r w:rsidR="0042760A">
          <w:rPr>
            <w:noProof/>
          </w:rPr>
          <w:t>-</w:t>
        </w:r>
        <w:r w:rsidR="00CF1129">
          <w:rPr>
            <w:noProof/>
          </w:rPr>
          <w:fldChar w:fldCharType="end"/>
        </w:r>
        <w:r w:rsidR="004963A4">
          <w:rPr>
            <w:noProof/>
          </w:rPr>
          <w:t xml:space="preserve"> </w:t>
        </w:r>
        <w:r w:rsidR="0042760A">
          <w:rPr>
            <w:noProof/>
          </w:rPr>
          <w:t>-</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C9A5" w14:textId="77777777" w:rsidR="001722C1" w:rsidRDefault="001722C1" w:rsidP="00885956">
      <w:r>
        <w:separator/>
      </w:r>
    </w:p>
  </w:footnote>
  <w:footnote w:type="continuationSeparator" w:id="0">
    <w:p w14:paraId="0E28CA4B" w14:textId="77777777" w:rsidR="001722C1" w:rsidRDefault="001722C1" w:rsidP="00885956">
      <w:r>
        <w:continuationSeparator/>
      </w:r>
    </w:p>
  </w:footnote>
  <w:footnote w:type="continuationNotice" w:id="1">
    <w:p w14:paraId="72AEA8D9" w14:textId="77777777" w:rsidR="001722C1" w:rsidRDefault="001722C1"/>
  </w:footnote>
  <w:footnote w:id="2">
    <w:p w14:paraId="3A605158" w14:textId="1DC256A1" w:rsidR="00927BEF" w:rsidRPr="004825E9" w:rsidRDefault="00927BEF" w:rsidP="004825E9">
      <w:pPr>
        <w:pStyle w:val="FootnoteText"/>
      </w:pPr>
      <w:r>
        <w:rPr>
          <w:rStyle w:val="FootnoteReference"/>
        </w:rPr>
        <w:footnoteRef/>
      </w:r>
      <w:r>
        <w:t xml:space="preserve"> </w:t>
      </w:r>
      <w:r w:rsidR="00E877FA">
        <w:t>This proceeding was reassigned to ALJ Brandon Gerstle on March 16, 2026.</w:t>
      </w:r>
    </w:p>
  </w:footnote>
  <w:footnote w:id="3">
    <w:p w14:paraId="47B5E3C7" w14:textId="4DA85A84" w:rsidR="00F15FFA" w:rsidRDefault="00F15FFA" w:rsidP="00D25B69">
      <w:pPr>
        <w:pStyle w:val="FootnoteText"/>
      </w:pPr>
      <w:r>
        <w:rPr>
          <w:rStyle w:val="FootnoteReference"/>
        </w:rPr>
        <w:footnoteRef/>
      </w:r>
      <w:r>
        <w:t xml:space="preserve"> </w:t>
      </w:r>
      <w:r w:rsidRPr="00D25B69">
        <w:t>References</w:t>
      </w:r>
      <w:r>
        <w:t xml:space="preserve"> herein to D.22</w:t>
      </w:r>
      <w:r w:rsidR="00B52830">
        <w:noBreakHyphen/>
      </w:r>
      <w:r>
        <w:t>12</w:t>
      </w:r>
      <w:r w:rsidR="00B52830">
        <w:noBreakHyphen/>
      </w:r>
      <w:r>
        <w:t>031 refer to D.22</w:t>
      </w:r>
      <w:r w:rsidR="00B52830">
        <w:noBreakHyphen/>
      </w:r>
      <w:r>
        <w:t>12</w:t>
      </w:r>
      <w:r w:rsidR="00B52830">
        <w:noBreakHyphen/>
      </w:r>
      <w:r>
        <w:t>031 as modified by D.23</w:t>
      </w:r>
      <w:r w:rsidR="00B52830">
        <w:noBreakHyphen/>
      </w:r>
      <w:r>
        <w:t>01</w:t>
      </w:r>
      <w:r w:rsidR="00B52830">
        <w:noBreakHyphen/>
      </w:r>
      <w:r>
        <w:t>002.</w:t>
      </w:r>
    </w:p>
  </w:footnote>
  <w:footnote w:id="4">
    <w:p w14:paraId="7CAF0DDD" w14:textId="77777777" w:rsidR="003B6A1B" w:rsidRDefault="003B6A1B" w:rsidP="00D25B69">
      <w:pPr>
        <w:pStyle w:val="FootnoteText"/>
      </w:pPr>
      <w:r>
        <w:rPr>
          <w:rStyle w:val="FootnoteReference"/>
        </w:rPr>
        <w:footnoteRef/>
      </w:r>
      <w:r>
        <w:t xml:space="preserve"> </w:t>
      </w:r>
      <w:r w:rsidRPr="00D25B69">
        <w:t>All</w:t>
      </w:r>
      <w:r>
        <w:t xml:space="preserve"> statutory references are to California Public Utilities Code unless indicated otherwise.</w:t>
      </w:r>
    </w:p>
  </w:footnote>
  <w:footnote w:id="5">
    <w:p w14:paraId="2A44723A" w14:textId="331D4697" w:rsidR="003B6A1B" w:rsidRPr="00DE3A5D" w:rsidRDefault="003B6A1B" w:rsidP="00D25B69">
      <w:pPr>
        <w:pStyle w:val="FootnoteText"/>
      </w:pPr>
      <w:r w:rsidRPr="00F561B2">
        <w:rPr>
          <w:rStyle w:val="FootnoteReference"/>
          <w:szCs w:val="22"/>
        </w:rPr>
        <w:footnoteRef/>
      </w:r>
      <w:r w:rsidRPr="00DE3A5D">
        <w:t xml:space="preserve"> </w:t>
      </w:r>
      <w:r w:rsidRPr="00D25B69">
        <w:t>This</w:t>
      </w:r>
      <w:r w:rsidRPr="00DE3A5D">
        <w:t xml:space="preserve"> information may be </w:t>
      </w:r>
      <w:r w:rsidRPr="00DE3A5D">
        <w:rPr>
          <w:color w:val="000000"/>
        </w:rPr>
        <w:t>obtain</w:t>
      </w:r>
      <w:r>
        <w:rPr>
          <w:color w:val="000000"/>
        </w:rPr>
        <w:t>ed through the State Bar of California</w:t>
      </w:r>
      <w:r w:rsidR="004E6167">
        <w:rPr>
          <w:color w:val="000000"/>
        </w:rPr>
        <w:t>’</w:t>
      </w:r>
      <w:r>
        <w:rPr>
          <w:color w:val="000000"/>
        </w:rPr>
        <w:t xml:space="preserve">s website at </w:t>
      </w:r>
      <w:hyperlink r:id="rId1" w:history="1">
        <w:r w:rsidRPr="00F561B2">
          <w:rPr>
            <w:rStyle w:val="Hyperlink"/>
            <w:szCs w:val="22"/>
          </w:rPr>
          <w:t>http://members.calbar.ca.gov/fal/MemberSearch/QuickSearch</w:t>
        </w:r>
      </w:hyperlink>
      <w:r>
        <w:rPr>
          <w:color w:val="000000"/>
        </w:rPr>
        <w:t>.</w:t>
      </w:r>
    </w:p>
  </w:footnote>
  <w:footnote w:id="6">
    <w:p w14:paraId="5975AB8E" w14:textId="5E1F92BE" w:rsidR="00043547" w:rsidRPr="00D25B69" w:rsidRDefault="00043547" w:rsidP="00D25B69">
      <w:pPr>
        <w:pStyle w:val="FootnoteText"/>
      </w:pPr>
      <w:r>
        <w:rPr>
          <w:rStyle w:val="FootnoteReference"/>
        </w:rPr>
        <w:footnoteRef/>
      </w:r>
      <w:r>
        <w:t xml:space="preserve"> </w:t>
      </w:r>
      <w:r w:rsidR="00876D64">
        <w:t>Attachments not included in final Decision.</w:t>
      </w:r>
    </w:p>
  </w:footnote>
  <w:footnote w:id="7">
    <w:p w14:paraId="6375FC85" w14:textId="3791F830" w:rsidR="008B249E" w:rsidRDefault="008B249E">
      <w:pPr>
        <w:pStyle w:val="FootnoteText"/>
      </w:pPr>
      <w:r>
        <w:rPr>
          <w:rStyle w:val="FootnoteReference"/>
        </w:rPr>
        <w:footnoteRef/>
      </w:r>
      <w:r>
        <w:t xml:space="preserve"> </w:t>
      </w:r>
      <w:r w:rsidRPr="008B249E">
        <w:t>D.25</w:t>
      </w:r>
      <w:r w:rsidR="00B52830">
        <w:noBreakHyphen/>
      </w:r>
      <w:r w:rsidRPr="008B249E">
        <w:t>01</w:t>
      </w:r>
      <w:r w:rsidR="00B52830">
        <w:noBreakHyphen/>
      </w:r>
      <w:r w:rsidRPr="008B249E">
        <w:t>026 verified a 2024 hourly rate of $280.00 for Jonathan Webster</w:t>
      </w:r>
      <w:r w:rsidR="00A845E8">
        <w:t xml:space="preserve"> in error.</w:t>
      </w:r>
    </w:p>
  </w:footnote>
  <w:footnote w:id="8">
    <w:p w14:paraId="2EEC3572" w14:textId="135ED930" w:rsidR="00657F6B" w:rsidRDefault="00657F6B" w:rsidP="00D25B69">
      <w:pPr>
        <w:pStyle w:val="FootnoteText"/>
      </w:pPr>
      <w:r>
        <w:rPr>
          <w:rStyle w:val="FootnoteReference"/>
        </w:rPr>
        <w:footnoteRef/>
      </w:r>
      <w:r>
        <w:t xml:space="preserve"> D.23</w:t>
      </w:r>
      <w:r w:rsidR="00B52830">
        <w:noBreakHyphen/>
      </w:r>
      <w:r>
        <w:t>08</w:t>
      </w:r>
      <w:r w:rsidR="00B52830">
        <w:noBreakHyphen/>
      </w:r>
      <w:r>
        <w:t>028 at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D5A1" w14:textId="77777777" w:rsidR="009E22FE" w:rsidRDefault="009E2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6D09" w14:textId="208746DF" w:rsidR="00D0550D" w:rsidRDefault="00F23F34" w:rsidP="00D0550D">
    <w:pPr>
      <w:pStyle w:val="Header"/>
      <w:tabs>
        <w:tab w:val="clear" w:pos="4680"/>
      </w:tabs>
    </w:pPr>
    <w:r w:rsidRPr="00F23F34">
      <w:t>A</w:t>
    </w:r>
    <w:r>
      <w:t>.</w:t>
    </w:r>
    <w:r w:rsidRPr="00F23F34">
      <w:t>22</w:t>
    </w:r>
    <w:r w:rsidR="00154F5E">
      <w:t>-</w:t>
    </w:r>
    <w:r w:rsidRPr="00F23F34">
      <w:t>04</w:t>
    </w:r>
    <w:r w:rsidR="00154F5E">
      <w:t>-</w:t>
    </w:r>
    <w:r w:rsidRPr="00F23F34">
      <w:t>008, et al.</w:t>
    </w:r>
    <w:r>
      <w:t xml:space="preserve">  ALJ/</w:t>
    </w:r>
    <w:r w:rsidR="00587671">
      <w:rPr>
        <w:color w:val="000000"/>
      </w:rPr>
      <w:t>BG5</w:t>
    </w:r>
    <w:r>
      <w:t>/nd3</w:t>
    </w:r>
    <w:r>
      <w:tab/>
      <w:t>PROPOSED DECISION</w:t>
    </w:r>
    <w:r w:rsidR="00726AE3" w:rsidRPr="00726AE3">
      <w:t xml:space="preserve"> (Rev.1)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46B5" w14:textId="77777777" w:rsidR="009E22FE" w:rsidRDefault="009E2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C4A1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853BA"/>
    <w:multiLevelType w:val="multilevel"/>
    <w:tmpl w:val="F18C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06D1F"/>
    <w:multiLevelType w:val="multilevel"/>
    <w:tmpl w:val="F18C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210E1"/>
    <w:multiLevelType w:val="multilevel"/>
    <w:tmpl w:val="F18C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41E7A"/>
    <w:multiLevelType w:val="hybridMultilevel"/>
    <w:tmpl w:val="0F687A82"/>
    <w:lvl w:ilvl="0" w:tplc="69CADAE8">
      <w:start w:val="1"/>
      <w:numFmt w:val="upperLetter"/>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03058"/>
    <w:multiLevelType w:val="hybridMultilevel"/>
    <w:tmpl w:val="F7225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29603C"/>
    <w:multiLevelType w:val="multilevel"/>
    <w:tmpl w:val="F18C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306B5"/>
    <w:multiLevelType w:val="multilevel"/>
    <w:tmpl w:val="F18C1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C671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9905274"/>
    <w:multiLevelType w:val="multilevel"/>
    <w:tmpl w:val="F18C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F36D2"/>
    <w:multiLevelType w:val="multilevel"/>
    <w:tmpl w:val="F18C1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93F2E"/>
    <w:multiLevelType w:val="multilevel"/>
    <w:tmpl w:val="F18C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83571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8D26E83"/>
    <w:multiLevelType w:val="multilevel"/>
    <w:tmpl w:val="F18C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0037DC"/>
    <w:multiLevelType w:val="hybridMultilevel"/>
    <w:tmpl w:val="FB22EE54"/>
    <w:lvl w:ilvl="0" w:tplc="FFFFFFFF">
      <w:start w:val="1"/>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A7A7DB6"/>
    <w:multiLevelType w:val="multilevel"/>
    <w:tmpl w:val="F18C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73A66"/>
    <w:multiLevelType w:val="hybridMultilevel"/>
    <w:tmpl w:val="30FC9C02"/>
    <w:lvl w:ilvl="0" w:tplc="FFFFFFFF">
      <w:start w:val="1"/>
      <w:numFmt w:val="decimal"/>
      <w:lvlText w:val="%1."/>
      <w:lvlJc w:val="left"/>
      <w:pPr>
        <w:ind w:left="547" w:hanging="54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2A967C4"/>
    <w:multiLevelType w:val="multilevel"/>
    <w:tmpl w:val="F18C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553C3113"/>
    <w:multiLevelType w:val="hybridMultilevel"/>
    <w:tmpl w:val="A3EC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7" w15:restartNumberingAfterBreak="0">
    <w:nsid w:val="5A012707"/>
    <w:multiLevelType w:val="multilevel"/>
    <w:tmpl w:val="F18C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0B6DFD"/>
    <w:multiLevelType w:val="hybridMultilevel"/>
    <w:tmpl w:val="FB22EE54"/>
    <w:lvl w:ilvl="0" w:tplc="BE123246">
      <w:start w:val="1"/>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E334FEA"/>
    <w:multiLevelType w:val="hybridMultilevel"/>
    <w:tmpl w:val="30FC9C02"/>
    <w:lvl w:ilvl="0" w:tplc="FFFFFFFF">
      <w:start w:val="1"/>
      <w:numFmt w:val="decimal"/>
      <w:lvlText w:val="%1."/>
      <w:lvlJc w:val="left"/>
      <w:pPr>
        <w:ind w:left="547" w:hanging="54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36431786">
    <w:abstractNumId w:val="29"/>
  </w:num>
  <w:num w:numId="2" w16cid:durableId="296566636">
    <w:abstractNumId w:val="6"/>
  </w:num>
  <w:num w:numId="3" w16cid:durableId="2098595014">
    <w:abstractNumId w:val="30"/>
  </w:num>
  <w:num w:numId="4" w16cid:durableId="1312905431">
    <w:abstractNumId w:val="23"/>
  </w:num>
  <w:num w:numId="5" w16cid:durableId="417093550">
    <w:abstractNumId w:val="15"/>
  </w:num>
  <w:num w:numId="6" w16cid:durableId="1486429129">
    <w:abstractNumId w:val="26"/>
  </w:num>
  <w:num w:numId="7" w16cid:durableId="258221757">
    <w:abstractNumId w:val="16"/>
  </w:num>
  <w:num w:numId="8" w16cid:durableId="842936081">
    <w:abstractNumId w:val="25"/>
  </w:num>
  <w:num w:numId="9" w16cid:durableId="1685205339">
    <w:abstractNumId w:val="9"/>
  </w:num>
  <w:num w:numId="10" w16cid:durableId="789317941">
    <w:abstractNumId w:val="14"/>
  </w:num>
  <w:num w:numId="11" w16cid:durableId="1319529974">
    <w:abstractNumId w:val="4"/>
  </w:num>
  <w:num w:numId="12" w16cid:durableId="1359549797">
    <w:abstractNumId w:val="5"/>
  </w:num>
  <w:num w:numId="13" w16cid:durableId="969240545">
    <w:abstractNumId w:val="10"/>
  </w:num>
  <w:num w:numId="14" w16cid:durableId="1558281119">
    <w:abstractNumId w:val="17"/>
  </w:num>
  <w:num w:numId="15" w16cid:durableId="1260334967">
    <w:abstractNumId w:val="0"/>
  </w:num>
  <w:num w:numId="16" w16cid:durableId="1486431166">
    <w:abstractNumId w:val="12"/>
  </w:num>
  <w:num w:numId="17" w16cid:durableId="186800697">
    <w:abstractNumId w:val="2"/>
  </w:num>
  <w:num w:numId="18" w16cid:durableId="2073308570">
    <w:abstractNumId w:val="8"/>
  </w:num>
  <w:num w:numId="19" w16cid:durableId="1161309440">
    <w:abstractNumId w:val="1"/>
  </w:num>
  <w:num w:numId="20" w16cid:durableId="1044912326">
    <w:abstractNumId w:val="3"/>
  </w:num>
  <w:num w:numId="21" w16cid:durableId="2098011926">
    <w:abstractNumId w:val="13"/>
  </w:num>
  <w:num w:numId="22" w16cid:durableId="1441997851">
    <w:abstractNumId w:val="18"/>
  </w:num>
  <w:num w:numId="23" w16cid:durableId="78061730">
    <w:abstractNumId w:val="27"/>
  </w:num>
  <w:num w:numId="24" w16cid:durableId="12417911">
    <w:abstractNumId w:val="11"/>
  </w:num>
  <w:num w:numId="25" w16cid:durableId="486015090">
    <w:abstractNumId w:val="22"/>
  </w:num>
  <w:num w:numId="26" w16cid:durableId="1920168770">
    <w:abstractNumId w:val="20"/>
  </w:num>
  <w:num w:numId="27" w16cid:durableId="472521724">
    <w:abstractNumId w:val="7"/>
  </w:num>
  <w:num w:numId="28" w16cid:durableId="1343819536">
    <w:abstractNumId w:val="28"/>
  </w:num>
  <w:num w:numId="29" w16cid:durableId="560335981">
    <w:abstractNumId w:val="19"/>
  </w:num>
  <w:num w:numId="30" w16cid:durableId="259994288">
    <w:abstractNumId w:val="31"/>
  </w:num>
  <w:num w:numId="31" w16cid:durableId="529535690">
    <w:abstractNumId w:val="21"/>
  </w:num>
  <w:num w:numId="32" w16cid:durableId="5142665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51D"/>
    <w:rsid w:val="00000B0A"/>
    <w:rsid w:val="00000D38"/>
    <w:rsid w:val="00001BD9"/>
    <w:rsid w:val="0000365F"/>
    <w:rsid w:val="00003A49"/>
    <w:rsid w:val="00003FF0"/>
    <w:rsid w:val="00005416"/>
    <w:rsid w:val="00005A59"/>
    <w:rsid w:val="00006D54"/>
    <w:rsid w:val="00007225"/>
    <w:rsid w:val="00010447"/>
    <w:rsid w:val="0001373A"/>
    <w:rsid w:val="00013837"/>
    <w:rsid w:val="00013EF1"/>
    <w:rsid w:val="00014B25"/>
    <w:rsid w:val="00015434"/>
    <w:rsid w:val="00015746"/>
    <w:rsid w:val="00015D45"/>
    <w:rsid w:val="00016870"/>
    <w:rsid w:val="0001760C"/>
    <w:rsid w:val="0001770C"/>
    <w:rsid w:val="000200B8"/>
    <w:rsid w:val="00020789"/>
    <w:rsid w:val="00020894"/>
    <w:rsid w:val="000208E8"/>
    <w:rsid w:val="00021B2C"/>
    <w:rsid w:val="00021C72"/>
    <w:rsid w:val="00021EB1"/>
    <w:rsid w:val="000229E6"/>
    <w:rsid w:val="00024298"/>
    <w:rsid w:val="00026A15"/>
    <w:rsid w:val="00026DDB"/>
    <w:rsid w:val="000300B4"/>
    <w:rsid w:val="00031070"/>
    <w:rsid w:val="00031353"/>
    <w:rsid w:val="00034492"/>
    <w:rsid w:val="00034777"/>
    <w:rsid w:val="00034E1A"/>
    <w:rsid w:val="00035A42"/>
    <w:rsid w:val="00035B1B"/>
    <w:rsid w:val="00036F54"/>
    <w:rsid w:val="00037F64"/>
    <w:rsid w:val="0004020A"/>
    <w:rsid w:val="00040F52"/>
    <w:rsid w:val="0004128B"/>
    <w:rsid w:val="00042C74"/>
    <w:rsid w:val="00043481"/>
    <w:rsid w:val="000434FE"/>
    <w:rsid w:val="00043547"/>
    <w:rsid w:val="00044D88"/>
    <w:rsid w:val="00044EAB"/>
    <w:rsid w:val="00045A2F"/>
    <w:rsid w:val="0004620F"/>
    <w:rsid w:val="00046270"/>
    <w:rsid w:val="000470B9"/>
    <w:rsid w:val="00047C7A"/>
    <w:rsid w:val="00050348"/>
    <w:rsid w:val="00050692"/>
    <w:rsid w:val="000509A9"/>
    <w:rsid w:val="000514D3"/>
    <w:rsid w:val="0005201E"/>
    <w:rsid w:val="000528AC"/>
    <w:rsid w:val="00052C9F"/>
    <w:rsid w:val="00053A5B"/>
    <w:rsid w:val="00054AB9"/>
    <w:rsid w:val="0005538D"/>
    <w:rsid w:val="00055843"/>
    <w:rsid w:val="00055F4F"/>
    <w:rsid w:val="00061DBD"/>
    <w:rsid w:val="00061F5D"/>
    <w:rsid w:val="00061FEF"/>
    <w:rsid w:val="00062069"/>
    <w:rsid w:val="00062365"/>
    <w:rsid w:val="00062ECE"/>
    <w:rsid w:val="00063C66"/>
    <w:rsid w:val="000645AB"/>
    <w:rsid w:val="00064C80"/>
    <w:rsid w:val="00065282"/>
    <w:rsid w:val="000656C6"/>
    <w:rsid w:val="00066768"/>
    <w:rsid w:val="000700D1"/>
    <w:rsid w:val="0007134A"/>
    <w:rsid w:val="00071EDE"/>
    <w:rsid w:val="00072C81"/>
    <w:rsid w:val="00073119"/>
    <w:rsid w:val="00073262"/>
    <w:rsid w:val="000732C0"/>
    <w:rsid w:val="000761B0"/>
    <w:rsid w:val="00076F4D"/>
    <w:rsid w:val="00077AD6"/>
    <w:rsid w:val="00080C82"/>
    <w:rsid w:val="00080F3C"/>
    <w:rsid w:val="00081DF5"/>
    <w:rsid w:val="00081E3C"/>
    <w:rsid w:val="0008254F"/>
    <w:rsid w:val="000825A7"/>
    <w:rsid w:val="00083425"/>
    <w:rsid w:val="00084B23"/>
    <w:rsid w:val="00085563"/>
    <w:rsid w:val="00086BA6"/>
    <w:rsid w:val="00090D53"/>
    <w:rsid w:val="00091065"/>
    <w:rsid w:val="0009201D"/>
    <w:rsid w:val="0009298A"/>
    <w:rsid w:val="000935F8"/>
    <w:rsid w:val="00094399"/>
    <w:rsid w:val="000944D3"/>
    <w:rsid w:val="00095F36"/>
    <w:rsid w:val="000971C0"/>
    <w:rsid w:val="0009769E"/>
    <w:rsid w:val="00097A9D"/>
    <w:rsid w:val="000A08CE"/>
    <w:rsid w:val="000A1116"/>
    <w:rsid w:val="000A11D7"/>
    <w:rsid w:val="000A1CD3"/>
    <w:rsid w:val="000A336F"/>
    <w:rsid w:val="000A5150"/>
    <w:rsid w:val="000A53B4"/>
    <w:rsid w:val="000B2ABB"/>
    <w:rsid w:val="000B3E93"/>
    <w:rsid w:val="000B4317"/>
    <w:rsid w:val="000B468C"/>
    <w:rsid w:val="000B50A2"/>
    <w:rsid w:val="000B563A"/>
    <w:rsid w:val="000B5D0E"/>
    <w:rsid w:val="000B68D8"/>
    <w:rsid w:val="000B69BD"/>
    <w:rsid w:val="000B6AE3"/>
    <w:rsid w:val="000C000D"/>
    <w:rsid w:val="000C1725"/>
    <w:rsid w:val="000C2E76"/>
    <w:rsid w:val="000C3F9F"/>
    <w:rsid w:val="000C5213"/>
    <w:rsid w:val="000C5CDE"/>
    <w:rsid w:val="000C66C7"/>
    <w:rsid w:val="000C7170"/>
    <w:rsid w:val="000D00C3"/>
    <w:rsid w:val="000D08E6"/>
    <w:rsid w:val="000D1254"/>
    <w:rsid w:val="000D1E6E"/>
    <w:rsid w:val="000D28B1"/>
    <w:rsid w:val="000D34BA"/>
    <w:rsid w:val="000D3ED4"/>
    <w:rsid w:val="000D4657"/>
    <w:rsid w:val="000D5BB8"/>
    <w:rsid w:val="000D5C84"/>
    <w:rsid w:val="000D5D48"/>
    <w:rsid w:val="000D6266"/>
    <w:rsid w:val="000D6CA0"/>
    <w:rsid w:val="000D6DF8"/>
    <w:rsid w:val="000D745E"/>
    <w:rsid w:val="000E1A80"/>
    <w:rsid w:val="000E2FE0"/>
    <w:rsid w:val="000E41D9"/>
    <w:rsid w:val="000E4319"/>
    <w:rsid w:val="000E581C"/>
    <w:rsid w:val="000E686F"/>
    <w:rsid w:val="000E6ABD"/>
    <w:rsid w:val="000E6D57"/>
    <w:rsid w:val="000E70F9"/>
    <w:rsid w:val="000F1956"/>
    <w:rsid w:val="000F205E"/>
    <w:rsid w:val="000F38B1"/>
    <w:rsid w:val="000F3E7C"/>
    <w:rsid w:val="000F435A"/>
    <w:rsid w:val="000F595C"/>
    <w:rsid w:val="000F7670"/>
    <w:rsid w:val="000F7DE0"/>
    <w:rsid w:val="001006B5"/>
    <w:rsid w:val="00100CDD"/>
    <w:rsid w:val="0010147F"/>
    <w:rsid w:val="001016C8"/>
    <w:rsid w:val="001018CA"/>
    <w:rsid w:val="00101A06"/>
    <w:rsid w:val="001030DF"/>
    <w:rsid w:val="001033EA"/>
    <w:rsid w:val="0010362F"/>
    <w:rsid w:val="001038CB"/>
    <w:rsid w:val="00103BDB"/>
    <w:rsid w:val="00103FF9"/>
    <w:rsid w:val="001045C8"/>
    <w:rsid w:val="0010480F"/>
    <w:rsid w:val="00105DB8"/>
    <w:rsid w:val="00106534"/>
    <w:rsid w:val="00106DC9"/>
    <w:rsid w:val="001071BE"/>
    <w:rsid w:val="00107454"/>
    <w:rsid w:val="0010751A"/>
    <w:rsid w:val="00110A68"/>
    <w:rsid w:val="00110C86"/>
    <w:rsid w:val="00110D89"/>
    <w:rsid w:val="00111D6B"/>
    <w:rsid w:val="00112088"/>
    <w:rsid w:val="00113218"/>
    <w:rsid w:val="00113818"/>
    <w:rsid w:val="0011436A"/>
    <w:rsid w:val="00114403"/>
    <w:rsid w:val="00114A2C"/>
    <w:rsid w:val="00114BDA"/>
    <w:rsid w:val="001152B5"/>
    <w:rsid w:val="00115A55"/>
    <w:rsid w:val="00115BF5"/>
    <w:rsid w:val="0011647C"/>
    <w:rsid w:val="001166CB"/>
    <w:rsid w:val="00117118"/>
    <w:rsid w:val="0012029D"/>
    <w:rsid w:val="0012038B"/>
    <w:rsid w:val="00121006"/>
    <w:rsid w:val="00122B5E"/>
    <w:rsid w:val="00122CB2"/>
    <w:rsid w:val="00123103"/>
    <w:rsid w:val="00123B39"/>
    <w:rsid w:val="00124A0D"/>
    <w:rsid w:val="00124FA6"/>
    <w:rsid w:val="00124FE0"/>
    <w:rsid w:val="00125492"/>
    <w:rsid w:val="001257BA"/>
    <w:rsid w:val="0012667D"/>
    <w:rsid w:val="001278B6"/>
    <w:rsid w:val="001300B5"/>
    <w:rsid w:val="001309ED"/>
    <w:rsid w:val="00130A8D"/>
    <w:rsid w:val="00131493"/>
    <w:rsid w:val="0013176E"/>
    <w:rsid w:val="00132199"/>
    <w:rsid w:val="00132749"/>
    <w:rsid w:val="001343D0"/>
    <w:rsid w:val="001346EB"/>
    <w:rsid w:val="0013514E"/>
    <w:rsid w:val="00135F88"/>
    <w:rsid w:val="0013627C"/>
    <w:rsid w:val="00136BA1"/>
    <w:rsid w:val="00137C55"/>
    <w:rsid w:val="0014015B"/>
    <w:rsid w:val="00140246"/>
    <w:rsid w:val="00140AD2"/>
    <w:rsid w:val="00140D99"/>
    <w:rsid w:val="00140ED0"/>
    <w:rsid w:val="001412FA"/>
    <w:rsid w:val="00141A4E"/>
    <w:rsid w:val="0014221C"/>
    <w:rsid w:val="00143E0F"/>
    <w:rsid w:val="001446E2"/>
    <w:rsid w:val="001449F5"/>
    <w:rsid w:val="00146674"/>
    <w:rsid w:val="00147D8F"/>
    <w:rsid w:val="00147E65"/>
    <w:rsid w:val="00147FEA"/>
    <w:rsid w:val="00151194"/>
    <w:rsid w:val="00151AA8"/>
    <w:rsid w:val="00151DDE"/>
    <w:rsid w:val="00152F94"/>
    <w:rsid w:val="00153139"/>
    <w:rsid w:val="00153685"/>
    <w:rsid w:val="00153F3E"/>
    <w:rsid w:val="001541DD"/>
    <w:rsid w:val="0015447C"/>
    <w:rsid w:val="00154F5E"/>
    <w:rsid w:val="0015516F"/>
    <w:rsid w:val="0015578C"/>
    <w:rsid w:val="00155FEB"/>
    <w:rsid w:val="0015765B"/>
    <w:rsid w:val="00157815"/>
    <w:rsid w:val="00157871"/>
    <w:rsid w:val="00157905"/>
    <w:rsid w:val="00160A78"/>
    <w:rsid w:val="001614C5"/>
    <w:rsid w:val="00161A05"/>
    <w:rsid w:val="00161C9F"/>
    <w:rsid w:val="0016392D"/>
    <w:rsid w:val="0016397F"/>
    <w:rsid w:val="00164EA0"/>
    <w:rsid w:val="001667E3"/>
    <w:rsid w:val="0016689E"/>
    <w:rsid w:val="00167F4B"/>
    <w:rsid w:val="001700DE"/>
    <w:rsid w:val="00171EBF"/>
    <w:rsid w:val="00171F71"/>
    <w:rsid w:val="001722C1"/>
    <w:rsid w:val="00172BA0"/>
    <w:rsid w:val="00172CD0"/>
    <w:rsid w:val="00174302"/>
    <w:rsid w:val="001746B3"/>
    <w:rsid w:val="00175865"/>
    <w:rsid w:val="00176D5A"/>
    <w:rsid w:val="001808D3"/>
    <w:rsid w:val="00180A43"/>
    <w:rsid w:val="00180E8C"/>
    <w:rsid w:val="00181F43"/>
    <w:rsid w:val="0018205D"/>
    <w:rsid w:val="00183927"/>
    <w:rsid w:val="0018398D"/>
    <w:rsid w:val="00183FB9"/>
    <w:rsid w:val="00184FCB"/>
    <w:rsid w:val="00185654"/>
    <w:rsid w:val="00185E02"/>
    <w:rsid w:val="00187BC1"/>
    <w:rsid w:val="00187C0A"/>
    <w:rsid w:val="00187D6F"/>
    <w:rsid w:val="00187EA3"/>
    <w:rsid w:val="001909BF"/>
    <w:rsid w:val="00192A1D"/>
    <w:rsid w:val="001938D8"/>
    <w:rsid w:val="00195224"/>
    <w:rsid w:val="00195E28"/>
    <w:rsid w:val="00195E6E"/>
    <w:rsid w:val="001962EB"/>
    <w:rsid w:val="00196ECF"/>
    <w:rsid w:val="00197401"/>
    <w:rsid w:val="0019761F"/>
    <w:rsid w:val="001A0013"/>
    <w:rsid w:val="001A167F"/>
    <w:rsid w:val="001A2375"/>
    <w:rsid w:val="001A2D67"/>
    <w:rsid w:val="001A314F"/>
    <w:rsid w:val="001A3924"/>
    <w:rsid w:val="001A3CF3"/>
    <w:rsid w:val="001A3D2A"/>
    <w:rsid w:val="001A6912"/>
    <w:rsid w:val="001A6DC3"/>
    <w:rsid w:val="001A7729"/>
    <w:rsid w:val="001B0238"/>
    <w:rsid w:val="001B0470"/>
    <w:rsid w:val="001B0FDA"/>
    <w:rsid w:val="001B121B"/>
    <w:rsid w:val="001B1A57"/>
    <w:rsid w:val="001B4565"/>
    <w:rsid w:val="001B5689"/>
    <w:rsid w:val="001B577A"/>
    <w:rsid w:val="001B58F3"/>
    <w:rsid w:val="001B64CF"/>
    <w:rsid w:val="001B6A36"/>
    <w:rsid w:val="001C0DD1"/>
    <w:rsid w:val="001C2180"/>
    <w:rsid w:val="001C21AE"/>
    <w:rsid w:val="001C2930"/>
    <w:rsid w:val="001C2BF9"/>
    <w:rsid w:val="001C4CAB"/>
    <w:rsid w:val="001D0A30"/>
    <w:rsid w:val="001D26C1"/>
    <w:rsid w:val="001D29A5"/>
    <w:rsid w:val="001D3173"/>
    <w:rsid w:val="001D3ED2"/>
    <w:rsid w:val="001D40FD"/>
    <w:rsid w:val="001D4161"/>
    <w:rsid w:val="001D4374"/>
    <w:rsid w:val="001D49F5"/>
    <w:rsid w:val="001D51B9"/>
    <w:rsid w:val="001D5C11"/>
    <w:rsid w:val="001D5CAD"/>
    <w:rsid w:val="001D5DAB"/>
    <w:rsid w:val="001D5DC8"/>
    <w:rsid w:val="001D67F5"/>
    <w:rsid w:val="001D7E7C"/>
    <w:rsid w:val="001E0D72"/>
    <w:rsid w:val="001E151E"/>
    <w:rsid w:val="001E1B84"/>
    <w:rsid w:val="001E2390"/>
    <w:rsid w:val="001E2AC0"/>
    <w:rsid w:val="001E5DEF"/>
    <w:rsid w:val="001E623D"/>
    <w:rsid w:val="001E70A7"/>
    <w:rsid w:val="001E7276"/>
    <w:rsid w:val="001E7414"/>
    <w:rsid w:val="001E77CF"/>
    <w:rsid w:val="001E7EE2"/>
    <w:rsid w:val="001F120C"/>
    <w:rsid w:val="001F133A"/>
    <w:rsid w:val="001F1F9D"/>
    <w:rsid w:val="001F238E"/>
    <w:rsid w:val="001F33F3"/>
    <w:rsid w:val="001F36AA"/>
    <w:rsid w:val="001F583B"/>
    <w:rsid w:val="001F60E8"/>
    <w:rsid w:val="001F6CC5"/>
    <w:rsid w:val="001F715B"/>
    <w:rsid w:val="001F7EC8"/>
    <w:rsid w:val="002008FA"/>
    <w:rsid w:val="00200C00"/>
    <w:rsid w:val="0020133A"/>
    <w:rsid w:val="002016C2"/>
    <w:rsid w:val="00201ACD"/>
    <w:rsid w:val="002027D5"/>
    <w:rsid w:val="002037B3"/>
    <w:rsid w:val="00203B27"/>
    <w:rsid w:val="00203B81"/>
    <w:rsid w:val="00203CC0"/>
    <w:rsid w:val="00203FC0"/>
    <w:rsid w:val="00204484"/>
    <w:rsid w:val="00204E33"/>
    <w:rsid w:val="00204E3A"/>
    <w:rsid w:val="00204FAC"/>
    <w:rsid w:val="00205D34"/>
    <w:rsid w:val="00205F37"/>
    <w:rsid w:val="00206CFF"/>
    <w:rsid w:val="002074FD"/>
    <w:rsid w:val="0021016E"/>
    <w:rsid w:val="00210DD4"/>
    <w:rsid w:val="002110BC"/>
    <w:rsid w:val="00211352"/>
    <w:rsid w:val="002113AC"/>
    <w:rsid w:val="00212023"/>
    <w:rsid w:val="002121F3"/>
    <w:rsid w:val="002122ED"/>
    <w:rsid w:val="00212972"/>
    <w:rsid w:val="00212B3B"/>
    <w:rsid w:val="00212E10"/>
    <w:rsid w:val="00214AC3"/>
    <w:rsid w:val="00214B22"/>
    <w:rsid w:val="002150D3"/>
    <w:rsid w:val="002158D3"/>
    <w:rsid w:val="002160DE"/>
    <w:rsid w:val="002161E7"/>
    <w:rsid w:val="00217224"/>
    <w:rsid w:val="00221020"/>
    <w:rsid w:val="00221B30"/>
    <w:rsid w:val="0022288E"/>
    <w:rsid w:val="00222DF0"/>
    <w:rsid w:val="0022302F"/>
    <w:rsid w:val="00223522"/>
    <w:rsid w:val="0022566A"/>
    <w:rsid w:val="002257E6"/>
    <w:rsid w:val="00226EED"/>
    <w:rsid w:val="0022747B"/>
    <w:rsid w:val="002275B1"/>
    <w:rsid w:val="00230392"/>
    <w:rsid w:val="002303B4"/>
    <w:rsid w:val="00231FAE"/>
    <w:rsid w:val="0023230F"/>
    <w:rsid w:val="002328DD"/>
    <w:rsid w:val="00232E06"/>
    <w:rsid w:val="00232E52"/>
    <w:rsid w:val="002334F0"/>
    <w:rsid w:val="002340C3"/>
    <w:rsid w:val="00235FB8"/>
    <w:rsid w:val="00236413"/>
    <w:rsid w:val="00236541"/>
    <w:rsid w:val="00237556"/>
    <w:rsid w:val="002415DC"/>
    <w:rsid w:val="00241F5D"/>
    <w:rsid w:val="00242FFC"/>
    <w:rsid w:val="00244525"/>
    <w:rsid w:val="0024516C"/>
    <w:rsid w:val="00245337"/>
    <w:rsid w:val="0024623F"/>
    <w:rsid w:val="002466F8"/>
    <w:rsid w:val="00247691"/>
    <w:rsid w:val="002502AC"/>
    <w:rsid w:val="00250B5D"/>
    <w:rsid w:val="00250C8C"/>
    <w:rsid w:val="00251092"/>
    <w:rsid w:val="00251206"/>
    <w:rsid w:val="00251E68"/>
    <w:rsid w:val="002546B7"/>
    <w:rsid w:val="0025506D"/>
    <w:rsid w:val="002557DE"/>
    <w:rsid w:val="002559F0"/>
    <w:rsid w:val="00256F00"/>
    <w:rsid w:val="00257675"/>
    <w:rsid w:val="00260518"/>
    <w:rsid w:val="002605BC"/>
    <w:rsid w:val="00260EA0"/>
    <w:rsid w:val="00260F65"/>
    <w:rsid w:val="00261B5E"/>
    <w:rsid w:val="00262202"/>
    <w:rsid w:val="002623B8"/>
    <w:rsid w:val="00263241"/>
    <w:rsid w:val="00263C37"/>
    <w:rsid w:val="00264333"/>
    <w:rsid w:val="00264842"/>
    <w:rsid w:val="00264D96"/>
    <w:rsid w:val="0026522E"/>
    <w:rsid w:val="002652AA"/>
    <w:rsid w:val="002652BE"/>
    <w:rsid w:val="00265E0C"/>
    <w:rsid w:val="002660B0"/>
    <w:rsid w:val="00266BD1"/>
    <w:rsid w:val="00267150"/>
    <w:rsid w:val="002671FF"/>
    <w:rsid w:val="002705CA"/>
    <w:rsid w:val="00270E2E"/>
    <w:rsid w:val="00272295"/>
    <w:rsid w:val="00272D01"/>
    <w:rsid w:val="00273208"/>
    <w:rsid w:val="002736D6"/>
    <w:rsid w:val="002739EB"/>
    <w:rsid w:val="00273FA9"/>
    <w:rsid w:val="002769C9"/>
    <w:rsid w:val="002770BA"/>
    <w:rsid w:val="00280079"/>
    <w:rsid w:val="00280328"/>
    <w:rsid w:val="00280966"/>
    <w:rsid w:val="002825B0"/>
    <w:rsid w:val="00282C39"/>
    <w:rsid w:val="0028386D"/>
    <w:rsid w:val="00283BBD"/>
    <w:rsid w:val="002841D3"/>
    <w:rsid w:val="00284EE1"/>
    <w:rsid w:val="0028552E"/>
    <w:rsid w:val="00285D9A"/>
    <w:rsid w:val="00286188"/>
    <w:rsid w:val="002865EB"/>
    <w:rsid w:val="002865FD"/>
    <w:rsid w:val="0028704F"/>
    <w:rsid w:val="002870AC"/>
    <w:rsid w:val="0028735D"/>
    <w:rsid w:val="002908C8"/>
    <w:rsid w:val="0029141C"/>
    <w:rsid w:val="00291FF0"/>
    <w:rsid w:val="00292253"/>
    <w:rsid w:val="00292AA5"/>
    <w:rsid w:val="00292EA1"/>
    <w:rsid w:val="00293E2D"/>
    <w:rsid w:val="00294A0F"/>
    <w:rsid w:val="00294B06"/>
    <w:rsid w:val="00294C3E"/>
    <w:rsid w:val="00295D31"/>
    <w:rsid w:val="002A147F"/>
    <w:rsid w:val="002A1C11"/>
    <w:rsid w:val="002A1DBE"/>
    <w:rsid w:val="002A208B"/>
    <w:rsid w:val="002A2905"/>
    <w:rsid w:val="002A2AE3"/>
    <w:rsid w:val="002A3A26"/>
    <w:rsid w:val="002A3F0A"/>
    <w:rsid w:val="002A406C"/>
    <w:rsid w:val="002A53F4"/>
    <w:rsid w:val="002A5C63"/>
    <w:rsid w:val="002A6130"/>
    <w:rsid w:val="002A63EA"/>
    <w:rsid w:val="002A6904"/>
    <w:rsid w:val="002A6B38"/>
    <w:rsid w:val="002A6C07"/>
    <w:rsid w:val="002A6C57"/>
    <w:rsid w:val="002A7C7A"/>
    <w:rsid w:val="002B0534"/>
    <w:rsid w:val="002B1434"/>
    <w:rsid w:val="002B1539"/>
    <w:rsid w:val="002B1ECB"/>
    <w:rsid w:val="002B38F8"/>
    <w:rsid w:val="002B3E14"/>
    <w:rsid w:val="002B49B4"/>
    <w:rsid w:val="002B5317"/>
    <w:rsid w:val="002B5466"/>
    <w:rsid w:val="002B56B8"/>
    <w:rsid w:val="002B582E"/>
    <w:rsid w:val="002B5ABE"/>
    <w:rsid w:val="002B5EAE"/>
    <w:rsid w:val="002B6495"/>
    <w:rsid w:val="002B77A1"/>
    <w:rsid w:val="002C06E9"/>
    <w:rsid w:val="002C08D8"/>
    <w:rsid w:val="002C1A44"/>
    <w:rsid w:val="002C2D74"/>
    <w:rsid w:val="002C48C4"/>
    <w:rsid w:val="002C6F08"/>
    <w:rsid w:val="002C7029"/>
    <w:rsid w:val="002C7757"/>
    <w:rsid w:val="002C7B78"/>
    <w:rsid w:val="002D00EA"/>
    <w:rsid w:val="002D02EF"/>
    <w:rsid w:val="002D04BC"/>
    <w:rsid w:val="002D1159"/>
    <w:rsid w:val="002D1485"/>
    <w:rsid w:val="002D21CA"/>
    <w:rsid w:val="002D3344"/>
    <w:rsid w:val="002D3764"/>
    <w:rsid w:val="002D3DF1"/>
    <w:rsid w:val="002D46AB"/>
    <w:rsid w:val="002D4A20"/>
    <w:rsid w:val="002D4BD7"/>
    <w:rsid w:val="002D53AA"/>
    <w:rsid w:val="002D5893"/>
    <w:rsid w:val="002D6924"/>
    <w:rsid w:val="002D735B"/>
    <w:rsid w:val="002D78F8"/>
    <w:rsid w:val="002E0552"/>
    <w:rsid w:val="002E2BC6"/>
    <w:rsid w:val="002E2E4A"/>
    <w:rsid w:val="002E31EB"/>
    <w:rsid w:val="002E34EB"/>
    <w:rsid w:val="002E3C20"/>
    <w:rsid w:val="002E58AC"/>
    <w:rsid w:val="002E5F83"/>
    <w:rsid w:val="002E6AD8"/>
    <w:rsid w:val="002E6CD2"/>
    <w:rsid w:val="002E77D8"/>
    <w:rsid w:val="002F0467"/>
    <w:rsid w:val="002F0FEB"/>
    <w:rsid w:val="002F11CD"/>
    <w:rsid w:val="002F2224"/>
    <w:rsid w:val="002F22C3"/>
    <w:rsid w:val="002F37CB"/>
    <w:rsid w:val="002F39F0"/>
    <w:rsid w:val="002F5C75"/>
    <w:rsid w:val="002F6906"/>
    <w:rsid w:val="00300355"/>
    <w:rsid w:val="00300BA5"/>
    <w:rsid w:val="003039CE"/>
    <w:rsid w:val="00303C2B"/>
    <w:rsid w:val="00303CE3"/>
    <w:rsid w:val="00305DC3"/>
    <w:rsid w:val="00306498"/>
    <w:rsid w:val="00306B1E"/>
    <w:rsid w:val="00306B69"/>
    <w:rsid w:val="00306F3C"/>
    <w:rsid w:val="00307210"/>
    <w:rsid w:val="003074ED"/>
    <w:rsid w:val="0031088E"/>
    <w:rsid w:val="00310931"/>
    <w:rsid w:val="00310B9F"/>
    <w:rsid w:val="0031165C"/>
    <w:rsid w:val="003121D5"/>
    <w:rsid w:val="00312874"/>
    <w:rsid w:val="00313640"/>
    <w:rsid w:val="00313790"/>
    <w:rsid w:val="00313874"/>
    <w:rsid w:val="00313CB8"/>
    <w:rsid w:val="00313D20"/>
    <w:rsid w:val="00315B02"/>
    <w:rsid w:val="00317042"/>
    <w:rsid w:val="003175F0"/>
    <w:rsid w:val="0032007C"/>
    <w:rsid w:val="0032025E"/>
    <w:rsid w:val="00320581"/>
    <w:rsid w:val="00320680"/>
    <w:rsid w:val="00320E58"/>
    <w:rsid w:val="00322107"/>
    <w:rsid w:val="00322512"/>
    <w:rsid w:val="003229E7"/>
    <w:rsid w:val="003239E0"/>
    <w:rsid w:val="00323F85"/>
    <w:rsid w:val="003243C2"/>
    <w:rsid w:val="00324E0E"/>
    <w:rsid w:val="00324EC3"/>
    <w:rsid w:val="003253B5"/>
    <w:rsid w:val="00326381"/>
    <w:rsid w:val="00327C5C"/>
    <w:rsid w:val="0033047D"/>
    <w:rsid w:val="00330828"/>
    <w:rsid w:val="00330C8C"/>
    <w:rsid w:val="00330D6A"/>
    <w:rsid w:val="003315B1"/>
    <w:rsid w:val="003315D4"/>
    <w:rsid w:val="00331739"/>
    <w:rsid w:val="00331C40"/>
    <w:rsid w:val="00332C6E"/>
    <w:rsid w:val="00333117"/>
    <w:rsid w:val="003338F8"/>
    <w:rsid w:val="003341DD"/>
    <w:rsid w:val="0033506F"/>
    <w:rsid w:val="00335347"/>
    <w:rsid w:val="00336A6D"/>
    <w:rsid w:val="00336A71"/>
    <w:rsid w:val="00336F06"/>
    <w:rsid w:val="00337645"/>
    <w:rsid w:val="00340147"/>
    <w:rsid w:val="003402A9"/>
    <w:rsid w:val="00340434"/>
    <w:rsid w:val="003404E0"/>
    <w:rsid w:val="003408B3"/>
    <w:rsid w:val="00341510"/>
    <w:rsid w:val="00341C52"/>
    <w:rsid w:val="00341FD4"/>
    <w:rsid w:val="0034330A"/>
    <w:rsid w:val="00343540"/>
    <w:rsid w:val="00344018"/>
    <w:rsid w:val="00344513"/>
    <w:rsid w:val="003453FB"/>
    <w:rsid w:val="003456A1"/>
    <w:rsid w:val="00345721"/>
    <w:rsid w:val="003461E2"/>
    <w:rsid w:val="0034746C"/>
    <w:rsid w:val="00347A12"/>
    <w:rsid w:val="003501DD"/>
    <w:rsid w:val="0035069F"/>
    <w:rsid w:val="003518A4"/>
    <w:rsid w:val="00351EC2"/>
    <w:rsid w:val="0035276C"/>
    <w:rsid w:val="00353895"/>
    <w:rsid w:val="003538D4"/>
    <w:rsid w:val="0035423A"/>
    <w:rsid w:val="003547C5"/>
    <w:rsid w:val="00354D86"/>
    <w:rsid w:val="00355CE4"/>
    <w:rsid w:val="0035723A"/>
    <w:rsid w:val="00357623"/>
    <w:rsid w:val="00357F1A"/>
    <w:rsid w:val="00357FC3"/>
    <w:rsid w:val="00360222"/>
    <w:rsid w:val="00361E72"/>
    <w:rsid w:val="00363938"/>
    <w:rsid w:val="00363B89"/>
    <w:rsid w:val="003647A7"/>
    <w:rsid w:val="003674A0"/>
    <w:rsid w:val="00370357"/>
    <w:rsid w:val="00373ACF"/>
    <w:rsid w:val="003744B0"/>
    <w:rsid w:val="00374914"/>
    <w:rsid w:val="00374FD1"/>
    <w:rsid w:val="0037563A"/>
    <w:rsid w:val="00375B38"/>
    <w:rsid w:val="00377884"/>
    <w:rsid w:val="00377DA4"/>
    <w:rsid w:val="00380703"/>
    <w:rsid w:val="00380FAF"/>
    <w:rsid w:val="0038104D"/>
    <w:rsid w:val="003814E0"/>
    <w:rsid w:val="00381ADF"/>
    <w:rsid w:val="0038278D"/>
    <w:rsid w:val="00382807"/>
    <w:rsid w:val="00383B55"/>
    <w:rsid w:val="003848B1"/>
    <w:rsid w:val="00385187"/>
    <w:rsid w:val="00385321"/>
    <w:rsid w:val="0038546C"/>
    <w:rsid w:val="00385A7D"/>
    <w:rsid w:val="00385FF2"/>
    <w:rsid w:val="003864DF"/>
    <w:rsid w:val="0038693A"/>
    <w:rsid w:val="00386BF3"/>
    <w:rsid w:val="00387571"/>
    <w:rsid w:val="00387D08"/>
    <w:rsid w:val="00387D32"/>
    <w:rsid w:val="0039053D"/>
    <w:rsid w:val="00390BAB"/>
    <w:rsid w:val="00390D46"/>
    <w:rsid w:val="00391F06"/>
    <w:rsid w:val="00392623"/>
    <w:rsid w:val="00392B31"/>
    <w:rsid w:val="00392F90"/>
    <w:rsid w:val="0039368A"/>
    <w:rsid w:val="003936F7"/>
    <w:rsid w:val="00393E18"/>
    <w:rsid w:val="0039541F"/>
    <w:rsid w:val="003958B4"/>
    <w:rsid w:val="00395DEC"/>
    <w:rsid w:val="00395E4E"/>
    <w:rsid w:val="00396C05"/>
    <w:rsid w:val="00397E73"/>
    <w:rsid w:val="003A0927"/>
    <w:rsid w:val="003A0BE2"/>
    <w:rsid w:val="003A1476"/>
    <w:rsid w:val="003A1592"/>
    <w:rsid w:val="003A1E32"/>
    <w:rsid w:val="003A24E5"/>
    <w:rsid w:val="003A2BC6"/>
    <w:rsid w:val="003A3916"/>
    <w:rsid w:val="003A39EB"/>
    <w:rsid w:val="003A3ADC"/>
    <w:rsid w:val="003A3F03"/>
    <w:rsid w:val="003A41B8"/>
    <w:rsid w:val="003A5B6D"/>
    <w:rsid w:val="003A6BDD"/>
    <w:rsid w:val="003A7762"/>
    <w:rsid w:val="003A789F"/>
    <w:rsid w:val="003B044B"/>
    <w:rsid w:val="003B0C88"/>
    <w:rsid w:val="003B0FA1"/>
    <w:rsid w:val="003B1782"/>
    <w:rsid w:val="003B1E34"/>
    <w:rsid w:val="003B24D9"/>
    <w:rsid w:val="003B304E"/>
    <w:rsid w:val="003B403F"/>
    <w:rsid w:val="003B495A"/>
    <w:rsid w:val="003B5EAC"/>
    <w:rsid w:val="003B5F08"/>
    <w:rsid w:val="003B6A1B"/>
    <w:rsid w:val="003B766E"/>
    <w:rsid w:val="003B77DE"/>
    <w:rsid w:val="003B7ADB"/>
    <w:rsid w:val="003B7D19"/>
    <w:rsid w:val="003C0284"/>
    <w:rsid w:val="003C1369"/>
    <w:rsid w:val="003C1445"/>
    <w:rsid w:val="003C1D1D"/>
    <w:rsid w:val="003C2D52"/>
    <w:rsid w:val="003C4E92"/>
    <w:rsid w:val="003C544E"/>
    <w:rsid w:val="003C5EB2"/>
    <w:rsid w:val="003C5F87"/>
    <w:rsid w:val="003C608A"/>
    <w:rsid w:val="003C69F6"/>
    <w:rsid w:val="003C6BC5"/>
    <w:rsid w:val="003C7BC4"/>
    <w:rsid w:val="003D07FB"/>
    <w:rsid w:val="003D0B71"/>
    <w:rsid w:val="003D15EC"/>
    <w:rsid w:val="003D1965"/>
    <w:rsid w:val="003D1BCD"/>
    <w:rsid w:val="003D1CD8"/>
    <w:rsid w:val="003D2369"/>
    <w:rsid w:val="003D359B"/>
    <w:rsid w:val="003D3667"/>
    <w:rsid w:val="003D4455"/>
    <w:rsid w:val="003D4491"/>
    <w:rsid w:val="003D4685"/>
    <w:rsid w:val="003D48C9"/>
    <w:rsid w:val="003D5303"/>
    <w:rsid w:val="003D6261"/>
    <w:rsid w:val="003D67DF"/>
    <w:rsid w:val="003D6BA9"/>
    <w:rsid w:val="003D758D"/>
    <w:rsid w:val="003D78A1"/>
    <w:rsid w:val="003D7BCC"/>
    <w:rsid w:val="003E064C"/>
    <w:rsid w:val="003E18C6"/>
    <w:rsid w:val="003E1B45"/>
    <w:rsid w:val="003E26D3"/>
    <w:rsid w:val="003E3433"/>
    <w:rsid w:val="003E34FD"/>
    <w:rsid w:val="003E39EF"/>
    <w:rsid w:val="003E4209"/>
    <w:rsid w:val="003E4494"/>
    <w:rsid w:val="003E515D"/>
    <w:rsid w:val="003E59EC"/>
    <w:rsid w:val="003E6FC2"/>
    <w:rsid w:val="003E738E"/>
    <w:rsid w:val="003E7EF3"/>
    <w:rsid w:val="003F1EF4"/>
    <w:rsid w:val="003F26E9"/>
    <w:rsid w:val="003F2A0F"/>
    <w:rsid w:val="003F36DB"/>
    <w:rsid w:val="003F47D2"/>
    <w:rsid w:val="003F4CBE"/>
    <w:rsid w:val="003F4D74"/>
    <w:rsid w:val="003F4E29"/>
    <w:rsid w:val="003F565C"/>
    <w:rsid w:val="003F5687"/>
    <w:rsid w:val="003F7A7F"/>
    <w:rsid w:val="004001D7"/>
    <w:rsid w:val="00400294"/>
    <w:rsid w:val="00400640"/>
    <w:rsid w:val="00403328"/>
    <w:rsid w:val="00403809"/>
    <w:rsid w:val="00404C91"/>
    <w:rsid w:val="00404FCA"/>
    <w:rsid w:val="004052EF"/>
    <w:rsid w:val="004077DF"/>
    <w:rsid w:val="00407A50"/>
    <w:rsid w:val="00407DDB"/>
    <w:rsid w:val="00410CD2"/>
    <w:rsid w:val="004119B5"/>
    <w:rsid w:val="00412B22"/>
    <w:rsid w:val="00412F19"/>
    <w:rsid w:val="00413266"/>
    <w:rsid w:val="004142A5"/>
    <w:rsid w:val="0041457B"/>
    <w:rsid w:val="0041564D"/>
    <w:rsid w:val="00415781"/>
    <w:rsid w:val="00415B0B"/>
    <w:rsid w:val="00417350"/>
    <w:rsid w:val="004174FC"/>
    <w:rsid w:val="00417B5A"/>
    <w:rsid w:val="00417E5B"/>
    <w:rsid w:val="00420086"/>
    <w:rsid w:val="00420165"/>
    <w:rsid w:val="00420597"/>
    <w:rsid w:val="0042165F"/>
    <w:rsid w:val="00421662"/>
    <w:rsid w:val="0042422E"/>
    <w:rsid w:val="004245DB"/>
    <w:rsid w:val="00425BE8"/>
    <w:rsid w:val="0042760A"/>
    <w:rsid w:val="004276D3"/>
    <w:rsid w:val="00430012"/>
    <w:rsid w:val="0043028A"/>
    <w:rsid w:val="00430DA6"/>
    <w:rsid w:val="00430EE3"/>
    <w:rsid w:val="00431685"/>
    <w:rsid w:val="00431B05"/>
    <w:rsid w:val="00431B4D"/>
    <w:rsid w:val="004320B2"/>
    <w:rsid w:val="00432972"/>
    <w:rsid w:val="00433265"/>
    <w:rsid w:val="00433432"/>
    <w:rsid w:val="0043398F"/>
    <w:rsid w:val="00434C19"/>
    <w:rsid w:val="00435C30"/>
    <w:rsid w:val="004368D4"/>
    <w:rsid w:val="0043696A"/>
    <w:rsid w:val="00436E6A"/>
    <w:rsid w:val="0044029B"/>
    <w:rsid w:val="004403A0"/>
    <w:rsid w:val="00440630"/>
    <w:rsid w:val="00440684"/>
    <w:rsid w:val="004407E3"/>
    <w:rsid w:val="0044328C"/>
    <w:rsid w:val="00443A74"/>
    <w:rsid w:val="00443C6D"/>
    <w:rsid w:val="004456A8"/>
    <w:rsid w:val="00445E1C"/>
    <w:rsid w:val="00446A54"/>
    <w:rsid w:val="00447AD6"/>
    <w:rsid w:val="00447B46"/>
    <w:rsid w:val="00450A5B"/>
    <w:rsid w:val="004529A2"/>
    <w:rsid w:val="004529CC"/>
    <w:rsid w:val="004534E7"/>
    <w:rsid w:val="0045356A"/>
    <w:rsid w:val="004537E4"/>
    <w:rsid w:val="00453AE0"/>
    <w:rsid w:val="00454B9F"/>
    <w:rsid w:val="00455369"/>
    <w:rsid w:val="004563D5"/>
    <w:rsid w:val="004563E8"/>
    <w:rsid w:val="00456829"/>
    <w:rsid w:val="004568BA"/>
    <w:rsid w:val="00456E2B"/>
    <w:rsid w:val="004600EA"/>
    <w:rsid w:val="004619B6"/>
    <w:rsid w:val="0046248A"/>
    <w:rsid w:val="00463109"/>
    <w:rsid w:val="0046417D"/>
    <w:rsid w:val="004644C5"/>
    <w:rsid w:val="00464A7F"/>
    <w:rsid w:val="004654D6"/>
    <w:rsid w:val="0046613F"/>
    <w:rsid w:val="00466523"/>
    <w:rsid w:val="00466980"/>
    <w:rsid w:val="00467489"/>
    <w:rsid w:val="004674B6"/>
    <w:rsid w:val="004676C7"/>
    <w:rsid w:val="00467E65"/>
    <w:rsid w:val="00470602"/>
    <w:rsid w:val="00471EB0"/>
    <w:rsid w:val="0047227B"/>
    <w:rsid w:val="0047253B"/>
    <w:rsid w:val="00472548"/>
    <w:rsid w:val="0047530E"/>
    <w:rsid w:val="0047715D"/>
    <w:rsid w:val="0047739D"/>
    <w:rsid w:val="004775DB"/>
    <w:rsid w:val="0048080C"/>
    <w:rsid w:val="00480956"/>
    <w:rsid w:val="00480B03"/>
    <w:rsid w:val="00480BF6"/>
    <w:rsid w:val="00482150"/>
    <w:rsid w:val="004825E9"/>
    <w:rsid w:val="004840D2"/>
    <w:rsid w:val="004840DA"/>
    <w:rsid w:val="0048547E"/>
    <w:rsid w:val="00485ADD"/>
    <w:rsid w:val="00486420"/>
    <w:rsid w:val="00486C9A"/>
    <w:rsid w:val="00486CB5"/>
    <w:rsid w:val="00487751"/>
    <w:rsid w:val="0049004F"/>
    <w:rsid w:val="00491829"/>
    <w:rsid w:val="00491DC4"/>
    <w:rsid w:val="00494B44"/>
    <w:rsid w:val="00494E9F"/>
    <w:rsid w:val="0049601B"/>
    <w:rsid w:val="004963A4"/>
    <w:rsid w:val="004967C7"/>
    <w:rsid w:val="004A010A"/>
    <w:rsid w:val="004A02B9"/>
    <w:rsid w:val="004A16E0"/>
    <w:rsid w:val="004A197E"/>
    <w:rsid w:val="004A36D8"/>
    <w:rsid w:val="004A3DE3"/>
    <w:rsid w:val="004A490C"/>
    <w:rsid w:val="004A5B54"/>
    <w:rsid w:val="004A6579"/>
    <w:rsid w:val="004A665F"/>
    <w:rsid w:val="004A6C61"/>
    <w:rsid w:val="004A6FD4"/>
    <w:rsid w:val="004A7168"/>
    <w:rsid w:val="004A7372"/>
    <w:rsid w:val="004B0DC2"/>
    <w:rsid w:val="004B11C4"/>
    <w:rsid w:val="004B1978"/>
    <w:rsid w:val="004B1FE9"/>
    <w:rsid w:val="004B2F5E"/>
    <w:rsid w:val="004B3125"/>
    <w:rsid w:val="004B31EA"/>
    <w:rsid w:val="004B45C5"/>
    <w:rsid w:val="004B5A2A"/>
    <w:rsid w:val="004B7310"/>
    <w:rsid w:val="004B7CB2"/>
    <w:rsid w:val="004C0961"/>
    <w:rsid w:val="004C09FF"/>
    <w:rsid w:val="004C1620"/>
    <w:rsid w:val="004C31C6"/>
    <w:rsid w:val="004C33B6"/>
    <w:rsid w:val="004C39A1"/>
    <w:rsid w:val="004C3BF7"/>
    <w:rsid w:val="004C3D3B"/>
    <w:rsid w:val="004C3E4E"/>
    <w:rsid w:val="004C3FF0"/>
    <w:rsid w:val="004C4198"/>
    <w:rsid w:val="004C4712"/>
    <w:rsid w:val="004C498B"/>
    <w:rsid w:val="004C552D"/>
    <w:rsid w:val="004C5553"/>
    <w:rsid w:val="004C61D3"/>
    <w:rsid w:val="004C67AA"/>
    <w:rsid w:val="004C7549"/>
    <w:rsid w:val="004C7AA5"/>
    <w:rsid w:val="004D02A6"/>
    <w:rsid w:val="004D153A"/>
    <w:rsid w:val="004D1690"/>
    <w:rsid w:val="004D1C73"/>
    <w:rsid w:val="004D2069"/>
    <w:rsid w:val="004D2537"/>
    <w:rsid w:val="004D2554"/>
    <w:rsid w:val="004D2D00"/>
    <w:rsid w:val="004D3034"/>
    <w:rsid w:val="004D3D73"/>
    <w:rsid w:val="004D47AD"/>
    <w:rsid w:val="004D47EA"/>
    <w:rsid w:val="004D4BFC"/>
    <w:rsid w:val="004D66B5"/>
    <w:rsid w:val="004D6B6D"/>
    <w:rsid w:val="004D6F42"/>
    <w:rsid w:val="004D779D"/>
    <w:rsid w:val="004D79BC"/>
    <w:rsid w:val="004E0395"/>
    <w:rsid w:val="004E1C2F"/>
    <w:rsid w:val="004E2507"/>
    <w:rsid w:val="004E25C0"/>
    <w:rsid w:val="004E2E08"/>
    <w:rsid w:val="004E35A9"/>
    <w:rsid w:val="004E3939"/>
    <w:rsid w:val="004E3D93"/>
    <w:rsid w:val="004E3DE7"/>
    <w:rsid w:val="004E59EB"/>
    <w:rsid w:val="004E6167"/>
    <w:rsid w:val="004E7B34"/>
    <w:rsid w:val="004F01DA"/>
    <w:rsid w:val="004F0616"/>
    <w:rsid w:val="004F21FF"/>
    <w:rsid w:val="004F284B"/>
    <w:rsid w:val="004F2986"/>
    <w:rsid w:val="004F3662"/>
    <w:rsid w:val="004F4BFF"/>
    <w:rsid w:val="004F6EC7"/>
    <w:rsid w:val="004F7B49"/>
    <w:rsid w:val="004F7FA0"/>
    <w:rsid w:val="00500842"/>
    <w:rsid w:val="00500CDD"/>
    <w:rsid w:val="005030E9"/>
    <w:rsid w:val="0050363F"/>
    <w:rsid w:val="00503C01"/>
    <w:rsid w:val="005041A0"/>
    <w:rsid w:val="00504DCA"/>
    <w:rsid w:val="005050DC"/>
    <w:rsid w:val="00505604"/>
    <w:rsid w:val="0050564D"/>
    <w:rsid w:val="00506068"/>
    <w:rsid w:val="0050715A"/>
    <w:rsid w:val="00507789"/>
    <w:rsid w:val="0050788A"/>
    <w:rsid w:val="00507FDD"/>
    <w:rsid w:val="00512F09"/>
    <w:rsid w:val="0051364A"/>
    <w:rsid w:val="0051421E"/>
    <w:rsid w:val="00514BD6"/>
    <w:rsid w:val="005158FB"/>
    <w:rsid w:val="0051632B"/>
    <w:rsid w:val="00516CE7"/>
    <w:rsid w:val="0051720C"/>
    <w:rsid w:val="00517D1F"/>
    <w:rsid w:val="005215EF"/>
    <w:rsid w:val="00521B21"/>
    <w:rsid w:val="00521B5F"/>
    <w:rsid w:val="00521B86"/>
    <w:rsid w:val="005229ED"/>
    <w:rsid w:val="00522FE7"/>
    <w:rsid w:val="0052318A"/>
    <w:rsid w:val="005234E8"/>
    <w:rsid w:val="00523F7F"/>
    <w:rsid w:val="0052514E"/>
    <w:rsid w:val="0052671E"/>
    <w:rsid w:val="0052713D"/>
    <w:rsid w:val="0052739C"/>
    <w:rsid w:val="00527A0A"/>
    <w:rsid w:val="00527F8A"/>
    <w:rsid w:val="00527FDB"/>
    <w:rsid w:val="005300F6"/>
    <w:rsid w:val="00532284"/>
    <w:rsid w:val="00533373"/>
    <w:rsid w:val="005338FB"/>
    <w:rsid w:val="005340BF"/>
    <w:rsid w:val="00534EC7"/>
    <w:rsid w:val="00535534"/>
    <w:rsid w:val="00536F0C"/>
    <w:rsid w:val="005373C0"/>
    <w:rsid w:val="00537847"/>
    <w:rsid w:val="00540029"/>
    <w:rsid w:val="00542803"/>
    <w:rsid w:val="00543D50"/>
    <w:rsid w:val="00543EBB"/>
    <w:rsid w:val="005441ED"/>
    <w:rsid w:val="00545552"/>
    <w:rsid w:val="005469DF"/>
    <w:rsid w:val="00547145"/>
    <w:rsid w:val="00547A7A"/>
    <w:rsid w:val="00547A7C"/>
    <w:rsid w:val="00547AF8"/>
    <w:rsid w:val="00550960"/>
    <w:rsid w:val="00551758"/>
    <w:rsid w:val="00551967"/>
    <w:rsid w:val="00551A53"/>
    <w:rsid w:val="00552029"/>
    <w:rsid w:val="0055228B"/>
    <w:rsid w:val="00553150"/>
    <w:rsid w:val="005535C0"/>
    <w:rsid w:val="00553AE9"/>
    <w:rsid w:val="00553D88"/>
    <w:rsid w:val="005541BA"/>
    <w:rsid w:val="005543E4"/>
    <w:rsid w:val="00555666"/>
    <w:rsid w:val="00556873"/>
    <w:rsid w:val="00556A9B"/>
    <w:rsid w:val="00557BF5"/>
    <w:rsid w:val="00561020"/>
    <w:rsid w:val="00561D3F"/>
    <w:rsid w:val="00561F28"/>
    <w:rsid w:val="00562A84"/>
    <w:rsid w:val="00562B3C"/>
    <w:rsid w:val="00562FA4"/>
    <w:rsid w:val="0056312C"/>
    <w:rsid w:val="00563682"/>
    <w:rsid w:val="00564056"/>
    <w:rsid w:val="00564A3E"/>
    <w:rsid w:val="005651B0"/>
    <w:rsid w:val="0056626C"/>
    <w:rsid w:val="005667E2"/>
    <w:rsid w:val="00566A0F"/>
    <w:rsid w:val="00567C50"/>
    <w:rsid w:val="0057088A"/>
    <w:rsid w:val="00570B01"/>
    <w:rsid w:val="005711D1"/>
    <w:rsid w:val="0057155B"/>
    <w:rsid w:val="00571598"/>
    <w:rsid w:val="00571E04"/>
    <w:rsid w:val="0057373D"/>
    <w:rsid w:val="00573FA4"/>
    <w:rsid w:val="00575494"/>
    <w:rsid w:val="00575AA7"/>
    <w:rsid w:val="00575DCB"/>
    <w:rsid w:val="00577862"/>
    <w:rsid w:val="00580BEC"/>
    <w:rsid w:val="00580E52"/>
    <w:rsid w:val="00581EF0"/>
    <w:rsid w:val="00582387"/>
    <w:rsid w:val="005829BF"/>
    <w:rsid w:val="00582DF5"/>
    <w:rsid w:val="00583153"/>
    <w:rsid w:val="00583A4B"/>
    <w:rsid w:val="005841F7"/>
    <w:rsid w:val="005863F2"/>
    <w:rsid w:val="0058765A"/>
    <w:rsid w:val="00587671"/>
    <w:rsid w:val="0059011C"/>
    <w:rsid w:val="00590F2B"/>
    <w:rsid w:val="00591241"/>
    <w:rsid w:val="005912FA"/>
    <w:rsid w:val="0059289A"/>
    <w:rsid w:val="00592E6D"/>
    <w:rsid w:val="005932F1"/>
    <w:rsid w:val="00594F59"/>
    <w:rsid w:val="00595543"/>
    <w:rsid w:val="005975C1"/>
    <w:rsid w:val="005978EB"/>
    <w:rsid w:val="005A0907"/>
    <w:rsid w:val="005A0972"/>
    <w:rsid w:val="005A0C0E"/>
    <w:rsid w:val="005A3018"/>
    <w:rsid w:val="005A3A17"/>
    <w:rsid w:val="005A3A25"/>
    <w:rsid w:val="005A4D20"/>
    <w:rsid w:val="005A4DBA"/>
    <w:rsid w:val="005A53F1"/>
    <w:rsid w:val="005A54E4"/>
    <w:rsid w:val="005A5A06"/>
    <w:rsid w:val="005A63C7"/>
    <w:rsid w:val="005A63D4"/>
    <w:rsid w:val="005A65C2"/>
    <w:rsid w:val="005A7983"/>
    <w:rsid w:val="005B0457"/>
    <w:rsid w:val="005B2293"/>
    <w:rsid w:val="005B323D"/>
    <w:rsid w:val="005B363B"/>
    <w:rsid w:val="005B37DB"/>
    <w:rsid w:val="005B3B07"/>
    <w:rsid w:val="005B413B"/>
    <w:rsid w:val="005B5007"/>
    <w:rsid w:val="005B58E1"/>
    <w:rsid w:val="005B5B44"/>
    <w:rsid w:val="005B77A3"/>
    <w:rsid w:val="005C0E3D"/>
    <w:rsid w:val="005C300A"/>
    <w:rsid w:val="005C3084"/>
    <w:rsid w:val="005C327F"/>
    <w:rsid w:val="005C5C5A"/>
    <w:rsid w:val="005C5E34"/>
    <w:rsid w:val="005C5E42"/>
    <w:rsid w:val="005C75C3"/>
    <w:rsid w:val="005C7860"/>
    <w:rsid w:val="005D0BC8"/>
    <w:rsid w:val="005D18DA"/>
    <w:rsid w:val="005D5EB3"/>
    <w:rsid w:val="005D6455"/>
    <w:rsid w:val="005D6CB7"/>
    <w:rsid w:val="005D7240"/>
    <w:rsid w:val="005D777B"/>
    <w:rsid w:val="005E070C"/>
    <w:rsid w:val="005E08C5"/>
    <w:rsid w:val="005E0E50"/>
    <w:rsid w:val="005E0F6F"/>
    <w:rsid w:val="005E12A8"/>
    <w:rsid w:val="005E139E"/>
    <w:rsid w:val="005E2614"/>
    <w:rsid w:val="005E455B"/>
    <w:rsid w:val="005E4F4E"/>
    <w:rsid w:val="005E588B"/>
    <w:rsid w:val="005E66BE"/>
    <w:rsid w:val="005E6B9B"/>
    <w:rsid w:val="005E6E96"/>
    <w:rsid w:val="005F2038"/>
    <w:rsid w:val="005F36F2"/>
    <w:rsid w:val="005F3C7B"/>
    <w:rsid w:val="005F3F01"/>
    <w:rsid w:val="005F4D82"/>
    <w:rsid w:val="005F6756"/>
    <w:rsid w:val="005F784B"/>
    <w:rsid w:val="006008F7"/>
    <w:rsid w:val="006018E1"/>
    <w:rsid w:val="006019DE"/>
    <w:rsid w:val="00601A9F"/>
    <w:rsid w:val="0060248C"/>
    <w:rsid w:val="00602BE2"/>
    <w:rsid w:val="00603053"/>
    <w:rsid w:val="0060355F"/>
    <w:rsid w:val="0060399A"/>
    <w:rsid w:val="006039CC"/>
    <w:rsid w:val="00603A18"/>
    <w:rsid w:val="006041F9"/>
    <w:rsid w:val="0060443D"/>
    <w:rsid w:val="006049DE"/>
    <w:rsid w:val="00606038"/>
    <w:rsid w:val="0060606C"/>
    <w:rsid w:val="0060650D"/>
    <w:rsid w:val="00607086"/>
    <w:rsid w:val="0060799C"/>
    <w:rsid w:val="00607C88"/>
    <w:rsid w:val="006105D4"/>
    <w:rsid w:val="006125FF"/>
    <w:rsid w:val="00612735"/>
    <w:rsid w:val="00612DC7"/>
    <w:rsid w:val="00612DC9"/>
    <w:rsid w:val="00612E19"/>
    <w:rsid w:val="00614C6D"/>
    <w:rsid w:val="00616720"/>
    <w:rsid w:val="00616D8E"/>
    <w:rsid w:val="00617359"/>
    <w:rsid w:val="00617A0A"/>
    <w:rsid w:val="0062042F"/>
    <w:rsid w:val="00620627"/>
    <w:rsid w:val="00620761"/>
    <w:rsid w:val="006209D7"/>
    <w:rsid w:val="00621A78"/>
    <w:rsid w:val="00621A7C"/>
    <w:rsid w:val="00621AE6"/>
    <w:rsid w:val="00621E1A"/>
    <w:rsid w:val="00622EC6"/>
    <w:rsid w:val="006231C1"/>
    <w:rsid w:val="006243F6"/>
    <w:rsid w:val="00624FA0"/>
    <w:rsid w:val="00625472"/>
    <w:rsid w:val="00626D5C"/>
    <w:rsid w:val="00627523"/>
    <w:rsid w:val="0062765E"/>
    <w:rsid w:val="0062794C"/>
    <w:rsid w:val="006307EA"/>
    <w:rsid w:val="00630DB9"/>
    <w:rsid w:val="00630E3B"/>
    <w:rsid w:val="0063271C"/>
    <w:rsid w:val="00632914"/>
    <w:rsid w:val="0063647B"/>
    <w:rsid w:val="0063684A"/>
    <w:rsid w:val="00636FF1"/>
    <w:rsid w:val="006373EF"/>
    <w:rsid w:val="006404BE"/>
    <w:rsid w:val="00640B12"/>
    <w:rsid w:val="0064108E"/>
    <w:rsid w:val="00641367"/>
    <w:rsid w:val="00641509"/>
    <w:rsid w:val="006415FD"/>
    <w:rsid w:val="00641C87"/>
    <w:rsid w:val="00642641"/>
    <w:rsid w:val="00642F7C"/>
    <w:rsid w:val="0064320E"/>
    <w:rsid w:val="006440C5"/>
    <w:rsid w:val="00644955"/>
    <w:rsid w:val="00644B28"/>
    <w:rsid w:val="00644BAE"/>
    <w:rsid w:val="00644ECF"/>
    <w:rsid w:val="00645E95"/>
    <w:rsid w:val="00646337"/>
    <w:rsid w:val="00646891"/>
    <w:rsid w:val="006474A5"/>
    <w:rsid w:val="0065087E"/>
    <w:rsid w:val="0065253A"/>
    <w:rsid w:val="00652605"/>
    <w:rsid w:val="00652DEA"/>
    <w:rsid w:val="00653792"/>
    <w:rsid w:val="00654402"/>
    <w:rsid w:val="006551C9"/>
    <w:rsid w:val="006556E8"/>
    <w:rsid w:val="006558EE"/>
    <w:rsid w:val="00655A48"/>
    <w:rsid w:val="006566CC"/>
    <w:rsid w:val="00656F9C"/>
    <w:rsid w:val="00657DD5"/>
    <w:rsid w:val="00657F6B"/>
    <w:rsid w:val="00660D7E"/>
    <w:rsid w:val="00661203"/>
    <w:rsid w:val="006616C8"/>
    <w:rsid w:val="00662720"/>
    <w:rsid w:val="006629F4"/>
    <w:rsid w:val="006637D2"/>
    <w:rsid w:val="00663A9C"/>
    <w:rsid w:val="00663C4D"/>
    <w:rsid w:val="006649C1"/>
    <w:rsid w:val="00664B5C"/>
    <w:rsid w:val="00664F5C"/>
    <w:rsid w:val="006655F3"/>
    <w:rsid w:val="006659E0"/>
    <w:rsid w:val="006666BC"/>
    <w:rsid w:val="006672F9"/>
    <w:rsid w:val="0066755D"/>
    <w:rsid w:val="00671E2E"/>
    <w:rsid w:val="006729B4"/>
    <w:rsid w:val="00672AE0"/>
    <w:rsid w:val="00673482"/>
    <w:rsid w:val="00673595"/>
    <w:rsid w:val="006738C4"/>
    <w:rsid w:val="00673B75"/>
    <w:rsid w:val="00673C67"/>
    <w:rsid w:val="00673EB1"/>
    <w:rsid w:val="00673FAE"/>
    <w:rsid w:val="006744DF"/>
    <w:rsid w:val="0067695E"/>
    <w:rsid w:val="00676D72"/>
    <w:rsid w:val="006775A1"/>
    <w:rsid w:val="00677FDD"/>
    <w:rsid w:val="0068153C"/>
    <w:rsid w:val="00681758"/>
    <w:rsid w:val="00681791"/>
    <w:rsid w:val="00681C6D"/>
    <w:rsid w:val="00681E9A"/>
    <w:rsid w:val="00681F97"/>
    <w:rsid w:val="006823B1"/>
    <w:rsid w:val="00682A81"/>
    <w:rsid w:val="00682B48"/>
    <w:rsid w:val="0068353A"/>
    <w:rsid w:val="00684F88"/>
    <w:rsid w:val="00686761"/>
    <w:rsid w:val="00687809"/>
    <w:rsid w:val="00687C60"/>
    <w:rsid w:val="00691528"/>
    <w:rsid w:val="00692225"/>
    <w:rsid w:val="00692738"/>
    <w:rsid w:val="00692D68"/>
    <w:rsid w:val="00695813"/>
    <w:rsid w:val="0069581F"/>
    <w:rsid w:val="006959CF"/>
    <w:rsid w:val="00697568"/>
    <w:rsid w:val="00697AEC"/>
    <w:rsid w:val="006A0256"/>
    <w:rsid w:val="006A21F7"/>
    <w:rsid w:val="006A30DE"/>
    <w:rsid w:val="006A3344"/>
    <w:rsid w:val="006A33D3"/>
    <w:rsid w:val="006A44FA"/>
    <w:rsid w:val="006A5C0F"/>
    <w:rsid w:val="006A5FFB"/>
    <w:rsid w:val="006A6E0B"/>
    <w:rsid w:val="006A720E"/>
    <w:rsid w:val="006A7272"/>
    <w:rsid w:val="006B0BC7"/>
    <w:rsid w:val="006B0FE8"/>
    <w:rsid w:val="006B2109"/>
    <w:rsid w:val="006B2A79"/>
    <w:rsid w:val="006B2C18"/>
    <w:rsid w:val="006B322D"/>
    <w:rsid w:val="006B3512"/>
    <w:rsid w:val="006B3573"/>
    <w:rsid w:val="006B3F47"/>
    <w:rsid w:val="006B4159"/>
    <w:rsid w:val="006B46E6"/>
    <w:rsid w:val="006B4C34"/>
    <w:rsid w:val="006B5238"/>
    <w:rsid w:val="006B5302"/>
    <w:rsid w:val="006B593B"/>
    <w:rsid w:val="006B59B8"/>
    <w:rsid w:val="006B619B"/>
    <w:rsid w:val="006B7228"/>
    <w:rsid w:val="006B7375"/>
    <w:rsid w:val="006B75FA"/>
    <w:rsid w:val="006B795D"/>
    <w:rsid w:val="006C1654"/>
    <w:rsid w:val="006C1AF7"/>
    <w:rsid w:val="006C1E7C"/>
    <w:rsid w:val="006C26E0"/>
    <w:rsid w:val="006C2813"/>
    <w:rsid w:val="006C2CDC"/>
    <w:rsid w:val="006C32AD"/>
    <w:rsid w:val="006C34B1"/>
    <w:rsid w:val="006C3B09"/>
    <w:rsid w:val="006C3C64"/>
    <w:rsid w:val="006C42C1"/>
    <w:rsid w:val="006C5986"/>
    <w:rsid w:val="006C5AA2"/>
    <w:rsid w:val="006C6510"/>
    <w:rsid w:val="006C677F"/>
    <w:rsid w:val="006C6D13"/>
    <w:rsid w:val="006C6D98"/>
    <w:rsid w:val="006D0DD0"/>
    <w:rsid w:val="006D1BE0"/>
    <w:rsid w:val="006D1F8C"/>
    <w:rsid w:val="006D1FAE"/>
    <w:rsid w:val="006D409C"/>
    <w:rsid w:val="006D4B0E"/>
    <w:rsid w:val="006D4D1A"/>
    <w:rsid w:val="006D4D48"/>
    <w:rsid w:val="006D5283"/>
    <w:rsid w:val="006D573E"/>
    <w:rsid w:val="006D5A32"/>
    <w:rsid w:val="006D67C9"/>
    <w:rsid w:val="006D67FD"/>
    <w:rsid w:val="006D743B"/>
    <w:rsid w:val="006D7742"/>
    <w:rsid w:val="006D79C2"/>
    <w:rsid w:val="006D7CB6"/>
    <w:rsid w:val="006E0DC5"/>
    <w:rsid w:val="006E235A"/>
    <w:rsid w:val="006E2384"/>
    <w:rsid w:val="006E2A1A"/>
    <w:rsid w:val="006E2E49"/>
    <w:rsid w:val="006E3A52"/>
    <w:rsid w:val="006E3E41"/>
    <w:rsid w:val="006E457A"/>
    <w:rsid w:val="006E5073"/>
    <w:rsid w:val="006E555A"/>
    <w:rsid w:val="006E5CAE"/>
    <w:rsid w:val="006E5EFA"/>
    <w:rsid w:val="006E5F5F"/>
    <w:rsid w:val="006E78C9"/>
    <w:rsid w:val="006F240D"/>
    <w:rsid w:val="006F275F"/>
    <w:rsid w:val="006F2DB6"/>
    <w:rsid w:val="006F3027"/>
    <w:rsid w:val="006F353A"/>
    <w:rsid w:val="006F387F"/>
    <w:rsid w:val="006F4221"/>
    <w:rsid w:val="006F46E7"/>
    <w:rsid w:val="006F4A3F"/>
    <w:rsid w:val="006F4AA4"/>
    <w:rsid w:val="006F5AB6"/>
    <w:rsid w:val="006F62EC"/>
    <w:rsid w:val="006F6896"/>
    <w:rsid w:val="006F6B63"/>
    <w:rsid w:val="006F72E5"/>
    <w:rsid w:val="0070022E"/>
    <w:rsid w:val="0070159E"/>
    <w:rsid w:val="007016BA"/>
    <w:rsid w:val="00701F13"/>
    <w:rsid w:val="00702DC5"/>
    <w:rsid w:val="0070362F"/>
    <w:rsid w:val="00703D5A"/>
    <w:rsid w:val="00703F39"/>
    <w:rsid w:val="007056FC"/>
    <w:rsid w:val="007076C3"/>
    <w:rsid w:val="00707997"/>
    <w:rsid w:val="00707EE2"/>
    <w:rsid w:val="007101BC"/>
    <w:rsid w:val="0071097C"/>
    <w:rsid w:val="00710BA6"/>
    <w:rsid w:val="0071138C"/>
    <w:rsid w:val="0071225E"/>
    <w:rsid w:val="0071305D"/>
    <w:rsid w:val="00713245"/>
    <w:rsid w:val="007140D1"/>
    <w:rsid w:val="00714B38"/>
    <w:rsid w:val="00714EEE"/>
    <w:rsid w:val="007164EE"/>
    <w:rsid w:val="00717E77"/>
    <w:rsid w:val="00720B0D"/>
    <w:rsid w:val="00720E4A"/>
    <w:rsid w:val="00721641"/>
    <w:rsid w:val="007220CC"/>
    <w:rsid w:val="0072216B"/>
    <w:rsid w:val="007226AF"/>
    <w:rsid w:val="0072367A"/>
    <w:rsid w:val="00724712"/>
    <w:rsid w:val="00724989"/>
    <w:rsid w:val="00724EE2"/>
    <w:rsid w:val="007262C0"/>
    <w:rsid w:val="00726AE3"/>
    <w:rsid w:val="00726C83"/>
    <w:rsid w:val="00726EE6"/>
    <w:rsid w:val="00727CFB"/>
    <w:rsid w:val="00731937"/>
    <w:rsid w:val="00731CA9"/>
    <w:rsid w:val="00733109"/>
    <w:rsid w:val="00733303"/>
    <w:rsid w:val="00735553"/>
    <w:rsid w:val="00740385"/>
    <w:rsid w:val="00741853"/>
    <w:rsid w:val="00742341"/>
    <w:rsid w:val="00743349"/>
    <w:rsid w:val="00743A4A"/>
    <w:rsid w:val="00744529"/>
    <w:rsid w:val="00745C10"/>
    <w:rsid w:val="00745E41"/>
    <w:rsid w:val="00745FDC"/>
    <w:rsid w:val="0074620B"/>
    <w:rsid w:val="0074756C"/>
    <w:rsid w:val="00747A3C"/>
    <w:rsid w:val="00747E54"/>
    <w:rsid w:val="007510A6"/>
    <w:rsid w:val="00751E35"/>
    <w:rsid w:val="00751E75"/>
    <w:rsid w:val="00751EE6"/>
    <w:rsid w:val="00752077"/>
    <w:rsid w:val="007533B3"/>
    <w:rsid w:val="007535EC"/>
    <w:rsid w:val="00753D59"/>
    <w:rsid w:val="00755B77"/>
    <w:rsid w:val="00755E89"/>
    <w:rsid w:val="007564AC"/>
    <w:rsid w:val="00756687"/>
    <w:rsid w:val="00757B44"/>
    <w:rsid w:val="00761ABE"/>
    <w:rsid w:val="00761D53"/>
    <w:rsid w:val="007624A0"/>
    <w:rsid w:val="00763797"/>
    <w:rsid w:val="0076442E"/>
    <w:rsid w:val="007648A0"/>
    <w:rsid w:val="0076590F"/>
    <w:rsid w:val="00765EAE"/>
    <w:rsid w:val="007669F0"/>
    <w:rsid w:val="00766EE8"/>
    <w:rsid w:val="00766F51"/>
    <w:rsid w:val="00767611"/>
    <w:rsid w:val="00767ADE"/>
    <w:rsid w:val="00767F86"/>
    <w:rsid w:val="0077063C"/>
    <w:rsid w:val="00770BAB"/>
    <w:rsid w:val="00770CA7"/>
    <w:rsid w:val="00771B52"/>
    <w:rsid w:val="00771E5D"/>
    <w:rsid w:val="0077214E"/>
    <w:rsid w:val="00774B15"/>
    <w:rsid w:val="00775132"/>
    <w:rsid w:val="00775A17"/>
    <w:rsid w:val="0077750D"/>
    <w:rsid w:val="00777AB9"/>
    <w:rsid w:val="00777D25"/>
    <w:rsid w:val="00780B01"/>
    <w:rsid w:val="00780C7B"/>
    <w:rsid w:val="00780D1E"/>
    <w:rsid w:val="00780D41"/>
    <w:rsid w:val="00781C18"/>
    <w:rsid w:val="00781DDD"/>
    <w:rsid w:val="00781F13"/>
    <w:rsid w:val="0078260E"/>
    <w:rsid w:val="00783631"/>
    <w:rsid w:val="007836E8"/>
    <w:rsid w:val="007839ED"/>
    <w:rsid w:val="00783C38"/>
    <w:rsid w:val="00784438"/>
    <w:rsid w:val="00784C5C"/>
    <w:rsid w:val="0078564D"/>
    <w:rsid w:val="00786617"/>
    <w:rsid w:val="00786C38"/>
    <w:rsid w:val="00786CAD"/>
    <w:rsid w:val="00787102"/>
    <w:rsid w:val="00790E97"/>
    <w:rsid w:val="00790EFF"/>
    <w:rsid w:val="0079197A"/>
    <w:rsid w:val="007919D5"/>
    <w:rsid w:val="007921D4"/>
    <w:rsid w:val="00792797"/>
    <w:rsid w:val="007929C3"/>
    <w:rsid w:val="00792AA8"/>
    <w:rsid w:val="007935C9"/>
    <w:rsid w:val="0079438D"/>
    <w:rsid w:val="00795182"/>
    <w:rsid w:val="007951AD"/>
    <w:rsid w:val="00795273"/>
    <w:rsid w:val="0079589C"/>
    <w:rsid w:val="00796291"/>
    <w:rsid w:val="00797548"/>
    <w:rsid w:val="007A03F3"/>
    <w:rsid w:val="007A19EB"/>
    <w:rsid w:val="007A2B4E"/>
    <w:rsid w:val="007A3FCC"/>
    <w:rsid w:val="007A53C0"/>
    <w:rsid w:val="007A5B31"/>
    <w:rsid w:val="007A6B89"/>
    <w:rsid w:val="007A7938"/>
    <w:rsid w:val="007A7BBE"/>
    <w:rsid w:val="007A7DDE"/>
    <w:rsid w:val="007B003D"/>
    <w:rsid w:val="007B02E4"/>
    <w:rsid w:val="007B0783"/>
    <w:rsid w:val="007B0B73"/>
    <w:rsid w:val="007B124E"/>
    <w:rsid w:val="007B1A46"/>
    <w:rsid w:val="007B2184"/>
    <w:rsid w:val="007B27F9"/>
    <w:rsid w:val="007B415C"/>
    <w:rsid w:val="007B46FA"/>
    <w:rsid w:val="007B66E8"/>
    <w:rsid w:val="007B6978"/>
    <w:rsid w:val="007B6B30"/>
    <w:rsid w:val="007B7592"/>
    <w:rsid w:val="007B7EBA"/>
    <w:rsid w:val="007C0405"/>
    <w:rsid w:val="007C1B69"/>
    <w:rsid w:val="007C32FC"/>
    <w:rsid w:val="007C4108"/>
    <w:rsid w:val="007C4977"/>
    <w:rsid w:val="007C5B62"/>
    <w:rsid w:val="007C6479"/>
    <w:rsid w:val="007C67FC"/>
    <w:rsid w:val="007C745B"/>
    <w:rsid w:val="007D22EA"/>
    <w:rsid w:val="007D2EF6"/>
    <w:rsid w:val="007D39DA"/>
    <w:rsid w:val="007D5283"/>
    <w:rsid w:val="007D5289"/>
    <w:rsid w:val="007D6B9A"/>
    <w:rsid w:val="007D73A7"/>
    <w:rsid w:val="007D74B9"/>
    <w:rsid w:val="007D7801"/>
    <w:rsid w:val="007D7D85"/>
    <w:rsid w:val="007E017C"/>
    <w:rsid w:val="007E0A02"/>
    <w:rsid w:val="007E3441"/>
    <w:rsid w:val="007E4DE1"/>
    <w:rsid w:val="007E602B"/>
    <w:rsid w:val="007E6C8F"/>
    <w:rsid w:val="007E71C3"/>
    <w:rsid w:val="007E7933"/>
    <w:rsid w:val="007F0492"/>
    <w:rsid w:val="007F4133"/>
    <w:rsid w:val="007F4178"/>
    <w:rsid w:val="007F497A"/>
    <w:rsid w:val="007F5A45"/>
    <w:rsid w:val="007F61C4"/>
    <w:rsid w:val="007F620E"/>
    <w:rsid w:val="007F6570"/>
    <w:rsid w:val="007F68BE"/>
    <w:rsid w:val="007F6CF5"/>
    <w:rsid w:val="007F6D0B"/>
    <w:rsid w:val="007F71DC"/>
    <w:rsid w:val="008005BD"/>
    <w:rsid w:val="008008F6"/>
    <w:rsid w:val="00800B98"/>
    <w:rsid w:val="00801D41"/>
    <w:rsid w:val="00802101"/>
    <w:rsid w:val="00802531"/>
    <w:rsid w:val="00802701"/>
    <w:rsid w:val="00803554"/>
    <w:rsid w:val="0080559A"/>
    <w:rsid w:val="00805729"/>
    <w:rsid w:val="00806377"/>
    <w:rsid w:val="00807344"/>
    <w:rsid w:val="00807C28"/>
    <w:rsid w:val="00810962"/>
    <w:rsid w:val="0081195A"/>
    <w:rsid w:val="00811966"/>
    <w:rsid w:val="00811DB1"/>
    <w:rsid w:val="00812149"/>
    <w:rsid w:val="0081219B"/>
    <w:rsid w:val="00812F6D"/>
    <w:rsid w:val="0081317A"/>
    <w:rsid w:val="00813BFA"/>
    <w:rsid w:val="00813F03"/>
    <w:rsid w:val="00814825"/>
    <w:rsid w:val="00814B8A"/>
    <w:rsid w:val="0081574E"/>
    <w:rsid w:val="00815F1F"/>
    <w:rsid w:val="0081626F"/>
    <w:rsid w:val="00817781"/>
    <w:rsid w:val="00817F46"/>
    <w:rsid w:val="00820551"/>
    <w:rsid w:val="008207D1"/>
    <w:rsid w:val="00820B32"/>
    <w:rsid w:val="00822513"/>
    <w:rsid w:val="00822696"/>
    <w:rsid w:val="00822E2A"/>
    <w:rsid w:val="00823511"/>
    <w:rsid w:val="00824441"/>
    <w:rsid w:val="00824E52"/>
    <w:rsid w:val="00824F95"/>
    <w:rsid w:val="008253D0"/>
    <w:rsid w:val="00825F8A"/>
    <w:rsid w:val="00826097"/>
    <w:rsid w:val="00826628"/>
    <w:rsid w:val="008268BF"/>
    <w:rsid w:val="00827E42"/>
    <w:rsid w:val="00827FD2"/>
    <w:rsid w:val="008305C1"/>
    <w:rsid w:val="0083062B"/>
    <w:rsid w:val="008312F6"/>
    <w:rsid w:val="00831652"/>
    <w:rsid w:val="00831E69"/>
    <w:rsid w:val="008327C3"/>
    <w:rsid w:val="00832F98"/>
    <w:rsid w:val="0083350A"/>
    <w:rsid w:val="0083442F"/>
    <w:rsid w:val="00835A09"/>
    <w:rsid w:val="00837FAB"/>
    <w:rsid w:val="008405FE"/>
    <w:rsid w:val="0084135F"/>
    <w:rsid w:val="00841D25"/>
    <w:rsid w:val="00841E9A"/>
    <w:rsid w:val="00842DE0"/>
    <w:rsid w:val="00842E00"/>
    <w:rsid w:val="0084314E"/>
    <w:rsid w:val="008431A3"/>
    <w:rsid w:val="00843658"/>
    <w:rsid w:val="008460AA"/>
    <w:rsid w:val="008461D2"/>
    <w:rsid w:val="008461FC"/>
    <w:rsid w:val="00846A6E"/>
    <w:rsid w:val="00846E9F"/>
    <w:rsid w:val="0084750B"/>
    <w:rsid w:val="008532C9"/>
    <w:rsid w:val="00854453"/>
    <w:rsid w:val="008544C1"/>
    <w:rsid w:val="00854904"/>
    <w:rsid w:val="00854FA4"/>
    <w:rsid w:val="0085510C"/>
    <w:rsid w:val="0085526E"/>
    <w:rsid w:val="00855FD7"/>
    <w:rsid w:val="00856043"/>
    <w:rsid w:val="008575DF"/>
    <w:rsid w:val="008576F7"/>
    <w:rsid w:val="008602FB"/>
    <w:rsid w:val="00860D83"/>
    <w:rsid w:val="00862928"/>
    <w:rsid w:val="00862BCA"/>
    <w:rsid w:val="00862E47"/>
    <w:rsid w:val="00863ECE"/>
    <w:rsid w:val="00863FBB"/>
    <w:rsid w:val="008648A9"/>
    <w:rsid w:val="00864CCB"/>
    <w:rsid w:val="00864D7F"/>
    <w:rsid w:val="00864EC4"/>
    <w:rsid w:val="00865B33"/>
    <w:rsid w:val="00866073"/>
    <w:rsid w:val="008664AD"/>
    <w:rsid w:val="008664C2"/>
    <w:rsid w:val="0086673A"/>
    <w:rsid w:val="008668B3"/>
    <w:rsid w:val="00866A38"/>
    <w:rsid w:val="00866EC4"/>
    <w:rsid w:val="0086742E"/>
    <w:rsid w:val="00867965"/>
    <w:rsid w:val="0087149D"/>
    <w:rsid w:val="00871A26"/>
    <w:rsid w:val="00873760"/>
    <w:rsid w:val="00874683"/>
    <w:rsid w:val="008752BE"/>
    <w:rsid w:val="00875D43"/>
    <w:rsid w:val="00876D64"/>
    <w:rsid w:val="008771B3"/>
    <w:rsid w:val="008776F9"/>
    <w:rsid w:val="00880855"/>
    <w:rsid w:val="0088122D"/>
    <w:rsid w:val="00881731"/>
    <w:rsid w:val="008826C0"/>
    <w:rsid w:val="00882D2E"/>
    <w:rsid w:val="00883AE2"/>
    <w:rsid w:val="008844B6"/>
    <w:rsid w:val="00884D97"/>
    <w:rsid w:val="008852BA"/>
    <w:rsid w:val="0088559A"/>
    <w:rsid w:val="00885956"/>
    <w:rsid w:val="008861FD"/>
    <w:rsid w:val="0088674B"/>
    <w:rsid w:val="00886869"/>
    <w:rsid w:val="00886AFB"/>
    <w:rsid w:val="008872A4"/>
    <w:rsid w:val="0088755C"/>
    <w:rsid w:val="00887A19"/>
    <w:rsid w:val="00890BBD"/>
    <w:rsid w:val="00891A00"/>
    <w:rsid w:val="00894ACF"/>
    <w:rsid w:val="008950D9"/>
    <w:rsid w:val="00895BD0"/>
    <w:rsid w:val="00896CBD"/>
    <w:rsid w:val="00897B2C"/>
    <w:rsid w:val="008A205A"/>
    <w:rsid w:val="008A5B27"/>
    <w:rsid w:val="008B0839"/>
    <w:rsid w:val="008B134C"/>
    <w:rsid w:val="008B1608"/>
    <w:rsid w:val="008B23D1"/>
    <w:rsid w:val="008B249E"/>
    <w:rsid w:val="008B253A"/>
    <w:rsid w:val="008B339B"/>
    <w:rsid w:val="008B3B6D"/>
    <w:rsid w:val="008B5D94"/>
    <w:rsid w:val="008B6027"/>
    <w:rsid w:val="008B67E2"/>
    <w:rsid w:val="008B688D"/>
    <w:rsid w:val="008B68EF"/>
    <w:rsid w:val="008B740A"/>
    <w:rsid w:val="008B7543"/>
    <w:rsid w:val="008B75D2"/>
    <w:rsid w:val="008B771D"/>
    <w:rsid w:val="008B7DC0"/>
    <w:rsid w:val="008C09F7"/>
    <w:rsid w:val="008C2208"/>
    <w:rsid w:val="008C2235"/>
    <w:rsid w:val="008C4793"/>
    <w:rsid w:val="008D0161"/>
    <w:rsid w:val="008D09A0"/>
    <w:rsid w:val="008D0AA7"/>
    <w:rsid w:val="008D0AF6"/>
    <w:rsid w:val="008D0D47"/>
    <w:rsid w:val="008D1C83"/>
    <w:rsid w:val="008D2309"/>
    <w:rsid w:val="008D3951"/>
    <w:rsid w:val="008D3E09"/>
    <w:rsid w:val="008D45F4"/>
    <w:rsid w:val="008D531A"/>
    <w:rsid w:val="008D6CD9"/>
    <w:rsid w:val="008D71E9"/>
    <w:rsid w:val="008E182E"/>
    <w:rsid w:val="008E18CE"/>
    <w:rsid w:val="008E239F"/>
    <w:rsid w:val="008E23D0"/>
    <w:rsid w:val="008E2720"/>
    <w:rsid w:val="008E3450"/>
    <w:rsid w:val="008E372B"/>
    <w:rsid w:val="008E3780"/>
    <w:rsid w:val="008E4206"/>
    <w:rsid w:val="008E4336"/>
    <w:rsid w:val="008E43DE"/>
    <w:rsid w:val="008E5A03"/>
    <w:rsid w:val="008E5E6D"/>
    <w:rsid w:val="008E5F3B"/>
    <w:rsid w:val="008E657E"/>
    <w:rsid w:val="008E7817"/>
    <w:rsid w:val="008E795A"/>
    <w:rsid w:val="008E7B46"/>
    <w:rsid w:val="008E7E7F"/>
    <w:rsid w:val="008F07FF"/>
    <w:rsid w:val="008F18D9"/>
    <w:rsid w:val="008F31C1"/>
    <w:rsid w:val="008F3305"/>
    <w:rsid w:val="008F37FD"/>
    <w:rsid w:val="008F3940"/>
    <w:rsid w:val="008F40EF"/>
    <w:rsid w:val="008F4D61"/>
    <w:rsid w:val="008F5BFE"/>
    <w:rsid w:val="008F5F5F"/>
    <w:rsid w:val="008F60FA"/>
    <w:rsid w:val="008F6ED6"/>
    <w:rsid w:val="009012E2"/>
    <w:rsid w:val="009023B0"/>
    <w:rsid w:val="009034C8"/>
    <w:rsid w:val="00903892"/>
    <w:rsid w:val="00903E74"/>
    <w:rsid w:val="00905C38"/>
    <w:rsid w:val="00905CD2"/>
    <w:rsid w:val="00906925"/>
    <w:rsid w:val="009072CA"/>
    <w:rsid w:val="00907AA9"/>
    <w:rsid w:val="00907D86"/>
    <w:rsid w:val="009101F4"/>
    <w:rsid w:val="00910CD3"/>
    <w:rsid w:val="00910DBA"/>
    <w:rsid w:val="00912150"/>
    <w:rsid w:val="00914B38"/>
    <w:rsid w:val="00915118"/>
    <w:rsid w:val="00915C12"/>
    <w:rsid w:val="00916858"/>
    <w:rsid w:val="00917C48"/>
    <w:rsid w:val="0091DFB0"/>
    <w:rsid w:val="009205F9"/>
    <w:rsid w:val="00921261"/>
    <w:rsid w:val="00921F58"/>
    <w:rsid w:val="0092238A"/>
    <w:rsid w:val="00922BDF"/>
    <w:rsid w:val="00922E56"/>
    <w:rsid w:val="009238D0"/>
    <w:rsid w:val="00923CDC"/>
    <w:rsid w:val="00923F4E"/>
    <w:rsid w:val="00924785"/>
    <w:rsid w:val="00925D3A"/>
    <w:rsid w:val="00925DE0"/>
    <w:rsid w:val="00925FAB"/>
    <w:rsid w:val="00925FF8"/>
    <w:rsid w:val="009261F0"/>
    <w:rsid w:val="00926A20"/>
    <w:rsid w:val="00927BEF"/>
    <w:rsid w:val="00930579"/>
    <w:rsid w:val="00930BDE"/>
    <w:rsid w:val="00930C3D"/>
    <w:rsid w:val="00931840"/>
    <w:rsid w:val="00932279"/>
    <w:rsid w:val="009328DE"/>
    <w:rsid w:val="00933D3C"/>
    <w:rsid w:val="0093495C"/>
    <w:rsid w:val="009350FC"/>
    <w:rsid w:val="00935362"/>
    <w:rsid w:val="0093572F"/>
    <w:rsid w:val="00935C74"/>
    <w:rsid w:val="009367CA"/>
    <w:rsid w:val="009372B7"/>
    <w:rsid w:val="00937700"/>
    <w:rsid w:val="00937BB0"/>
    <w:rsid w:val="009410DF"/>
    <w:rsid w:val="009411EB"/>
    <w:rsid w:val="00941661"/>
    <w:rsid w:val="00942113"/>
    <w:rsid w:val="00942F05"/>
    <w:rsid w:val="00944650"/>
    <w:rsid w:val="00945032"/>
    <w:rsid w:val="00945845"/>
    <w:rsid w:val="00945CBC"/>
    <w:rsid w:val="00945FF0"/>
    <w:rsid w:val="00947367"/>
    <w:rsid w:val="009477C3"/>
    <w:rsid w:val="0095115E"/>
    <w:rsid w:val="00951AB0"/>
    <w:rsid w:val="00951CC2"/>
    <w:rsid w:val="00951D48"/>
    <w:rsid w:val="00952799"/>
    <w:rsid w:val="009534B8"/>
    <w:rsid w:val="0095395F"/>
    <w:rsid w:val="00953D32"/>
    <w:rsid w:val="009546C1"/>
    <w:rsid w:val="00954BF9"/>
    <w:rsid w:val="009554B5"/>
    <w:rsid w:val="00955730"/>
    <w:rsid w:val="00956261"/>
    <w:rsid w:val="009566EC"/>
    <w:rsid w:val="00957234"/>
    <w:rsid w:val="00957271"/>
    <w:rsid w:val="00957B5E"/>
    <w:rsid w:val="00960303"/>
    <w:rsid w:val="00961A40"/>
    <w:rsid w:val="00962506"/>
    <w:rsid w:val="00963EEF"/>
    <w:rsid w:val="00965457"/>
    <w:rsid w:val="00965997"/>
    <w:rsid w:val="009659B0"/>
    <w:rsid w:val="00965B40"/>
    <w:rsid w:val="00966CEB"/>
    <w:rsid w:val="00966CFD"/>
    <w:rsid w:val="00966EFF"/>
    <w:rsid w:val="00967379"/>
    <w:rsid w:val="0097153A"/>
    <w:rsid w:val="009717DA"/>
    <w:rsid w:val="0097486E"/>
    <w:rsid w:val="00975BE8"/>
    <w:rsid w:val="00977909"/>
    <w:rsid w:val="00977B6D"/>
    <w:rsid w:val="00977C6F"/>
    <w:rsid w:val="00977D64"/>
    <w:rsid w:val="00980355"/>
    <w:rsid w:val="00980CF1"/>
    <w:rsid w:val="00982423"/>
    <w:rsid w:val="00982DA7"/>
    <w:rsid w:val="00983B39"/>
    <w:rsid w:val="00984016"/>
    <w:rsid w:val="00984134"/>
    <w:rsid w:val="0098557F"/>
    <w:rsid w:val="009865D7"/>
    <w:rsid w:val="0098738E"/>
    <w:rsid w:val="00987536"/>
    <w:rsid w:val="00990A9C"/>
    <w:rsid w:val="00990ED6"/>
    <w:rsid w:val="009910D8"/>
    <w:rsid w:val="00991510"/>
    <w:rsid w:val="0099195D"/>
    <w:rsid w:val="00991BB6"/>
    <w:rsid w:val="00993E3D"/>
    <w:rsid w:val="00993F96"/>
    <w:rsid w:val="00994155"/>
    <w:rsid w:val="00994776"/>
    <w:rsid w:val="00995396"/>
    <w:rsid w:val="00995908"/>
    <w:rsid w:val="00995DBF"/>
    <w:rsid w:val="00995E52"/>
    <w:rsid w:val="0099704C"/>
    <w:rsid w:val="009970DF"/>
    <w:rsid w:val="00997105"/>
    <w:rsid w:val="00997ED5"/>
    <w:rsid w:val="00997FE7"/>
    <w:rsid w:val="009A06B7"/>
    <w:rsid w:val="009A1C15"/>
    <w:rsid w:val="009A2BF9"/>
    <w:rsid w:val="009A2DA4"/>
    <w:rsid w:val="009A4398"/>
    <w:rsid w:val="009A60E3"/>
    <w:rsid w:val="009A62F6"/>
    <w:rsid w:val="009B0C9A"/>
    <w:rsid w:val="009B10B6"/>
    <w:rsid w:val="009B1C5D"/>
    <w:rsid w:val="009B1D51"/>
    <w:rsid w:val="009B2799"/>
    <w:rsid w:val="009B2D34"/>
    <w:rsid w:val="009B35E5"/>
    <w:rsid w:val="009B3A83"/>
    <w:rsid w:val="009B3BA2"/>
    <w:rsid w:val="009B592C"/>
    <w:rsid w:val="009B5D89"/>
    <w:rsid w:val="009B6FDB"/>
    <w:rsid w:val="009C0529"/>
    <w:rsid w:val="009C05A0"/>
    <w:rsid w:val="009C175F"/>
    <w:rsid w:val="009C3C07"/>
    <w:rsid w:val="009C4214"/>
    <w:rsid w:val="009C69AB"/>
    <w:rsid w:val="009D0396"/>
    <w:rsid w:val="009D0F37"/>
    <w:rsid w:val="009D1113"/>
    <w:rsid w:val="009D1967"/>
    <w:rsid w:val="009D1CD6"/>
    <w:rsid w:val="009D27BF"/>
    <w:rsid w:val="009D2DDD"/>
    <w:rsid w:val="009D4625"/>
    <w:rsid w:val="009D4AFF"/>
    <w:rsid w:val="009D50E3"/>
    <w:rsid w:val="009D57EE"/>
    <w:rsid w:val="009D6018"/>
    <w:rsid w:val="009D6658"/>
    <w:rsid w:val="009D6905"/>
    <w:rsid w:val="009D75B1"/>
    <w:rsid w:val="009D7A0F"/>
    <w:rsid w:val="009E0665"/>
    <w:rsid w:val="009E0B94"/>
    <w:rsid w:val="009E0C3E"/>
    <w:rsid w:val="009E1404"/>
    <w:rsid w:val="009E1907"/>
    <w:rsid w:val="009E1BD4"/>
    <w:rsid w:val="009E1EFD"/>
    <w:rsid w:val="009E22FE"/>
    <w:rsid w:val="009E2EA9"/>
    <w:rsid w:val="009E3D8F"/>
    <w:rsid w:val="009E48E4"/>
    <w:rsid w:val="009E4A82"/>
    <w:rsid w:val="009E4C23"/>
    <w:rsid w:val="009E4E04"/>
    <w:rsid w:val="009E5A49"/>
    <w:rsid w:val="009E7DCB"/>
    <w:rsid w:val="009F05EE"/>
    <w:rsid w:val="009F0C6C"/>
    <w:rsid w:val="009F1580"/>
    <w:rsid w:val="009F1953"/>
    <w:rsid w:val="009F324B"/>
    <w:rsid w:val="009F3E4F"/>
    <w:rsid w:val="009F4291"/>
    <w:rsid w:val="009F4A9D"/>
    <w:rsid w:val="009F524F"/>
    <w:rsid w:val="009F5B9F"/>
    <w:rsid w:val="009F5C5A"/>
    <w:rsid w:val="009F62AE"/>
    <w:rsid w:val="009F716D"/>
    <w:rsid w:val="009F7D9D"/>
    <w:rsid w:val="00A01EC7"/>
    <w:rsid w:val="00A02B71"/>
    <w:rsid w:val="00A031AF"/>
    <w:rsid w:val="00A04370"/>
    <w:rsid w:val="00A05157"/>
    <w:rsid w:val="00A06BFA"/>
    <w:rsid w:val="00A07833"/>
    <w:rsid w:val="00A07A96"/>
    <w:rsid w:val="00A102CA"/>
    <w:rsid w:val="00A10DFC"/>
    <w:rsid w:val="00A11503"/>
    <w:rsid w:val="00A117DA"/>
    <w:rsid w:val="00A11B95"/>
    <w:rsid w:val="00A11E20"/>
    <w:rsid w:val="00A12187"/>
    <w:rsid w:val="00A12798"/>
    <w:rsid w:val="00A12A14"/>
    <w:rsid w:val="00A12F3F"/>
    <w:rsid w:val="00A1311B"/>
    <w:rsid w:val="00A139F6"/>
    <w:rsid w:val="00A141B7"/>
    <w:rsid w:val="00A14C17"/>
    <w:rsid w:val="00A15077"/>
    <w:rsid w:val="00A215F6"/>
    <w:rsid w:val="00A21683"/>
    <w:rsid w:val="00A22187"/>
    <w:rsid w:val="00A2231F"/>
    <w:rsid w:val="00A2323A"/>
    <w:rsid w:val="00A23930"/>
    <w:rsid w:val="00A23DCF"/>
    <w:rsid w:val="00A24B3C"/>
    <w:rsid w:val="00A24E91"/>
    <w:rsid w:val="00A26483"/>
    <w:rsid w:val="00A26598"/>
    <w:rsid w:val="00A27198"/>
    <w:rsid w:val="00A27C25"/>
    <w:rsid w:val="00A27D02"/>
    <w:rsid w:val="00A30BE5"/>
    <w:rsid w:val="00A30F16"/>
    <w:rsid w:val="00A319DE"/>
    <w:rsid w:val="00A32190"/>
    <w:rsid w:val="00A32E1D"/>
    <w:rsid w:val="00A32E32"/>
    <w:rsid w:val="00A33B91"/>
    <w:rsid w:val="00A354FF"/>
    <w:rsid w:val="00A35CB5"/>
    <w:rsid w:val="00A405E7"/>
    <w:rsid w:val="00A406B5"/>
    <w:rsid w:val="00A407B0"/>
    <w:rsid w:val="00A42803"/>
    <w:rsid w:val="00A4438D"/>
    <w:rsid w:val="00A50B52"/>
    <w:rsid w:val="00A513B2"/>
    <w:rsid w:val="00A52A1C"/>
    <w:rsid w:val="00A53228"/>
    <w:rsid w:val="00A53D96"/>
    <w:rsid w:val="00A5463D"/>
    <w:rsid w:val="00A5657D"/>
    <w:rsid w:val="00A569FA"/>
    <w:rsid w:val="00A56A29"/>
    <w:rsid w:val="00A572CE"/>
    <w:rsid w:val="00A57A10"/>
    <w:rsid w:val="00A57CD5"/>
    <w:rsid w:val="00A57DA0"/>
    <w:rsid w:val="00A60203"/>
    <w:rsid w:val="00A6235C"/>
    <w:rsid w:val="00A63A60"/>
    <w:rsid w:val="00A6521C"/>
    <w:rsid w:val="00A65675"/>
    <w:rsid w:val="00A664F2"/>
    <w:rsid w:val="00A675D0"/>
    <w:rsid w:val="00A67DEB"/>
    <w:rsid w:val="00A67E89"/>
    <w:rsid w:val="00A705EA"/>
    <w:rsid w:val="00A716C8"/>
    <w:rsid w:val="00A72568"/>
    <w:rsid w:val="00A725E3"/>
    <w:rsid w:val="00A7293A"/>
    <w:rsid w:val="00A72B76"/>
    <w:rsid w:val="00A7303D"/>
    <w:rsid w:val="00A73A15"/>
    <w:rsid w:val="00A7491E"/>
    <w:rsid w:val="00A75B31"/>
    <w:rsid w:val="00A75D2D"/>
    <w:rsid w:val="00A77A07"/>
    <w:rsid w:val="00A77EFF"/>
    <w:rsid w:val="00A80A9C"/>
    <w:rsid w:val="00A8136F"/>
    <w:rsid w:val="00A81B42"/>
    <w:rsid w:val="00A82305"/>
    <w:rsid w:val="00A83076"/>
    <w:rsid w:val="00A83201"/>
    <w:rsid w:val="00A83A15"/>
    <w:rsid w:val="00A842F3"/>
    <w:rsid w:val="00A845E8"/>
    <w:rsid w:val="00A84C15"/>
    <w:rsid w:val="00A84EC5"/>
    <w:rsid w:val="00A853FF"/>
    <w:rsid w:val="00A86128"/>
    <w:rsid w:val="00A86489"/>
    <w:rsid w:val="00A86988"/>
    <w:rsid w:val="00A87F1C"/>
    <w:rsid w:val="00A910F1"/>
    <w:rsid w:val="00A91FD7"/>
    <w:rsid w:val="00A92797"/>
    <w:rsid w:val="00A92B23"/>
    <w:rsid w:val="00A92D0B"/>
    <w:rsid w:val="00A92FE0"/>
    <w:rsid w:val="00A93AAC"/>
    <w:rsid w:val="00A95A06"/>
    <w:rsid w:val="00A9741D"/>
    <w:rsid w:val="00AA0FEF"/>
    <w:rsid w:val="00AA1740"/>
    <w:rsid w:val="00AA1DE5"/>
    <w:rsid w:val="00AA1F05"/>
    <w:rsid w:val="00AA23F8"/>
    <w:rsid w:val="00AA240F"/>
    <w:rsid w:val="00AA2436"/>
    <w:rsid w:val="00AA28C5"/>
    <w:rsid w:val="00AA295C"/>
    <w:rsid w:val="00AA3789"/>
    <w:rsid w:val="00AA5874"/>
    <w:rsid w:val="00AA5BF5"/>
    <w:rsid w:val="00AA6EC2"/>
    <w:rsid w:val="00AA76D6"/>
    <w:rsid w:val="00AB0A7C"/>
    <w:rsid w:val="00AB0B51"/>
    <w:rsid w:val="00AB20E1"/>
    <w:rsid w:val="00AB2F7F"/>
    <w:rsid w:val="00AB3510"/>
    <w:rsid w:val="00AB36B8"/>
    <w:rsid w:val="00AB4137"/>
    <w:rsid w:val="00AB4D94"/>
    <w:rsid w:val="00AB5850"/>
    <w:rsid w:val="00AB5AD2"/>
    <w:rsid w:val="00AB6C32"/>
    <w:rsid w:val="00AC07CF"/>
    <w:rsid w:val="00AC1E40"/>
    <w:rsid w:val="00AC1FA4"/>
    <w:rsid w:val="00AC2052"/>
    <w:rsid w:val="00AC2135"/>
    <w:rsid w:val="00AC274F"/>
    <w:rsid w:val="00AC2DFC"/>
    <w:rsid w:val="00AC3D72"/>
    <w:rsid w:val="00AC41DB"/>
    <w:rsid w:val="00AC4A49"/>
    <w:rsid w:val="00AC516F"/>
    <w:rsid w:val="00AC5A4B"/>
    <w:rsid w:val="00AC5EA3"/>
    <w:rsid w:val="00AC6AB4"/>
    <w:rsid w:val="00AC73F8"/>
    <w:rsid w:val="00AD09FF"/>
    <w:rsid w:val="00AD23E5"/>
    <w:rsid w:val="00AD280B"/>
    <w:rsid w:val="00AD2FAC"/>
    <w:rsid w:val="00AD37A8"/>
    <w:rsid w:val="00AD39E8"/>
    <w:rsid w:val="00AD5797"/>
    <w:rsid w:val="00AD65CC"/>
    <w:rsid w:val="00AD742A"/>
    <w:rsid w:val="00AD742C"/>
    <w:rsid w:val="00AE2032"/>
    <w:rsid w:val="00AE217D"/>
    <w:rsid w:val="00AE39A1"/>
    <w:rsid w:val="00AE3FCF"/>
    <w:rsid w:val="00AE429F"/>
    <w:rsid w:val="00AE6488"/>
    <w:rsid w:val="00AE6DBE"/>
    <w:rsid w:val="00AF16CA"/>
    <w:rsid w:val="00AF2148"/>
    <w:rsid w:val="00AF237C"/>
    <w:rsid w:val="00AF30D5"/>
    <w:rsid w:val="00AF3496"/>
    <w:rsid w:val="00AF41B7"/>
    <w:rsid w:val="00AF421C"/>
    <w:rsid w:val="00AF43CA"/>
    <w:rsid w:val="00AF4D53"/>
    <w:rsid w:val="00AF61A9"/>
    <w:rsid w:val="00AF6A8E"/>
    <w:rsid w:val="00B00BCD"/>
    <w:rsid w:val="00B00E1B"/>
    <w:rsid w:val="00B01310"/>
    <w:rsid w:val="00B013EC"/>
    <w:rsid w:val="00B020BE"/>
    <w:rsid w:val="00B0226D"/>
    <w:rsid w:val="00B03003"/>
    <w:rsid w:val="00B03ABC"/>
    <w:rsid w:val="00B04BFA"/>
    <w:rsid w:val="00B04DCB"/>
    <w:rsid w:val="00B05182"/>
    <w:rsid w:val="00B0547B"/>
    <w:rsid w:val="00B056DB"/>
    <w:rsid w:val="00B062F1"/>
    <w:rsid w:val="00B06AB9"/>
    <w:rsid w:val="00B07314"/>
    <w:rsid w:val="00B07347"/>
    <w:rsid w:val="00B075A1"/>
    <w:rsid w:val="00B102DC"/>
    <w:rsid w:val="00B12548"/>
    <w:rsid w:val="00B12871"/>
    <w:rsid w:val="00B14BAD"/>
    <w:rsid w:val="00B1593B"/>
    <w:rsid w:val="00B1598C"/>
    <w:rsid w:val="00B15E35"/>
    <w:rsid w:val="00B16354"/>
    <w:rsid w:val="00B17005"/>
    <w:rsid w:val="00B17AB5"/>
    <w:rsid w:val="00B205BA"/>
    <w:rsid w:val="00B2096B"/>
    <w:rsid w:val="00B2112F"/>
    <w:rsid w:val="00B212C8"/>
    <w:rsid w:val="00B2262A"/>
    <w:rsid w:val="00B23912"/>
    <w:rsid w:val="00B25061"/>
    <w:rsid w:val="00B254DD"/>
    <w:rsid w:val="00B258CE"/>
    <w:rsid w:val="00B259F4"/>
    <w:rsid w:val="00B25F96"/>
    <w:rsid w:val="00B26E1E"/>
    <w:rsid w:val="00B27EC9"/>
    <w:rsid w:val="00B30B31"/>
    <w:rsid w:val="00B30E06"/>
    <w:rsid w:val="00B30F84"/>
    <w:rsid w:val="00B30F9C"/>
    <w:rsid w:val="00B312DA"/>
    <w:rsid w:val="00B31565"/>
    <w:rsid w:val="00B33303"/>
    <w:rsid w:val="00B3452B"/>
    <w:rsid w:val="00B3477F"/>
    <w:rsid w:val="00B34DA0"/>
    <w:rsid w:val="00B350C4"/>
    <w:rsid w:val="00B353A7"/>
    <w:rsid w:val="00B35D54"/>
    <w:rsid w:val="00B35ECF"/>
    <w:rsid w:val="00B40756"/>
    <w:rsid w:val="00B4178C"/>
    <w:rsid w:val="00B4276B"/>
    <w:rsid w:val="00B42956"/>
    <w:rsid w:val="00B436D6"/>
    <w:rsid w:val="00B43B03"/>
    <w:rsid w:val="00B454A8"/>
    <w:rsid w:val="00B45758"/>
    <w:rsid w:val="00B46081"/>
    <w:rsid w:val="00B47B4B"/>
    <w:rsid w:val="00B47FDF"/>
    <w:rsid w:val="00B50A2B"/>
    <w:rsid w:val="00B50B0C"/>
    <w:rsid w:val="00B51B20"/>
    <w:rsid w:val="00B51C2B"/>
    <w:rsid w:val="00B51F03"/>
    <w:rsid w:val="00B52307"/>
    <w:rsid w:val="00B52830"/>
    <w:rsid w:val="00B5389D"/>
    <w:rsid w:val="00B5394C"/>
    <w:rsid w:val="00B54991"/>
    <w:rsid w:val="00B55939"/>
    <w:rsid w:val="00B55CCD"/>
    <w:rsid w:val="00B55D78"/>
    <w:rsid w:val="00B565AD"/>
    <w:rsid w:val="00B56CC1"/>
    <w:rsid w:val="00B6097D"/>
    <w:rsid w:val="00B60D39"/>
    <w:rsid w:val="00B60F13"/>
    <w:rsid w:val="00B6151D"/>
    <w:rsid w:val="00B6236B"/>
    <w:rsid w:val="00B62920"/>
    <w:rsid w:val="00B62AC0"/>
    <w:rsid w:val="00B6355F"/>
    <w:rsid w:val="00B6362B"/>
    <w:rsid w:val="00B6439C"/>
    <w:rsid w:val="00B64640"/>
    <w:rsid w:val="00B64B56"/>
    <w:rsid w:val="00B64F23"/>
    <w:rsid w:val="00B652CA"/>
    <w:rsid w:val="00B65B41"/>
    <w:rsid w:val="00B66406"/>
    <w:rsid w:val="00B66CF5"/>
    <w:rsid w:val="00B7073A"/>
    <w:rsid w:val="00B7081C"/>
    <w:rsid w:val="00B714BC"/>
    <w:rsid w:val="00B71595"/>
    <w:rsid w:val="00B71F53"/>
    <w:rsid w:val="00B72C04"/>
    <w:rsid w:val="00B74AB5"/>
    <w:rsid w:val="00B74B60"/>
    <w:rsid w:val="00B74D93"/>
    <w:rsid w:val="00B755BE"/>
    <w:rsid w:val="00B75B3F"/>
    <w:rsid w:val="00B75BC3"/>
    <w:rsid w:val="00B76820"/>
    <w:rsid w:val="00B76CCF"/>
    <w:rsid w:val="00B803D5"/>
    <w:rsid w:val="00B806A7"/>
    <w:rsid w:val="00B813FA"/>
    <w:rsid w:val="00B81587"/>
    <w:rsid w:val="00B81D68"/>
    <w:rsid w:val="00B82385"/>
    <w:rsid w:val="00B8244C"/>
    <w:rsid w:val="00B826C9"/>
    <w:rsid w:val="00B82E38"/>
    <w:rsid w:val="00B84B75"/>
    <w:rsid w:val="00B84E32"/>
    <w:rsid w:val="00B85068"/>
    <w:rsid w:val="00B86B52"/>
    <w:rsid w:val="00B90A64"/>
    <w:rsid w:val="00B90C6A"/>
    <w:rsid w:val="00B918C0"/>
    <w:rsid w:val="00B91D4F"/>
    <w:rsid w:val="00B91FCF"/>
    <w:rsid w:val="00B9273A"/>
    <w:rsid w:val="00B92C6B"/>
    <w:rsid w:val="00B92FE8"/>
    <w:rsid w:val="00B93528"/>
    <w:rsid w:val="00B958FB"/>
    <w:rsid w:val="00B97A08"/>
    <w:rsid w:val="00BA07D1"/>
    <w:rsid w:val="00BA10C2"/>
    <w:rsid w:val="00BA151F"/>
    <w:rsid w:val="00BA1DEB"/>
    <w:rsid w:val="00BA373D"/>
    <w:rsid w:val="00BA3B15"/>
    <w:rsid w:val="00BA548C"/>
    <w:rsid w:val="00BA57FB"/>
    <w:rsid w:val="00BA68C6"/>
    <w:rsid w:val="00BA786E"/>
    <w:rsid w:val="00BA79E7"/>
    <w:rsid w:val="00BA7E1C"/>
    <w:rsid w:val="00BB0115"/>
    <w:rsid w:val="00BB0915"/>
    <w:rsid w:val="00BB0BF9"/>
    <w:rsid w:val="00BB20C2"/>
    <w:rsid w:val="00BB2831"/>
    <w:rsid w:val="00BB3FF4"/>
    <w:rsid w:val="00BB4124"/>
    <w:rsid w:val="00BB42EA"/>
    <w:rsid w:val="00BB49BB"/>
    <w:rsid w:val="00BB693F"/>
    <w:rsid w:val="00BC00D6"/>
    <w:rsid w:val="00BC04D3"/>
    <w:rsid w:val="00BC07DC"/>
    <w:rsid w:val="00BC09E0"/>
    <w:rsid w:val="00BC0F08"/>
    <w:rsid w:val="00BC1170"/>
    <w:rsid w:val="00BC1333"/>
    <w:rsid w:val="00BC1916"/>
    <w:rsid w:val="00BC19A0"/>
    <w:rsid w:val="00BC3055"/>
    <w:rsid w:val="00BC34EB"/>
    <w:rsid w:val="00BC3734"/>
    <w:rsid w:val="00BC37F2"/>
    <w:rsid w:val="00BC39B0"/>
    <w:rsid w:val="00BC3D95"/>
    <w:rsid w:val="00BC483D"/>
    <w:rsid w:val="00BC524D"/>
    <w:rsid w:val="00BC58CA"/>
    <w:rsid w:val="00BC5F20"/>
    <w:rsid w:val="00BC6149"/>
    <w:rsid w:val="00BC6274"/>
    <w:rsid w:val="00BC6436"/>
    <w:rsid w:val="00BC6CB1"/>
    <w:rsid w:val="00BD0734"/>
    <w:rsid w:val="00BD10AE"/>
    <w:rsid w:val="00BD26F6"/>
    <w:rsid w:val="00BD2D31"/>
    <w:rsid w:val="00BD2F90"/>
    <w:rsid w:val="00BD3B39"/>
    <w:rsid w:val="00BD64E9"/>
    <w:rsid w:val="00BD6A96"/>
    <w:rsid w:val="00BD70A6"/>
    <w:rsid w:val="00BE0865"/>
    <w:rsid w:val="00BE2134"/>
    <w:rsid w:val="00BE2C12"/>
    <w:rsid w:val="00BE2D5B"/>
    <w:rsid w:val="00BE40F8"/>
    <w:rsid w:val="00BE45D0"/>
    <w:rsid w:val="00BE476D"/>
    <w:rsid w:val="00BE500B"/>
    <w:rsid w:val="00BE58E8"/>
    <w:rsid w:val="00BE5982"/>
    <w:rsid w:val="00BF05FD"/>
    <w:rsid w:val="00BF119C"/>
    <w:rsid w:val="00BF187A"/>
    <w:rsid w:val="00BF2351"/>
    <w:rsid w:val="00BF235A"/>
    <w:rsid w:val="00BF261B"/>
    <w:rsid w:val="00BF2EDF"/>
    <w:rsid w:val="00BF2F45"/>
    <w:rsid w:val="00BF344B"/>
    <w:rsid w:val="00BF3933"/>
    <w:rsid w:val="00BF487B"/>
    <w:rsid w:val="00BF4BD0"/>
    <w:rsid w:val="00BF4F1E"/>
    <w:rsid w:val="00BF515C"/>
    <w:rsid w:val="00BF6CD6"/>
    <w:rsid w:val="00BF7600"/>
    <w:rsid w:val="00C0115C"/>
    <w:rsid w:val="00C02315"/>
    <w:rsid w:val="00C024A2"/>
    <w:rsid w:val="00C02649"/>
    <w:rsid w:val="00C02DBC"/>
    <w:rsid w:val="00C03B36"/>
    <w:rsid w:val="00C03ED8"/>
    <w:rsid w:val="00C0471D"/>
    <w:rsid w:val="00C04949"/>
    <w:rsid w:val="00C063B2"/>
    <w:rsid w:val="00C077A1"/>
    <w:rsid w:val="00C1102C"/>
    <w:rsid w:val="00C12466"/>
    <w:rsid w:val="00C126D7"/>
    <w:rsid w:val="00C12C60"/>
    <w:rsid w:val="00C13B3F"/>
    <w:rsid w:val="00C15350"/>
    <w:rsid w:val="00C157E2"/>
    <w:rsid w:val="00C15A56"/>
    <w:rsid w:val="00C16981"/>
    <w:rsid w:val="00C1745B"/>
    <w:rsid w:val="00C2019B"/>
    <w:rsid w:val="00C201E4"/>
    <w:rsid w:val="00C20CA2"/>
    <w:rsid w:val="00C21530"/>
    <w:rsid w:val="00C21CED"/>
    <w:rsid w:val="00C22645"/>
    <w:rsid w:val="00C22712"/>
    <w:rsid w:val="00C2293C"/>
    <w:rsid w:val="00C22B16"/>
    <w:rsid w:val="00C24453"/>
    <w:rsid w:val="00C25494"/>
    <w:rsid w:val="00C25BA0"/>
    <w:rsid w:val="00C26FF0"/>
    <w:rsid w:val="00C27A19"/>
    <w:rsid w:val="00C31267"/>
    <w:rsid w:val="00C316C0"/>
    <w:rsid w:val="00C3186D"/>
    <w:rsid w:val="00C32B3B"/>
    <w:rsid w:val="00C32BAF"/>
    <w:rsid w:val="00C3310B"/>
    <w:rsid w:val="00C3328D"/>
    <w:rsid w:val="00C34C03"/>
    <w:rsid w:val="00C372E0"/>
    <w:rsid w:val="00C4322B"/>
    <w:rsid w:val="00C43C4E"/>
    <w:rsid w:val="00C45397"/>
    <w:rsid w:val="00C454FB"/>
    <w:rsid w:val="00C45551"/>
    <w:rsid w:val="00C469F7"/>
    <w:rsid w:val="00C46C2A"/>
    <w:rsid w:val="00C47385"/>
    <w:rsid w:val="00C47586"/>
    <w:rsid w:val="00C47A2B"/>
    <w:rsid w:val="00C50630"/>
    <w:rsid w:val="00C507EB"/>
    <w:rsid w:val="00C50892"/>
    <w:rsid w:val="00C50A60"/>
    <w:rsid w:val="00C5283D"/>
    <w:rsid w:val="00C52D19"/>
    <w:rsid w:val="00C52DC5"/>
    <w:rsid w:val="00C53883"/>
    <w:rsid w:val="00C545CE"/>
    <w:rsid w:val="00C550F8"/>
    <w:rsid w:val="00C551C0"/>
    <w:rsid w:val="00C56821"/>
    <w:rsid w:val="00C60874"/>
    <w:rsid w:val="00C60A1E"/>
    <w:rsid w:val="00C63603"/>
    <w:rsid w:val="00C63690"/>
    <w:rsid w:val="00C638DE"/>
    <w:rsid w:val="00C6479C"/>
    <w:rsid w:val="00C6596E"/>
    <w:rsid w:val="00C65CFB"/>
    <w:rsid w:val="00C668D5"/>
    <w:rsid w:val="00C67189"/>
    <w:rsid w:val="00C678DE"/>
    <w:rsid w:val="00C67F6B"/>
    <w:rsid w:val="00C70A8F"/>
    <w:rsid w:val="00C71E9C"/>
    <w:rsid w:val="00C724AC"/>
    <w:rsid w:val="00C7268D"/>
    <w:rsid w:val="00C7361A"/>
    <w:rsid w:val="00C736F0"/>
    <w:rsid w:val="00C73B4B"/>
    <w:rsid w:val="00C74211"/>
    <w:rsid w:val="00C742D7"/>
    <w:rsid w:val="00C743DD"/>
    <w:rsid w:val="00C74743"/>
    <w:rsid w:val="00C762C0"/>
    <w:rsid w:val="00C765A2"/>
    <w:rsid w:val="00C768BA"/>
    <w:rsid w:val="00C768FE"/>
    <w:rsid w:val="00C800D9"/>
    <w:rsid w:val="00C8071F"/>
    <w:rsid w:val="00C80771"/>
    <w:rsid w:val="00C8086F"/>
    <w:rsid w:val="00C80A55"/>
    <w:rsid w:val="00C81B4B"/>
    <w:rsid w:val="00C82B77"/>
    <w:rsid w:val="00C83621"/>
    <w:rsid w:val="00C8438E"/>
    <w:rsid w:val="00C86057"/>
    <w:rsid w:val="00C864A9"/>
    <w:rsid w:val="00C867B8"/>
    <w:rsid w:val="00C868F2"/>
    <w:rsid w:val="00C87DF8"/>
    <w:rsid w:val="00C900B2"/>
    <w:rsid w:val="00C905B6"/>
    <w:rsid w:val="00C9098B"/>
    <w:rsid w:val="00C91013"/>
    <w:rsid w:val="00C911DA"/>
    <w:rsid w:val="00C914FC"/>
    <w:rsid w:val="00C918C5"/>
    <w:rsid w:val="00C91F61"/>
    <w:rsid w:val="00C92418"/>
    <w:rsid w:val="00C92ECE"/>
    <w:rsid w:val="00C944B2"/>
    <w:rsid w:val="00C94A09"/>
    <w:rsid w:val="00C94B20"/>
    <w:rsid w:val="00C94CA4"/>
    <w:rsid w:val="00C952E4"/>
    <w:rsid w:val="00C95B73"/>
    <w:rsid w:val="00C95B78"/>
    <w:rsid w:val="00C976CD"/>
    <w:rsid w:val="00C97899"/>
    <w:rsid w:val="00C979EC"/>
    <w:rsid w:val="00CA0495"/>
    <w:rsid w:val="00CA0C6F"/>
    <w:rsid w:val="00CA18DC"/>
    <w:rsid w:val="00CA6246"/>
    <w:rsid w:val="00CA76B8"/>
    <w:rsid w:val="00CA7A37"/>
    <w:rsid w:val="00CA7C28"/>
    <w:rsid w:val="00CB19CF"/>
    <w:rsid w:val="00CB3003"/>
    <w:rsid w:val="00CB52DD"/>
    <w:rsid w:val="00CB5332"/>
    <w:rsid w:val="00CB543A"/>
    <w:rsid w:val="00CB5807"/>
    <w:rsid w:val="00CB5870"/>
    <w:rsid w:val="00CB7735"/>
    <w:rsid w:val="00CB7E73"/>
    <w:rsid w:val="00CB7E82"/>
    <w:rsid w:val="00CC0A31"/>
    <w:rsid w:val="00CC0E28"/>
    <w:rsid w:val="00CC10AF"/>
    <w:rsid w:val="00CC1801"/>
    <w:rsid w:val="00CC1BF4"/>
    <w:rsid w:val="00CC21B3"/>
    <w:rsid w:val="00CC29FA"/>
    <w:rsid w:val="00CC3A81"/>
    <w:rsid w:val="00CC45C4"/>
    <w:rsid w:val="00CC47E2"/>
    <w:rsid w:val="00CC4B40"/>
    <w:rsid w:val="00CC537F"/>
    <w:rsid w:val="00CC58CF"/>
    <w:rsid w:val="00CC5FF2"/>
    <w:rsid w:val="00CC607F"/>
    <w:rsid w:val="00CC6D08"/>
    <w:rsid w:val="00CC70BB"/>
    <w:rsid w:val="00CC7EE7"/>
    <w:rsid w:val="00CD01BD"/>
    <w:rsid w:val="00CD12FA"/>
    <w:rsid w:val="00CD1CDC"/>
    <w:rsid w:val="00CD340C"/>
    <w:rsid w:val="00CD4963"/>
    <w:rsid w:val="00CD6886"/>
    <w:rsid w:val="00CD6989"/>
    <w:rsid w:val="00CD6C4E"/>
    <w:rsid w:val="00CD75C1"/>
    <w:rsid w:val="00CD77E3"/>
    <w:rsid w:val="00CD7D17"/>
    <w:rsid w:val="00CD7E93"/>
    <w:rsid w:val="00CE057B"/>
    <w:rsid w:val="00CE0D82"/>
    <w:rsid w:val="00CE413D"/>
    <w:rsid w:val="00CE4225"/>
    <w:rsid w:val="00CE4563"/>
    <w:rsid w:val="00CE4C72"/>
    <w:rsid w:val="00CE5DF1"/>
    <w:rsid w:val="00CE769A"/>
    <w:rsid w:val="00CE7706"/>
    <w:rsid w:val="00CE7D24"/>
    <w:rsid w:val="00CF1129"/>
    <w:rsid w:val="00CF1874"/>
    <w:rsid w:val="00CF29AE"/>
    <w:rsid w:val="00CF2BF6"/>
    <w:rsid w:val="00CF2D4E"/>
    <w:rsid w:val="00CF40F7"/>
    <w:rsid w:val="00CF4B41"/>
    <w:rsid w:val="00CF4B66"/>
    <w:rsid w:val="00CF4DA2"/>
    <w:rsid w:val="00CF691A"/>
    <w:rsid w:val="00D004D9"/>
    <w:rsid w:val="00D00D64"/>
    <w:rsid w:val="00D02475"/>
    <w:rsid w:val="00D034BC"/>
    <w:rsid w:val="00D039A7"/>
    <w:rsid w:val="00D0540B"/>
    <w:rsid w:val="00D0550D"/>
    <w:rsid w:val="00D056CC"/>
    <w:rsid w:val="00D0736C"/>
    <w:rsid w:val="00D075B1"/>
    <w:rsid w:val="00D07718"/>
    <w:rsid w:val="00D100DC"/>
    <w:rsid w:val="00D10372"/>
    <w:rsid w:val="00D10393"/>
    <w:rsid w:val="00D1084E"/>
    <w:rsid w:val="00D111E9"/>
    <w:rsid w:val="00D11CBE"/>
    <w:rsid w:val="00D123AA"/>
    <w:rsid w:val="00D123B0"/>
    <w:rsid w:val="00D12770"/>
    <w:rsid w:val="00D12916"/>
    <w:rsid w:val="00D12D8A"/>
    <w:rsid w:val="00D13110"/>
    <w:rsid w:val="00D13244"/>
    <w:rsid w:val="00D133A4"/>
    <w:rsid w:val="00D134FB"/>
    <w:rsid w:val="00D1409D"/>
    <w:rsid w:val="00D14407"/>
    <w:rsid w:val="00D15288"/>
    <w:rsid w:val="00D159D5"/>
    <w:rsid w:val="00D16899"/>
    <w:rsid w:val="00D170EF"/>
    <w:rsid w:val="00D172F7"/>
    <w:rsid w:val="00D1778A"/>
    <w:rsid w:val="00D17DC9"/>
    <w:rsid w:val="00D20434"/>
    <w:rsid w:val="00D21A3A"/>
    <w:rsid w:val="00D21C3B"/>
    <w:rsid w:val="00D2273B"/>
    <w:rsid w:val="00D2286F"/>
    <w:rsid w:val="00D22A43"/>
    <w:rsid w:val="00D23EBE"/>
    <w:rsid w:val="00D2577C"/>
    <w:rsid w:val="00D25B69"/>
    <w:rsid w:val="00D25F89"/>
    <w:rsid w:val="00D26DE6"/>
    <w:rsid w:val="00D27156"/>
    <w:rsid w:val="00D27D5F"/>
    <w:rsid w:val="00D30039"/>
    <w:rsid w:val="00D3027F"/>
    <w:rsid w:val="00D3054B"/>
    <w:rsid w:val="00D30C4F"/>
    <w:rsid w:val="00D31C68"/>
    <w:rsid w:val="00D3249F"/>
    <w:rsid w:val="00D3251E"/>
    <w:rsid w:val="00D326BA"/>
    <w:rsid w:val="00D333B9"/>
    <w:rsid w:val="00D35620"/>
    <w:rsid w:val="00D35BC6"/>
    <w:rsid w:val="00D36884"/>
    <w:rsid w:val="00D36927"/>
    <w:rsid w:val="00D36DB8"/>
    <w:rsid w:val="00D37A72"/>
    <w:rsid w:val="00D37E84"/>
    <w:rsid w:val="00D4078A"/>
    <w:rsid w:val="00D40FC8"/>
    <w:rsid w:val="00D41B6B"/>
    <w:rsid w:val="00D4272F"/>
    <w:rsid w:val="00D43A74"/>
    <w:rsid w:val="00D43AB7"/>
    <w:rsid w:val="00D44347"/>
    <w:rsid w:val="00D445A0"/>
    <w:rsid w:val="00D44A7F"/>
    <w:rsid w:val="00D45820"/>
    <w:rsid w:val="00D46437"/>
    <w:rsid w:val="00D46B64"/>
    <w:rsid w:val="00D47328"/>
    <w:rsid w:val="00D51453"/>
    <w:rsid w:val="00D51590"/>
    <w:rsid w:val="00D51E0F"/>
    <w:rsid w:val="00D5427B"/>
    <w:rsid w:val="00D54536"/>
    <w:rsid w:val="00D54544"/>
    <w:rsid w:val="00D54585"/>
    <w:rsid w:val="00D55D9B"/>
    <w:rsid w:val="00D55F92"/>
    <w:rsid w:val="00D56AAC"/>
    <w:rsid w:val="00D56BCA"/>
    <w:rsid w:val="00D573FC"/>
    <w:rsid w:val="00D60976"/>
    <w:rsid w:val="00D60A9E"/>
    <w:rsid w:val="00D60BC6"/>
    <w:rsid w:val="00D61A6F"/>
    <w:rsid w:val="00D63025"/>
    <w:rsid w:val="00D634C2"/>
    <w:rsid w:val="00D634FE"/>
    <w:rsid w:val="00D63B35"/>
    <w:rsid w:val="00D645AF"/>
    <w:rsid w:val="00D6494D"/>
    <w:rsid w:val="00D652E4"/>
    <w:rsid w:val="00D65F61"/>
    <w:rsid w:val="00D664CA"/>
    <w:rsid w:val="00D668AA"/>
    <w:rsid w:val="00D66E9E"/>
    <w:rsid w:val="00D677E1"/>
    <w:rsid w:val="00D67D09"/>
    <w:rsid w:val="00D70CD6"/>
    <w:rsid w:val="00D71187"/>
    <w:rsid w:val="00D723AA"/>
    <w:rsid w:val="00D73771"/>
    <w:rsid w:val="00D73A86"/>
    <w:rsid w:val="00D74F4E"/>
    <w:rsid w:val="00D75107"/>
    <w:rsid w:val="00D75AFF"/>
    <w:rsid w:val="00D7658D"/>
    <w:rsid w:val="00D7736E"/>
    <w:rsid w:val="00D7796B"/>
    <w:rsid w:val="00D80068"/>
    <w:rsid w:val="00D8056C"/>
    <w:rsid w:val="00D815C4"/>
    <w:rsid w:val="00D81686"/>
    <w:rsid w:val="00D82C19"/>
    <w:rsid w:val="00D836A4"/>
    <w:rsid w:val="00D83B83"/>
    <w:rsid w:val="00D846DB"/>
    <w:rsid w:val="00D84C74"/>
    <w:rsid w:val="00D84CAD"/>
    <w:rsid w:val="00D84F94"/>
    <w:rsid w:val="00D85F30"/>
    <w:rsid w:val="00D8662A"/>
    <w:rsid w:val="00D86D5B"/>
    <w:rsid w:val="00D871BD"/>
    <w:rsid w:val="00D87259"/>
    <w:rsid w:val="00D8769E"/>
    <w:rsid w:val="00D907AA"/>
    <w:rsid w:val="00D9174B"/>
    <w:rsid w:val="00D9191B"/>
    <w:rsid w:val="00D91EFE"/>
    <w:rsid w:val="00D91F33"/>
    <w:rsid w:val="00D92B26"/>
    <w:rsid w:val="00D92B35"/>
    <w:rsid w:val="00D93A14"/>
    <w:rsid w:val="00D93BF1"/>
    <w:rsid w:val="00D94399"/>
    <w:rsid w:val="00D95DFA"/>
    <w:rsid w:val="00D96DDD"/>
    <w:rsid w:val="00D976BA"/>
    <w:rsid w:val="00DA0409"/>
    <w:rsid w:val="00DA062E"/>
    <w:rsid w:val="00DA2A23"/>
    <w:rsid w:val="00DA30FF"/>
    <w:rsid w:val="00DA3980"/>
    <w:rsid w:val="00DA3AEE"/>
    <w:rsid w:val="00DA3BDA"/>
    <w:rsid w:val="00DA4CC6"/>
    <w:rsid w:val="00DA5634"/>
    <w:rsid w:val="00DA6334"/>
    <w:rsid w:val="00DA6715"/>
    <w:rsid w:val="00DA6C4E"/>
    <w:rsid w:val="00DA6D9D"/>
    <w:rsid w:val="00DA7FB1"/>
    <w:rsid w:val="00DB1562"/>
    <w:rsid w:val="00DB1D67"/>
    <w:rsid w:val="00DB20B3"/>
    <w:rsid w:val="00DB2FA7"/>
    <w:rsid w:val="00DB4426"/>
    <w:rsid w:val="00DB49EE"/>
    <w:rsid w:val="00DB6C5D"/>
    <w:rsid w:val="00DB74FF"/>
    <w:rsid w:val="00DC1C08"/>
    <w:rsid w:val="00DC2009"/>
    <w:rsid w:val="00DC2592"/>
    <w:rsid w:val="00DC3289"/>
    <w:rsid w:val="00DC3756"/>
    <w:rsid w:val="00DC3B25"/>
    <w:rsid w:val="00DC4306"/>
    <w:rsid w:val="00DC4E21"/>
    <w:rsid w:val="00DC55C8"/>
    <w:rsid w:val="00DC561B"/>
    <w:rsid w:val="00DC5810"/>
    <w:rsid w:val="00DC61CD"/>
    <w:rsid w:val="00DC64BB"/>
    <w:rsid w:val="00DC659F"/>
    <w:rsid w:val="00DC6F3A"/>
    <w:rsid w:val="00DC7BD7"/>
    <w:rsid w:val="00DC7C44"/>
    <w:rsid w:val="00DD0EEA"/>
    <w:rsid w:val="00DD17EE"/>
    <w:rsid w:val="00DD1D80"/>
    <w:rsid w:val="00DD2B26"/>
    <w:rsid w:val="00DD2E59"/>
    <w:rsid w:val="00DD307A"/>
    <w:rsid w:val="00DD38EA"/>
    <w:rsid w:val="00DD3FBE"/>
    <w:rsid w:val="00DD52BB"/>
    <w:rsid w:val="00DD593C"/>
    <w:rsid w:val="00DD5F1A"/>
    <w:rsid w:val="00DD758A"/>
    <w:rsid w:val="00DE02F5"/>
    <w:rsid w:val="00DE0C8D"/>
    <w:rsid w:val="00DE0FBA"/>
    <w:rsid w:val="00DE157D"/>
    <w:rsid w:val="00DE2519"/>
    <w:rsid w:val="00DE2CFC"/>
    <w:rsid w:val="00DE327C"/>
    <w:rsid w:val="00DE39AB"/>
    <w:rsid w:val="00DE3A5D"/>
    <w:rsid w:val="00DE3ACB"/>
    <w:rsid w:val="00DE5C57"/>
    <w:rsid w:val="00DE5FF1"/>
    <w:rsid w:val="00DE62A3"/>
    <w:rsid w:val="00DE7565"/>
    <w:rsid w:val="00DE7600"/>
    <w:rsid w:val="00DF036C"/>
    <w:rsid w:val="00DF062B"/>
    <w:rsid w:val="00DF1439"/>
    <w:rsid w:val="00DF1A0A"/>
    <w:rsid w:val="00DF1B8E"/>
    <w:rsid w:val="00DF2B6F"/>
    <w:rsid w:val="00DF3501"/>
    <w:rsid w:val="00DF58A1"/>
    <w:rsid w:val="00E00628"/>
    <w:rsid w:val="00E00990"/>
    <w:rsid w:val="00E00B45"/>
    <w:rsid w:val="00E00FCE"/>
    <w:rsid w:val="00E010B7"/>
    <w:rsid w:val="00E0157B"/>
    <w:rsid w:val="00E017E3"/>
    <w:rsid w:val="00E03CCD"/>
    <w:rsid w:val="00E051BD"/>
    <w:rsid w:val="00E05C74"/>
    <w:rsid w:val="00E05F3F"/>
    <w:rsid w:val="00E0611C"/>
    <w:rsid w:val="00E078A5"/>
    <w:rsid w:val="00E10BB9"/>
    <w:rsid w:val="00E111C4"/>
    <w:rsid w:val="00E117B8"/>
    <w:rsid w:val="00E1289C"/>
    <w:rsid w:val="00E140FA"/>
    <w:rsid w:val="00E1425C"/>
    <w:rsid w:val="00E157AD"/>
    <w:rsid w:val="00E15DC3"/>
    <w:rsid w:val="00E167F3"/>
    <w:rsid w:val="00E16C5B"/>
    <w:rsid w:val="00E17B34"/>
    <w:rsid w:val="00E2027A"/>
    <w:rsid w:val="00E20D69"/>
    <w:rsid w:val="00E21A4F"/>
    <w:rsid w:val="00E21D91"/>
    <w:rsid w:val="00E21DB7"/>
    <w:rsid w:val="00E21EA5"/>
    <w:rsid w:val="00E24071"/>
    <w:rsid w:val="00E24CC5"/>
    <w:rsid w:val="00E24E46"/>
    <w:rsid w:val="00E25078"/>
    <w:rsid w:val="00E25EA8"/>
    <w:rsid w:val="00E26CCD"/>
    <w:rsid w:val="00E30145"/>
    <w:rsid w:val="00E303DE"/>
    <w:rsid w:val="00E308F8"/>
    <w:rsid w:val="00E31916"/>
    <w:rsid w:val="00E31A45"/>
    <w:rsid w:val="00E34802"/>
    <w:rsid w:val="00E3566C"/>
    <w:rsid w:val="00E35842"/>
    <w:rsid w:val="00E367E6"/>
    <w:rsid w:val="00E37345"/>
    <w:rsid w:val="00E3786F"/>
    <w:rsid w:val="00E3788B"/>
    <w:rsid w:val="00E40140"/>
    <w:rsid w:val="00E40732"/>
    <w:rsid w:val="00E4093E"/>
    <w:rsid w:val="00E418A3"/>
    <w:rsid w:val="00E41C57"/>
    <w:rsid w:val="00E42571"/>
    <w:rsid w:val="00E42A71"/>
    <w:rsid w:val="00E434E5"/>
    <w:rsid w:val="00E44A40"/>
    <w:rsid w:val="00E45573"/>
    <w:rsid w:val="00E45919"/>
    <w:rsid w:val="00E46DBB"/>
    <w:rsid w:val="00E46DD2"/>
    <w:rsid w:val="00E4740F"/>
    <w:rsid w:val="00E50086"/>
    <w:rsid w:val="00E5168A"/>
    <w:rsid w:val="00E523A4"/>
    <w:rsid w:val="00E52992"/>
    <w:rsid w:val="00E53A96"/>
    <w:rsid w:val="00E53EA3"/>
    <w:rsid w:val="00E553D3"/>
    <w:rsid w:val="00E560AA"/>
    <w:rsid w:val="00E56D4F"/>
    <w:rsid w:val="00E572D5"/>
    <w:rsid w:val="00E57CA4"/>
    <w:rsid w:val="00E57E44"/>
    <w:rsid w:val="00E60572"/>
    <w:rsid w:val="00E60942"/>
    <w:rsid w:val="00E60F6B"/>
    <w:rsid w:val="00E6157F"/>
    <w:rsid w:val="00E628EA"/>
    <w:rsid w:val="00E635C0"/>
    <w:rsid w:val="00E650D1"/>
    <w:rsid w:val="00E65187"/>
    <w:rsid w:val="00E65328"/>
    <w:rsid w:val="00E66FE7"/>
    <w:rsid w:val="00E678D8"/>
    <w:rsid w:val="00E67F55"/>
    <w:rsid w:val="00E719EF"/>
    <w:rsid w:val="00E72892"/>
    <w:rsid w:val="00E73350"/>
    <w:rsid w:val="00E74475"/>
    <w:rsid w:val="00E75148"/>
    <w:rsid w:val="00E75E09"/>
    <w:rsid w:val="00E765A1"/>
    <w:rsid w:val="00E76964"/>
    <w:rsid w:val="00E76DF5"/>
    <w:rsid w:val="00E775D0"/>
    <w:rsid w:val="00E80040"/>
    <w:rsid w:val="00E800C4"/>
    <w:rsid w:val="00E807E8"/>
    <w:rsid w:val="00E81881"/>
    <w:rsid w:val="00E81F8E"/>
    <w:rsid w:val="00E82202"/>
    <w:rsid w:val="00E829F4"/>
    <w:rsid w:val="00E82DC2"/>
    <w:rsid w:val="00E82E46"/>
    <w:rsid w:val="00E834D8"/>
    <w:rsid w:val="00E83F5E"/>
    <w:rsid w:val="00E84D81"/>
    <w:rsid w:val="00E84D89"/>
    <w:rsid w:val="00E85014"/>
    <w:rsid w:val="00E85344"/>
    <w:rsid w:val="00E85742"/>
    <w:rsid w:val="00E877FA"/>
    <w:rsid w:val="00E879E1"/>
    <w:rsid w:val="00E87F63"/>
    <w:rsid w:val="00E9005D"/>
    <w:rsid w:val="00E908D5"/>
    <w:rsid w:val="00E923C3"/>
    <w:rsid w:val="00E9366A"/>
    <w:rsid w:val="00E9462C"/>
    <w:rsid w:val="00E94B40"/>
    <w:rsid w:val="00E9505B"/>
    <w:rsid w:val="00E959A0"/>
    <w:rsid w:val="00E961CD"/>
    <w:rsid w:val="00E96FC3"/>
    <w:rsid w:val="00E97B15"/>
    <w:rsid w:val="00EA077A"/>
    <w:rsid w:val="00EA0D92"/>
    <w:rsid w:val="00EA15F0"/>
    <w:rsid w:val="00EA1732"/>
    <w:rsid w:val="00EA1D53"/>
    <w:rsid w:val="00EA2D0A"/>
    <w:rsid w:val="00EA3902"/>
    <w:rsid w:val="00EA3C7A"/>
    <w:rsid w:val="00EA3E57"/>
    <w:rsid w:val="00EA403E"/>
    <w:rsid w:val="00EA46AE"/>
    <w:rsid w:val="00EA4852"/>
    <w:rsid w:val="00EA5502"/>
    <w:rsid w:val="00EA5B4E"/>
    <w:rsid w:val="00EA76DA"/>
    <w:rsid w:val="00EB0DBA"/>
    <w:rsid w:val="00EB0E8E"/>
    <w:rsid w:val="00EB1B63"/>
    <w:rsid w:val="00EB2A73"/>
    <w:rsid w:val="00EB2AF3"/>
    <w:rsid w:val="00EB2C73"/>
    <w:rsid w:val="00EB2CE0"/>
    <w:rsid w:val="00EB3145"/>
    <w:rsid w:val="00EB38DB"/>
    <w:rsid w:val="00EB4308"/>
    <w:rsid w:val="00EB4666"/>
    <w:rsid w:val="00EB5E91"/>
    <w:rsid w:val="00EB5FB3"/>
    <w:rsid w:val="00EB64CF"/>
    <w:rsid w:val="00EB6B53"/>
    <w:rsid w:val="00EB6F8A"/>
    <w:rsid w:val="00EB732C"/>
    <w:rsid w:val="00EB7873"/>
    <w:rsid w:val="00EC04B5"/>
    <w:rsid w:val="00EC1590"/>
    <w:rsid w:val="00EC219C"/>
    <w:rsid w:val="00EC2404"/>
    <w:rsid w:val="00EC2EC2"/>
    <w:rsid w:val="00EC328D"/>
    <w:rsid w:val="00EC35D1"/>
    <w:rsid w:val="00EC394A"/>
    <w:rsid w:val="00EC3B6F"/>
    <w:rsid w:val="00EC5CCE"/>
    <w:rsid w:val="00EC6387"/>
    <w:rsid w:val="00EC6B30"/>
    <w:rsid w:val="00EC6BF1"/>
    <w:rsid w:val="00EC7BD1"/>
    <w:rsid w:val="00ED0351"/>
    <w:rsid w:val="00ED07E8"/>
    <w:rsid w:val="00ED1124"/>
    <w:rsid w:val="00ED2419"/>
    <w:rsid w:val="00ED27B9"/>
    <w:rsid w:val="00ED2B1A"/>
    <w:rsid w:val="00ED356A"/>
    <w:rsid w:val="00ED3DEA"/>
    <w:rsid w:val="00ED45A8"/>
    <w:rsid w:val="00ED5508"/>
    <w:rsid w:val="00ED588B"/>
    <w:rsid w:val="00ED69A7"/>
    <w:rsid w:val="00ED6B6B"/>
    <w:rsid w:val="00EE0435"/>
    <w:rsid w:val="00EE1538"/>
    <w:rsid w:val="00EE1D06"/>
    <w:rsid w:val="00EE358D"/>
    <w:rsid w:val="00EE359E"/>
    <w:rsid w:val="00EE3EE8"/>
    <w:rsid w:val="00EE4EC0"/>
    <w:rsid w:val="00EE52A3"/>
    <w:rsid w:val="00EE5CB0"/>
    <w:rsid w:val="00EE5DE0"/>
    <w:rsid w:val="00EE662E"/>
    <w:rsid w:val="00EE724F"/>
    <w:rsid w:val="00EE747B"/>
    <w:rsid w:val="00EE7F8C"/>
    <w:rsid w:val="00EF002F"/>
    <w:rsid w:val="00EF015A"/>
    <w:rsid w:val="00EF0192"/>
    <w:rsid w:val="00EF0536"/>
    <w:rsid w:val="00EF0FBD"/>
    <w:rsid w:val="00EF4AFF"/>
    <w:rsid w:val="00EF4E41"/>
    <w:rsid w:val="00EF61AA"/>
    <w:rsid w:val="00EF6595"/>
    <w:rsid w:val="00EF714B"/>
    <w:rsid w:val="00F011A8"/>
    <w:rsid w:val="00F01859"/>
    <w:rsid w:val="00F01E7A"/>
    <w:rsid w:val="00F02417"/>
    <w:rsid w:val="00F028C8"/>
    <w:rsid w:val="00F02910"/>
    <w:rsid w:val="00F02941"/>
    <w:rsid w:val="00F04904"/>
    <w:rsid w:val="00F05BF2"/>
    <w:rsid w:val="00F06188"/>
    <w:rsid w:val="00F074B6"/>
    <w:rsid w:val="00F15FFA"/>
    <w:rsid w:val="00F17630"/>
    <w:rsid w:val="00F17AE2"/>
    <w:rsid w:val="00F20061"/>
    <w:rsid w:val="00F201BD"/>
    <w:rsid w:val="00F21141"/>
    <w:rsid w:val="00F21415"/>
    <w:rsid w:val="00F21710"/>
    <w:rsid w:val="00F22044"/>
    <w:rsid w:val="00F22AA0"/>
    <w:rsid w:val="00F22D04"/>
    <w:rsid w:val="00F22D11"/>
    <w:rsid w:val="00F2370E"/>
    <w:rsid w:val="00F23B62"/>
    <w:rsid w:val="00F23F34"/>
    <w:rsid w:val="00F24797"/>
    <w:rsid w:val="00F25946"/>
    <w:rsid w:val="00F26157"/>
    <w:rsid w:val="00F26371"/>
    <w:rsid w:val="00F2682B"/>
    <w:rsid w:val="00F2782A"/>
    <w:rsid w:val="00F30CF3"/>
    <w:rsid w:val="00F30DA8"/>
    <w:rsid w:val="00F31555"/>
    <w:rsid w:val="00F31616"/>
    <w:rsid w:val="00F31D3C"/>
    <w:rsid w:val="00F333F5"/>
    <w:rsid w:val="00F34C1F"/>
    <w:rsid w:val="00F35C22"/>
    <w:rsid w:val="00F36C5D"/>
    <w:rsid w:val="00F372F1"/>
    <w:rsid w:val="00F3772B"/>
    <w:rsid w:val="00F3774F"/>
    <w:rsid w:val="00F408AA"/>
    <w:rsid w:val="00F40936"/>
    <w:rsid w:val="00F4094D"/>
    <w:rsid w:val="00F4177C"/>
    <w:rsid w:val="00F42233"/>
    <w:rsid w:val="00F43577"/>
    <w:rsid w:val="00F4396C"/>
    <w:rsid w:val="00F44781"/>
    <w:rsid w:val="00F44BEB"/>
    <w:rsid w:val="00F451D4"/>
    <w:rsid w:val="00F45D01"/>
    <w:rsid w:val="00F46727"/>
    <w:rsid w:val="00F4687F"/>
    <w:rsid w:val="00F46AB2"/>
    <w:rsid w:val="00F472F7"/>
    <w:rsid w:val="00F47E87"/>
    <w:rsid w:val="00F508E5"/>
    <w:rsid w:val="00F515E7"/>
    <w:rsid w:val="00F5171C"/>
    <w:rsid w:val="00F51B0E"/>
    <w:rsid w:val="00F51B18"/>
    <w:rsid w:val="00F524CA"/>
    <w:rsid w:val="00F52E6E"/>
    <w:rsid w:val="00F55282"/>
    <w:rsid w:val="00F55C81"/>
    <w:rsid w:val="00F561B2"/>
    <w:rsid w:val="00F56200"/>
    <w:rsid w:val="00F57454"/>
    <w:rsid w:val="00F57624"/>
    <w:rsid w:val="00F576EA"/>
    <w:rsid w:val="00F60313"/>
    <w:rsid w:val="00F618E3"/>
    <w:rsid w:val="00F621B1"/>
    <w:rsid w:val="00F62499"/>
    <w:rsid w:val="00F62563"/>
    <w:rsid w:val="00F639EB"/>
    <w:rsid w:val="00F63B81"/>
    <w:rsid w:val="00F63C29"/>
    <w:rsid w:val="00F6498F"/>
    <w:rsid w:val="00F64C20"/>
    <w:rsid w:val="00F64D67"/>
    <w:rsid w:val="00F650AE"/>
    <w:rsid w:val="00F669EC"/>
    <w:rsid w:val="00F67E83"/>
    <w:rsid w:val="00F701F9"/>
    <w:rsid w:val="00F70909"/>
    <w:rsid w:val="00F71BA2"/>
    <w:rsid w:val="00F72E14"/>
    <w:rsid w:val="00F72E68"/>
    <w:rsid w:val="00F731E2"/>
    <w:rsid w:val="00F7405A"/>
    <w:rsid w:val="00F7579D"/>
    <w:rsid w:val="00F7666D"/>
    <w:rsid w:val="00F76CD0"/>
    <w:rsid w:val="00F77060"/>
    <w:rsid w:val="00F802B6"/>
    <w:rsid w:val="00F81644"/>
    <w:rsid w:val="00F81778"/>
    <w:rsid w:val="00F81996"/>
    <w:rsid w:val="00F8262A"/>
    <w:rsid w:val="00F837AD"/>
    <w:rsid w:val="00F85BCD"/>
    <w:rsid w:val="00F86294"/>
    <w:rsid w:val="00F862A9"/>
    <w:rsid w:val="00F86376"/>
    <w:rsid w:val="00F90775"/>
    <w:rsid w:val="00F90DFC"/>
    <w:rsid w:val="00F91161"/>
    <w:rsid w:val="00F913D3"/>
    <w:rsid w:val="00F91B22"/>
    <w:rsid w:val="00F92549"/>
    <w:rsid w:val="00F93095"/>
    <w:rsid w:val="00F93436"/>
    <w:rsid w:val="00F93961"/>
    <w:rsid w:val="00F940D4"/>
    <w:rsid w:val="00F94218"/>
    <w:rsid w:val="00F946E0"/>
    <w:rsid w:val="00F9472B"/>
    <w:rsid w:val="00F9482D"/>
    <w:rsid w:val="00F95B1C"/>
    <w:rsid w:val="00F962BD"/>
    <w:rsid w:val="00F96372"/>
    <w:rsid w:val="00F9669F"/>
    <w:rsid w:val="00F96B27"/>
    <w:rsid w:val="00FA0016"/>
    <w:rsid w:val="00FA0B10"/>
    <w:rsid w:val="00FA1744"/>
    <w:rsid w:val="00FA2C3A"/>
    <w:rsid w:val="00FA4732"/>
    <w:rsid w:val="00FA4A3A"/>
    <w:rsid w:val="00FA5D18"/>
    <w:rsid w:val="00FA6167"/>
    <w:rsid w:val="00FA619F"/>
    <w:rsid w:val="00FA6A31"/>
    <w:rsid w:val="00FA6DB8"/>
    <w:rsid w:val="00FA7844"/>
    <w:rsid w:val="00FA7B35"/>
    <w:rsid w:val="00FB097E"/>
    <w:rsid w:val="00FB160A"/>
    <w:rsid w:val="00FB23D9"/>
    <w:rsid w:val="00FB28D6"/>
    <w:rsid w:val="00FB294F"/>
    <w:rsid w:val="00FB42F3"/>
    <w:rsid w:val="00FB5B41"/>
    <w:rsid w:val="00FB5E5F"/>
    <w:rsid w:val="00FB7A03"/>
    <w:rsid w:val="00FB7B8B"/>
    <w:rsid w:val="00FC0456"/>
    <w:rsid w:val="00FC0CBE"/>
    <w:rsid w:val="00FC2770"/>
    <w:rsid w:val="00FC2CBD"/>
    <w:rsid w:val="00FC3ADA"/>
    <w:rsid w:val="00FC3AF0"/>
    <w:rsid w:val="00FC5061"/>
    <w:rsid w:val="00FC647B"/>
    <w:rsid w:val="00FC72B7"/>
    <w:rsid w:val="00FC7A0C"/>
    <w:rsid w:val="00FC7B4F"/>
    <w:rsid w:val="00FD011D"/>
    <w:rsid w:val="00FD0930"/>
    <w:rsid w:val="00FD1439"/>
    <w:rsid w:val="00FD3D39"/>
    <w:rsid w:val="00FD4F67"/>
    <w:rsid w:val="00FD669A"/>
    <w:rsid w:val="00FD67D9"/>
    <w:rsid w:val="00FD688E"/>
    <w:rsid w:val="00FD69BB"/>
    <w:rsid w:val="00FD6D15"/>
    <w:rsid w:val="00FD6ECA"/>
    <w:rsid w:val="00FD6FBB"/>
    <w:rsid w:val="00FD742A"/>
    <w:rsid w:val="00FE0026"/>
    <w:rsid w:val="00FE0795"/>
    <w:rsid w:val="00FE0A5F"/>
    <w:rsid w:val="00FE223C"/>
    <w:rsid w:val="00FE2283"/>
    <w:rsid w:val="00FE3BAE"/>
    <w:rsid w:val="00FE48F1"/>
    <w:rsid w:val="00FE4E61"/>
    <w:rsid w:val="00FE62F6"/>
    <w:rsid w:val="00FE74DF"/>
    <w:rsid w:val="00FE7A3F"/>
    <w:rsid w:val="00FF0544"/>
    <w:rsid w:val="00FF122C"/>
    <w:rsid w:val="00FF2172"/>
    <w:rsid w:val="00FF2973"/>
    <w:rsid w:val="00FF343A"/>
    <w:rsid w:val="00FF42C2"/>
    <w:rsid w:val="00FF7092"/>
    <w:rsid w:val="00FF77EA"/>
    <w:rsid w:val="00FF7BEB"/>
    <w:rsid w:val="0235995C"/>
    <w:rsid w:val="024C3EB8"/>
    <w:rsid w:val="025DD4FF"/>
    <w:rsid w:val="04BD674D"/>
    <w:rsid w:val="04DE5CEC"/>
    <w:rsid w:val="05748F45"/>
    <w:rsid w:val="05F621E3"/>
    <w:rsid w:val="0618E3BB"/>
    <w:rsid w:val="06A5F761"/>
    <w:rsid w:val="0851080F"/>
    <w:rsid w:val="0863B913"/>
    <w:rsid w:val="0881D997"/>
    <w:rsid w:val="0A76E846"/>
    <w:rsid w:val="0A992BDA"/>
    <w:rsid w:val="0A9F9097"/>
    <w:rsid w:val="0AAEC2C2"/>
    <w:rsid w:val="0AB22CEF"/>
    <w:rsid w:val="0B084E87"/>
    <w:rsid w:val="0B184571"/>
    <w:rsid w:val="0B2BF835"/>
    <w:rsid w:val="0B414145"/>
    <w:rsid w:val="0BC59037"/>
    <w:rsid w:val="0BE32491"/>
    <w:rsid w:val="0CDFC148"/>
    <w:rsid w:val="0D24977B"/>
    <w:rsid w:val="0DDF4D1F"/>
    <w:rsid w:val="0EF9871C"/>
    <w:rsid w:val="1008B3BE"/>
    <w:rsid w:val="1022EA18"/>
    <w:rsid w:val="10556F54"/>
    <w:rsid w:val="1207FCCF"/>
    <w:rsid w:val="125F996E"/>
    <w:rsid w:val="1272E460"/>
    <w:rsid w:val="14ED63DF"/>
    <w:rsid w:val="156184FA"/>
    <w:rsid w:val="159505F8"/>
    <w:rsid w:val="171D83ED"/>
    <w:rsid w:val="17354ADE"/>
    <w:rsid w:val="19705CA6"/>
    <w:rsid w:val="19773F64"/>
    <w:rsid w:val="1CCE52BE"/>
    <w:rsid w:val="1D757B8E"/>
    <w:rsid w:val="1EDAEB42"/>
    <w:rsid w:val="1FF92970"/>
    <w:rsid w:val="20B917A4"/>
    <w:rsid w:val="210271FB"/>
    <w:rsid w:val="21B5BDAF"/>
    <w:rsid w:val="221B2755"/>
    <w:rsid w:val="2221D4A8"/>
    <w:rsid w:val="243EC15D"/>
    <w:rsid w:val="24766B77"/>
    <w:rsid w:val="25499D8B"/>
    <w:rsid w:val="2635846B"/>
    <w:rsid w:val="26DE1950"/>
    <w:rsid w:val="2727F110"/>
    <w:rsid w:val="299BB4E8"/>
    <w:rsid w:val="2AEE36A6"/>
    <w:rsid w:val="2B4C7284"/>
    <w:rsid w:val="2C847197"/>
    <w:rsid w:val="2CD0D4E3"/>
    <w:rsid w:val="2D82BB12"/>
    <w:rsid w:val="2DC0F8E1"/>
    <w:rsid w:val="2ED676EE"/>
    <w:rsid w:val="2F168A7D"/>
    <w:rsid w:val="2F947BB9"/>
    <w:rsid w:val="2F9F4A72"/>
    <w:rsid w:val="2FDEEFCC"/>
    <w:rsid w:val="3016DCCF"/>
    <w:rsid w:val="30EDAC10"/>
    <w:rsid w:val="31025492"/>
    <w:rsid w:val="324AEB23"/>
    <w:rsid w:val="32A6764F"/>
    <w:rsid w:val="348C7303"/>
    <w:rsid w:val="34D12EEA"/>
    <w:rsid w:val="34D94FDE"/>
    <w:rsid w:val="34E37131"/>
    <w:rsid w:val="3500E22A"/>
    <w:rsid w:val="3563C0A7"/>
    <w:rsid w:val="3599CEE4"/>
    <w:rsid w:val="38A345DA"/>
    <w:rsid w:val="39C36F02"/>
    <w:rsid w:val="3A3099BE"/>
    <w:rsid w:val="3A94D496"/>
    <w:rsid w:val="3AAE8BCD"/>
    <w:rsid w:val="3B72CFE6"/>
    <w:rsid w:val="3E219A0D"/>
    <w:rsid w:val="3E5F9386"/>
    <w:rsid w:val="404359DB"/>
    <w:rsid w:val="4336BF93"/>
    <w:rsid w:val="446ED649"/>
    <w:rsid w:val="45238570"/>
    <w:rsid w:val="45AECA66"/>
    <w:rsid w:val="46E49BED"/>
    <w:rsid w:val="48388FAC"/>
    <w:rsid w:val="48A6FA29"/>
    <w:rsid w:val="49BCA9AE"/>
    <w:rsid w:val="49D90278"/>
    <w:rsid w:val="4A3778E5"/>
    <w:rsid w:val="4BE94FFE"/>
    <w:rsid w:val="4F5D6CDA"/>
    <w:rsid w:val="50E44C9D"/>
    <w:rsid w:val="52FC88FC"/>
    <w:rsid w:val="5374A414"/>
    <w:rsid w:val="53CAFAA1"/>
    <w:rsid w:val="53F96204"/>
    <w:rsid w:val="5428C1E5"/>
    <w:rsid w:val="57F91D89"/>
    <w:rsid w:val="59E88B9D"/>
    <w:rsid w:val="5A29E73C"/>
    <w:rsid w:val="5A99A90D"/>
    <w:rsid w:val="5BE021BC"/>
    <w:rsid w:val="5DC2FC89"/>
    <w:rsid w:val="5E466EAE"/>
    <w:rsid w:val="5F6B7A5D"/>
    <w:rsid w:val="61F4C4B4"/>
    <w:rsid w:val="6206EEF9"/>
    <w:rsid w:val="63461396"/>
    <w:rsid w:val="6697ED42"/>
    <w:rsid w:val="6897CC56"/>
    <w:rsid w:val="68B0A28D"/>
    <w:rsid w:val="6A00D908"/>
    <w:rsid w:val="6A3A8020"/>
    <w:rsid w:val="6BB7683B"/>
    <w:rsid w:val="6D3C20E7"/>
    <w:rsid w:val="6D54EB37"/>
    <w:rsid w:val="6D86CED9"/>
    <w:rsid w:val="6E20A8CF"/>
    <w:rsid w:val="6EB787C8"/>
    <w:rsid w:val="6EC9D0E1"/>
    <w:rsid w:val="6FB10C51"/>
    <w:rsid w:val="7028357A"/>
    <w:rsid w:val="70769D9E"/>
    <w:rsid w:val="70E3BE1E"/>
    <w:rsid w:val="72477A18"/>
    <w:rsid w:val="72766D0C"/>
    <w:rsid w:val="72BEA2FC"/>
    <w:rsid w:val="73687C4D"/>
    <w:rsid w:val="74675A6D"/>
    <w:rsid w:val="7552A94F"/>
    <w:rsid w:val="75F7BFD2"/>
    <w:rsid w:val="76C2C18A"/>
    <w:rsid w:val="76D683F6"/>
    <w:rsid w:val="76DF3CB3"/>
    <w:rsid w:val="7785200E"/>
    <w:rsid w:val="7789C8CD"/>
    <w:rsid w:val="7866FD48"/>
    <w:rsid w:val="78C5EE95"/>
    <w:rsid w:val="79A6CCD7"/>
    <w:rsid w:val="7AAF10E0"/>
    <w:rsid w:val="7B835265"/>
    <w:rsid w:val="7CF7AFCD"/>
    <w:rsid w:val="7E1E38CF"/>
    <w:rsid w:val="7E73AB74"/>
    <w:rsid w:val="7FB1460B"/>
    <w:rsid w:val="7FBC2E0C"/>
    <w:rsid w:val="7FC5B1AE"/>
    <w:rsid w:val="7FCF9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0540A93B-B81A-4E61-8714-86B359E067C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A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pf0">
    <w:name w:val="pf0"/>
    <w:basedOn w:val="Normal"/>
    <w:rsid w:val="00340147"/>
    <w:pPr>
      <w:spacing w:before="100" w:beforeAutospacing="1" w:after="100" w:afterAutospacing="1"/>
    </w:pPr>
  </w:style>
  <w:style w:type="character" w:customStyle="1" w:styleId="cf01">
    <w:name w:val="cf01"/>
    <w:basedOn w:val="DefaultParagraphFont"/>
    <w:rsid w:val="00340147"/>
    <w:rPr>
      <w:rFonts w:ascii="Segoe UI" w:hAnsi="Segoe UI" w:cs="Segoe UI" w:hint="default"/>
      <w:sz w:val="18"/>
      <w:szCs w:val="18"/>
    </w:rPr>
  </w:style>
  <w:style w:type="character" w:styleId="UnresolvedMention">
    <w:name w:val="Unresolved Mention"/>
    <w:basedOn w:val="DefaultParagraphFont"/>
    <w:uiPriority w:val="99"/>
    <w:semiHidden/>
    <w:unhideWhenUsed/>
    <w:rsid w:val="003E064C"/>
    <w:rPr>
      <w:color w:val="605E5C"/>
      <w:shd w:val="clear" w:color="auto" w:fill="E1DFDD"/>
    </w:rPr>
  </w:style>
  <w:style w:type="paragraph" w:customStyle="1" w:styleId="Default">
    <w:name w:val="Default"/>
    <w:rsid w:val="005841F7"/>
    <w:pPr>
      <w:autoSpaceDE w:val="0"/>
      <w:autoSpaceDN w:val="0"/>
      <w:adjustRightInd w:val="0"/>
    </w:pPr>
    <w:rPr>
      <w:color w:val="000000"/>
      <w:sz w:val="24"/>
      <w:szCs w:val="24"/>
    </w:rPr>
  </w:style>
  <w:style w:type="character" w:styleId="Strong">
    <w:name w:val="Strong"/>
    <w:basedOn w:val="DefaultParagraphFont"/>
    <w:uiPriority w:val="22"/>
    <w:qFormat/>
    <w:rsid w:val="007564AC"/>
    <w:rPr>
      <w:b/>
      <w:bCs/>
    </w:rPr>
  </w:style>
  <w:style w:type="paragraph" w:customStyle="1" w:styleId="Section24before">
    <w:name w:val="Section24before"/>
    <w:basedOn w:val="Normal"/>
    <w:qFormat/>
    <w:rsid w:val="00D0550D"/>
    <w:pPr>
      <w:keepNext/>
      <w:spacing w:before="240" w:line="240" w:lineRule="exact"/>
    </w:pPr>
    <w:rPr>
      <w:rFonts w:eastAsiaTheme="minorHAnsi" w:cstheme="minorBidi"/>
      <w:b/>
      <w:bCs/>
      <w:szCs w:val="22"/>
    </w:rPr>
  </w:style>
  <w:style w:type="paragraph" w:customStyle="1" w:styleId="BoxCheck1">
    <w:name w:val="Box&amp;Check1"/>
    <w:basedOn w:val="Normal"/>
    <w:qFormat/>
    <w:rsid w:val="00D0550D"/>
    <w:pPr>
      <w:spacing w:line="240" w:lineRule="exact"/>
      <w:ind w:left="288" w:hanging="288"/>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30392">
      <w:bodyDiv w:val="1"/>
      <w:marLeft w:val="0"/>
      <w:marRight w:val="0"/>
      <w:marTop w:val="0"/>
      <w:marBottom w:val="0"/>
      <w:divBdr>
        <w:top w:val="none" w:sz="0" w:space="0" w:color="auto"/>
        <w:left w:val="none" w:sz="0" w:space="0" w:color="auto"/>
        <w:bottom w:val="none" w:sz="0" w:space="0" w:color="auto"/>
        <w:right w:val="none" w:sz="0" w:space="0" w:color="auto"/>
      </w:divBdr>
    </w:div>
    <w:div w:id="178737755">
      <w:bodyDiv w:val="1"/>
      <w:marLeft w:val="0"/>
      <w:marRight w:val="0"/>
      <w:marTop w:val="0"/>
      <w:marBottom w:val="0"/>
      <w:divBdr>
        <w:top w:val="none" w:sz="0" w:space="0" w:color="auto"/>
        <w:left w:val="none" w:sz="0" w:space="0" w:color="auto"/>
        <w:bottom w:val="none" w:sz="0" w:space="0" w:color="auto"/>
        <w:right w:val="none" w:sz="0" w:space="0" w:color="auto"/>
      </w:divBdr>
    </w:div>
    <w:div w:id="179127627">
      <w:bodyDiv w:val="1"/>
      <w:marLeft w:val="0"/>
      <w:marRight w:val="0"/>
      <w:marTop w:val="0"/>
      <w:marBottom w:val="0"/>
      <w:divBdr>
        <w:top w:val="none" w:sz="0" w:space="0" w:color="auto"/>
        <w:left w:val="none" w:sz="0" w:space="0" w:color="auto"/>
        <w:bottom w:val="none" w:sz="0" w:space="0" w:color="auto"/>
        <w:right w:val="none" w:sz="0" w:space="0" w:color="auto"/>
      </w:divBdr>
      <w:divsChild>
        <w:div w:id="1813519357">
          <w:marLeft w:val="0"/>
          <w:marRight w:val="0"/>
          <w:marTop w:val="0"/>
          <w:marBottom w:val="0"/>
          <w:divBdr>
            <w:top w:val="none" w:sz="0" w:space="0" w:color="auto"/>
            <w:left w:val="none" w:sz="0" w:space="0" w:color="auto"/>
            <w:bottom w:val="none" w:sz="0" w:space="0" w:color="auto"/>
            <w:right w:val="none" w:sz="0" w:space="0" w:color="auto"/>
          </w:divBdr>
        </w:div>
        <w:div w:id="982584743">
          <w:marLeft w:val="0"/>
          <w:marRight w:val="0"/>
          <w:marTop w:val="0"/>
          <w:marBottom w:val="0"/>
          <w:divBdr>
            <w:top w:val="none" w:sz="0" w:space="0" w:color="auto"/>
            <w:left w:val="none" w:sz="0" w:space="0" w:color="auto"/>
            <w:bottom w:val="none" w:sz="0" w:space="0" w:color="auto"/>
            <w:right w:val="none" w:sz="0" w:space="0" w:color="auto"/>
          </w:divBdr>
        </w:div>
        <w:div w:id="1265920923">
          <w:marLeft w:val="0"/>
          <w:marRight w:val="0"/>
          <w:marTop w:val="0"/>
          <w:marBottom w:val="0"/>
          <w:divBdr>
            <w:top w:val="none" w:sz="0" w:space="0" w:color="auto"/>
            <w:left w:val="none" w:sz="0" w:space="0" w:color="auto"/>
            <w:bottom w:val="none" w:sz="0" w:space="0" w:color="auto"/>
            <w:right w:val="none" w:sz="0" w:space="0" w:color="auto"/>
          </w:divBdr>
        </w:div>
        <w:div w:id="1148283281">
          <w:marLeft w:val="0"/>
          <w:marRight w:val="0"/>
          <w:marTop w:val="0"/>
          <w:marBottom w:val="0"/>
          <w:divBdr>
            <w:top w:val="none" w:sz="0" w:space="0" w:color="auto"/>
            <w:left w:val="none" w:sz="0" w:space="0" w:color="auto"/>
            <w:bottom w:val="none" w:sz="0" w:space="0" w:color="auto"/>
            <w:right w:val="none" w:sz="0" w:space="0" w:color="auto"/>
          </w:divBdr>
        </w:div>
        <w:div w:id="62719724">
          <w:marLeft w:val="0"/>
          <w:marRight w:val="0"/>
          <w:marTop w:val="0"/>
          <w:marBottom w:val="0"/>
          <w:divBdr>
            <w:top w:val="none" w:sz="0" w:space="0" w:color="auto"/>
            <w:left w:val="none" w:sz="0" w:space="0" w:color="auto"/>
            <w:bottom w:val="none" w:sz="0" w:space="0" w:color="auto"/>
            <w:right w:val="none" w:sz="0" w:space="0" w:color="auto"/>
          </w:divBdr>
        </w:div>
      </w:divsChild>
    </w:div>
    <w:div w:id="183637459">
      <w:bodyDiv w:val="1"/>
      <w:marLeft w:val="0"/>
      <w:marRight w:val="0"/>
      <w:marTop w:val="0"/>
      <w:marBottom w:val="0"/>
      <w:divBdr>
        <w:top w:val="none" w:sz="0" w:space="0" w:color="auto"/>
        <w:left w:val="none" w:sz="0" w:space="0" w:color="auto"/>
        <w:bottom w:val="none" w:sz="0" w:space="0" w:color="auto"/>
        <w:right w:val="none" w:sz="0" w:space="0" w:color="auto"/>
      </w:divBdr>
    </w:div>
    <w:div w:id="447283403">
      <w:bodyDiv w:val="1"/>
      <w:marLeft w:val="0"/>
      <w:marRight w:val="0"/>
      <w:marTop w:val="0"/>
      <w:marBottom w:val="0"/>
      <w:divBdr>
        <w:top w:val="none" w:sz="0" w:space="0" w:color="auto"/>
        <w:left w:val="none" w:sz="0" w:space="0" w:color="auto"/>
        <w:bottom w:val="none" w:sz="0" w:space="0" w:color="auto"/>
        <w:right w:val="none" w:sz="0" w:space="0" w:color="auto"/>
      </w:divBdr>
    </w:div>
    <w:div w:id="535318709">
      <w:bodyDiv w:val="1"/>
      <w:marLeft w:val="0"/>
      <w:marRight w:val="0"/>
      <w:marTop w:val="0"/>
      <w:marBottom w:val="0"/>
      <w:divBdr>
        <w:top w:val="none" w:sz="0" w:space="0" w:color="auto"/>
        <w:left w:val="none" w:sz="0" w:space="0" w:color="auto"/>
        <w:bottom w:val="none" w:sz="0" w:space="0" w:color="auto"/>
        <w:right w:val="none" w:sz="0" w:space="0" w:color="auto"/>
      </w:divBdr>
    </w:div>
    <w:div w:id="544029078">
      <w:bodyDiv w:val="1"/>
      <w:marLeft w:val="0"/>
      <w:marRight w:val="0"/>
      <w:marTop w:val="0"/>
      <w:marBottom w:val="0"/>
      <w:divBdr>
        <w:top w:val="none" w:sz="0" w:space="0" w:color="auto"/>
        <w:left w:val="none" w:sz="0" w:space="0" w:color="auto"/>
        <w:bottom w:val="none" w:sz="0" w:space="0" w:color="auto"/>
        <w:right w:val="none" w:sz="0" w:space="0" w:color="auto"/>
      </w:divBdr>
    </w:div>
    <w:div w:id="606739354">
      <w:bodyDiv w:val="1"/>
      <w:marLeft w:val="0"/>
      <w:marRight w:val="0"/>
      <w:marTop w:val="0"/>
      <w:marBottom w:val="0"/>
      <w:divBdr>
        <w:top w:val="none" w:sz="0" w:space="0" w:color="auto"/>
        <w:left w:val="none" w:sz="0" w:space="0" w:color="auto"/>
        <w:bottom w:val="none" w:sz="0" w:space="0" w:color="auto"/>
        <w:right w:val="none" w:sz="0" w:space="0" w:color="auto"/>
      </w:divBdr>
    </w:div>
    <w:div w:id="611978596">
      <w:bodyDiv w:val="1"/>
      <w:marLeft w:val="0"/>
      <w:marRight w:val="0"/>
      <w:marTop w:val="0"/>
      <w:marBottom w:val="0"/>
      <w:divBdr>
        <w:top w:val="none" w:sz="0" w:space="0" w:color="auto"/>
        <w:left w:val="none" w:sz="0" w:space="0" w:color="auto"/>
        <w:bottom w:val="none" w:sz="0" w:space="0" w:color="auto"/>
        <w:right w:val="none" w:sz="0" w:space="0" w:color="auto"/>
      </w:divBdr>
    </w:div>
    <w:div w:id="624821870">
      <w:bodyDiv w:val="1"/>
      <w:marLeft w:val="0"/>
      <w:marRight w:val="0"/>
      <w:marTop w:val="0"/>
      <w:marBottom w:val="0"/>
      <w:divBdr>
        <w:top w:val="none" w:sz="0" w:space="0" w:color="auto"/>
        <w:left w:val="none" w:sz="0" w:space="0" w:color="auto"/>
        <w:bottom w:val="none" w:sz="0" w:space="0" w:color="auto"/>
        <w:right w:val="none" w:sz="0" w:space="0" w:color="auto"/>
      </w:divBdr>
    </w:div>
    <w:div w:id="752556048">
      <w:bodyDiv w:val="1"/>
      <w:marLeft w:val="0"/>
      <w:marRight w:val="0"/>
      <w:marTop w:val="0"/>
      <w:marBottom w:val="0"/>
      <w:divBdr>
        <w:top w:val="none" w:sz="0" w:space="0" w:color="auto"/>
        <w:left w:val="none" w:sz="0" w:space="0" w:color="auto"/>
        <w:bottom w:val="none" w:sz="0" w:space="0" w:color="auto"/>
        <w:right w:val="none" w:sz="0" w:space="0" w:color="auto"/>
      </w:divBdr>
    </w:div>
    <w:div w:id="762727147">
      <w:bodyDiv w:val="1"/>
      <w:marLeft w:val="0"/>
      <w:marRight w:val="0"/>
      <w:marTop w:val="0"/>
      <w:marBottom w:val="0"/>
      <w:divBdr>
        <w:top w:val="none" w:sz="0" w:space="0" w:color="auto"/>
        <w:left w:val="none" w:sz="0" w:space="0" w:color="auto"/>
        <w:bottom w:val="none" w:sz="0" w:space="0" w:color="auto"/>
        <w:right w:val="none" w:sz="0" w:space="0" w:color="auto"/>
      </w:divBdr>
    </w:div>
    <w:div w:id="1026784007">
      <w:bodyDiv w:val="1"/>
      <w:marLeft w:val="0"/>
      <w:marRight w:val="0"/>
      <w:marTop w:val="0"/>
      <w:marBottom w:val="0"/>
      <w:divBdr>
        <w:top w:val="none" w:sz="0" w:space="0" w:color="auto"/>
        <w:left w:val="none" w:sz="0" w:space="0" w:color="auto"/>
        <w:bottom w:val="none" w:sz="0" w:space="0" w:color="auto"/>
        <w:right w:val="none" w:sz="0" w:space="0" w:color="auto"/>
      </w:divBdr>
    </w:div>
    <w:div w:id="1142692818">
      <w:bodyDiv w:val="1"/>
      <w:marLeft w:val="0"/>
      <w:marRight w:val="0"/>
      <w:marTop w:val="0"/>
      <w:marBottom w:val="0"/>
      <w:divBdr>
        <w:top w:val="none" w:sz="0" w:space="0" w:color="auto"/>
        <w:left w:val="none" w:sz="0" w:space="0" w:color="auto"/>
        <w:bottom w:val="none" w:sz="0" w:space="0" w:color="auto"/>
        <w:right w:val="none" w:sz="0" w:space="0" w:color="auto"/>
      </w:divBdr>
    </w:div>
    <w:div w:id="1150363237">
      <w:bodyDiv w:val="1"/>
      <w:marLeft w:val="0"/>
      <w:marRight w:val="0"/>
      <w:marTop w:val="0"/>
      <w:marBottom w:val="0"/>
      <w:divBdr>
        <w:top w:val="none" w:sz="0" w:space="0" w:color="auto"/>
        <w:left w:val="none" w:sz="0" w:space="0" w:color="auto"/>
        <w:bottom w:val="none" w:sz="0" w:space="0" w:color="auto"/>
        <w:right w:val="none" w:sz="0" w:space="0" w:color="auto"/>
      </w:divBdr>
    </w:div>
    <w:div w:id="1155101877">
      <w:bodyDiv w:val="1"/>
      <w:marLeft w:val="0"/>
      <w:marRight w:val="0"/>
      <w:marTop w:val="0"/>
      <w:marBottom w:val="0"/>
      <w:divBdr>
        <w:top w:val="none" w:sz="0" w:space="0" w:color="auto"/>
        <w:left w:val="none" w:sz="0" w:space="0" w:color="auto"/>
        <w:bottom w:val="none" w:sz="0" w:space="0" w:color="auto"/>
        <w:right w:val="none" w:sz="0" w:space="0" w:color="auto"/>
      </w:divBdr>
    </w:div>
    <w:div w:id="1184514145">
      <w:bodyDiv w:val="1"/>
      <w:marLeft w:val="0"/>
      <w:marRight w:val="0"/>
      <w:marTop w:val="0"/>
      <w:marBottom w:val="0"/>
      <w:divBdr>
        <w:top w:val="none" w:sz="0" w:space="0" w:color="auto"/>
        <w:left w:val="none" w:sz="0" w:space="0" w:color="auto"/>
        <w:bottom w:val="none" w:sz="0" w:space="0" w:color="auto"/>
        <w:right w:val="none" w:sz="0" w:space="0" w:color="auto"/>
      </w:divBdr>
    </w:div>
    <w:div w:id="1224484471">
      <w:bodyDiv w:val="1"/>
      <w:marLeft w:val="0"/>
      <w:marRight w:val="0"/>
      <w:marTop w:val="0"/>
      <w:marBottom w:val="0"/>
      <w:divBdr>
        <w:top w:val="none" w:sz="0" w:space="0" w:color="auto"/>
        <w:left w:val="none" w:sz="0" w:space="0" w:color="auto"/>
        <w:bottom w:val="none" w:sz="0" w:space="0" w:color="auto"/>
        <w:right w:val="none" w:sz="0" w:space="0" w:color="auto"/>
      </w:divBdr>
    </w:div>
    <w:div w:id="1303197108">
      <w:bodyDiv w:val="1"/>
      <w:marLeft w:val="0"/>
      <w:marRight w:val="0"/>
      <w:marTop w:val="0"/>
      <w:marBottom w:val="0"/>
      <w:divBdr>
        <w:top w:val="none" w:sz="0" w:space="0" w:color="auto"/>
        <w:left w:val="none" w:sz="0" w:space="0" w:color="auto"/>
        <w:bottom w:val="none" w:sz="0" w:space="0" w:color="auto"/>
        <w:right w:val="none" w:sz="0" w:space="0" w:color="auto"/>
      </w:divBdr>
    </w:div>
    <w:div w:id="1379473625">
      <w:bodyDiv w:val="1"/>
      <w:marLeft w:val="0"/>
      <w:marRight w:val="0"/>
      <w:marTop w:val="0"/>
      <w:marBottom w:val="0"/>
      <w:divBdr>
        <w:top w:val="none" w:sz="0" w:space="0" w:color="auto"/>
        <w:left w:val="none" w:sz="0" w:space="0" w:color="auto"/>
        <w:bottom w:val="none" w:sz="0" w:space="0" w:color="auto"/>
        <w:right w:val="none" w:sz="0" w:space="0" w:color="auto"/>
      </w:divBdr>
    </w:div>
    <w:div w:id="1470170831">
      <w:bodyDiv w:val="1"/>
      <w:marLeft w:val="0"/>
      <w:marRight w:val="0"/>
      <w:marTop w:val="0"/>
      <w:marBottom w:val="0"/>
      <w:divBdr>
        <w:top w:val="none" w:sz="0" w:space="0" w:color="auto"/>
        <w:left w:val="none" w:sz="0" w:space="0" w:color="auto"/>
        <w:bottom w:val="none" w:sz="0" w:space="0" w:color="auto"/>
        <w:right w:val="none" w:sz="0" w:space="0" w:color="auto"/>
      </w:divBdr>
    </w:div>
    <w:div w:id="1678119363">
      <w:bodyDiv w:val="1"/>
      <w:marLeft w:val="0"/>
      <w:marRight w:val="0"/>
      <w:marTop w:val="0"/>
      <w:marBottom w:val="0"/>
      <w:divBdr>
        <w:top w:val="none" w:sz="0" w:space="0" w:color="auto"/>
        <w:left w:val="none" w:sz="0" w:space="0" w:color="auto"/>
        <w:bottom w:val="none" w:sz="0" w:space="0" w:color="auto"/>
        <w:right w:val="none" w:sz="0" w:space="0" w:color="auto"/>
      </w:divBdr>
    </w:div>
    <w:div w:id="1801655103">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 w:id="1889219727">
      <w:bodyDiv w:val="1"/>
      <w:marLeft w:val="0"/>
      <w:marRight w:val="0"/>
      <w:marTop w:val="0"/>
      <w:marBottom w:val="0"/>
      <w:divBdr>
        <w:top w:val="none" w:sz="0" w:space="0" w:color="auto"/>
        <w:left w:val="none" w:sz="0" w:space="0" w:color="auto"/>
        <w:bottom w:val="none" w:sz="0" w:space="0" w:color="auto"/>
        <w:right w:val="none" w:sz="0" w:space="0" w:color="auto"/>
      </w:divBdr>
    </w:div>
    <w:div w:id="1920283146">
      <w:bodyDiv w:val="1"/>
      <w:marLeft w:val="0"/>
      <w:marRight w:val="0"/>
      <w:marTop w:val="0"/>
      <w:marBottom w:val="0"/>
      <w:divBdr>
        <w:top w:val="none" w:sz="0" w:space="0" w:color="auto"/>
        <w:left w:val="none" w:sz="0" w:space="0" w:color="auto"/>
        <w:bottom w:val="none" w:sz="0" w:space="0" w:color="auto"/>
        <w:right w:val="none" w:sz="0" w:space="0" w:color="auto"/>
      </w:divBdr>
      <w:divsChild>
        <w:div w:id="2040618348">
          <w:marLeft w:val="0"/>
          <w:marRight w:val="0"/>
          <w:marTop w:val="0"/>
          <w:marBottom w:val="0"/>
          <w:divBdr>
            <w:top w:val="none" w:sz="0" w:space="0" w:color="auto"/>
            <w:left w:val="none" w:sz="0" w:space="0" w:color="auto"/>
            <w:bottom w:val="none" w:sz="0" w:space="0" w:color="auto"/>
            <w:right w:val="none" w:sz="0" w:space="0" w:color="auto"/>
          </w:divBdr>
        </w:div>
        <w:div w:id="215288913">
          <w:marLeft w:val="0"/>
          <w:marRight w:val="0"/>
          <w:marTop w:val="0"/>
          <w:marBottom w:val="0"/>
          <w:divBdr>
            <w:top w:val="none" w:sz="0" w:space="0" w:color="auto"/>
            <w:left w:val="none" w:sz="0" w:space="0" w:color="auto"/>
            <w:bottom w:val="none" w:sz="0" w:space="0" w:color="auto"/>
            <w:right w:val="none" w:sz="0" w:space="0" w:color="auto"/>
          </w:divBdr>
        </w:div>
        <w:div w:id="490944652">
          <w:marLeft w:val="0"/>
          <w:marRight w:val="0"/>
          <w:marTop w:val="0"/>
          <w:marBottom w:val="0"/>
          <w:divBdr>
            <w:top w:val="none" w:sz="0" w:space="0" w:color="auto"/>
            <w:left w:val="none" w:sz="0" w:space="0" w:color="auto"/>
            <w:bottom w:val="none" w:sz="0" w:space="0" w:color="auto"/>
            <w:right w:val="none" w:sz="0" w:space="0" w:color="auto"/>
          </w:divBdr>
        </w:div>
        <w:div w:id="2018464733">
          <w:marLeft w:val="0"/>
          <w:marRight w:val="0"/>
          <w:marTop w:val="0"/>
          <w:marBottom w:val="0"/>
          <w:divBdr>
            <w:top w:val="none" w:sz="0" w:space="0" w:color="auto"/>
            <w:left w:val="none" w:sz="0" w:space="0" w:color="auto"/>
            <w:bottom w:val="none" w:sz="0" w:space="0" w:color="auto"/>
            <w:right w:val="none" w:sz="0" w:space="0" w:color="auto"/>
          </w:divBdr>
        </w:div>
        <w:div w:id="1731342132">
          <w:marLeft w:val="0"/>
          <w:marRight w:val="0"/>
          <w:marTop w:val="0"/>
          <w:marBottom w:val="0"/>
          <w:divBdr>
            <w:top w:val="none" w:sz="0" w:space="0" w:color="auto"/>
            <w:left w:val="none" w:sz="0" w:space="0" w:color="auto"/>
            <w:bottom w:val="none" w:sz="0" w:space="0" w:color="auto"/>
            <w:right w:val="none" w:sz="0" w:space="0" w:color="auto"/>
          </w:divBdr>
        </w:div>
      </w:divsChild>
    </w:div>
    <w:div w:id="1949584382">
      <w:bodyDiv w:val="1"/>
      <w:marLeft w:val="0"/>
      <w:marRight w:val="0"/>
      <w:marTop w:val="0"/>
      <w:marBottom w:val="0"/>
      <w:divBdr>
        <w:top w:val="none" w:sz="0" w:space="0" w:color="auto"/>
        <w:left w:val="none" w:sz="0" w:space="0" w:color="auto"/>
        <w:bottom w:val="none" w:sz="0" w:space="0" w:color="auto"/>
        <w:right w:val="none" w:sz="0" w:space="0" w:color="auto"/>
      </w:divBdr>
    </w:div>
    <w:div w:id="1998264543">
      <w:bodyDiv w:val="1"/>
      <w:marLeft w:val="0"/>
      <w:marRight w:val="0"/>
      <w:marTop w:val="0"/>
      <w:marBottom w:val="0"/>
      <w:divBdr>
        <w:top w:val="none" w:sz="0" w:space="0" w:color="auto"/>
        <w:left w:val="none" w:sz="0" w:space="0" w:color="auto"/>
        <w:bottom w:val="none" w:sz="0" w:space="0" w:color="auto"/>
        <w:right w:val="none" w:sz="0" w:space="0" w:color="auto"/>
      </w:divBdr>
    </w:div>
    <w:div w:id="2044288051">
      <w:bodyDiv w:val="1"/>
      <w:marLeft w:val="0"/>
      <w:marRight w:val="0"/>
      <w:marTop w:val="0"/>
      <w:marBottom w:val="0"/>
      <w:divBdr>
        <w:top w:val="none" w:sz="0" w:space="0" w:color="auto"/>
        <w:left w:val="none" w:sz="0" w:space="0" w:color="auto"/>
        <w:bottom w:val="none" w:sz="0" w:space="0" w:color="auto"/>
        <w:right w:val="none" w:sz="0" w:space="0" w:color="auto"/>
      </w:divBdr>
    </w:div>
    <w:div w:id="2064870164">
      <w:bodyDiv w:val="1"/>
      <w:marLeft w:val="0"/>
      <w:marRight w:val="0"/>
      <w:marTop w:val="0"/>
      <w:marBottom w:val="0"/>
      <w:divBdr>
        <w:top w:val="none" w:sz="0" w:space="0" w:color="auto"/>
        <w:left w:val="none" w:sz="0" w:space="0" w:color="auto"/>
        <w:bottom w:val="none" w:sz="0" w:space="0" w:color="auto"/>
        <w:right w:val="none" w:sz="0" w:space="0" w:color="auto"/>
      </w:divBdr>
    </w:div>
    <w:div w:id="21414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adminmonitor.com/ca/cpuc/voting_meeting/20241017/"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docs.cpuc.ca.gov/PublishedDocs/Published/G000/M605/K882/605882834.pdf" TargetMode="External" Id="R203bb44fe3b14304" /></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5D01-1D02-464F-B16A-2F7E5FD1BCF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47</ap:Pages>
  <ap:Words>12592</ap:Words>
  <ap:Characters>71776</ap:Characters>
  <ap:Application>Microsoft Office Word</ap:Application>
  <ap:DocSecurity>0</ap:DocSecurity>
  <ap:Lines>598</ap:Lines>
  <ap:Paragraphs>168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84200</ap:CharactersWithSpaces>
  <ap:SharedDoc>false</ap:SharedDoc>
  <ap:HyperlinkBase/>
  <ap:HLinks>
    <vt:vector baseType="variant" size="18">
      <vt:variant>
        <vt:i4>7405594</vt:i4>
      </vt:variant>
      <vt:variant>
        <vt:i4>3</vt:i4>
      </vt:variant>
      <vt:variant>
        <vt:i4>0</vt:i4>
      </vt:variant>
      <vt:variant>
        <vt:i4>5</vt:i4>
      </vt:variant>
      <vt:variant>
        <vt:lpwstr>https://www.adminmonitor.com/ca/cpuc/voting_meeting/20241017/</vt:lpwstr>
      </vt:variant>
      <vt:variant>
        <vt:lpwstr/>
      </vt:variant>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2026-04-28T19:44:27Z</dcterms:created>
  <dcterms:modified xsi:type="dcterms:W3CDTF">2026-04-28T19:44:27Z</dcterms:modified>
</cp:coreProperties>
</file>